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6D77"/>
          <w:sz w:val="29"/>
        </w:rPr>
        <w:t>#BBUS  |  Quantifying the full value of India’s bus systems</w:t>
      </w:r>
    </w:p>
    <w:p>
      <w:pPr>
        <w:spacing w:after="80"/>
      </w:pPr>
      <w:r>
        <w:rPr>
          <w:i/>
          <w:color w:val="555555"/>
          <w:sz w:val="16"/>
        </w:rPr>
        <w:t>Efficiency and Bus Fleet Management: strategic communications and quantifying GHG and other co-benefits  ·  CEEW  ·  One-page explainer, September 2026</w:t>
      </w:r>
    </w:p>
    <w:p>
      <w:pPr>
        <w:spacing w:before="120" w:after="40"/>
        <w:pBdr>
          <w:bottom w:val="single" w:sz="4" w:space="2" w:color="006D77"/>
        </w:pBdr>
      </w:pPr>
      <w:r>
        <w:rPr>
          <w:b/>
          <w:color w:val="006D77"/>
          <w:sz w:val="17"/>
        </w:rPr>
        <w:t>THE PROJECT IN ONE SENTENCE</w:t>
      </w:r>
    </w:p>
    <w:p>
      <w:pPr>
        <w:spacing w:after="60"/>
      </w:pPr>
      <w:r>
        <w:rPr>
          <w:i w:val="0"/>
          <w:color w:val="1A1A1A"/>
          <w:sz w:val="18"/>
        </w:rPr>
        <w:t>India is about to spend tens of thousands of crores on city buses, yet still justifies that spending almost entirely on fares and ridership. #BBUS builds the missing evidence — one integrated model that puts a rupee value on what a bus actually delivers to a city: better health, higher incomes and greater access for women and the poor, lower emissions, and mobility that survives a flood or a heatwave — so governments can defend bus budgets and unlock climate and private finance.</w:t>
      </w:r>
    </w:p>
    <w:p>
      <w:pPr>
        <w:spacing w:before="120" w:after="40"/>
        <w:pBdr>
          <w:bottom w:val="single" w:sz="4" w:space="2" w:color="006D77"/>
        </w:pBdr>
      </w:pPr>
      <w:r>
        <w:rPr>
          <w:b/>
          <w:color w:val="006D77"/>
          <w:sz w:val="17"/>
        </w:rPr>
        <w:t>WHY THIS MATTERS NOW</w:t>
      </w:r>
    </w:p>
    <w:p>
      <w:pPr>
        <w:pStyle w:val="ListBullet"/>
        <w:spacing w:after="30"/>
        <w:ind w:left="255" w:hanging="142"/>
      </w:pPr>
      <w:r>
        <w:rPr>
          <w:b/>
          <w:sz w:val="18"/>
        </w:rPr>
        <w:t xml:space="preserve">More than 230 million Indians </w:t>
      </w:r>
      <w:r>
        <w:rPr>
          <w:sz w:val="18"/>
        </w:rPr>
        <w:t>depend on buses every day. Most are captive users — women, the elderly, children, persons with disabilities and low-income households — with no realistic alternative.</w:t>
      </w:r>
    </w:p>
    <w:p>
      <w:pPr>
        <w:pStyle w:val="ListBullet"/>
        <w:spacing w:after="30"/>
        <w:ind w:left="255" w:hanging="142"/>
      </w:pPr>
      <w:r>
        <w:rPr>
          <w:b/>
          <w:sz w:val="18"/>
        </w:rPr>
        <w:t xml:space="preserve">Over 60 per cent </w:t>
      </w:r>
      <w:r>
        <w:rPr>
          <w:sz w:val="18"/>
        </w:rPr>
        <w:t>of India’s bus fleet sits in just nine metro cities. Elsewhere supply is thin, service inconsistent, investment reactive.</w:t>
      </w:r>
    </w:p>
    <w:p>
      <w:pPr>
        <w:pStyle w:val="ListBullet"/>
        <w:spacing w:after="30"/>
        <w:ind w:left="255" w:hanging="142"/>
      </w:pPr>
      <w:r>
        <w:rPr>
          <w:b/>
          <w:sz w:val="18"/>
        </w:rPr>
        <w:t xml:space="preserve">PM e-Bus Sewa </w:t>
      </w:r>
      <w:r>
        <w:rPr>
          <w:sz w:val="18"/>
        </w:rPr>
        <w:t>commits about 10,000 electric buses across 169 cities, an estimated ₹57,613 crore with ₹20,000 crore of central support. It is the largest urban bus intervention since JNNURM, and the evidence it generates will shape the second phase already being planned.</w:t>
      </w:r>
    </w:p>
    <w:p>
      <w:pPr>
        <w:pStyle w:val="ListBullet"/>
        <w:spacing w:after="30"/>
        <w:ind w:left="255" w:hanging="142"/>
      </w:pPr>
      <w:r>
        <w:rPr>
          <w:b/>
          <w:sz w:val="18"/>
        </w:rPr>
        <w:t xml:space="preserve">The gap: </w:t>
      </w:r>
      <w:r>
        <w:rPr>
          <w:sz w:val="18"/>
        </w:rPr>
        <w:t>appraisal today counts only farebox revenue, operating cost and in-vehicle time saved. A scoping review of 27 studies found exactly one India-specific co-benefit study. Conventional cost-benefit analysis therefore understates the social return to bus investment, systematically.</w:t>
      </w:r>
    </w:p>
    <w:p>
      <w:pPr>
        <w:spacing w:before="120" w:after="40"/>
        <w:pBdr>
          <w:bottom w:val="single" w:sz="4" w:space="2" w:color="006D77"/>
        </w:pBdr>
      </w:pPr>
      <w:r>
        <w:rPr>
          <w:b/>
          <w:color w:val="006D77"/>
          <w:sz w:val="17"/>
        </w:rPr>
        <w:t>WHAT WE ARE BUILDING: THE 4-IN-1 CO-BENEFITS MODEL</w:t>
      </w:r>
    </w:p>
    <w:tbl>
      <w:tblPr>
        <w:tblStyle w:val="TableGrid"/>
        <w:tblW w:type="auto" w:w="0"/>
        <w:jc w:val="center"/>
        <w:tblLook w:firstColumn="1" w:firstRow="1" w:lastColumn="0" w:lastRow="0" w:noHBand="0" w:noVBand="1" w:val="04A0"/>
      </w:tblPr>
      <w:tblGrid>
        <w:gridCol w:w="3475"/>
        <w:gridCol w:w="3475"/>
        <w:gridCol w:w="3475"/>
      </w:tblGrid>
      <w:tr>
        <w:tc>
          <w:tcPr>
            <w:tcW w:type="dxa" w:w="1531"/>
          </w:tcPr>
          <w:p>
            <w:pPr>
              <w:spacing w:after="10" w:before="10"/>
            </w:pPr>
            <w:r>
              <w:rPr>
                <w:b/>
                <w:color w:val="006D77"/>
                <w:sz w:val="15"/>
              </w:rPr>
              <w:t>Model</w:t>
            </w:r>
          </w:p>
        </w:tc>
        <w:tc>
          <w:tcPr>
            <w:tcW w:type="dxa" w:w="3402"/>
          </w:tcPr>
          <w:p>
            <w:pPr>
              <w:spacing w:after="10" w:before="10"/>
            </w:pPr>
            <w:r>
              <w:rPr>
                <w:b/>
                <w:color w:val="006D77"/>
                <w:sz w:val="15"/>
              </w:rPr>
              <w:t>What it answers</w:t>
            </w:r>
          </w:p>
        </w:tc>
        <w:tc>
          <w:tcPr>
            <w:tcW w:type="dxa" w:w="4819"/>
          </w:tcPr>
          <w:p>
            <w:pPr>
              <w:spacing w:after="10" w:before="10"/>
            </w:pPr>
            <w:r>
              <w:rPr>
                <w:b/>
                <w:color w:val="006D77"/>
                <w:sz w:val="15"/>
              </w:rPr>
              <w:t>Headline metrics</w:t>
            </w:r>
          </w:p>
        </w:tc>
      </w:tr>
      <w:tr>
        <w:tc>
          <w:tcPr>
            <w:tcW w:type="dxa" w:w="1531"/>
          </w:tcPr>
          <w:p>
            <w:pPr>
              <w:spacing w:after="10" w:before="10"/>
            </w:pPr>
            <w:r>
              <w:rPr>
                <w:b/>
                <w:sz w:val="15"/>
              </w:rPr>
              <w:t>M1 Socio-economic</w:t>
            </w:r>
          </w:p>
        </w:tc>
        <w:tc>
          <w:tcPr>
            <w:tcW w:type="dxa" w:w="3402"/>
          </w:tcPr>
          <w:p>
            <w:pPr>
              <w:spacing w:after="10" w:before="10"/>
            </w:pPr>
            <w:r>
              <w:rPr>
                <w:sz w:val="15"/>
              </w:rPr>
              <w:t>Who gains, and how much, in money and opportunity — especially women, low-income and vulnerable road users?</w:t>
            </w:r>
          </w:p>
        </w:tc>
        <w:tc>
          <w:tcPr>
            <w:tcW w:type="dxa" w:w="4819"/>
          </w:tcPr>
          <w:p>
            <w:pPr>
              <w:spacing w:after="10" w:before="10"/>
            </w:pPr>
            <w:r>
              <w:rPr>
                <w:sz w:val="15"/>
              </w:rPr>
              <w:t>Household transport spend saved; female labour force participation; time saved; jobs reachable; decongestion and agglomeration value</w:t>
            </w:r>
          </w:p>
        </w:tc>
      </w:tr>
      <w:tr>
        <w:tc>
          <w:tcPr>
            <w:tcW w:type="dxa" w:w="1531"/>
          </w:tcPr>
          <w:p>
            <w:pPr>
              <w:spacing w:after="10" w:before="10"/>
            </w:pPr>
            <w:r>
              <w:rPr>
                <w:b/>
                <w:sz w:val="15"/>
              </w:rPr>
              <w:t>M2 Health</w:t>
            </w:r>
          </w:p>
        </w:tc>
        <w:tc>
          <w:tcPr>
            <w:tcW w:type="dxa" w:w="3402"/>
          </w:tcPr>
          <w:p>
            <w:pPr>
              <w:spacing w:after="10" w:before="10"/>
            </w:pPr>
            <w:r>
              <w:rPr>
                <w:sz w:val="15"/>
              </w:rPr>
              <w:t>What is the health value of moving people out of two-wheelers and cars and onto buses?</w:t>
            </w:r>
          </w:p>
        </w:tc>
        <w:tc>
          <w:tcPr>
            <w:tcW w:type="dxa" w:w="4819"/>
          </w:tcPr>
          <w:p>
            <w:pPr>
              <w:spacing w:after="10" w:before="10"/>
            </w:pPr>
            <w:r>
              <w:rPr>
                <w:sz w:val="15"/>
              </w:rPr>
              <w:t>DALYs averted; walking gained; PM2.5 exposure avoided; road injuries avoided; commute stress reduced; treatment costs saved</w:t>
            </w:r>
          </w:p>
        </w:tc>
      </w:tr>
      <w:tr>
        <w:tc>
          <w:tcPr>
            <w:tcW w:type="dxa" w:w="1531"/>
          </w:tcPr>
          <w:p>
            <w:pPr>
              <w:spacing w:after="10" w:before="10"/>
            </w:pPr>
            <w:r>
              <w:rPr>
                <w:b/>
                <w:sz w:val="15"/>
              </w:rPr>
              <w:t>M3 GHG</w:t>
            </w:r>
          </w:p>
        </w:tc>
        <w:tc>
          <w:tcPr>
            <w:tcW w:type="dxa" w:w="3402"/>
          </w:tcPr>
          <w:p>
            <w:pPr>
              <w:spacing w:after="10" w:before="10"/>
            </w:pPr>
            <w:r>
              <w:rPr>
                <w:sz w:val="15"/>
              </w:rPr>
              <w:t>How much carbon does bus deployment actually avoid under realistic grid and fuel scenarios?</w:t>
            </w:r>
          </w:p>
        </w:tc>
        <w:tc>
          <w:tcPr>
            <w:tcW w:type="dxa" w:w="4819"/>
          </w:tcPr>
          <w:p>
            <w:pPr>
              <w:spacing w:after="10" w:before="10"/>
            </w:pPr>
            <w:r>
              <w:rPr>
                <w:sz w:val="15"/>
              </w:rPr>
              <w:t>Vehicle-km avoided; tonnes CO₂e per year; scenario range by grid mix and charging pattern</w:t>
            </w:r>
          </w:p>
        </w:tc>
      </w:tr>
      <w:tr>
        <w:tc>
          <w:tcPr>
            <w:tcW w:type="dxa" w:w="1531"/>
          </w:tcPr>
          <w:p>
            <w:pPr>
              <w:spacing w:after="10" w:before="10"/>
            </w:pPr>
            <w:r>
              <w:rPr>
                <w:b/>
                <w:sz w:val="15"/>
              </w:rPr>
              <w:t>M4 Resilience</w:t>
            </w:r>
          </w:p>
        </w:tc>
        <w:tc>
          <w:tcPr>
            <w:tcW w:type="dxa" w:w="3402"/>
          </w:tcPr>
          <w:p>
            <w:pPr>
              <w:spacing w:after="10" w:before="10"/>
            </w:pPr>
            <w:r>
              <w:rPr>
                <w:sz w:val="15"/>
              </w:rPr>
              <w:t>What is a bus network worth when a city floods, overheats or shuts down?</w:t>
            </w:r>
          </w:p>
        </w:tc>
        <w:tc>
          <w:tcPr>
            <w:tcW w:type="dxa" w:w="4819"/>
          </w:tcPr>
          <w:p>
            <w:pPr>
              <w:spacing w:after="10" w:before="10"/>
            </w:pPr>
            <w:r>
              <w:rPr>
                <w:sz w:val="15"/>
              </w:rPr>
              <w:t>Economic downtime avoided; evacuation time saved; infrastructure damage and restart cost by mode</w:t>
            </w:r>
          </w:p>
        </w:tc>
      </w:tr>
    </w:tbl>
    <w:p>
      <w:pPr>
        <w:spacing w:before="120" w:after="40"/>
        <w:pBdr>
          <w:bottom w:val="single" w:sz="4" w:space="2" w:color="006D77"/>
        </w:pBdr>
      </w:pPr>
      <w:r>
        <w:rPr>
          <w:b/>
          <w:color w:val="006D77"/>
          <w:sz w:val="17"/>
        </w:rPr>
        <w:t>HOW WE GENERATE THE EVIDENCE</w:t>
      </w:r>
    </w:p>
    <w:p>
      <w:pPr>
        <w:pStyle w:val="ListBullet"/>
        <w:spacing w:after="30"/>
        <w:ind w:left="255" w:hanging="142"/>
      </w:pPr>
      <w:r>
        <w:rPr>
          <w:b/>
          <w:sz w:val="18"/>
        </w:rPr>
        <w:t xml:space="preserve">Group A, buses already running: </w:t>
      </w:r>
      <w:r>
        <w:rPr>
          <w:sz w:val="18"/>
        </w:rPr>
        <w:t>Bengaluru, Jaipur, Bhubaneswar. No pre-bus baseline exists, so we use cross-sectional regression with rich controls, and a 500-metre walkshed of a bus stop as the access variable.</w:t>
      </w:r>
    </w:p>
    <w:p>
      <w:pPr>
        <w:pStyle w:val="ListBullet"/>
        <w:spacing w:after="30"/>
        <w:ind w:left="255" w:hanging="142"/>
      </w:pPr>
      <w:r>
        <w:rPr>
          <w:b/>
          <w:sz w:val="18"/>
        </w:rPr>
        <w:t xml:space="preserve">Group B, buses arriving: </w:t>
      </w:r>
      <w:r>
        <w:rPr>
          <w:sz w:val="18"/>
        </w:rPr>
        <w:t>Jodhpur, Haridwar, Gaya, Bilaspur, Tirupati, Puducherry, Gandhinagar (final list with MoHUA). The staggered PM e-Bus Sewa rollout is a natural experiment — we survey before deployment and again once service stabilises, giving a difference-in-differences estimate of what the buses caused.</w:t>
      </w:r>
    </w:p>
    <w:p>
      <w:pPr>
        <w:pStyle w:val="ListBullet"/>
        <w:spacing w:after="30"/>
        <w:ind w:left="255" w:hanging="142"/>
      </w:pPr>
      <w:r>
        <w:rPr>
          <w:b/>
          <w:sz w:val="18"/>
        </w:rPr>
        <w:t xml:space="preserve">Data: </w:t>
      </w:r>
      <w:r>
        <w:rPr>
          <w:sz w:val="18"/>
        </w:rPr>
        <w:t>a structured household and commuter survey, preceded by in-depth interviews and focus groups; passive mobile GPS trip data giving origin-destination, trip length, speed and route traces at city scale; GIS route, stop and hazard layers; and secondary data from the Census, PLFS, Economic Census and air-quality networks.</w:t>
      </w:r>
    </w:p>
    <w:p>
      <w:pPr>
        <w:pStyle w:val="ListBullet"/>
        <w:spacing w:after="30"/>
        <w:ind w:left="255" w:hanging="142"/>
      </w:pPr>
      <w:r>
        <w:rPr>
          <w:b/>
          <w:sz w:val="18"/>
        </w:rPr>
        <w:t xml:space="preserve">Equity is in the specification: </w:t>
      </w:r>
      <w:r>
        <w:rPr>
          <w:sz w:val="18"/>
        </w:rPr>
        <w:t>a four-part vulnerability index (income, vehicle ownership, disability, elderly status) enters every regression as an interaction, so “who benefits most” is a headline coefficient, not a footnote.</w:t>
      </w:r>
    </w:p>
    <w:p>
      <w:pPr>
        <w:spacing w:before="120" w:after="40"/>
        <w:pBdr>
          <w:bottom w:val="single" w:sz="4" w:space="2" w:color="006D77"/>
        </w:pBdr>
      </w:pPr>
      <w:r>
        <w:rPr>
          <w:b/>
          <w:color w:val="006D77"/>
          <w:sz w:val="17"/>
        </w:rPr>
        <w:t>WHAT THE PROJECT PRODUCES</w:t>
      </w:r>
    </w:p>
    <w:p>
      <w:pPr>
        <w:pStyle w:val="ListBullet"/>
        <w:spacing w:after="30"/>
        <w:ind w:left="255" w:hanging="142"/>
      </w:pPr>
      <w:r>
        <w:rPr>
          <w:b/>
          <w:sz w:val="18"/>
        </w:rPr>
        <w:t xml:space="preserve">A Pre-Investment Appraisal Tool. </w:t>
      </w:r>
      <w:r>
        <w:rPr>
          <w:sz w:val="18"/>
        </w:rPr>
        <w:t>Open-access and online. A city official enters fleet size, population, modal share and grid emission factor, and gets back projected GHG savings, health co-benefits, an SROI ratio, the climate finance instruments the city qualifies for, and an MRV dashboard aligned to India’s NDC and the SDGs. It is formatted to meet GCF, ADB and World Bank project preparation requirements — precisely where smaller cities get stuck.</w:t>
      </w:r>
    </w:p>
    <w:p>
      <w:pPr>
        <w:pStyle w:val="ListBullet"/>
        <w:spacing w:after="30"/>
        <w:ind w:left="255" w:hanging="142"/>
      </w:pPr>
      <w:r>
        <w:rPr>
          <w:b/>
          <w:sz w:val="18"/>
        </w:rPr>
        <w:t xml:space="preserve">A Healthy Cities SROI framework. </w:t>
      </w:r>
      <w:r>
        <w:rPr>
          <w:sz w:val="18"/>
        </w:rPr>
        <w:t>The same dataset read three ways: for government (societal return per rupee of public spend, including what the ₹24/km PM e-Bus Sewa subsidy is actually buying); for climate and development finance (structured to GCF and ADB results frameworks); and for private capital (co-benefits sized as a payment security mechanism that de-risks private operators).</w:t>
      </w:r>
    </w:p>
    <w:p>
      <w:pPr>
        <w:spacing w:before="120" w:after="40"/>
        <w:pBdr>
          <w:bottom w:val="single" w:sz="4" w:space="2" w:color="006D77"/>
        </w:pBdr>
      </w:pPr>
      <w:r>
        <w:rPr>
          <w:b/>
          <w:color w:val="006D77"/>
          <w:sz w:val="17"/>
        </w:rPr>
        <w:t>THE LINE TO USE IN THE ROOM</w:t>
      </w:r>
    </w:p>
    <w:p>
      <w:pPr>
        <w:spacing w:before="20"/>
        <w:ind w:left="170"/>
      </w:pPr>
      <w:r>
        <w:rPr>
          <w:b/>
          <w:i/>
          <w:color w:val="006D77"/>
          <w:sz w:val="19"/>
        </w:rPr>
        <w:t>“Today a city can tell you exactly what a bus costs. It cannot tell you what a bus is worth. #BBUS builds the number that closes that gap — and makes it bankable.”</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color w:val="1A1A1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