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36"/>
        </w:rPr>
        <w:t>#BBUS at a glance</w:t>
      </w:r>
    </w:p>
    <w:p>
      <w:pPr>
        <w:spacing w:after="200"/>
      </w:pPr>
      <w:r>
        <w:rPr>
          <w:i/>
          <w:color w:val="555555"/>
          <w:sz w:val="18"/>
        </w:rPr>
        <w:t>Every model, method and data source in one place  ·  CEEW  ·  September 2026</w:t>
      </w:r>
    </w:p>
    <w:p>
      <w:pPr>
        <w:spacing w:before="280" w:after="80"/>
        <w:pBdr>
          <w:bottom w:val="single" w:sz="6" w:space="3" w:color="006D77"/>
        </w:pBdr>
      </w:pPr>
      <w:r>
        <w:rPr>
          <w:b/>
          <w:color w:val="006D77"/>
          <w:sz w:val="26"/>
        </w:rPr>
        <w:t>1. The project in three lines</w:t>
      </w:r>
    </w:p>
    <w:p>
      <w:pPr>
        <w:spacing w:after="100"/>
      </w:pPr>
      <w:r>
        <w:rPr>
          <w:i w:val="0"/>
          <w:color w:val="1A1A1A"/>
          <w:sz w:val="20"/>
        </w:rPr>
        <w:t>BBUS measures what a city bus system is worth beyond fares and ridership.</w:t>
      </w:r>
    </w:p>
    <w:p>
      <w:pPr>
        <w:spacing w:after="100"/>
      </w:pPr>
      <w:r>
        <w:rPr>
          <w:i w:val="0"/>
          <w:color w:val="1A1A1A"/>
          <w:sz w:val="20"/>
        </w:rPr>
        <w:t>It builds four models covering socio-economic, health, climate and resilience benefits, then converts them into a rupee value.</w:t>
      </w:r>
    </w:p>
    <w:p>
      <w:pPr>
        <w:spacing w:after="100"/>
      </w:pPr>
      <w:r>
        <w:rPr>
          <w:i w:val="0"/>
          <w:color w:val="1A1A1A"/>
          <w:sz w:val="20"/>
        </w:rPr>
        <w:t>The output is a pre-investment appraisal tool and a social return on investment framework that cities can use to defend budgets and apply for climate finance.</w:t>
      </w:r>
    </w:p>
    <w:p>
      <w:pPr>
        <w:spacing w:before="280" w:after="80"/>
        <w:pBdr>
          <w:bottom w:val="single" w:sz="6" w:space="3" w:color="006D77"/>
        </w:pBdr>
      </w:pPr>
      <w:r>
        <w:rPr>
          <w:b/>
          <w:color w:val="006D77"/>
          <w:sz w:val="26"/>
        </w:rPr>
        <w:t>2. The four co-benefit models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val="clear" w:color="auto" w:fill="E8F2F2"/>
          </w:tcPr>
          <w:p>
            <w:pPr>
              <w:spacing w:after="20" w:before="20"/>
            </w:pPr>
            <w:r>
              <w:rPr>
                <w:b/>
                <w:color w:val="006D77"/>
                <w:sz w:val="17"/>
              </w:rPr>
              <w:t>Model</w:t>
            </w:r>
          </w:p>
        </w:tc>
        <w:tc>
          <w:tcPr>
            <w:tcW w:type="dxa" w:w="2041"/>
            <w:shd w:val="clear" w:color="auto" w:fill="E8F2F2"/>
          </w:tcPr>
          <w:p>
            <w:pPr>
              <w:spacing w:after="20" w:before="20"/>
            </w:pPr>
            <w:r>
              <w:rPr>
                <w:b/>
                <w:color w:val="006D77"/>
                <w:sz w:val="17"/>
              </w:rPr>
              <w:t>What it measures</w:t>
            </w:r>
          </w:p>
        </w:tc>
        <w:tc>
          <w:tcPr>
            <w:tcW w:type="dxa" w:w="2608"/>
            <w:shd w:val="clear" w:color="auto" w:fill="E8F2F2"/>
          </w:tcPr>
          <w:p>
            <w:pPr>
              <w:spacing w:after="20" w:before="20"/>
            </w:pPr>
            <w:r>
              <w:rPr>
                <w:b/>
                <w:color w:val="006D77"/>
                <w:sz w:val="17"/>
              </w:rPr>
              <w:t>Main method</w:t>
            </w:r>
          </w:p>
        </w:tc>
        <w:tc>
          <w:tcPr>
            <w:tcW w:type="dxa" w:w="3572"/>
            <w:shd w:val="clear" w:color="auto" w:fill="E8F2F2"/>
          </w:tcPr>
          <w:p>
            <w:pPr>
              <w:spacing w:after="20" w:before="20"/>
            </w:pPr>
            <w:r>
              <w:rPr>
                <w:b/>
                <w:color w:val="006D77"/>
                <w:sz w:val="17"/>
              </w:rPr>
              <w:t>Key outputs</w:t>
            </w:r>
          </w:p>
        </w:tc>
      </w:tr>
      <w:tr>
        <w:tc>
          <w:tcPr>
            <w:tcW w:type="dxa" w:w="1417"/>
          </w:tcPr>
          <w:p>
            <w:pPr>
              <w:spacing w:after="20" w:before="20"/>
            </w:pPr>
            <w:r>
              <w:rPr>
                <w:b/>
                <w:sz w:val="17"/>
              </w:rPr>
              <w:t>M1</w:t>
              <w:br/>
              <w:t>Socio-economic</w:t>
            </w:r>
          </w:p>
        </w:tc>
        <w:tc>
          <w:tcPr>
            <w:tcW w:type="dxa" w:w="2041"/>
          </w:tcPr>
          <w:p>
            <w:pPr>
              <w:spacing w:after="20" w:before="20"/>
            </w:pPr>
            <w:r>
              <w:rPr>
                <w:sz w:val="17"/>
              </w:rPr>
              <w:t>Money and opportunity gains, especially for women, low-income and vulnerable road users</w:t>
            </w:r>
          </w:p>
        </w:tc>
        <w:tc>
          <w:tcPr>
            <w:tcW w:type="dxa" w:w="2608"/>
          </w:tcPr>
          <w:p>
            <w:pPr>
              <w:spacing w:after="20" w:before="20"/>
            </w:pPr>
            <w:r>
              <w:rPr>
                <w:sz w:val="17"/>
              </w:rPr>
              <w:t>Difference-in-differences (Group B), cross-sectional regression with controls (Group A), vulnerability index interaction</w:t>
            </w:r>
          </w:p>
        </w:tc>
        <w:tc>
          <w:tcPr>
            <w:tcW w:type="dxa" w:w="3572"/>
          </w:tcPr>
          <w:p>
            <w:pPr>
              <w:spacing w:after="20" w:before="20"/>
            </w:pPr>
            <w:r>
              <w:rPr>
                <w:sz w:val="17"/>
              </w:rPr>
              <w:t>Household transport spend saved, female employment, women’s trip frequency, time saved, jobs reachable, decongestion value, agglomeration value</w:t>
            </w:r>
          </w:p>
        </w:tc>
      </w:tr>
      <w:tr>
        <w:tc>
          <w:tcPr>
            <w:tcW w:type="dxa" w:w="1417"/>
          </w:tcPr>
          <w:p>
            <w:pPr>
              <w:spacing w:after="20" w:before="20"/>
            </w:pPr>
            <w:r>
              <w:rPr>
                <w:b/>
                <w:sz w:val="17"/>
              </w:rPr>
              <w:t>M2</w:t>
              <w:br/>
              <w:t>Health</w:t>
            </w:r>
          </w:p>
        </w:tc>
        <w:tc>
          <w:tcPr>
            <w:tcW w:type="dxa" w:w="2041"/>
          </w:tcPr>
          <w:p>
            <w:pPr>
              <w:spacing w:after="20" w:before="20"/>
            </w:pPr>
            <w:r>
              <w:rPr>
                <w:sz w:val="17"/>
              </w:rPr>
              <w:t>Health value of shifting from two-wheelers, cars and autos to buses</w:t>
            </w:r>
          </w:p>
        </w:tc>
        <w:tc>
          <w:tcPr>
            <w:tcW w:type="dxa" w:w="2608"/>
          </w:tcPr>
          <w:p>
            <w:pPr>
              <w:spacing w:after="20" w:before="20"/>
            </w:pPr>
            <w:r>
              <w:rPr>
                <w:sz w:val="17"/>
              </w:rPr>
              <w:t>Comparative risk assessment (ITHIM), with WHO HEAT for the walking pathway</w:t>
            </w:r>
          </w:p>
        </w:tc>
        <w:tc>
          <w:tcPr>
            <w:tcW w:type="dxa" w:w="3572"/>
          </w:tcPr>
          <w:p>
            <w:pPr>
              <w:spacing w:after="20" w:before="20"/>
            </w:pPr>
            <w:r>
              <w:rPr>
                <w:sz w:val="17"/>
              </w:rPr>
              <w:t>DALYs averted, walking gained, PM2.5 exposure avoided, road injuries avoided, commute stress reduced, treatment costs saved</w:t>
            </w:r>
          </w:p>
        </w:tc>
      </w:tr>
      <w:tr>
        <w:tc>
          <w:tcPr>
            <w:tcW w:type="dxa" w:w="1417"/>
          </w:tcPr>
          <w:p>
            <w:pPr>
              <w:spacing w:after="20" w:before="20"/>
            </w:pPr>
            <w:r>
              <w:rPr>
                <w:b/>
                <w:sz w:val="17"/>
              </w:rPr>
              <w:t>M3</w:t>
              <w:br/>
              <w:t>GHG</w:t>
            </w:r>
          </w:p>
        </w:tc>
        <w:tc>
          <w:tcPr>
            <w:tcW w:type="dxa" w:w="2041"/>
          </w:tcPr>
          <w:p>
            <w:pPr>
              <w:spacing w:after="20" w:before="20"/>
            </w:pPr>
            <w:r>
              <w:rPr>
                <w:sz w:val="17"/>
              </w:rPr>
              <w:t>Carbon avoided by bus deployment</w:t>
            </w:r>
          </w:p>
        </w:tc>
        <w:tc>
          <w:tcPr>
            <w:tcW w:type="dxa" w:w="2608"/>
          </w:tcPr>
          <w:p>
            <w:pPr>
              <w:spacing w:after="20" w:before="20"/>
            </w:pPr>
            <w:r>
              <w:rPr>
                <w:sz w:val="17"/>
              </w:rPr>
              <w:t>Bottom-up emissions model on ITF-OECD and UNFCCC lines, with scenario analysis</w:t>
            </w:r>
          </w:p>
        </w:tc>
        <w:tc>
          <w:tcPr>
            <w:tcW w:type="dxa" w:w="3572"/>
          </w:tcPr>
          <w:p>
            <w:pPr>
              <w:spacing w:after="20" w:before="20"/>
            </w:pPr>
            <w:r>
              <w:rPr>
                <w:sz w:val="17"/>
              </w:rPr>
              <w:t>Vehicle-km avoided, tonnes CO2e per year, scenario range by grid mix and charging pattern</w:t>
            </w:r>
          </w:p>
        </w:tc>
      </w:tr>
      <w:tr>
        <w:tc>
          <w:tcPr>
            <w:tcW w:type="dxa" w:w="1417"/>
          </w:tcPr>
          <w:p>
            <w:pPr>
              <w:spacing w:after="20" w:before="20"/>
            </w:pPr>
            <w:r>
              <w:rPr>
                <w:b/>
                <w:sz w:val="17"/>
              </w:rPr>
              <w:t>M4</w:t>
              <w:br/>
              <w:t>Resilience</w:t>
            </w:r>
          </w:p>
        </w:tc>
        <w:tc>
          <w:tcPr>
            <w:tcW w:type="dxa" w:w="2041"/>
          </w:tcPr>
          <w:p>
            <w:pPr>
              <w:spacing w:after="20" w:before="20"/>
            </w:pPr>
            <w:r>
              <w:rPr>
                <w:sz w:val="17"/>
              </w:rPr>
              <w:t>What the bus network is worth during floods, heat and disruption</w:t>
            </w:r>
          </w:p>
        </w:tc>
        <w:tc>
          <w:tcPr>
            <w:tcW w:type="dxa" w:w="2608"/>
          </w:tcPr>
          <w:p>
            <w:pPr>
              <w:spacing w:after="20" w:before="20"/>
            </w:pPr>
            <w:r>
              <w:rPr>
                <w:sz w:val="17"/>
              </w:rPr>
              <w:t>GIS disaster routing, economic resilience comparison, infrastructure downtime analysis</w:t>
            </w:r>
          </w:p>
        </w:tc>
        <w:tc>
          <w:tcPr>
            <w:tcW w:type="dxa" w:w="3572"/>
          </w:tcPr>
          <w:p>
            <w:pPr>
              <w:spacing w:after="20" w:before="20"/>
            </w:pPr>
            <w:r>
              <w:rPr>
                <w:sz w:val="17"/>
              </w:rPr>
              <w:t>Economic downtime avoided, evacuation time saved, infrastructure damage and restart cost by mode</w:t>
            </w:r>
          </w:p>
        </w:tc>
      </w:tr>
    </w:tbl>
    <w:p>
      <w:pPr>
        <w:spacing w:after="40"/>
      </w:pPr>
    </w:p>
    <w:p>
      <w:pPr>
        <w:spacing w:before="280" w:after="80"/>
        <w:pBdr>
          <w:bottom w:val="single" w:sz="6" w:space="3" w:color="006D77"/>
        </w:pBdr>
      </w:pPr>
      <w:r>
        <w:rPr>
          <w:b/>
          <w:color w:val="006D77"/>
          <w:sz w:val="26"/>
        </w:rPr>
        <w:t>3. The cities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E8F2F2"/>
          </w:tcPr>
          <w:p>
            <w:pPr>
              <w:spacing w:after="20" w:before="20"/>
            </w:pPr>
            <w:r>
              <w:rPr>
                <w:b/>
                <w:color w:val="006D77"/>
                <w:sz w:val="17"/>
              </w:rPr>
              <w:t>Group</w:t>
            </w:r>
          </w:p>
        </w:tc>
        <w:tc>
          <w:tcPr>
            <w:tcW w:type="dxa" w:w="2608"/>
            <w:shd w:val="clear" w:color="auto" w:fill="E8F2F2"/>
          </w:tcPr>
          <w:p>
            <w:pPr>
              <w:spacing w:after="20" w:before="20"/>
            </w:pPr>
            <w:r>
              <w:rPr>
                <w:b/>
                <w:color w:val="006D77"/>
                <w:sz w:val="17"/>
              </w:rPr>
              <w:t>Cities</w:t>
            </w:r>
          </w:p>
        </w:tc>
        <w:tc>
          <w:tcPr>
            <w:tcW w:type="dxa" w:w="2494"/>
            <w:shd w:val="clear" w:color="auto" w:fill="E8F2F2"/>
          </w:tcPr>
          <w:p>
            <w:pPr>
              <w:spacing w:after="20" w:before="20"/>
            </w:pPr>
            <w:r>
              <w:rPr>
                <w:b/>
                <w:color w:val="006D77"/>
                <w:sz w:val="17"/>
              </w:rPr>
              <w:t>Why</w:t>
            </w:r>
          </w:p>
        </w:tc>
        <w:tc>
          <w:tcPr>
            <w:tcW w:type="dxa" w:w="2608"/>
            <w:shd w:val="clear" w:color="auto" w:fill="E8F2F2"/>
          </w:tcPr>
          <w:p>
            <w:pPr>
              <w:spacing w:after="20" w:before="20"/>
            </w:pPr>
            <w:r>
              <w:rPr>
                <w:b/>
                <w:color w:val="006D77"/>
                <w:sz w:val="17"/>
              </w:rPr>
              <w:t>Design used</w:t>
            </w:r>
          </w:p>
        </w:tc>
      </w:tr>
      <w:tr>
        <w:tc>
          <w:tcPr>
            <w:tcW w:type="dxa" w:w="1928"/>
          </w:tcPr>
          <w:p>
            <w:pPr>
              <w:spacing w:after="20" w:before="20"/>
            </w:pPr>
            <w:r>
              <w:rPr>
                <w:b/>
                <w:sz w:val="17"/>
              </w:rPr>
              <w:t>Group A</w:t>
              <w:br/>
              <w:t>Buses already running</w:t>
            </w:r>
          </w:p>
        </w:tc>
        <w:tc>
          <w:tcPr>
            <w:tcW w:type="dxa" w:w="2608"/>
          </w:tcPr>
          <w:p>
            <w:pPr>
              <w:spacing w:after="20" w:before="20"/>
            </w:pPr>
            <w:r>
              <w:rPr>
                <w:sz w:val="17"/>
              </w:rPr>
              <w:t>Bengaluru, Jaipur, Bhubaneswar</w:t>
            </w:r>
          </w:p>
        </w:tc>
        <w:tc>
          <w:tcPr>
            <w:tcW w:type="dxa" w:w="2494"/>
          </w:tcPr>
          <w:p>
            <w:pPr>
              <w:spacing w:after="20" w:before="20"/>
            </w:pPr>
            <w:r>
              <w:rPr>
                <w:sz w:val="17"/>
              </w:rPr>
              <w:t>Mature systems. No pre-bus baseline exists</w:t>
            </w:r>
          </w:p>
        </w:tc>
        <w:tc>
          <w:tcPr>
            <w:tcW w:type="dxa" w:w="2608"/>
          </w:tcPr>
          <w:p>
            <w:pPr>
              <w:spacing w:after="20" w:before="20"/>
            </w:pPr>
            <w:r>
              <w:rPr>
                <w:sz w:val="17"/>
              </w:rPr>
              <w:t>Cross-sectional regression with rich controls. Bus access is a 500 metre walkshed of a stop</w:t>
            </w:r>
          </w:p>
        </w:tc>
      </w:tr>
      <w:tr>
        <w:tc>
          <w:tcPr>
            <w:tcW w:type="dxa" w:w="1928"/>
          </w:tcPr>
          <w:p>
            <w:pPr>
              <w:spacing w:after="20" w:before="20"/>
            </w:pPr>
            <w:r>
              <w:rPr>
                <w:b/>
                <w:sz w:val="17"/>
              </w:rPr>
              <w:t>Group B</w:t>
              <w:br/>
              <w:t>Buses arriving</w:t>
            </w:r>
          </w:p>
        </w:tc>
        <w:tc>
          <w:tcPr>
            <w:tcW w:type="dxa" w:w="2608"/>
          </w:tcPr>
          <w:p>
            <w:pPr>
              <w:spacing w:after="20" w:before="20"/>
            </w:pPr>
            <w:r>
              <w:rPr>
                <w:sz w:val="17"/>
              </w:rPr>
              <w:t>Jodhpur, Haridwar, Gaya, Bilaspur, Tirupati, Puducherry, Gandhinagar (final list with MoHUA)</w:t>
            </w:r>
          </w:p>
        </w:tc>
        <w:tc>
          <w:tcPr>
            <w:tcW w:type="dxa" w:w="2494"/>
          </w:tcPr>
          <w:p>
            <w:pPr>
              <w:spacing w:after="20" w:before="20"/>
            </w:pPr>
            <w:r>
              <w:rPr>
                <w:sz w:val="17"/>
              </w:rPr>
              <w:t>PM e-Bus Sewa rollout is staggered, so it works as a natural experiment</w:t>
            </w:r>
          </w:p>
        </w:tc>
        <w:tc>
          <w:tcPr>
            <w:tcW w:type="dxa" w:w="2608"/>
          </w:tcPr>
          <w:p>
            <w:pPr>
              <w:spacing w:after="20" w:before="20"/>
            </w:pPr>
            <w:r>
              <w:rPr>
                <w:sz w:val="17"/>
              </w:rPr>
              <w:t>Two-wave panel difference-in-differences. Survey before deployment, again after service stabilises</w:t>
            </w:r>
          </w:p>
        </w:tc>
      </w:tr>
    </w:tbl>
    <w:p>
      <w:pPr>
        <w:spacing w:after="40"/>
      </w:pPr>
    </w:p>
    <w:p>
      <w:pPr>
        <w:spacing w:before="280" w:after="80"/>
        <w:pBdr>
          <w:bottom w:val="single" w:sz="6" w:space="3" w:color="006D77"/>
        </w:pBdr>
      </w:pPr>
      <w:r>
        <w:rPr>
          <w:b/>
          <w:color w:val="006D77"/>
          <w:sz w:val="26"/>
        </w:rPr>
        <w:t>4. The sample</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E8F2F2"/>
          </w:tcPr>
          <w:p>
            <w:pPr>
              <w:spacing w:after="20" w:before="20"/>
            </w:pPr>
            <w:r>
              <w:rPr>
                <w:b/>
                <w:color w:val="006D77"/>
                <w:sz w:val="17"/>
              </w:rPr>
              <w:t>Item</w:t>
            </w:r>
          </w:p>
        </w:tc>
        <w:tc>
          <w:tcPr>
            <w:tcW w:type="dxa" w:w="5669"/>
            <w:shd w:val="clear" w:color="auto" w:fill="E8F2F2"/>
          </w:tcPr>
          <w:p>
            <w:pPr>
              <w:spacing w:after="20" w:before="20"/>
            </w:pPr>
            <w:r>
              <w:rPr>
                <w:b/>
                <w:color w:val="006D77"/>
                <w:sz w:val="17"/>
              </w:rPr>
              <w:t>Number</w:t>
            </w:r>
          </w:p>
        </w:tc>
      </w:tr>
      <w:tr>
        <w:tc>
          <w:tcPr>
            <w:tcW w:type="dxa" w:w="3969"/>
          </w:tcPr>
          <w:p>
            <w:pPr>
              <w:spacing w:after="20" w:before="20"/>
            </w:pPr>
            <w:r>
              <w:rPr>
                <w:b/>
                <w:sz w:val="17"/>
              </w:rPr>
              <w:t>Total respondents</w:t>
            </w:r>
          </w:p>
        </w:tc>
        <w:tc>
          <w:tcPr>
            <w:tcW w:type="dxa" w:w="5669"/>
          </w:tcPr>
          <w:p>
            <w:pPr>
              <w:spacing w:after="20" w:before="20"/>
            </w:pPr>
            <w:r>
              <w:rPr>
                <w:sz w:val="17"/>
              </w:rPr>
              <w:t>6,000</w:t>
            </w:r>
          </w:p>
        </w:tc>
      </w:tr>
      <w:tr>
        <w:tc>
          <w:tcPr>
            <w:tcW w:type="dxa" w:w="3969"/>
          </w:tcPr>
          <w:p>
            <w:pPr>
              <w:spacing w:after="20" w:before="20"/>
            </w:pPr>
            <w:r>
              <w:rPr>
                <w:b/>
                <w:sz w:val="17"/>
              </w:rPr>
              <w:t>Cities</w:t>
            </w:r>
          </w:p>
        </w:tc>
        <w:tc>
          <w:tcPr>
            <w:tcW w:type="dxa" w:w="5669"/>
          </w:tcPr>
          <w:p>
            <w:pPr>
              <w:spacing w:after="20" w:before="20"/>
            </w:pPr>
            <w:r>
              <w:rPr>
                <w:sz w:val="17"/>
              </w:rPr>
              <w:t>6</w:t>
            </w:r>
          </w:p>
        </w:tc>
      </w:tr>
      <w:tr>
        <w:tc>
          <w:tcPr>
            <w:tcW w:type="dxa" w:w="3969"/>
          </w:tcPr>
          <w:p>
            <w:pPr>
              <w:spacing w:after="20" w:before="20"/>
            </w:pPr>
            <w:r>
              <w:rPr>
                <w:b/>
                <w:sz w:val="17"/>
              </w:rPr>
              <w:t>Per city</w:t>
            </w:r>
          </w:p>
        </w:tc>
        <w:tc>
          <w:tcPr>
            <w:tcW w:type="dxa" w:w="5669"/>
          </w:tcPr>
          <w:p>
            <w:pPr>
              <w:spacing w:after="20" w:before="20"/>
            </w:pPr>
            <w:r>
              <w:rPr>
                <w:sz w:val="17"/>
              </w:rPr>
              <w:t>About 1,000</w:t>
            </w:r>
          </w:p>
        </w:tc>
      </w:tr>
      <w:tr>
        <w:tc>
          <w:tcPr>
            <w:tcW w:type="dxa" w:w="3969"/>
          </w:tcPr>
          <w:p>
            <w:pPr>
              <w:spacing w:after="20" w:before="20"/>
            </w:pPr>
            <w:r>
              <w:rPr>
                <w:b/>
                <w:sz w:val="17"/>
              </w:rPr>
              <w:t>Group B longitudinal cohort per city</w:t>
            </w:r>
          </w:p>
        </w:tc>
        <w:tc>
          <w:tcPr>
            <w:tcW w:type="dxa" w:w="5669"/>
          </w:tcPr>
          <w:p>
            <w:pPr>
              <w:spacing w:after="20" w:before="20"/>
            </w:pPr>
            <w:r>
              <w:rPr>
                <w:sz w:val="17"/>
              </w:rPr>
              <w:t>About 450 bus users and 450 non-users</w:t>
            </w:r>
          </w:p>
        </w:tc>
      </w:tr>
      <w:tr>
        <w:tc>
          <w:tcPr>
            <w:tcW w:type="dxa" w:w="3969"/>
          </w:tcPr>
          <w:p>
            <w:pPr>
              <w:spacing w:after="20" w:before="20"/>
            </w:pPr>
            <w:r>
              <w:rPr>
                <w:b/>
                <w:sz w:val="17"/>
              </w:rPr>
              <w:t>Wards per city, recommended</w:t>
            </w:r>
          </w:p>
        </w:tc>
        <w:tc>
          <w:tcPr>
            <w:tcW w:type="dxa" w:w="5669"/>
          </w:tcPr>
          <w:p>
            <w:pPr>
              <w:spacing w:after="20" w:before="20"/>
            </w:pPr>
            <w:r>
              <w:rPr>
                <w:sz w:val="17"/>
              </w:rPr>
              <w:t>40 to 50, at 20 to 25 households each</w:t>
            </w:r>
          </w:p>
        </w:tc>
      </w:tr>
      <w:tr>
        <w:tc>
          <w:tcPr>
            <w:tcW w:type="dxa" w:w="3969"/>
          </w:tcPr>
          <w:p>
            <w:pPr>
              <w:spacing w:after="20" w:before="20"/>
            </w:pPr>
            <w:r>
              <w:rPr>
                <w:b/>
                <w:sz w:val="17"/>
              </w:rPr>
              <w:t>Primary specification</w:t>
            </w:r>
          </w:p>
        </w:tc>
        <w:tc>
          <w:tcPr>
            <w:tcW w:type="dxa" w:w="5669"/>
          </w:tcPr>
          <w:p>
            <w:pPr>
              <w:spacing w:after="20" w:before="20"/>
            </w:pPr>
            <w:r>
              <w:rPr>
                <w:sz w:val="17"/>
              </w:rPr>
              <w:t>Pooled across cities with city fixed effects</w:t>
            </w:r>
          </w:p>
        </w:tc>
      </w:tr>
      <w:tr>
        <w:tc>
          <w:tcPr>
            <w:tcW w:type="dxa" w:w="3969"/>
          </w:tcPr>
          <w:p>
            <w:pPr>
              <w:spacing w:after="20" w:before="20"/>
            </w:pPr>
            <w:r>
              <w:rPr>
                <w:b/>
                <w:sz w:val="17"/>
              </w:rPr>
              <w:t>Not feasible</w:t>
            </w:r>
          </w:p>
        </w:tc>
        <w:tc>
          <w:tcPr>
            <w:tcW w:type="dxa" w:w="5669"/>
          </w:tcPr>
          <w:p>
            <w:pPr>
              <w:spacing w:after="20" w:before="20"/>
            </w:pPr>
            <w:r>
              <w:rPr>
                <w:sz w:val="17"/>
              </w:rPr>
              <w:t>Separate city-level estimates, and the vulnerability interaction unless the sample is stratified</w:t>
            </w:r>
          </w:p>
        </w:tc>
      </w:tr>
    </w:tbl>
    <w:p>
      <w:pPr>
        <w:spacing w:after="40"/>
      </w:pPr>
    </w:p>
    <w:p>
      <w:pPr>
        <w:spacing w:after="100"/>
      </w:pPr>
      <w:r>
        <w:rPr>
          <w:i/>
          <w:color w:val="555555"/>
          <w:sz w:val="20"/>
        </w:rPr>
        <w:t>Why more wards: bus access is defined geographically, so the treatment is assigned to wards rather than households. Spreading the same 1,000 households across 50 wards instead of 25 cuts the smallest detectable effect by about a third at no extra cost.</w:t>
      </w:r>
    </w:p>
    <w:p>
      <w:r>
        <w:br w:type="page"/>
      </w:r>
    </w:p>
    <w:p>
      <w:pPr>
        <w:spacing w:before="280" w:after="80"/>
        <w:pBdr>
          <w:bottom w:val="single" w:sz="6" w:space="3" w:color="006D77"/>
        </w:pBdr>
      </w:pPr>
      <w:r>
        <w:rPr>
          <w:b/>
          <w:color w:val="006D77"/>
          <w:sz w:val="26"/>
        </w:rPr>
        <w:t>5. The statistical methods, in plain terms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E8F2F2"/>
          </w:tcPr>
          <w:p>
            <w:pPr>
              <w:spacing w:after="20" w:before="20"/>
            </w:pPr>
            <w:r>
              <w:rPr>
                <w:b/>
                <w:color w:val="006D77"/>
                <w:sz w:val="17"/>
              </w:rPr>
              <w:t>Method</w:t>
            </w:r>
          </w:p>
        </w:tc>
        <w:tc>
          <w:tcPr>
            <w:tcW w:type="dxa" w:w="4195"/>
            <w:shd w:val="clear" w:color="auto" w:fill="E8F2F2"/>
          </w:tcPr>
          <w:p>
            <w:pPr>
              <w:spacing w:after="20" w:before="20"/>
            </w:pPr>
            <w:r>
              <w:rPr>
                <w:b/>
                <w:color w:val="006D77"/>
                <w:sz w:val="17"/>
              </w:rPr>
              <w:t>What it does</w:t>
            </w:r>
          </w:p>
        </w:tc>
        <w:tc>
          <w:tcPr>
            <w:tcW w:type="dxa" w:w="3175"/>
            <w:shd w:val="clear" w:color="auto" w:fill="E8F2F2"/>
          </w:tcPr>
          <w:p>
            <w:pPr>
              <w:spacing w:after="20" w:before="20"/>
            </w:pPr>
            <w:r>
              <w:rPr>
                <w:b/>
                <w:color w:val="006D77"/>
                <w:sz w:val="17"/>
              </w:rPr>
              <w:t>Where it is used</w:t>
            </w:r>
          </w:p>
        </w:tc>
      </w:tr>
      <w:tr>
        <w:tc>
          <w:tcPr>
            <w:tcW w:type="dxa" w:w="2268"/>
          </w:tcPr>
          <w:p>
            <w:pPr>
              <w:spacing w:after="20" w:before="20"/>
            </w:pPr>
            <w:r>
              <w:rPr>
                <w:b/>
                <w:sz w:val="17"/>
              </w:rPr>
              <w:t>Difference-in-differences</w:t>
            </w:r>
          </w:p>
        </w:tc>
        <w:tc>
          <w:tcPr>
            <w:tcW w:type="dxa" w:w="4195"/>
          </w:tcPr>
          <w:p>
            <w:pPr>
              <w:spacing w:after="20" w:before="20"/>
            </w:pPr>
            <w:r>
              <w:rPr>
                <w:sz w:val="17"/>
              </w:rPr>
              <w:t>Compares the before-and-after change for people who got the bus against the change for people who did not. The difference between the two changes is the effect of the bus</w:t>
            </w:r>
          </w:p>
        </w:tc>
        <w:tc>
          <w:tcPr>
            <w:tcW w:type="dxa" w:w="3175"/>
          </w:tcPr>
          <w:p>
            <w:pPr>
              <w:spacing w:after="20" w:before="20"/>
            </w:pPr>
            <w:r>
              <w:rPr>
                <w:sz w:val="17"/>
              </w:rPr>
              <w:t>M1 and M2, Group B cities</w:t>
            </w:r>
          </w:p>
        </w:tc>
      </w:tr>
      <w:tr>
        <w:tc>
          <w:tcPr>
            <w:tcW w:type="dxa" w:w="2268"/>
          </w:tcPr>
          <w:p>
            <w:pPr>
              <w:spacing w:after="20" w:before="20"/>
            </w:pPr>
            <w:r>
              <w:rPr>
                <w:b/>
                <w:sz w:val="17"/>
              </w:rPr>
              <w:t>Triple difference</w:t>
            </w:r>
          </w:p>
        </w:tc>
        <w:tc>
          <w:tcPr>
            <w:tcW w:type="dxa" w:w="4195"/>
          </w:tcPr>
          <w:p>
            <w:pPr>
              <w:spacing w:after="20" w:before="20"/>
            </w:pPr>
            <w:r>
              <w:rPr>
                <w:sz w:val="17"/>
              </w:rPr>
              <w:t>Adds a second comparison, such as cities that got buses at different dates. More robust than plain difference-in-differences</w:t>
            </w:r>
          </w:p>
        </w:tc>
        <w:tc>
          <w:tcPr>
            <w:tcW w:type="dxa" w:w="3175"/>
          </w:tcPr>
          <w:p>
            <w:pPr>
              <w:spacing w:after="20" w:before="20"/>
            </w:pPr>
            <w:r>
              <w:rPr>
                <w:sz w:val="17"/>
              </w:rPr>
              <w:t>M1, if the staggered rollout allows</w:t>
            </w:r>
          </w:p>
        </w:tc>
      </w:tr>
      <w:tr>
        <w:tc>
          <w:tcPr>
            <w:tcW w:type="dxa" w:w="2268"/>
          </w:tcPr>
          <w:p>
            <w:pPr>
              <w:spacing w:after="20" w:before="20"/>
            </w:pPr>
            <w:r>
              <w:rPr>
                <w:b/>
                <w:sz w:val="17"/>
              </w:rPr>
              <w:t>Cross-sectional regression with rich controls</w:t>
            </w:r>
          </w:p>
        </w:tc>
        <w:tc>
          <w:tcPr>
            <w:tcW w:type="dxa" w:w="4195"/>
          </w:tcPr>
          <w:p>
            <w:pPr>
              <w:spacing w:after="20" w:before="20"/>
            </w:pPr>
            <w:r>
              <w:rPr>
                <w:sz w:val="17"/>
              </w:rPr>
              <w:t>Compares households near a stop with households far from one at a single point in time, holding other differences constant</w:t>
            </w:r>
          </w:p>
        </w:tc>
        <w:tc>
          <w:tcPr>
            <w:tcW w:type="dxa" w:w="3175"/>
          </w:tcPr>
          <w:p>
            <w:pPr>
              <w:spacing w:after="20" w:before="20"/>
            </w:pPr>
            <w:r>
              <w:rPr>
                <w:sz w:val="17"/>
              </w:rPr>
              <w:t>M1 and M2, Group A cities</w:t>
            </w:r>
          </w:p>
        </w:tc>
      </w:tr>
      <w:tr>
        <w:tc>
          <w:tcPr>
            <w:tcW w:type="dxa" w:w="2268"/>
          </w:tcPr>
          <w:p>
            <w:pPr>
              <w:spacing w:after="20" w:before="20"/>
            </w:pPr>
            <w:r>
              <w:rPr>
                <w:b/>
                <w:sz w:val="17"/>
              </w:rPr>
              <w:t>Vulnerability index interaction</w:t>
            </w:r>
          </w:p>
        </w:tc>
        <w:tc>
          <w:tcPr>
            <w:tcW w:type="dxa" w:w="4195"/>
          </w:tcPr>
          <w:p>
            <w:pPr>
              <w:spacing w:after="20" w:before="20"/>
            </w:pPr>
            <w:r>
              <w:rPr>
                <w:sz w:val="17"/>
              </w:rPr>
              <w:t>Puts a four-part index of income, vehicle ownership, disability and elderly status into the equation as an interaction, so differential benefit is a direct coefficient</w:t>
            </w:r>
          </w:p>
        </w:tc>
        <w:tc>
          <w:tcPr>
            <w:tcW w:type="dxa" w:w="3175"/>
          </w:tcPr>
          <w:p>
            <w:pPr>
              <w:spacing w:after="20" w:before="20"/>
            </w:pPr>
            <w:r>
              <w:rPr>
                <w:sz w:val="17"/>
              </w:rPr>
              <w:t>Every M1 regression</w:t>
            </w:r>
          </w:p>
        </w:tc>
      </w:tr>
      <w:tr>
        <w:tc>
          <w:tcPr>
            <w:tcW w:type="dxa" w:w="2268"/>
          </w:tcPr>
          <w:p>
            <w:pPr>
              <w:spacing w:after="20" w:before="20"/>
            </w:pPr>
            <w:r>
              <w:rPr>
                <w:b/>
                <w:sz w:val="17"/>
              </w:rPr>
              <w:t>Discrete choice model (logit, nested logit, mixed logit)</w:t>
            </w:r>
          </w:p>
        </w:tc>
        <w:tc>
          <w:tcPr>
            <w:tcW w:type="dxa" w:w="4195"/>
          </w:tcPr>
          <w:p>
            <w:pPr>
              <w:spacing w:after="20" w:before="20"/>
            </w:pPr>
            <w:r>
              <w:rPr>
                <w:sz w:val="17"/>
              </w:rPr>
              <w:t>Models how a traveller picks between bus, two-wheeler, car and auto given time, cost and comfort</w:t>
            </w:r>
          </w:p>
        </w:tc>
        <w:tc>
          <w:tcPr>
            <w:tcW w:type="dxa" w:w="3175"/>
          </w:tcPr>
          <w:p>
            <w:pPr>
              <w:spacing w:after="20" w:before="20"/>
            </w:pPr>
            <w:r>
              <w:rPr>
                <w:sz w:val="17"/>
              </w:rPr>
              <w:t>Modal shift, feeds M2 and M3</w:t>
            </w:r>
          </w:p>
        </w:tc>
      </w:tr>
      <w:tr>
        <w:tc>
          <w:tcPr>
            <w:tcW w:type="dxa" w:w="2268"/>
          </w:tcPr>
          <w:p>
            <w:pPr>
              <w:spacing w:after="20" w:before="20"/>
            </w:pPr>
            <w:r>
              <w:rPr>
                <w:b/>
                <w:sz w:val="17"/>
              </w:rPr>
              <w:t>Joint revealed and stated preference estimation</w:t>
            </w:r>
          </w:p>
        </w:tc>
        <w:tc>
          <w:tcPr>
            <w:tcW w:type="dxa" w:w="4195"/>
          </w:tcPr>
          <w:p>
            <w:pPr>
              <w:spacing w:after="20" w:before="20"/>
            </w:pPr>
            <w:r>
              <w:rPr>
                <w:sz w:val="17"/>
              </w:rPr>
              <w:t>Formally combines what people actually did (GPS traces) with what they say they would do (survey). A scale parameter stops survey hypothetical bias contaminating the result</w:t>
            </w:r>
          </w:p>
        </w:tc>
        <w:tc>
          <w:tcPr>
            <w:tcW w:type="dxa" w:w="3175"/>
          </w:tcPr>
          <w:p>
            <w:pPr>
              <w:spacing w:after="20" w:before="20"/>
            </w:pPr>
            <w:r>
              <w:rPr>
                <w:sz w:val="17"/>
              </w:rPr>
              <w:t>The join between passive data and survey. The key method of the project</w:t>
            </w:r>
          </w:p>
        </w:tc>
      </w:tr>
      <w:tr>
        <w:tc>
          <w:tcPr>
            <w:tcW w:type="dxa" w:w="2268"/>
          </w:tcPr>
          <w:p>
            <w:pPr>
              <w:spacing w:after="20" w:before="20"/>
            </w:pPr>
            <w:r>
              <w:rPr>
                <w:b/>
                <w:sz w:val="17"/>
              </w:rPr>
              <w:t>Demand elasticity</w:t>
            </w:r>
          </w:p>
        </w:tc>
        <w:tc>
          <w:tcPr>
            <w:tcW w:type="dxa" w:w="4195"/>
          </w:tcPr>
          <w:p>
            <w:pPr>
              <w:spacing w:after="20" w:before="20"/>
            </w:pPr>
            <w:r>
              <w:rPr>
                <w:sz w:val="17"/>
              </w:rPr>
              <w:t>How much ridership changes when fare or service frequency changes</w:t>
            </w:r>
          </w:p>
        </w:tc>
        <w:tc>
          <w:tcPr>
            <w:tcW w:type="dxa" w:w="3175"/>
          </w:tcPr>
          <w:p>
            <w:pPr>
              <w:spacing w:after="20" w:before="20"/>
            </w:pPr>
            <w:r>
              <w:rPr>
                <w:sz w:val="17"/>
              </w:rPr>
              <w:t>Cross-check on the choice model, and scenario analysis</w:t>
            </w:r>
          </w:p>
        </w:tc>
      </w:tr>
      <w:tr>
        <w:tc>
          <w:tcPr>
            <w:tcW w:type="dxa" w:w="2268"/>
          </w:tcPr>
          <w:p>
            <w:pPr>
              <w:spacing w:after="20" w:before="20"/>
            </w:pPr>
            <w:r>
              <w:rPr>
                <w:b/>
                <w:sz w:val="17"/>
              </w:rPr>
              <w:t>Comparative risk assessment (ITHIM)</w:t>
            </w:r>
          </w:p>
        </w:tc>
        <w:tc>
          <w:tcPr>
            <w:tcW w:type="dxa" w:w="4195"/>
          </w:tcPr>
          <w:p>
            <w:pPr>
              <w:spacing w:after="20" w:before="20"/>
            </w:pPr>
            <w:r>
              <w:rPr>
                <w:sz w:val="17"/>
              </w:rPr>
              <w:t>Converts changes in walking, pollution exposure and injury risk into deaths and years of life lost</w:t>
            </w:r>
          </w:p>
        </w:tc>
        <w:tc>
          <w:tcPr>
            <w:tcW w:type="dxa" w:w="3175"/>
          </w:tcPr>
          <w:p>
            <w:pPr>
              <w:spacing w:after="20" w:before="20"/>
            </w:pPr>
            <w:r>
              <w:rPr>
                <w:sz w:val="17"/>
              </w:rPr>
              <w:t>M2, the main health model</w:t>
            </w:r>
          </w:p>
        </w:tc>
      </w:tr>
      <w:tr>
        <w:tc>
          <w:tcPr>
            <w:tcW w:type="dxa" w:w="2268"/>
          </w:tcPr>
          <w:p>
            <w:pPr>
              <w:spacing w:after="20" w:before="20"/>
            </w:pPr>
            <w:r>
              <w:rPr>
                <w:b/>
                <w:sz w:val="17"/>
              </w:rPr>
              <w:t>WHO HEAT</w:t>
            </w:r>
          </w:p>
        </w:tc>
        <w:tc>
          <w:tcPr>
            <w:tcW w:type="dxa" w:w="4195"/>
          </w:tcPr>
          <w:p>
            <w:pPr>
              <w:spacing w:after="20" w:before="20"/>
            </w:pPr>
            <w:r>
              <w:rPr>
                <w:sz w:val="17"/>
              </w:rPr>
              <w:t>Converts extra walking into avoided deaths and a money value. Much lighter data need than ITHIM</w:t>
            </w:r>
          </w:p>
        </w:tc>
        <w:tc>
          <w:tcPr>
            <w:tcW w:type="dxa" w:w="3175"/>
          </w:tcPr>
          <w:p>
            <w:pPr>
              <w:spacing w:after="20" w:before="20"/>
            </w:pPr>
            <w:r>
              <w:rPr>
                <w:sz w:val="17"/>
              </w:rPr>
              <w:t>M2, the walking pathway. Run this first</w:t>
            </w:r>
          </w:p>
        </w:tc>
      </w:tr>
      <w:tr>
        <w:tc>
          <w:tcPr>
            <w:tcW w:type="dxa" w:w="2268"/>
          </w:tcPr>
          <w:p>
            <w:pPr>
              <w:spacing w:after="20" w:before="20"/>
            </w:pPr>
            <w:r>
              <w:rPr>
                <w:b/>
                <w:sz w:val="17"/>
              </w:rPr>
              <w:t>Ordered logit or probit</w:t>
            </w:r>
          </w:p>
        </w:tc>
        <w:tc>
          <w:tcPr>
            <w:tcW w:type="dxa" w:w="4195"/>
          </w:tcPr>
          <w:p>
            <w:pPr>
              <w:spacing w:after="20" w:before="20"/>
            </w:pPr>
            <w:r>
              <w:rPr>
                <w:sz w:val="17"/>
              </w:rPr>
              <w:t>Analyses ranked survey answers such as stress level, perceived safety and satisfaction</w:t>
            </w:r>
          </w:p>
        </w:tc>
        <w:tc>
          <w:tcPr>
            <w:tcW w:type="dxa" w:w="3175"/>
          </w:tcPr>
          <w:p>
            <w:pPr>
              <w:spacing w:after="20" w:before="20"/>
            </w:pPr>
            <w:r>
              <w:rPr>
                <w:sz w:val="17"/>
              </w:rPr>
              <w:t>M2, the commute stress pathway</w:t>
            </w:r>
          </w:p>
        </w:tc>
      </w:tr>
      <w:tr>
        <w:tc>
          <w:tcPr>
            <w:tcW w:type="dxa" w:w="2268"/>
          </w:tcPr>
          <w:p>
            <w:pPr>
              <w:spacing w:after="20" w:before="20"/>
            </w:pPr>
            <w:r>
              <w:rPr>
                <w:b/>
                <w:sz w:val="17"/>
              </w:rPr>
              <w:t>GIS accessibility analysis</w:t>
            </w:r>
          </w:p>
        </w:tc>
        <w:tc>
          <w:tcPr>
            <w:tcW w:type="dxa" w:w="4195"/>
          </w:tcPr>
          <w:p>
            <w:pPr>
              <w:spacing w:after="20" w:before="20"/>
            </w:pPr>
            <w:r>
              <w:rPr>
                <w:sz w:val="17"/>
              </w:rPr>
              <w:t>Counts jobs, schools and clinics reachable within 45 or 60 minutes by bus</w:t>
            </w:r>
          </w:p>
        </w:tc>
        <w:tc>
          <w:tcPr>
            <w:tcW w:type="dxa" w:w="3175"/>
          </w:tcPr>
          <w:p>
            <w:pPr>
              <w:spacing w:after="20" w:before="20"/>
            </w:pPr>
            <w:r>
              <w:rPr>
                <w:sz w:val="17"/>
              </w:rPr>
              <w:t>M1, and the strongest single non-self-reported number available</w:t>
            </w:r>
          </w:p>
        </w:tc>
      </w:tr>
      <w:tr>
        <w:tc>
          <w:tcPr>
            <w:tcW w:type="dxa" w:w="2268"/>
          </w:tcPr>
          <w:p>
            <w:pPr>
              <w:spacing w:after="20" w:before="20"/>
            </w:pPr>
            <w:r>
              <w:rPr>
                <w:b/>
                <w:sz w:val="17"/>
              </w:rPr>
              <w:t>Marginal external congestion cost</w:t>
            </w:r>
          </w:p>
        </w:tc>
        <w:tc>
          <w:tcPr>
            <w:tcW w:type="dxa" w:w="4195"/>
          </w:tcPr>
          <w:p>
            <w:pPr>
              <w:spacing w:after="20" w:before="20"/>
            </w:pPr>
            <w:r>
              <w:rPr>
                <w:sz w:val="17"/>
              </w:rPr>
              <w:t>Values the delay each extra vehicle imposes on everyone else, using the standard road performance function</w:t>
            </w:r>
          </w:p>
        </w:tc>
        <w:tc>
          <w:tcPr>
            <w:tcW w:type="dxa" w:w="3175"/>
          </w:tcPr>
          <w:p>
            <w:pPr>
              <w:spacing w:after="20" w:before="20"/>
            </w:pPr>
            <w:r>
              <w:rPr>
                <w:sz w:val="17"/>
              </w:rPr>
              <w:t>M1, decongestion benefit</w:t>
            </w:r>
          </w:p>
        </w:tc>
      </w:tr>
      <w:tr>
        <w:tc>
          <w:tcPr>
            <w:tcW w:type="dxa" w:w="2268"/>
          </w:tcPr>
          <w:p>
            <w:pPr>
              <w:spacing w:after="20" w:before="20"/>
            </w:pPr>
            <w:r>
              <w:rPr>
                <w:b/>
                <w:sz w:val="17"/>
              </w:rPr>
              <w:t>Effective density and agglomeration</w:t>
            </w:r>
          </w:p>
        </w:tc>
        <w:tc>
          <w:tcPr>
            <w:tcW w:type="dxa" w:w="4195"/>
          </w:tcPr>
          <w:p>
            <w:pPr>
              <w:spacing w:after="20" w:before="20"/>
            </w:pPr>
            <w:r>
              <w:rPr>
                <w:sz w:val="17"/>
              </w:rPr>
              <w:t>Values the productivity gain from a bigger reachable labour market, following the UK wider economic impacts approach</w:t>
            </w:r>
          </w:p>
        </w:tc>
        <w:tc>
          <w:tcPr>
            <w:tcW w:type="dxa" w:w="3175"/>
          </w:tcPr>
          <w:p>
            <w:pPr>
              <w:spacing w:after="20" w:before="20"/>
            </w:pPr>
            <w:r>
              <w:rPr>
                <w:sz w:val="17"/>
              </w:rPr>
              <w:t>M1, wider economic benefit</w:t>
            </w:r>
          </w:p>
        </w:tc>
      </w:tr>
      <w:tr>
        <w:tc>
          <w:tcPr>
            <w:tcW w:type="dxa" w:w="2268"/>
          </w:tcPr>
          <w:p>
            <w:pPr>
              <w:spacing w:after="20" w:before="20"/>
            </w:pPr>
            <w:r>
              <w:rPr>
                <w:b/>
                <w:sz w:val="17"/>
              </w:rPr>
              <w:t>Four-step travel demand model</w:t>
            </w:r>
          </w:p>
        </w:tc>
        <w:tc>
          <w:tcPr>
            <w:tcW w:type="dxa" w:w="4195"/>
          </w:tcPr>
          <w:p>
            <w:pPr>
              <w:spacing w:after="20" w:before="20"/>
            </w:pPr>
            <w:r>
              <w:rPr>
                <w:sz w:val="17"/>
              </w:rPr>
              <w:t>Trip generation, distribution, mode choice and assignment. The traditional transport planning structure</w:t>
            </w:r>
          </w:p>
        </w:tc>
        <w:tc>
          <w:tcPr>
            <w:tcW w:type="dxa" w:w="3175"/>
          </w:tcPr>
          <w:p>
            <w:pPr>
              <w:spacing w:after="20" w:before="20"/>
            </w:pPr>
            <w:r>
              <w:rPr>
                <w:sz w:val="17"/>
              </w:rPr>
              <w:t>Network assignment feeding M3 and congestion. Not the centrepiece</w:t>
            </w:r>
          </w:p>
        </w:tc>
      </w:tr>
      <w:tr>
        <w:tc>
          <w:tcPr>
            <w:tcW w:type="dxa" w:w="2268"/>
          </w:tcPr>
          <w:p>
            <w:pPr>
              <w:spacing w:after="20" w:before="20"/>
            </w:pPr>
            <w:r>
              <w:rPr>
                <w:b/>
                <w:sz w:val="17"/>
              </w:rPr>
              <w:t>Iterative proportional fitting</w:t>
            </w:r>
          </w:p>
        </w:tc>
        <w:tc>
          <w:tcPr>
            <w:tcW w:type="dxa" w:w="4195"/>
          </w:tcPr>
          <w:p>
            <w:pPr>
              <w:spacing w:after="20" w:before="20"/>
            </w:pPr>
            <w:r>
              <w:rPr>
                <w:sz w:val="17"/>
              </w:rPr>
              <w:t>Reweights a small survey so it matches census totals, creating a synthetic population for the whole city</w:t>
            </w:r>
          </w:p>
        </w:tc>
        <w:tc>
          <w:tcPr>
            <w:tcW w:type="dxa" w:w="3175"/>
          </w:tcPr>
          <w:p>
            <w:pPr>
              <w:spacing w:after="20" w:before="20"/>
            </w:pPr>
            <w:r>
              <w:rPr>
                <w:sz w:val="17"/>
              </w:rPr>
              <w:t>Expanding 6,000 households to city scale</w:t>
            </w:r>
          </w:p>
        </w:tc>
      </w:tr>
      <w:tr>
        <w:tc>
          <w:tcPr>
            <w:tcW w:type="dxa" w:w="2268"/>
          </w:tcPr>
          <w:p>
            <w:pPr>
              <w:spacing w:after="20" w:before="20"/>
            </w:pPr>
            <w:r>
              <w:rPr>
                <w:b/>
                <w:sz w:val="17"/>
              </w:rPr>
              <w:t>Multilevel regression and poststratification</w:t>
            </w:r>
          </w:p>
        </w:tc>
        <w:tc>
          <w:tcPr>
            <w:tcW w:type="dxa" w:w="4195"/>
          </w:tcPr>
          <w:p>
            <w:pPr>
              <w:spacing w:after="20" w:before="20"/>
            </w:pPr>
            <w:r>
              <w:rPr>
                <w:sz w:val="17"/>
              </w:rPr>
              <w:t>Corrects passive data for over-representing smartphone owners</w:t>
            </w:r>
          </w:p>
        </w:tc>
        <w:tc>
          <w:tcPr>
            <w:tcW w:type="dxa" w:w="3175"/>
          </w:tcPr>
          <w:p>
            <w:pPr>
              <w:spacing w:after="20" w:before="20"/>
            </w:pPr>
            <w:r>
              <w:rPr>
                <w:sz w:val="17"/>
              </w:rPr>
              <w:t>Bias correction on the GPS dataset</w:t>
            </w:r>
          </w:p>
        </w:tc>
      </w:tr>
      <w:tr>
        <w:tc>
          <w:tcPr>
            <w:tcW w:type="dxa" w:w="2268"/>
          </w:tcPr>
          <w:p>
            <w:pPr>
              <w:spacing w:after="20" w:before="20"/>
            </w:pPr>
            <w:r>
              <w:rPr>
                <w:b/>
                <w:sz w:val="17"/>
              </w:rPr>
              <w:t>GPS mode classification</w:t>
            </w:r>
          </w:p>
        </w:tc>
        <w:tc>
          <w:tcPr>
            <w:tcW w:type="dxa" w:w="4195"/>
          </w:tcPr>
          <w:p>
            <w:pPr>
              <w:spacing w:after="20" w:before="20"/>
            </w:pPr>
            <w:r>
              <w:rPr>
                <w:sz w:val="17"/>
              </w:rPr>
              <w:t>Infers travel mode from speed, acceleration, stop pattern and route matching against the bus network</w:t>
            </w:r>
          </w:p>
        </w:tc>
        <w:tc>
          <w:tcPr>
            <w:tcW w:type="dxa" w:w="3175"/>
          </w:tcPr>
          <w:p>
            <w:pPr>
              <w:spacing w:after="20" w:before="20"/>
            </w:pPr>
            <w:r>
              <w:rPr>
                <w:sz w:val="17"/>
              </w:rPr>
              <w:t>Unlocks the passive data for M1, M2 and M4</w:t>
            </w:r>
          </w:p>
        </w:tc>
      </w:tr>
      <w:tr>
        <w:tc>
          <w:tcPr>
            <w:tcW w:type="dxa" w:w="2268"/>
          </w:tcPr>
          <w:p>
            <w:pPr>
              <w:spacing w:after="20" w:before="20"/>
            </w:pPr>
            <w:r>
              <w:rPr>
                <w:b/>
                <w:sz w:val="17"/>
              </w:rPr>
              <w:t>Cost-benefit analysis</w:t>
            </w:r>
          </w:p>
        </w:tc>
        <w:tc>
          <w:tcPr>
            <w:tcW w:type="dxa" w:w="4195"/>
          </w:tcPr>
          <w:p>
            <w:pPr>
              <w:spacing w:after="20" w:before="20"/>
            </w:pPr>
            <w:r>
              <w:rPr>
                <w:sz w:val="17"/>
              </w:rPr>
              <w:t>Compares monetised benefits with costs. Gives a benefit-cost ratio and net present value</w:t>
            </w:r>
          </w:p>
        </w:tc>
        <w:tc>
          <w:tcPr>
            <w:tcW w:type="dxa" w:w="3175"/>
          </w:tcPr>
          <w:p>
            <w:pPr>
              <w:spacing w:after="20" w:before="20"/>
            </w:pPr>
            <w:r>
              <w:rPr>
                <w:sz w:val="17"/>
              </w:rPr>
              <w:t>The finance-facing result</w:t>
            </w:r>
          </w:p>
        </w:tc>
      </w:tr>
      <w:tr>
        <w:tc>
          <w:tcPr>
            <w:tcW w:type="dxa" w:w="2268"/>
          </w:tcPr>
          <w:p>
            <w:pPr>
              <w:spacing w:after="20" w:before="20"/>
            </w:pPr>
            <w:r>
              <w:rPr>
                <w:b/>
                <w:sz w:val="17"/>
              </w:rPr>
              <w:t>Social return on investment</w:t>
            </w:r>
          </w:p>
        </w:tc>
        <w:tc>
          <w:tcPr>
            <w:tcW w:type="dxa" w:w="4195"/>
          </w:tcPr>
          <w:p>
            <w:pPr>
              <w:spacing w:after="20" w:before="20"/>
            </w:pPr>
            <w:r>
              <w:rPr>
                <w:sz w:val="17"/>
              </w:rPr>
              <w:t>Stakeholder-driven valuation of social outcomes per rupee invested</w:t>
            </w:r>
          </w:p>
        </w:tc>
        <w:tc>
          <w:tcPr>
            <w:tcW w:type="dxa" w:w="3175"/>
          </w:tcPr>
          <w:p>
            <w:pPr>
              <w:spacing w:after="20" w:before="20"/>
            </w:pPr>
            <w:r>
              <w:rPr>
                <w:sz w:val="17"/>
              </w:rPr>
              <w:t>The policy-facing result. Report alongside cost-benefit analysis, never alone</w:t>
            </w:r>
          </w:p>
        </w:tc>
      </w:tr>
      <w:tr>
        <w:tc>
          <w:tcPr>
            <w:tcW w:type="dxa" w:w="2268"/>
          </w:tcPr>
          <w:p>
            <w:pPr>
              <w:spacing w:after="20" w:before="20"/>
            </w:pPr>
            <w:r>
              <w:rPr>
                <w:b/>
                <w:sz w:val="17"/>
              </w:rPr>
              <w:t>Switching values and Monte Carlo</w:t>
            </w:r>
          </w:p>
        </w:tc>
        <w:tc>
          <w:tcPr>
            <w:tcW w:type="dxa" w:w="4195"/>
          </w:tcPr>
          <w:p>
            <w:pPr>
              <w:spacing w:after="20" w:before="20"/>
            </w:pPr>
            <w:r>
              <w:rPr>
                <w:sz w:val="17"/>
              </w:rPr>
              <w:t>Tests how far each assumption must move before the conclusion flips, and samples across uncertainty ranges</w:t>
            </w:r>
          </w:p>
        </w:tc>
        <w:tc>
          <w:tcPr>
            <w:tcW w:type="dxa" w:w="3175"/>
          </w:tcPr>
          <w:p>
            <w:pPr>
              <w:spacing w:after="20" w:before="20"/>
            </w:pPr>
            <w:r>
              <w:rPr>
                <w:sz w:val="17"/>
              </w:rPr>
              <w:t>Sensitivity analysis for every model</w:t>
            </w:r>
          </w:p>
        </w:tc>
      </w:tr>
    </w:tbl>
    <w:p>
      <w:pPr>
        <w:spacing w:after="40"/>
      </w:pPr>
    </w:p>
    <w:p>
      <w:pPr>
        <w:spacing w:after="100"/>
      </w:pPr>
      <w:r>
        <w:rPr>
          <w:i/>
          <w:color w:val="555555"/>
          <w:sz w:val="20"/>
        </w:rPr>
        <w:t>Structural equation modelling was considered for M1 and set aside. It recovers hidden constructs such as perceived safety, whereas M1 measures things that are directly observable. It remains useful in M2 for service quality and stress.</w:t>
      </w:r>
    </w:p>
    <w:p>
      <w:r>
        <w:br w:type="page"/>
      </w:r>
    </w:p>
    <w:p>
      <w:pPr>
        <w:spacing w:before="280" w:after="80"/>
        <w:pBdr>
          <w:bottom w:val="single" w:sz="6" w:space="3" w:color="006D77"/>
        </w:pBdr>
      </w:pPr>
      <w:r>
        <w:rPr>
          <w:b/>
          <w:color w:val="006D77"/>
          <w:sz w:val="26"/>
        </w:rPr>
        <w:t>6. Where the data comes from</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E8F2F2"/>
          </w:tcPr>
          <w:p>
            <w:pPr>
              <w:spacing w:after="20" w:before="20"/>
            </w:pPr>
            <w:r>
              <w:rPr>
                <w:b/>
                <w:color w:val="006D77"/>
                <w:sz w:val="17"/>
              </w:rPr>
              <w:t>Source</w:t>
            </w:r>
          </w:p>
        </w:tc>
        <w:tc>
          <w:tcPr>
            <w:tcW w:type="dxa" w:w="3742"/>
            <w:shd w:val="clear" w:color="auto" w:fill="E8F2F2"/>
          </w:tcPr>
          <w:p>
            <w:pPr>
              <w:spacing w:after="20" w:before="20"/>
            </w:pPr>
            <w:r>
              <w:rPr>
                <w:b/>
                <w:color w:val="006D77"/>
                <w:sz w:val="17"/>
              </w:rPr>
              <w:t>What it gives</w:t>
            </w:r>
          </w:p>
        </w:tc>
        <w:tc>
          <w:tcPr>
            <w:tcW w:type="dxa" w:w="3628"/>
            <w:shd w:val="clear" w:color="auto" w:fill="E8F2F2"/>
          </w:tcPr>
          <w:p>
            <w:pPr>
              <w:spacing w:after="20" w:before="20"/>
            </w:pPr>
            <w:r>
              <w:rPr>
                <w:b/>
                <w:color w:val="006D77"/>
                <w:sz w:val="17"/>
              </w:rPr>
              <w:t>Used by</w:t>
            </w:r>
          </w:p>
        </w:tc>
      </w:tr>
      <w:tr>
        <w:tc>
          <w:tcPr>
            <w:tcW w:type="dxa" w:w="2268"/>
          </w:tcPr>
          <w:p>
            <w:pPr>
              <w:spacing w:after="20" w:before="20"/>
            </w:pPr>
            <w:r>
              <w:rPr>
                <w:b/>
                <w:sz w:val="17"/>
              </w:rPr>
              <w:t>Passive mobile GPS traces</w:t>
            </w:r>
          </w:p>
        </w:tc>
        <w:tc>
          <w:tcPr>
            <w:tcW w:type="dxa" w:w="3742"/>
          </w:tcPr>
          <w:p>
            <w:pPr>
              <w:spacing w:after="20" w:before="20"/>
            </w:pPr>
            <w:r>
              <w:rPr>
                <w:sz w:val="17"/>
              </w:rPr>
              <w:t>Origin and destination, trip length, duration, speed, route path, time of day</w:t>
            </w:r>
          </w:p>
        </w:tc>
        <w:tc>
          <w:tcPr>
            <w:tcW w:type="dxa" w:w="3628"/>
          </w:tcPr>
          <w:p>
            <w:pPr>
              <w:spacing w:after="20" w:before="20"/>
            </w:pPr>
            <w:r>
              <w:rPr>
                <w:sz w:val="17"/>
              </w:rPr>
              <w:t>M1 travel time and congestion, M2 exposure duration, M3 vehicle-km, M4 baseline mobility</w:t>
            </w:r>
          </w:p>
        </w:tc>
      </w:tr>
      <w:tr>
        <w:tc>
          <w:tcPr>
            <w:tcW w:type="dxa" w:w="2268"/>
          </w:tcPr>
          <w:p>
            <w:pPr>
              <w:spacing w:after="20" w:before="20"/>
            </w:pPr>
            <w:r>
              <w:rPr>
                <w:b/>
                <w:sz w:val="17"/>
              </w:rPr>
              <w:t>Primary household and commuter survey</w:t>
            </w:r>
          </w:p>
        </w:tc>
        <w:tc>
          <w:tcPr>
            <w:tcW w:type="dxa" w:w="3742"/>
          </w:tcPr>
          <w:p>
            <w:pPr>
              <w:spacing w:after="20" w:before="20"/>
            </w:pPr>
            <w:r>
              <w:rPr>
                <w:sz w:val="17"/>
              </w:rPr>
              <w:t>Gender, age, income, disability, vehicle ownership, expenditure, employment, health, stress, counterfactual questions, stated preference</w:t>
            </w:r>
          </w:p>
        </w:tc>
        <w:tc>
          <w:tcPr>
            <w:tcW w:type="dxa" w:w="3628"/>
          </w:tcPr>
          <w:p>
            <w:pPr>
              <w:spacing w:after="20" w:before="20"/>
            </w:pPr>
            <w:r>
              <w:rPr>
                <w:sz w:val="17"/>
              </w:rPr>
              <w:t>M1 and M2. Everything that requires knowing something about a person</w:t>
            </w:r>
          </w:p>
        </w:tc>
      </w:tr>
      <w:tr>
        <w:tc>
          <w:tcPr>
            <w:tcW w:type="dxa" w:w="2268"/>
          </w:tcPr>
          <w:p>
            <w:pPr>
              <w:spacing w:after="20" w:before="20"/>
            </w:pPr>
            <w:r>
              <w:rPr>
                <w:b/>
                <w:sz w:val="17"/>
              </w:rPr>
              <w:t>In-depth interviews and focus groups</w:t>
            </w:r>
          </w:p>
        </w:tc>
        <w:tc>
          <w:tcPr>
            <w:tcW w:type="dxa" w:w="3742"/>
          </w:tcPr>
          <w:p>
            <w:pPr>
              <w:spacing w:after="20" w:before="20"/>
            </w:pPr>
            <w:r>
              <w:rPr>
                <w:sz w:val="17"/>
              </w:rPr>
              <w:t>Thematic priorities, lived experience, instrument design</w:t>
            </w:r>
          </w:p>
        </w:tc>
        <w:tc>
          <w:tcPr>
            <w:tcW w:type="dxa" w:w="3628"/>
          </w:tcPr>
          <w:p>
            <w:pPr>
              <w:spacing w:after="20" w:before="20"/>
            </w:pPr>
            <w:r>
              <w:rPr>
                <w:sz w:val="17"/>
              </w:rPr>
              <w:t>Precedes and shapes the survey</w:t>
            </w:r>
          </w:p>
        </w:tc>
      </w:tr>
      <w:tr>
        <w:tc>
          <w:tcPr>
            <w:tcW w:type="dxa" w:w="2268"/>
          </w:tcPr>
          <w:p>
            <w:pPr>
              <w:spacing w:after="20" w:before="20"/>
            </w:pPr>
            <w:r>
              <w:rPr>
                <w:b/>
                <w:sz w:val="17"/>
              </w:rPr>
              <w:t>GIS and GTFS</w:t>
            </w:r>
          </w:p>
        </w:tc>
        <w:tc>
          <w:tcPr>
            <w:tcW w:type="dxa" w:w="3742"/>
          </w:tcPr>
          <w:p>
            <w:pPr>
              <w:spacing w:after="20" w:before="20"/>
            </w:pPr>
            <w:r>
              <w:rPr>
                <w:sz w:val="17"/>
              </w:rPr>
              <w:t>Bus routes, stops, headways, walksheds, ward boundaries, hazard maps</w:t>
            </w:r>
          </w:p>
        </w:tc>
        <w:tc>
          <w:tcPr>
            <w:tcW w:type="dxa" w:w="3628"/>
          </w:tcPr>
          <w:p>
            <w:pPr>
              <w:spacing w:after="20" w:before="20"/>
            </w:pPr>
            <w:r>
              <w:rPr>
                <w:sz w:val="17"/>
              </w:rPr>
              <w:t>M1 accessibility, M2 exposure mapping, M4 routing, and mode classification</w:t>
            </w:r>
          </w:p>
        </w:tc>
      </w:tr>
      <w:tr>
        <w:tc>
          <w:tcPr>
            <w:tcW w:type="dxa" w:w="2268"/>
          </w:tcPr>
          <w:p>
            <w:pPr>
              <w:spacing w:after="20" w:before="20"/>
            </w:pPr>
            <w:r>
              <w:rPr>
                <w:b/>
                <w:sz w:val="17"/>
              </w:rPr>
              <w:t>Census, PLFS, Economic Census</w:t>
            </w:r>
          </w:p>
        </w:tc>
        <w:tc>
          <w:tcPr>
            <w:tcW w:type="dxa" w:w="3742"/>
          </w:tcPr>
          <w:p>
            <w:pPr>
              <w:spacing w:after="20" w:before="20"/>
            </w:pPr>
            <w:r>
              <w:rPr>
                <w:sz w:val="17"/>
              </w:rPr>
              <w:t>Ward population, employment, gross value added, income distribution</w:t>
            </w:r>
          </w:p>
        </w:tc>
        <w:tc>
          <w:tcPr>
            <w:tcW w:type="dxa" w:w="3628"/>
          </w:tcPr>
          <w:p>
            <w:pPr>
              <w:spacing w:after="20" w:before="20"/>
            </w:pPr>
            <w:r>
              <w:rPr>
                <w:sz w:val="17"/>
              </w:rPr>
              <w:t>M1 agglomeration and survey expansion weights</w:t>
            </w:r>
          </w:p>
        </w:tc>
      </w:tr>
      <w:tr>
        <w:tc>
          <w:tcPr>
            <w:tcW w:type="dxa" w:w="2268"/>
          </w:tcPr>
          <w:p>
            <w:pPr>
              <w:spacing w:after="20" w:before="20"/>
            </w:pPr>
            <w:r>
              <w:rPr>
                <w:b/>
                <w:sz w:val="17"/>
              </w:rPr>
              <w:t>Air quality networks and published exposure factors</w:t>
            </w:r>
          </w:p>
        </w:tc>
        <w:tc>
          <w:tcPr>
            <w:tcW w:type="dxa" w:w="3742"/>
          </w:tcPr>
          <w:p>
            <w:pPr>
              <w:spacing w:after="20" w:before="20"/>
            </w:pPr>
            <w:r>
              <w:rPr>
                <w:sz w:val="17"/>
              </w:rPr>
              <w:t>Concentrations, and per-mode exposure already measured in Delhi, Mumbai, Chennai and Kanpur</w:t>
            </w:r>
          </w:p>
        </w:tc>
        <w:tc>
          <w:tcPr>
            <w:tcW w:type="dxa" w:w="3628"/>
          </w:tcPr>
          <w:p>
            <w:pPr>
              <w:spacing w:after="20" w:before="20"/>
            </w:pPr>
            <w:r>
              <w:rPr>
                <w:sz w:val="17"/>
              </w:rPr>
              <w:t>M2 pollution pathway. Avoids buying monitors</w:t>
            </w:r>
          </w:p>
        </w:tc>
      </w:tr>
      <w:tr>
        <w:tc>
          <w:tcPr>
            <w:tcW w:type="dxa" w:w="2268"/>
          </w:tcPr>
          <w:p>
            <w:pPr>
              <w:spacing w:after="20" w:before="20"/>
            </w:pPr>
            <w:r>
              <w:rPr>
                <w:b/>
                <w:sz w:val="17"/>
              </w:rPr>
              <w:t>Police and health records, Global Burden of Disease</w:t>
            </w:r>
          </w:p>
        </w:tc>
        <w:tc>
          <w:tcPr>
            <w:tcW w:type="dxa" w:w="3742"/>
          </w:tcPr>
          <w:p>
            <w:pPr>
              <w:spacing w:after="20" w:before="20"/>
            </w:pPr>
            <w:r>
              <w:rPr>
                <w:sz w:val="17"/>
              </w:rPr>
              <w:t>Crashes, injuries, baseline mortality by cause and age</w:t>
            </w:r>
          </w:p>
        </w:tc>
        <w:tc>
          <w:tcPr>
            <w:tcW w:type="dxa" w:w="3628"/>
          </w:tcPr>
          <w:p>
            <w:pPr>
              <w:spacing w:after="20" w:before="20"/>
            </w:pPr>
            <w:r>
              <w:rPr>
                <w:sz w:val="17"/>
              </w:rPr>
              <w:t>M2 injury and disease burden</w:t>
            </w:r>
          </w:p>
        </w:tc>
      </w:tr>
      <w:tr>
        <w:tc>
          <w:tcPr>
            <w:tcW w:type="dxa" w:w="2268"/>
          </w:tcPr>
          <w:p>
            <w:pPr>
              <w:spacing w:after="20" w:before="20"/>
            </w:pPr>
            <w:r>
              <w:rPr>
                <w:b/>
                <w:sz w:val="17"/>
              </w:rPr>
              <w:t>Operator and scheme data</w:t>
            </w:r>
          </w:p>
        </w:tc>
        <w:tc>
          <w:tcPr>
            <w:tcW w:type="dxa" w:w="3742"/>
          </w:tcPr>
          <w:p>
            <w:pPr>
              <w:spacing w:after="20" w:before="20"/>
            </w:pPr>
            <w:r>
              <w:rPr>
                <w:sz w:val="17"/>
              </w:rPr>
              <w:t>Ridership, fares, subsidy, fleet, PM e-Bus Sewa detailed project reports</w:t>
            </w:r>
          </w:p>
        </w:tc>
        <w:tc>
          <w:tcPr>
            <w:tcW w:type="dxa" w:w="3628"/>
          </w:tcPr>
          <w:p>
            <w:pPr>
              <w:spacing w:after="20" w:before="20"/>
            </w:pPr>
            <w:r>
              <w:rPr>
                <w:sz w:val="17"/>
              </w:rPr>
              <w:t>All four models, and subsidy incidence analysis</w:t>
            </w:r>
          </w:p>
        </w:tc>
      </w:tr>
    </w:tbl>
    <w:p>
      <w:pPr>
        <w:spacing w:after="40"/>
      </w:pPr>
    </w:p>
    <w:p>
      <w:pPr>
        <w:spacing w:before="280" w:after="80"/>
        <w:pBdr>
          <w:bottom w:val="single" w:sz="6" w:space="3" w:color="006D77"/>
        </w:pBdr>
      </w:pPr>
      <w:r>
        <w:rPr>
          <w:b/>
          <w:color w:val="006D77"/>
          <w:sz w:val="26"/>
        </w:rPr>
        <w:t>7. Tools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E8F2F2"/>
          </w:tcPr>
          <w:p>
            <w:pPr>
              <w:spacing w:after="20" w:before="20"/>
            </w:pPr>
            <w:r>
              <w:rPr>
                <w:b/>
                <w:color w:val="006D77"/>
                <w:sz w:val="17"/>
              </w:rPr>
              <w:t>Tool</w:t>
            </w:r>
          </w:p>
        </w:tc>
        <w:tc>
          <w:tcPr>
            <w:tcW w:type="dxa" w:w="6803"/>
            <w:shd w:val="clear" w:color="auto" w:fill="E8F2F2"/>
          </w:tcPr>
          <w:p>
            <w:pPr>
              <w:spacing w:after="20" w:before="20"/>
            </w:pPr>
            <w:r>
              <w:rPr>
                <w:b/>
                <w:color w:val="006D77"/>
                <w:sz w:val="17"/>
              </w:rPr>
              <w:t>Purpose</w:t>
            </w:r>
          </w:p>
        </w:tc>
      </w:tr>
      <w:tr>
        <w:tc>
          <w:tcPr>
            <w:tcW w:type="dxa" w:w="2835"/>
          </w:tcPr>
          <w:p>
            <w:pPr>
              <w:spacing w:after="20" w:before="20"/>
            </w:pPr>
            <w:r>
              <w:rPr>
                <w:b/>
                <w:sz w:val="17"/>
              </w:rPr>
              <w:t>ITHIM / ITHIM-Global</w:t>
            </w:r>
          </w:p>
        </w:tc>
        <w:tc>
          <w:tcPr>
            <w:tcW w:type="dxa" w:w="6803"/>
          </w:tcPr>
          <w:p>
            <w:pPr>
              <w:spacing w:after="20" w:before="20"/>
            </w:pPr>
            <w:r>
              <w:rPr>
                <w:sz w:val="17"/>
              </w:rPr>
              <w:t>Main health impact model for M2</w:t>
            </w:r>
          </w:p>
        </w:tc>
      </w:tr>
      <w:tr>
        <w:tc>
          <w:tcPr>
            <w:tcW w:type="dxa" w:w="2835"/>
          </w:tcPr>
          <w:p>
            <w:pPr>
              <w:spacing w:after="20" w:before="20"/>
            </w:pPr>
            <w:r>
              <w:rPr>
                <w:b/>
                <w:sz w:val="17"/>
              </w:rPr>
              <w:t>WHO HEAT</w:t>
            </w:r>
          </w:p>
        </w:tc>
        <w:tc>
          <w:tcPr>
            <w:tcW w:type="dxa" w:w="6803"/>
          </w:tcPr>
          <w:p>
            <w:pPr>
              <w:spacing w:after="20" w:before="20"/>
            </w:pPr>
            <w:r>
              <w:rPr>
                <w:sz w:val="17"/>
              </w:rPr>
              <w:t>Walking benefit, monetised. Lightest and fastest</w:t>
            </w:r>
          </w:p>
        </w:tc>
      </w:tr>
      <w:tr>
        <w:tc>
          <w:tcPr>
            <w:tcW w:type="dxa" w:w="2835"/>
          </w:tcPr>
          <w:p>
            <w:pPr>
              <w:spacing w:after="20" w:before="20"/>
            </w:pPr>
            <w:r>
              <w:rPr>
                <w:b/>
                <w:sz w:val="17"/>
              </w:rPr>
              <w:t>WHO AirQ+ and BenMAP-CE</w:t>
            </w:r>
          </w:p>
        </w:tc>
        <w:tc>
          <w:tcPr>
            <w:tcW w:type="dxa" w:w="6803"/>
          </w:tcPr>
          <w:p>
            <w:pPr>
              <w:spacing w:after="20" w:before="20"/>
            </w:pPr>
            <w:r>
              <w:rPr>
                <w:sz w:val="17"/>
              </w:rPr>
              <w:t>Air pollution health burden and valuation</w:t>
            </w:r>
          </w:p>
        </w:tc>
      </w:tr>
      <w:tr>
        <w:tc>
          <w:tcPr>
            <w:tcW w:type="dxa" w:w="2835"/>
          </w:tcPr>
          <w:p>
            <w:pPr>
              <w:spacing w:after="20" w:before="20"/>
            </w:pPr>
            <w:r>
              <w:rPr>
                <w:b/>
                <w:sz w:val="17"/>
              </w:rPr>
              <w:t>QGIS</w:t>
            </w:r>
          </w:p>
        </w:tc>
        <w:tc>
          <w:tcPr>
            <w:tcW w:type="dxa" w:w="6803"/>
          </w:tcPr>
          <w:p>
            <w:pPr>
              <w:spacing w:after="20" w:before="20"/>
            </w:pPr>
            <w:r>
              <w:rPr>
                <w:sz w:val="17"/>
              </w:rPr>
              <w:t>Catchments, accessibility, exposure surfaces, crash hotspots</w:t>
            </w:r>
          </w:p>
        </w:tc>
      </w:tr>
      <w:tr>
        <w:tc>
          <w:tcPr>
            <w:tcW w:type="dxa" w:w="2835"/>
          </w:tcPr>
          <w:p>
            <w:pPr>
              <w:spacing w:after="20" w:before="20"/>
            </w:pPr>
            <w:r>
              <w:rPr>
                <w:b/>
                <w:sz w:val="17"/>
              </w:rPr>
              <w:t>iRAP / ViDA</w:t>
            </w:r>
          </w:p>
        </w:tc>
        <w:tc>
          <w:tcPr>
            <w:tcW w:type="dxa" w:w="6803"/>
          </w:tcPr>
          <w:p>
            <w:pPr>
              <w:spacing w:after="20" w:before="20"/>
            </w:pPr>
            <w:r>
              <w:rPr>
                <w:sz w:val="17"/>
              </w:rPr>
              <w:t>Road safety rating of walking routes around stops</w:t>
            </w:r>
          </w:p>
        </w:tc>
      </w:tr>
      <w:tr>
        <w:tc>
          <w:tcPr>
            <w:tcW w:type="dxa" w:w="2835"/>
          </w:tcPr>
          <w:p>
            <w:pPr>
              <w:spacing w:after="20" w:before="20"/>
            </w:pPr>
            <w:r>
              <w:rPr>
                <w:b/>
                <w:sz w:val="17"/>
              </w:rPr>
              <w:t>R or Stata</w:t>
            </w:r>
          </w:p>
        </w:tc>
        <w:tc>
          <w:tcPr>
            <w:tcW w:type="dxa" w:w="6803"/>
          </w:tcPr>
          <w:p>
            <w:pPr>
              <w:spacing w:after="20" w:before="20"/>
            </w:pPr>
            <w:r>
              <w:rPr>
                <w:sz w:val="17"/>
              </w:rPr>
              <w:t>Regression, difference-in-differences, discrete choice, ordered response, structural equation models</w:t>
            </w:r>
          </w:p>
        </w:tc>
      </w:tr>
    </w:tbl>
    <w:p>
      <w:pPr>
        <w:spacing w:after="40"/>
      </w:pPr>
    </w:p>
    <w:p>
      <w:pPr>
        <w:spacing w:before="280" w:after="80"/>
        <w:pBdr>
          <w:bottom w:val="single" w:sz="6" w:space="3" w:color="006D77"/>
        </w:pBdr>
      </w:pPr>
      <w:r>
        <w:rPr>
          <w:b/>
          <w:color w:val="006D77"/>
          <w:sz w:val="26"/>
        </w:rPr>
        <w:t>8. What the project delivers</w:t>
      </w:r>
    </w:p>
    <w:tbl>
      <w:tblPr>
        <w:tblStyle w:val="TableGrid"/>
        <w:tblW w:type="auto" w:w="0"/>
        <w:jc w:val="center"/>
        <w:tblLook w:firstColumn="1" w:firstRow="1" w:lastColumn="0" w:lastRow="0" w:noHBand="0" w:noVBand="1" w:val="04A0"/>
      </w:tblPr>
      <w:tblGrid>
        <w:gridCol w:w="4986"/>
        <w:gridCol w:w="4986"/>
      </w:tblGrid>
      <w:tr>
        <w:tc>
          <w:tcPr>
            <w:tcW w:type="dxa" w:w="2608"/>
            <w:shd w:val="clear" w:color="auto" w:fill="E8F2F2"/>
          </w:tcPr>
          <w:p>
            <w:pPr>
              <w:spacing w:after="20" w:before="20"/>
            </w:pPr>
            <w:r>
              <w:rPr>
                <w:b/>
                <w:color w:val="006D77"/>
                <w:sz w:val="17"/>
              </w:rPr>
              <w:t>Output</w:t>
            </w:r>
          </w:p>
        </w:tc>
        <w:tc>
          <w:tcPr>
            <w:tcW w:type="dxa" w:w="7030"/>
            <w:shd w:val="clear" w:color="auto" w:fill="E8F2F2"/>
          </w:tcPr>
          <w:p>
            <w:pPr>
              <w:spacing w:after="20" w:before="20"/>
            </w:pPr>
            <w:r>
              <w:rPr>
                <w:b/>
                <w:color w:val="006D77"/>
                <w:sz w:val="17"/>
              </w:rPr>
              <w:t>Description</w:t>
            </w:r>
          </w:p>
        </w:tc>
      </w:tr>
      <w:tr>
        <w:tc>
          <w:tcPr>
            <w:tcW w:type="dxa" w:w="2608"/>
          </w:tcPr>
          <w:p>
            <w:pPr>
              <w:spacing w:after="20" w:before="20"/>
            </w:pPr>
            <w:r>
              <w:rPr>
                <w:b/>
                <w:sz w:val="17"/>
              </w:rPr>
              <w:t>Pre-investment appraisal tool</w:t>
            </w:r>
          </w:p>
        </w:tc>
        <w:tc>
          <w:tcPr>
            <w:tcW w:type="dxa" w:w="7030"/>
          </w:tcPr>
          <w:p>
            <w:pPr>
              <w:spacing w:after="20" w:before="20"/>
            </w:pPr>
            <w:r>
              <w:rPr>
                <w:sz w:val="17"/>
              </w:rPr>
              <w:t>Open access and online. A city official enters fleet size, population, modal share and grid emission factor, and gets projected GHG savings, health co-benefits, a social return ratio, eligible finance instruments and a monitoring dashboard. Formatted to meet GCF, ADB and World Bank project preparation requirements</w:t>
            </w:r>
          </w:p>
        </w:tc>
      </w:tr>
      <w:tr>
        <w:tc>
          <w:tcPr>
            <w:tcW w:type="dxa" w:w="2608"/>
          </w:tcPr>
          <w:p>
            <w:pPr>
              <w:spacing w:after="20" w:before="20"/>
            </w:pPr>
            <w:r>
              <w:rPr>
                <w:b/>
                <w:sz w:val="17"/>
              </w:rPr>
              <w:t>Healthy Cities SROI framework</w:t>
            </w:r>
          </w:p>
        </w:tc>
        <w:tc>
          <w:tcPr>
            <w:tcW w:type="dxa" w:w="7030"/>
          </w:tcPr>
          <w:p>
            <w:pPr>
              <w:spacing w:after="20" w:before="20"/>
            </w:pPr>
            <w:r>
              <w:rPr>
                <w:sz w:val="17"/>
              </w:rPr>
              <w:t>Three lenses on the same dataset. For government, the societal return per rupee of public spend. For climate and development finance, structured to GCF and ADB results frameworks. For private capital, co-benefits sized as a payment security mechanism</w:t>
            </w:r>
          </w:p>
        </w:tc>
      </w:tr>
      <w:tr>
        <w:tc>
          <w:tcPr>
            <w:tcW w:type="dxa" w:w="2608"/>
          </w:tcPr>
          <w:p>
            <w:pPr>
              <w:spacing w:after="20" w:before="20"/>
            </w:pPr>
            <w:r>
              <w:rPr>
                <w:b/>
                <w:sz w:val="17"/>
              </w:rPr>
              <w:t>Evidence base</w:t>
            </w:r>
          </w:p>
        </w:tc>
        <w:tc>
          <w:tcPr>
            <w:tcW w:type="dxa" w:w="7030"/>
          </w:tcPr>
          <w:p>
            <w:pPr>
              <w:spacing w:after="20" w:before="20"/>
            </w:pPr>
            <w:r>
              <w:rPr>
                <w:sz w:val="17"/>
              </w:rPr>
              <w:t>First multi-city Indian quantification of bus co-benefits, addressing a literature where only one of twenty-seven socio-economic studies and five of thirty-nine health studies come from comparable settings</w:t>
            </w:r>
          </w:p>
        </w:tc>
      </w:tr>
    </w:tbl>
    <w:p>
      <w:pPr>
        <w:spacing w:after="40"/>
      </w:pPr>
    </w:p>
    <w:p>
      <w:pPr>
        <w:spacing w:before="280" w:after="80"/>
        <w:pBdr>
          <w:bottom w:val="single" w:sz="6" w:space="3" w:color="006D77"/>
        </w:pBdr>
      </w:pPr>
      <w:r>
        <w:rPr>
          <w:b/>
          <w:color w:val="006D77"/>
          <w:sz w:val="26"/>
        </w:rPr>
        <w:t>9. Open items</w:t>
      </w:r>
    </w:p>
    <w:tbl>
      <w:tblPr>
        <w:tblStyle w:val="TableGrid"/>
        <w:tblW w:type="auto" w:w="0"/>
        <w:jc w:val="center"/>
        <w:tblLook w:firstColumn="1" w:firstRow="1" w:lastColumn="0" w:lastRow="0" w:noHBand="0" w:noVBand="1" w:val="04A0"/>
      </w:tblPr>
      <w:tblGrid>
        <w:gridCol w:w="4986"/>
        <w:gridCol w:w="4986"/>
      </w:tblGrid>
      <w:tr>
        <w:tc>
          <w:tcPr>
            <w:tcW w:type="dxa" w:w="2948"/>
            <w:shd w:val="clear" w:color="auto" w:fill="E8F2F2"/>
          </w:tcPr>
          <w:p>
            <w:pPr>
              <w:spacing w:after="20" w:before="20"/>
            </w:pPr>
            <w:r>
              <w:rPr>
                <w:b/>
                <w:color w:val="006D77"/>
                <w:sz w:val="17"/>
              </w:rPr>
              <w:t>Item</w:t>
            </w:r>
          </w:p>
        </w:tc>
        <w:tc>
          <w:tcPr>
            <w:tcW w:type="dxa" w:w="6690"/>
            <w:shd w:val="clear" w:color="auto" w:fill="E8F2F2"/>
          </w:tcPr>
          <w:p>
            <w:pPr>
              <w:spacing w:after="20" w:before="20"/>
            </w:pPr>
            <w:r>
              <w:rPr>
                <w:b/>
                <w:color w:val="006D77"/>
                <w:sz w:val="17"/>
              </w:rPr>
              <w:t>Status</w:t>
            </w:r>
          </w:p>
        </w:tc>
      </w:tr>
      <w:tr>
        <w:tc>
          <w:tcPr>
            <w:tcW w:type="dxa" w:w="2948"/>
          </w:tcPr>
          <w:p>
            <w:pPr>
              <w:spacing w:after="20" w:before="20"/>
            </w:pPr>
            <w:r>
              <w:rPr>
                <w:b/>
                <w:sz w:val="17"/>
              </w:rPr>
              <w:t>Travel mode missing from passive data</w:t>
            </w:r>
          </w:p>
        </w:tc>
        <w:tc>
          <w:tcPr>
            <w:tcW w:type="dxa" w:w="6690"/>
          </w:tcPr>
          <w:p>
            <w:pPr>
              <w:spacing w:after="20" w:before="20"/>
            </w:pPr>
            <w:r>
              <w:rPr>
                <w:sz w:val="17"/>
              </w:rPr>
              <w:t>Blocks M1, M2 and M4. Fix by inferring mode from traces plus route matching against the bus network. Needs a labelled subsample from the survey</w:t>
            </w:r>
          </w:p>
        </w:tc>
      </w:tr>
      <w:tr>
        <w:tc>
          <w:tcPr>
            <w:tcW w:type="dxa" w:w="2948"/>
          </w:tcPr>
          <w:p>
            <w:pPr>
              <w:spacing w:after="20" w:before="20"/>
            </w:pPr>
            <w:r>
              <w:rPr>
                <w:b/>
                <w:sz w:val="17"/>
              </w:rPr>
              <w:t>Vulnerability interaction underpowered</w:t>
            </w:r>
          </w:p>
        </w:tc>
        <w:tc>
          <w:tcPr>
            <w:tcW w:type="dxa" w:w="6690"/>
          </w:tcPr>
          <w:p>
            <w:pPr>
              <w:spacing w:after="20" w:before="20"/>
            </w:pPr>
            <w:r>
              <w:rPr>
                <w:sz w:val="17"/>
              </w:rPr>
              <w:t>Needs stratified over-sampling of low-income, no-vehicle, disabled and elderly households, or a binary split instead of a four-part index</w:t>
            </w:r>
          </w:p>
        </w:tc>
      </w:tr>
      <w:tr>
        <w:tc>
          <w:tcPr>
            <w:tcW w:type="dxa" w:w="2948"/>
          </w:tcPr>
          <w:p>
            <w:pPr>
              <w:spacing w:after="20" w:before="20"/>
            </w:pPr>
            <w:r>
              <w:rPr>
                <w:b/>
                <w:sz w:val="17"/>
              </w:rPr>
              <w:t>Ward spread not yet fixed</w:t>
            </w:r>
          </w:p>
        </w:tc>
        <w:tc>
          <w:tcPr>
            <w:tcW w:type="dxa" w:w="6690"/>
          </w:tcPr>
          <w:p>
            <w:pPr>
              <w:spacing w:after="20" w:before="20"/>
            </w:pPr>
            <w:r>
              <w:rPr>
                <w:sz w:val="17"/>
              </w:rPr>
              <w:t>Move to 40 to 50 wards per city. Free improvement in precision</w:t>
            </w:r>
          </w:p>
        </w:tc>
      </w:tr>
      <w:tr>
        <w:tc>
          <w:tcPr>
            <w:tcW w:type="dxa" w:w="2948"/>
          </w:tcPr>
          <w:p>
            <w:pPr>
              <w:spacing w:after="20" w:before="20"/>
            </w:pPr>
            <w:r>
              <w:rPr>
                <w:b/>
                <w:sz w:val="17"/>
              </w:rPr>
              <w:t>Pilot not yet run</w:t>
            </w:r>
          </w:p>
        </w:tc>
        <w:tc>
          <w:tcPr>
            <w:tcW w:type="dxa" w:w="6690"/>
          </w:tcPr>
          <w:p>
            <w:pPr>
              <w:spacing w:after="20" w:before="20"/>
            </w:pPr>
            <w:r>
              <w:rPr>
                <w:sz w:val="17"/>
              </w:rPr>
              <w:t>Needs to produce the intra-cluster correlation and the wave-to-wave correlation before ward counts are final</w:t>
            </w:r>
          </w:p>
        </w:tc>
      </w:tr>
      <w:tr>
        <w:tc>
          <w:tcPr>
            <w:tcW w:type="dxa" w:w="2948"/>
          </w:tcPr>
          <w:p>
            <w:pPr>
              <w:spacing w:after="20" w:before="20"/>
            </w:pPr>
            <w:r>
              <w:rPr>
                <w:b/>
                <w:sz w:val="17"/>
              </w:rPr>
              <w:t>Group B city list</w:t>
            </w:r>
          </w:p>
        </w:tc>
        <w:tc>
          <w:tcPr>
            <w:tcW w:type="dxa" w:w="6690"/>
          </w:tcPr>
          <w:p>
            <w:pPr>
              <w:spacing w:after="20" w:before="20"/>
            </w:pPr>
            <w:r>
              <w:rPr>
                <w:sz w:val="17"/>
              </w:rPr>
              <w:t>To be finalised with MoHUA against PM e-Bus Sewa deployment timelines</w:t>
            </w:r>
          </w:p>
        </w:tc>
      </w:tr>
      <w:tr>
        <w:tc>
          <w:tcPr>
            <w:tcW w:type="dxa" w:w="2948"/>
          </w:tcPr>
          <w:p>
            <w:pPr>
              <w:spacing w:after="20" w:before="20"/>
            </w:pPr>
            <w:r>
              <w:rPr>
                <w:b/>
                <w:sz w:val="17"/>
              </w:rPr>
              <w:t>Literature not yet verified</w:t>
            </w:r>
          </w:p>
        </w:tc>
        <w:tc>
          <w:tcPr>
            <w:tcW w:type="dxa" w:w="6690"/>
          </w:tcPr>
          <w:p>
            <w:pPr>
              <w:spacing w:after="20" w:before="20"/>
            </w:pPr>
            <w:r>
              <w:rPr>
                <w:sz w:val="17"/>
              </w:rPr>
              <w:t>All sources gathered so far were found by search only. Each must be opened and read before use</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