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06D77"/>
          <w:sz w:val="30"/>
        </w:rPr>
        <w:t>#BBUS  ·  possible outputs and what they look like</w:t>
      </w:r>
    </w:p>
    <w:p>
      <w:pPr>
        <w:spacing w:after="120"/>
      </w:pPr>
      <w:r>
        <w:rPr>
          <w:i/>
          <w:color w:val="555555"/>
          <w:sz w:val="17"/>
        </w:rPr>
        <w:t>All values normalised to per year, per 100 buses, where meaningful. Sample of 6,000 across 6 cities.</w:t>
      </w:r>
    </w:p>
    <w:p>
      <w:pPr>
        <w:spacing w:after="140"/>
      </w:pPr>
      <w:r>
        <w:rPr>
          <w:b/>
          <w:color w:val="992222"/>
          <w:sz w:val="17"/>
        </w:rPr>
        <w:t>EXAMPLE VALUES ARE INVENTED. They show the unit and order of magnitude only, not a finding.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402"/>
            <w:shd w:val="clear" w:color="auto" w:fill="E8F2F2"/>
          </w:tcPr>
          <w:p>
            <w:pPr>
              <w:spacing w:after="20" w:before="20"/>
            </w:pPr>
            <w:r>
              <w:rPr>
                <w:b/>
                <w:color w:val="006D77"/>
                <w:sz w:val="16"/>
              </w:rPr>
              <w:t>Output</w:t>
            </w:r>
          </w:p>
        </w:tc>
        <w:tc>
          <w:tcPr>
            <w:tcW w:type="dxa" w:w="3061"/>
            <w:shd w:val="clear" w:color="auto" w:fill="E8F2F2"/>
          </w:tcPr>
          <w:p>
            <w:pPr>
              <w:spacing w:after="20" w:before="20"/>
            </w:pPr>
            <w:r>
              <w:rPr>
                <w:b/>
                <w:color w:val="006D77"/>
                <w:sz w:val="16"/>
              </w:rPr>
              <w:t>Example value</w:t>
            </w:r>
          </w:p>
        </w:tc>
        <w:tc>
          <w:tcPr>
            <w:tcW w:type="dxa" w:w="1361"/>
            <w:shd w:val="clear" w:color="auto" w:fill="E8F2F2"/>
          </w:tcPr>
          <w:p>
            <w:pPr>
              <w:spacing w:after="20" w:before="20"/>
            </w:pPr>
            <w:r>
              <w:rPr>
                <w:b/>
                <w:color w:val="006D77"/>
                <w:sz w:val="16"/>
              </w:rPr>
              <w:t>Model</w:t>
            </w:r>
          </w:p>
        </w:tc>
        <w:tc>
          <w:tcPr>
            <w:tcW w:type="dxa" w:w="2041"/>
            <w:shd w:val="clear" w:color="auto" w:fill="E8F2F2"/>
          </w:tcPr>
          <w:p>
            <w:pPr>
              <w:spacing w:after="20" w:before="20"/>
            </w:pPr>
            <w:r>
              <w:rPr>
                <w:b/>
                <w:color w:val="006D77"/>
                <w:sz w:val="16"/>
              </w:rPr>
              <w:t>Comes from</w:t>
            </w:r>
          </w:p>
        </w:tc>
      </w:tr>
      <w:tr>
        <w:tc>
          <w:tcPr>
            <w:tcW w:type="dxa" w:w="10424"/>
            <w:gridSpan w:val="4"/>
            <w:shd w:val="clear" w:color="auto" w:fill="D6E8E8"/>
          </w:tcPr>
          <w:p>
            <w:pPr>
              <w:spacing w:after="20" w:before="20"/>
            </w:pPr>
            <w:r>
              <w:rPr>
                <w:b/>
                <w:color w:val="006D77"/>
                <w:sz w:val="17"/>
              </w:rPr>
              <w:t>M1  SOCIO-ECONOMIC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Decongestion benefit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Rs 150 crore/year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Travel time saved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42 lakh person-hours/year  =  Rs 80 crore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 + survey income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Household transport spend saved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Rs 2,600 per household/year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Survey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Share of income saved, poorest third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6.4% of household income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Survey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Trips that would not happen without bus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21% of all bus trips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Survey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Female employment effect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+4.8 percentage points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Survey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Women’s daily trips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+0.29 trips per day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Survey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Jobs reachable in 45 minutes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31% now, 58% with 3 new corridors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 + GTFS + jobs data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People gaining job access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212,000 people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 + GTFS + jobs data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Agglomeration benefit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Rs 20 crore/year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 + Economic Census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Subsidy reaching the poorest third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19% of total subsidy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Survey + operator data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Demand with no bus within 500 m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40% of motorised trips, 12 corridors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</w:t>
            </w:r>
          </w:p>
        </w:tc>
      </w:tr>
      <w:tr>
        <w:tc>
          <w:tcPr>
            <w:tcW w:type="dxa" w:w="10424"/>
            <w:gridSpan w:val="4"/>
            <w:shd w:val="clear" w:color="auto" w:fill="D6E8E8"/>
          </w:tcPr>
          <w:p>
            <w:pPr>
              <w:spacing w:after="20" w:before="20"/>
            </w:pPr>
            <w:r>
              <w:rPr>
                <w:b/>
                <w:color w:val="006D77"/>
                <w:sz w:val="17"/>
              </w:rPr>
              <w:t>M2  HEALTH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Extra walking per bus user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+9.4 minutes/day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M2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 + survey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Deaths averted, walking pathway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21 deaths/year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M2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 + survey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DALYs averted, all pathways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3,150 DALYs/year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M2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 + survey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Road injuries averted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34 injuries/year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M2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Survey counterfactual + police records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PM2.5 exposure avoided, shifting riders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−8% inhaled dose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M2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 + published exposure factors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Time in traffic per commuter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47 minutes/day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M2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High-stress commuters reduced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−18%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M2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Survey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Health value in rupees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Rs 32 to 94 crore/year (VSL band)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M2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 + survey</w:t>
            </w:r>
          </w:p>
        </w:tc>
      </w:tr>
      <w:tr>
        <w:tc>
          <w:tcPr>
            <w:tcW w:type="dxa" w:w="10424"/>
            <w:gridSpan w:val="4"/>
            <w:shd w:val="clear" w:color="auto" w:fill="D6E8E8"/>
          </w:tcPr>
          <w:p>
            <w:pPr>
              <w:spacing w:after="20" w:before="20"/>
            </w:pPr>
            <w:r>
              <w:rPr>
                <w:b/>
                <w:color w:val="006D77"/>
                <w:sz w:val="17"/>
              </w:rPr>
              <w:t>M3  GHG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Vehicle-km avoided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142 million km/year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M3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Survey counterfactual + passive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CO2e avoided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31,200 tonnes/year  =  312 t per bus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M3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Survey counterfactual + passive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Carbon value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Rs 13 crore/year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M3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Both + shadow carbon price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Trips within single-charge e-bus range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78% under 12 km, 96% under 25 km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M3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</w:t>
            </w:r>
          </w:p>
        </w:tc>
      </w:tr>
      <w:tr>
        <w:tc>
          <w:tcPr>
            <w:tcW w:type="dxa" w:w="10424"/>
            <w:gridSpan w:val="4"/>
            <w:shd w:val="clear" w:color="auto" w:fill="D6E8E8"/>
          </w:tcPr>
          <w:p>
            <w:pPr>
              <w:spacing w:after="20" w:before="20"/>
            </w:pPr>
            <w:r>
              <w:rPr>
                <w:b/>
                <w:color w:val="006D77"/>
                <w:sz w:val="17"/>
              </w:rPr>
              <w:t>M4  RESILIENCE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Economic downtime avoided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Rs 34 crore per flood event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M4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 + secondary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Critical corridors identified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7 ward pairs carry 34% of trips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M4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Evacuation time saved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37 minutes, median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M4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 + GIS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Population still mobile in a flood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62% by bus vs 24% by private vehicle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M4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Passive + hazard maps</w:t>
            </w:r>
          </w:p>
        </w:tc>
      </w:tr>
      <w:tr>
        <w:tc>
          <w:tcPr>
            <w:tcW w:type="dxa" w:w="10424"/>
            <w:gridSpan w:val="4"/>
            <w:shd w:val="clear" w:color="auto" w:fill="D6E8E8"/>
          </w:tcPr>
          <w:p>
            <w:pPr>
              <w:spacing w:after="20" w:before="20"/>
            </w:pPr>
            <w:r>
              <w:rPr>
                <w:b/>
                <w:color w:val="006D77"/>
                <w:sz w:val="17"/>
              </w:rPr>
              <w:t>ALL FOUR TOGETHER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Total societal benefit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Rs 259 crore/year  =  Rs 130 lakh per bus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All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All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Public cost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Rs 96 crore/year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Operator and scheme data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>
              <w:rPr>
                <w:b/>
                <w:sz w:val="16"/>
              </w:rPr>
              <w:t>SROI ratio</w:t>
            </w:r>
          </w:p>
        </w:tc>
        <w:tc>
          <w:tcPr>
            <w:tcW w:type="dxa" w:w="3061"/>
            <w:shd w:val="clear" w:color="auto" w:fill="FFF6E5"/>
          </w:tcPr>
          <w:p>
            <w:pPr>
              <w:spacing w:after="20" w:before="20"/>
            </w:pPr>
            <w:r>
              <w:rPr>
                <w:sz w:val="16"/>
              </w:rPr>
              <w:t>2.7 : 1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sz w:val="16"/>
              </w:rPr>
              <w:t>All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16"/>
              </w:rPr>
              <w:t>All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006D77"/>
          <w:sz w:val="20"/>
        </w:rPr>
        <w:t>Three things to know</w:t>
      </w:r>
    </w:p>
    <w:p>
      <w:pPr>
        <w:pStyle w:val="ListBullet"/>
        <w:spacing w:after="40"/>
        <w:ind w:left="283" w:hanging="142"/>
      </w:pPr>
      <w:r>
        <w:rPr>
          <w:sz w:val="18"/>
        </w:rPr>
        <w:t>Everything marked Passive can start now. No survey, no extra cost.</w:t>
      </w:r>
    </w:p>
    <w:p>
      <w:pPr>
        <w:pStyle w:val="ListBullet"/>
        <w:spacing w:after="40"/>
        <w:ind w:left="283" w:hanging="142"/>
      </w:pPr>
      <w:r>
        <w:rPr>
          <w:sz w:val="18"/>
        </w:rPr>
        <w:t>Everything in M2 and M3 depends on one survey question: what would you do on this trip if the bus did not run. Without it, no modal shift and no health or carbon number.</w:t>
      </w:r>
    </w:p>
    <w:p>
      <w:pPr>
        <w:pStyle w:val="ListBullet"/>
        <w:spacing w:after="40"/>
        <w:ind w:left="283" w:hanging="142"/>
      </w:pPr>
      <w:r>
        <w:rPr>
          <w:sz w:val="18"/>
        </w:rPr>
        <w:t>Anything comparing bus against car needs travel mode, which the passive data does not yet have. It must be inferred from the traces first.</w:t>
      </w:r>
    </w:p>
    <w:p>
      <w:pPr>
        <w:spacing w:before="120" w:after="40"/>
      </w:pPr>
      <w:r>
        <w:rPr>
          <w:b/>
          <w:color w:val="006D77"/>
          <w:sz w:val="20"/>
        </w:rPr>
        <w:t>What 6,000 across 6 cities can and cannot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876"/>
            <w:shd w:val="clear" w:color="auto" w:fill="E8F2F2"/>
          </w:tcPr>
          <w:p>
            <w:pPr>
              <w:spacing w:after="20" w:before="20"/>
            </w:pPr>
            <w:r>
              <w:rPr>
                <w:b/>
                <w:color w:val="006D77"/>
                <w:sz w:val="16"/>
              </w:rPr>
              <w:t>Can do</w:t>
            </w:r>
          </w:p>
        </w:tc>
        <w:tc>
          <w:tcPr>
            <w:tcW w:type="dxa" w:w="4989"/>
            <w:shd w:val="clear" w:color="auto" w:fill="E8F2F2"/>
          </w:tcPr>
          <w:p>
            <w:pPr>
              <w:spacing w:after="20" w:before="20"/>
            </w:pPr>
            <w:r>
              <w:rPr>
                <w:b/>
                <w:color w:val="006D77"/>
                <w:sz w:val="16"/>
              </w:rPr>
              <w:t>Cannot do</w:t>
            </w:r>
          </w:p>
        </w:tc>
      </w:tr>
      <w:tr>
        <w:tc>
          <w:tcPr>
            <w:tcW w:type="dxa" w:w="4876"/>
          </w:tcPr>
          <w:p>
            <w:pPr>
              <w:spacing w:after="20" w:before="20"/>
            </w:pPr>
            <w:r>
              <w:rPr>
                <w:sz w:val="16"/>
              </w:rPr>
              <w:t>All six cities pooled, with city fixed effects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>
              <w:rPr>
                <w:sz w:val="16"/>
              </w:rPr>
              <w:t>Separate results for each city</w:t>
            </w:r>
          </w:p>
        </w:tc>
      </w:tr>
      <w:tr>
        <w:tc>
          <w:tcPr>
            <w:tcW w:type="dxa" w:w="4876"/>
          </w:tcPr>
          <w:p>
            <w:pPr>
              <w:spacing w:after="20" w:before="20"/>
            </w:pPr>
            <w:r>
              <w:rPr>
                <w:sz w:val="16"/>
              </w:rPr>
              <w:t>Effects down to about 5 percentage points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>
              <w:rPr>
                <w:sz w:val="16"/>
              </w:rPr>
              <w:t>Effects smaller than about 5 points</w:t>
            </w:r>
          </w:p>
        </w:tc>
      </w:tr>
      <w:tr>
        <w:tc>
          <w:tcPr>
            <w:tcW w:type="dxa" w:w="4876"/>
          </w:tcPr>
          <w:p>
            <w:pPr>
              <w:spacing w:after="20" w:before="20"/>
            </w:pPr>
            <w:r>
              <w:rPr>
                <w:sz w:val="16"/>
              </w:rPr>
              <w:t>Split by sex, and by income tertile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>
              <w:rPr>
                <w:sz w:val="16"/>
              </w:rPr>
              <w:t>Testing whether the poor benefit MORE, unless vulnerable households are over-sampled</w:t>
            </w:r>
          </w:p>
        </w:tc>
      </w:tr>
      <w:tr>
        <w:tc>
          <w:tcPr>
            <w:tcW w:type="dxa" w:w="4876"/>
          </w:tcPr>
          <w:p>
            <w:pPr>
              <w:spacing w:after="20" w:before="20"/>
            </w:pPr>
            <w:r>
              <w:rPr>
                <w:sz w:val="16"/>
              </w:rPr>
              <w:t>All Passive outputs at full city scale</w:t>
            </w:r>
          </w:p>
        </w:tc>
        <w:tc>
          <w:tcPr>
            <w:tcW w:type="dxa" w:w="4989"/>
          </w:tcPr>
          <w:p>
            <w:pPr>
              <w:spacing w:after="20" w:before="20"/>
            </w:pPr>
            <w:r>
              <w:rPr>
                <w:sz w:val="16"/>
              </w:rPr>
              <w:t>Nothing extra needed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