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CC"/>
  <w:body>
    <w:p w:rsidR="00000000" w:rsidDel="00000000" w:rsidP="00000000" w:rsidRDefault="00000000" w:rsidRPr="00000000" w14:paraId="00000001">
      <w:pPr>
        <w:rPr>
          <w:rFonts w:ascii="Bad Script" w:cs="Bad Script" w:eastAsia="Bad Script" w:hAnsi="Bad Script"/>
          <w:b w:val="1"/>
          <w:bCs w:val="1"/>
          <w:sz w:val="72"/>
          <w:szCs w:val="72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72"/>
          <w:szCs w:val="72"/>
          <w:rtl w:val="0"/>
        </w:rPr>
        <w:t xml:space="preserve">Convention privée et confidentielle</w:t>
        <w:br w:type="textWrapping"/>
        <w:t xml:space="preserve">entre la Maison Guelendag de Sfaal et les représentants du Gouvernement d’Aquiléa</w:t>
      </w:r>
    </w:p>
    <w:p w:rsidR="00000000" w:rsidDel="00000000" w:rsidP="00000000" w:rsidRDefault="00000000" w:rsidRPr="00000000" w14:paraId="00000002">
      <w:pPr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Que ces lignes soient consignées pour mémoire entre les parties signataires,</w:t>
        <w:br w:type="textWrapping"/>
        <w:t xml:space="preserve">et qu’elles demeurent à l’abri des regards étrangers et des registres publics.</w:t>
      </w:r>
    </w:p>
    <w:p w:rsidR="00000000" w:rsidDel="00000000" w:rsidP="00000000" w:rsidRDefault="00000000" w:rsidRPr="00000000" w14:paraId="00000004">
      <w:pPr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En l’an 545 du IVe âge de Krondaar sous l’autorité des mers du Levant,</w:t>
        <w:br w:type="textWrapping"/>
        <w:t xml:space="preserve">en un lieu tenu secret et hors des archives officielles de la Confédération des Cités Libres,</w:t>
        <w:br w:type="textWrapping"/>
        <w:t xml:space="preserve">est conclu le présent accord entre :</w:t>
      </w:r>
    </w:p>
    <w:p w:rsidR="00000000" w:rsidDel="00000000" w:rsidP="00000000" w:rsidRDefault="00000000" w:rsidRPr="00000000" w14:paraId="00000005">
      <w:pPr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La Maison Guelendag, grande famille marchande de la Cité de Sfaal,</w:t>
      </w:r>
    </w:p>
    <w:p w:rsidR="00000000" w:rsidDel="00000000" w:rsidP="00000000" w:rsidRDefault="00000000" w:rsidRPr="00000000" w14:paraId="00000006">
      <w:pPr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et</w:t>
      </w:r>
    </w:p>
    <w:p w:rsidR="00000000" w:rsidDel="00000000" w:rsidP="00000000" w:rsidRDefault="00000000" w:rsidRPr="00000000" w14:paraId="00000007">
      <w:pPr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Les représentants mandatés du Gouvernement d’Aquiléa, agissant pour le compte de leur cité et de ses intérêts commerciaux.</w:t>
      </w:r>
    </w:p>
    <w:p w:rsidR="00000000" w:rsidDel="00000000" w:rsidP="00000000" w:rsidRDefault="00000000" w:rsidRPr="00000000" w14:paraId="00000008">
      <w:pPr>
        <w:rPr>
          <w:rFonts w:ascii="Bad Script" w:cs="Bad Script" w:eastAsia="Bad Script" w:hAnsi="Bad Script"/>
          <w:b w:val="1"/>
          <w:bCs w:val="1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44"/>
          <w:szCs w:val="44"/>
          <w:rtl w:val="0"/>
        </w:rPr>
        <w:t xml:space="preserve">Article Premier – De la nature de l’accord</w:t>
      </w:r>
    </w:p>
    <w:p w:rsidR="00000000" w:rsidDel="00000000" w:rsidP="00000000" w:rsidRDefault="00000000" w:rsidRPr="00000000" w14:paraId="00000009">
      <w:pPr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La Maison Guelendag accepte d’organiser et de faciliter la fourniture de certaines cargaisons d’acier provenant des mines et ateliers de Sfaal au bénéfice de la Cité d’Aquiléa.</w:t>
      </w:r>
    </w:p>
    <w:p w:rsidR="00000000" w:rsidDel="00000000" w:rsidP="00000000" w:rsidRDefault="00000000" w:rsidRPr="00000000" w14:paraId="0000000A">
      <w:pPr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Ces cargaisons seront obtenues par des circuits commerciaux indirects et ne figureront pas dans les registres officiels des échanges autorisés par le Conseil des Oblats.</w:t>
      </w:r>
    </w:p>
    <w:p w:rsidR="00000000" w:rsidDel="00000000" w:rsidP="00000000" w:rsidRDefault="00000000" w:rsidRPr="00000000" w14:paraId="0000000B">
      <w:pPr>
        <w:rPr>
          <w:rFonts w:ascii="Bad Script" w:cs="Bad Script" w:eastAsia="Bad Script" w:hAnsi="Bad Script"/>
          <w:b w:val="1"/>
          <w:bCs w:val="1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44"/>
          <w:szCs w:val="44"/>
          <w:rtl w:val="0"/>
        </w:rPr>
        <w:t xml:space="preserve">Article Deuxième – De la discrétion</w:t>
      </w:r>
    </w:p>
    <w:p w:rsidR="00000000" w:rsidDel="00000000" w:rsidP="00000000" w:rsidRDefault="00000000" w:rsidRPr="00000000" w14:paraId="0000000C">
      <w:pPr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Les parties reconnaissent que la divulgation de cet accord pourrait être jugée contraire aux engagements commerciaux établis entre Sfaal et les cités de la Confédération.</w:t>
      </w:r>
    </w:p>
    <w:p w:rsidR="00000000" w:rsidDel="00000000" w:rsidP="00000000" w:rsidRDefault="00000000" w:rsidRPr="00000000" w14:paraId="0000000D">
      <w:pPr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Par conséquent, l’existence de cette convention devra demeurer secrète et ne devra en aucun cas être révélée 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au Conseil des Oblats,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aux représentants des autres cités libres,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ni aux autorités de la Banque d’Ulghart. </w:t>
      </w:r>
    </w:p>
    <w:p w:rsidR="00000000" w:rsidDel="00000000" w:rsidP="00000000" w:rsidRDefault="00000000" w:rsidRPr="00000000" w14:paraId="00000011">
      <w:pPr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Toute trace écrite non nécessaire devra être détruite après exécution des engagements.</w:t>
      </w:r>
    </w:p>
    <w:p w:rsidR="00000000" w:rsidDel="00000000" w:rsidP="00000000" w:rsidRDefault="00000000" w:rsidRPr="00000000" w14:paraId="00000012">
      <w:pPr>
        <w:rPr>
          <w:rFonts w:ascii="Bad Script" w:cs="Bad Script" w:eastAsia="Bad Script" w:hAnsi="Bad Script"/>
          <w:b w:val="1"/>
          <w:bCs w:val="1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44"/>
          <w:szCs w:val="44"/>
          <w:rtl w:val="0"/>
        </w:rPr>
        <w:t xml:space="preserve">Article Troisième – Des modalités de transport</w:t>
      </w:r>
    </w:p>
    <w:p w:rsidR="00000000" w:rsidDel="00000000" w:rsidP="00000000" w:rsidRDefault="00000000" w:rsidRPr="00000000" w14:paraId="00000013">
      <w:pPr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Les cargaisons destinées à Aquiléa seront 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transportées par des navires marchands opérant sous pavillons tiers ;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consignées dans les registres commerciaux sous des marchandises d’apparence ordinaire ; 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dépourvues de tout sceau officiel permettant d’identifier leur origine véritable. </w:t>
      </w:r>
    </w:p>
    <w:p w:rsidR="00000000" w:rsidDel="00000000" w:rsidP="00000000" w:rsidRDefault="00000000" w:rsidRPr="00000000" w14:paraId="00000017">
      <w:pPr>
        <w:rPr>
          <w:rFonts w:ascii="Bad Script" w:cs="Bad Script" w:eastAsia="Bad Script" w:hAnsi="Bad Script"/>
          <w:b w:val="1"/>
          <w:bCs w:val="1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44"/>
          <w:szCs w:val="44"/>
          <w:rtl w:val="0"/>
        </w:rPr>
        <w:t xml:space="preserve">Article Quatrième – De la compensation</w:t>
      </w:r>
    </w:p>
    <w:p w:rsidR="00000000" w:rsidDel="00000000" w:rsidP="00000000" w:rsidRDefault="00000000" w:rsidRPr="00000000" w14:paraId="00000018">
      <w:pPr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En échange de ces livraisons, le Gouvernement d’Aquiléa s’engage à accorder à la Maison Guelendag 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une rémunération en or et en biens marchands ; 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des privilèges commerciaux dans les ports d’Aquiléa ; 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et l’accès prioritaire à certaines routes commerciales sous son influence. </w:t>
      </w:r>
    </w:p>
    <w:p w:rsidR="00000000" w:rsidDel="00000000" w:rsidP="00000000" w:rsidRDefault="00000000" w:rsidRPr="00000000" w14:paraId="0000001C">
      <w:pPr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Les paiements seront effectués par l’intermédiaire de maisons marchandes alliées afin d’en préserver la discrétion.</w:t>
      </w:r>
    </w:p>
    <w:p w:rsidR="00000000" w:rsidDel="00000000" w:rsidP="00000000" w:rsidRDefault="00000000" w:rsidRPr="00000000" w14:paraId="0000001D">
      <w:pPr>
        <w:rPr>
          <w:rFonts w:ascii="Bad Script" w:cs="Bad Script" w:eastAsia="Bad Script" w:hAnsi="Bad Script"/>
          <w:b w:val="1"/>
          <w:bCs w:val="1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44"/>
          <w:szCs w:val="44"/>
          <w:rtl w:val="0"/>
        </w:rPr>
        <w:t xml:space="preserve">Article Cinquième – De la protection des intérêts</w:t>
      </w:r>
    </w:p>
    <w:p w:rsidR="00000000" w:rsidDel="00000000" w:rsidP="00000000" w:rsidRDefault="00000000" w:rsidRPr="00000000" w14:paraId="0000001E">
      <w:pPr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Les représentants d’Aquiléa garantissent leur protection commerciale aux navires et aux intermédiaires impliqués dans l’exécution du présent accord.</w:t>
      </w:r>
    </w:p>
    <w:p w:rsidR="00000000" w:rsidDel="00000000" w:rsidP="00000000" w:rsidRDefault="00000000" w:rsidRPr="00000000" w14:paraId="0000001F">
      <w:pPr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La Maison Guelendag garantit pour sa part la continuité de la fourniture d’acier tant que les conditions de confidentialité seront respectées.</w:t>
      </w:r>
    </w:p>
    <w:p w:rsidR="00000000" w:rsidDel="00000000" w:rsidP="00000000" w:rsidRDefault="00000000" w:rsidRPr="00000000" w14:paraId="00000020">
      <w:pPr>
        <w:rPr>
          <w:rFonts w:ascii="Bad Script" w:cs="Bad Script" w:eastAsia="Bad Script" w:hAnsi="Bad Script"/>
          <w:b w:val="1"/>
          <w:bCs w:val="1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44"/>
          <w:szCs w:val="44"/>
          <w:rtl w:val="0"/>
        </w:rPr>
        <w:t xml:space="preserve">Article Sixième – Des conséquences d’une divulgation</w:t>
      </w:r>
    </w:p>
    <w:p w:rsidR="00000000" w:rsidDel="00000000" w:rsidP="00000000" w:rsidRDefault="00000000" w:rsidRPr="00000000" w14:paraId="00000021">
      <w:pPr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Si cet accord venait à être découvert ou révélé publiquement, les parties conviennent de nier toute implication et de considérer cet écrit comme nul et non avenu.</w:t>
      </w:r>
    </w:p>
    <w:p w:rsidR="00000000" w:rsidDel="00000000" w:rsidP="00000000" w:rsidRDefault="00000000" w:rsidRPr="00000000" w14:paraId="00000022">
      <w:pPr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Chaque partie s’engage alors à prendre les mesures nécessaires pour préserver ses intérêts et empêcher que cet accord puisse être utilisé contre elle.</w:t>
      </w:r>
    </w:p>
    <w:p w:rsidR="00000000" w:rsidDel="00000000" w:rsidP="00000000" w:rsidRDefault="00000000" w:rsidRPr="00000000" w14:paraId="00000023">
      <w:pPr>
        <w:rPr>
          <w:rFonts w:ascii="Bad Script" w:cs="Bad Script" w:eastAsia="Bad Script" w:hAnsi="Bad Script"/>
          <w:b w:val="1"/>
          <w:bCs w:val="1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44"/>
          <w:szCs w:val="44"/>
          <w:rtl w:val="0"/>
        </w:rPr>
        <w:t xml:space="preserve">Article Septième – De la validation</w:t>
      </w:r>
    </w:p>
    <w:p w:rsidR="00000000" w:rsidDel="00000000" w:rsidP="00000000" w:rsidRDefault="00000000" w:rsidRPr="00000000" w14:paraId="00000024">
      <w:pPr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Le présent document n’est enregistré dans aucun registre officiel.</w:t>
      </w:r>
    </w:p>
    <w:p w:rsidR="00000000" w:rsidDel="00000000" w:rsidP="00000000" w:rsidRDefault="00000000" w:rsidRPr="00000000" w14:paraId="00000025">
      <w:pPr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Il est scellé uniquement par les signataires et conservé sous garde privée.</w:t>
      </w:r>
    </w:p>
    <w:p w:rsidR="00000000" w:rsidDel="00000000" w:rsidP="00000000" w:rsidRDefault="00000000" w:rsidRPr="00000000" w14:paraId="00000026">
      <w:pPr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Quattrocento Sans" w:cs="Quattrocento Sans" w:eastAsia="Quattrocento Sans" w:hAnsi="Quattrocento Sans"/>
          <w:b w:val="1"/>
          <w:bCs w:val="1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44"/>
          <w:szCs w:val="44"/>
          <w:rtl w:val="0"/>
        </w:rPr>
        <w:t xml:space="preserve">Scellé pour la Maison Guelendag de Sfaal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Quattrocento Sans" w:cs="Quattrocento Sans" w:eastAsia="Quattrocento Sans" w:hAnsi="Quattrocento Sans"/>
          <w:b w:val="1"/>
          <w:bCs w:val="1"/>
          <w:sz w:val="44"/>
          <w:szCs w:val="4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4"/>
          <w:szCs w:val="44"/>
        </w:rPr>
        <w:drawing>
          <wp:inline distB="114300" distT="114300" distL="114300" distR="114300">
            <wp:extent cx="1143318" cy="1392266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318" cy="13922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Bad Script" w:cs="Bad Script" w:eastAsia="Bad Script" w:hAnsi="Bad Script"/>
          <w:b w:val="1"/>
          <w:bCs w:val="1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44"/>
          <w:szCs w:val="44"/>
          <w:rtl w:val="0"/>
        </w:rPr>
        <w:t xml:space="preserve">Scellé pour les représentants du Gouvernement d’Aquiléa</w:t>
        <w:br w:type="textWrapping"/>
      </w:r>
      <w:r w:rsidDel="00000000" w:rsidR="00000000" w:rsidRPr="00000000">
        <w:rPr>
          <w:rFonts w:ascii="Bad Script" w:cs="Bad Script" w:eastAsia="Bad Script" w:hAnsi="Bad Script"/>
          <w:b w:val="1"/>
          <w:bCs w:val="1"/>
          <w:sz w:val="44"/>
          <w:szCs w:val="44"/>
        </w:rPr>
        <w:drawing>
          <wp:inline distB="114300" distT="114300" distL="114300" distR="114300">
            <wp:extent cx="1524317" cy="200780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317" cy="2007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14" w:top="992" w:left="1417" w:right="1133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Bad Script">
    <w:embedRegular w:fontKey="{00000000-0000-0000-0000-000000000000}" r:id="rId3" w:subsetted="0"/>
  </w:font>
  <w:font w:name="Quattrocento Sans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Noto Sans Symbols">
    <w:embedRegular w:fontKey="{00000000-0000-0000-0000-000000000000}" r:id="rId8" w:subsetted="0"/>
    <w:embedBold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f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BadScript-regular.ttf"/><Relationship Id="rId4" Type="http://schemas.openxmlformats.org/officeDocument/2006/relationships/font" Target="fonts/QuattrocentoSans-regular.ttf"/><Relationship Id="rId9" Type="http://schemas.openxmlformats.org/officeDocument/2006/relationships/font" Target="fonts/NotoSansSymbols-bold.ttf"/><Relationship Id="rId5" Type="http://schemas.openxmlformats.org/officeDocument/2006/relationships/font" Target="fonts/QuattrocentoSans-bold.ttf"/><Relationship Id="rId6" Type="http://schemas.openxmlformats.org/officeDocument/2006/relationships/font" Target="fonts/QuattrocentoSans-italic.ttf"/><Relationship Id="rId7" Type="http://schemas.openxmlformats.org/officeDocument/2006/relationships/font" Target="fonts/QuattrocentoSans-boldItalic.ttf"/><Relationship Id="rId8" Type="http://schemas.openxmlformats.org/officeDocument/2006/relationships/font" Target="fonts/NotoSansSymbol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10rcvazoDQS7+HpXrYSSCV90Sg==">CgMxLjA4AHIhMUtDdDFUQzFuRmlGNTRaQjBHVUJtLTg2OWFrakFWTTd6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