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Exploratory Data Analysis (EDA) Report</w:t>
      </w:r>
    </w:p>
    <w:p/>
    <w:p>
      <w:r>
        <w:rPr>
          <w:b/>
          <w:sz w:val="28"/>
        </w:rPr>
        <w:t>1. Introduction</w:t>
      </w:r>
    </w:p>
    <w:p>
      <w:pPr>
        <w:spacing w:after="120"/>
      </w:pPr>
      <w:r>
        <w:t>This report presents an exploratory data analysis of Geldium’s dataset to evaluate data quality, uncover patterns, and identify factors contributing to credit delinquency. The aim is to prepare the dataset for accurate predictive modeling and risk assessment.</w:t>
      </w:r>
    </w:p>
    <w:p>
      <w:r>
        <w:rPr>
          <w:b/>
          <w:sz w:val="28"/>
        </w:rPr>
        <w:t>2. Dataset Summary</w:t>
      </w:r>
    </w:p>
    <w:p>
      <w:pPr>
        <w:spacing w:after="120"/>
      </w:pPr>
      <w:r>
        <w:t>The dataset contains 500 customer records with both numerical and categorical variables related to financial behavior and credit risk.</w:t>
      </w:r>
    </w:p>
    <w:p>
      <w:pPr>
        <w:spacing w:after="120"/>
      </w:pPr>
      <w:r>
        <w:t>Key features include Age, Income, Credit Score, Credit Utilization, Missed Payments, and Debt-to-Income Ratio.</w:t>
      </w:r>
    </w:p>
    <w:p>
      <w:pPr>
        <w:spacing w:after="120"/>
      </w:pPr>
      <w:r>
        <w:t>Categorical variables include Employment Status and Credit Card Type, while numerical variables include Income and Loan Balance.</w:t>
      </w:r>
    </w:p>
    <w:p>
      <w:r>
        <w:rPr>
          <w:b/>
          <w:sz w:val="28"/>
        </w:rPr>
        <w:t>3. Missing Data Evaluation</w:t>
      </w:r>
    </w:p>
    <w:p>
      <w:pPr>
        <w:spacing w:after="120"/>
      </w:pPr>
      <w:r>
        <w:t>Missing values were observed in key financial fields such as income and loan balance.</w:t>
      </w:r>
    </w:p>
    <w:p>
      <w:pPr>
        <w:spacing w:after="120"/>
      </w:pPr>
      <w:r>
        <w:t>Income has 50 missing entries, while Loan Balance has 30 missing entries.</w:t>
      </w:r>
    </w:p>
    <w:p>
      <w:pPr>
        <w:spacing w:after="120"/>
      </w:pPr>
      <w:r>
        <w:t>These missing values were handled using median imputation to ensure minimal impact from outliers and maintain dataset consistency.</w:t>
      </w:r>
    </w:p>
    <w:p>
      <w:r>
        <w:rPr>
          <w:b/>
          <w:sz w:val="28"/>
        </w:rPr>
        <w:t>4. Key Insights and Risk Factors</w:t>
      </w:r>
    </w:p>
    <w:p>
      <w:pPr>
        <w:spacing w:after="120"/>
      </w:pPr>
      <w:r>
        <w:t>Customers with credit utilization above 50% show a higher likelihood of delinquency, indicating financial stress.</w:t>
      </w:r>
    </w:p>
    <w:p>
      <w:pPr>
        <w:spacing w:after="120"/>
      </w:pPr>
      <w:r>
        <w:t>Individuals with three or more missed payments within six months have a significantly increased risk of default.</w:t>
      </w:r>
    </w:p>
    <w:p>
      <w:pPr>
        <w:spacing w:after="120"/>
      </w:pPr>
      <w:r>
        <w:t>Some anomalies were identified, such as high-income individuals with low credit scores, which may require further investigation.</w:t>
      </w:r>
    </w:p>
    <w:p>
      <w:r>
        <w:rPr>
          <w:b/>
          <w:sz w:val="28"/>
        </w:rPr>
        <w:t>5. Role of AI &amp; GenAI</w:t>
      </w:r>
    </w:p>
    <w:p>
      <w:pPr>
        <w:spacing w:after="120"/>
      </w:pPr>
      <w:r>
        <w:t>AI tools were used to assist in identifying patterns, detecting missing values, and analyzing potential risk factors. These insights were validated using standard data analysis principles.</w:t>
      </w:r>
    </w:p>
    <w:p>
      <w:r>
        <w:rPr>
          <w:b/>
          <w:sz w:val="28"/>
        </w:rPr>
        <w:t>6. Conclusion &amp; Future Actions</w:t>
      </w:r>
    </w:p>
    <w:p>
      <w:pPr>
        <w:spacing w:after="120"/>
      </w:pPr>
      <w:r>
        <w:t>The EDA process provided valuable insights into customer financial behavior and highlighted key risk indicators.</w:t>
      </w:r>
    </w:p>
    <w:p>
      <w:pPr>
        <w:spacing w:after="120"/>
      </w:pPr>
      <w:r>
        <w:t>High credit utilization and repeated missed payments are strong predictors of delinquency.</w:t>
      </w:r>
    </w:p>
    <w:p>
      <w:pPr>
        <w:spacing w:after="120"/>
      </w:pPr>
      <w:r>
        <w:t>These insights can help improve the accuracy of delinquency prediction models.</w:t>
      </w:r>
    </w:p>
    <w:p>
      <w:pPr>
        <w:spacing w:after="120"/>
      </w:pPr>
      <w:r>
        <w:t>Further steps include refining imputation methods, validating risk factors across segments, and investigating anomalies for better data reliability.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