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0221" w14:textId="44DCE3F1" w:rsidR="002B6640" w:rsidRPr="002B6640" w:rsidRDefault="002B6640" w:rsidP="00C670E8">
      <w:pPr>
        <w:spacing w:after="240" w:line="240" w:lineRule="auto"/>
        <w:rPr>
          <w:rFonts w:eastAsia="Calibri" w:hAnsi="Calibri" w:cs="Calibri"/>
          <w:b/>
          <w:bCs/>
          <w:sz w:val="28"/>
          <w:szCs w:val="28"/>
        </w:rPr>
      </w:pPr>
      <w:bookmarkStart w:id="0" w:name="_Hlk113967947"/>
      <w:bookmarkEnd w:id="0"/>
      <w:r w:rsidRPr="002B6640">
        <w:rPr>
          <w:rFonts w:eastAsia="Calibri" w:hAnsi="Calibri" w:cs="Calibri"/>
          <w:b/>
          <w:bCs/>
          <w:sz w:val="28"/>
          <w:szCs w:val="28"/>
        </w:rPr>
        <w:t>Support information for</w:t>
      </w:r>
      <w:r>
        <w:rPr>
          <w:rFonts w:eastAsia="Calibri" w:hAnsi="Calibri" w:cs="Calibri"/>
          <w:b/>
          <w:bCs/>
          <w:sz w:val="28"/>
          <w:szCs w:val="28"/>
        </w:rPr>
        <w:t>:</w:t>
      </w:r>
    </w:p>
    <w:p w14:paraId="4B8B73CB" w14:textId="343D80AB" w:rsidR="00993AFE" w:rsidRPr="00EA14AC" w:rsidRDefault="00500C2D" w:rsidP="00C670E8">
      <w:pPr>
        <w:spacing w:after="240" w:line="240" w:lineRule="auto"/>
        <w:rPr>
          <w:rFonts w:eastAsia="Calibri" w:hAnsi="Calibri" w:cs="Calibri"/>
          <w:b/>
          <w:bCs/>
          <w:sz w:val="32"/>
          <w:szCs w:val="32"/>
        </w:rPr>
      </w:pPr>
      <w:bookmarkStart w:id="1" w:name="_Hlk117867543"/>
      <w:r w:rsidRPr="00EA14AC">
        <w:rPr>
          <w:rFonts w:eastAsia="Calibri" w:hAnsi="Calibri" w:cs="Calibri"/>
          <w:b/>
          <w:bCs/>
          <w:sz w:val="32"/>
          <w:szCs w:val="32"/>
        </w:rPr>
        <w:t>Principles, evaluation metrics and</w:t>
      </w:r>
      <w:r w:rsidR="00273C0F" w:rsidRPr="00EA14AC">
        <w:rPr>
          <w:rFonts w:eastAsia="Calibri" w:hAnsi="Calibri" w:cs="Calibri"/>
          <w:b/>
          <w:bCs/>
          <w:sz w:val="32"/>
          <w:szCs w:val="32"/>
        </w:rPr>
        <w:t xml:space="preserve"> </w:t>
      </w:r>
      <w:r w:rsidR="007E4996" w:rsidRPr="00EA14AC">
        <w:rPr>
          <w:rFonts w:eastAsia="Calibri" w:hAnsi="Calibri" w:cs="Calibri"/>
          <w:b/>
          <w:bCs/>
          <w:sz w:val="32"/>
          <w:szCs w:val="32"/>
        </w:rPr>
        <w:t>method for p</w:t>
      </w:r>
      <w:r w:rsidR="00023754" w:rsidRPr="00EA14AC">
        <w:rPr>
          <w:rFonts w:eastAsia="Calibri" w:hAnsi="Calibri" w:cs="Calibri"/>
          <w:b/>
          <w:bCs/>
          <w:sz w:val="32"/>
          <w:szCs w:val="32"/>
        </w:rPr>
        <w:t>lanned regulatory inspection</w:t>
      </w:r>
      <w:r w:rsidRPr="00EA14AC">
        <w:rPr>
          <w:rFonts w:eastAsia="Calibri" w:hAnsi="Calibri" w:cs="Calibri"/>
          <w:b/>
          <w:bCs/>
          <w:sz w:val="32"/>
          <w:szCs w:val="32"/>
        </w:rPr>
        <w:t xml:space="preserve"> targeting</w:t>
      </w:r>
    </w:p>
    <w:bookmarkEnd w:id="1"/>
    <w:p w14:paraId="6D95FF61" w14:textId="4C139D49" w:rsidR="002B6640" w:rsidRDefault="002B6640" w:rsidP="00A8379B">
      <w:pPr>
        <w:spacing w:before="240" w:line="240" w:lineRule="auto"/>
        <w:rPr>
          <w:szCs w:val="20"/>
        </w:rPr>
      </w:pPr>
      <w:r w:rsidRPr="002B6640">
        <w:rPr>
          <w:szCs w:val="20"/>
        </w:rPr>
        <w:t xml:space="preserve">In Section 5. Application of the </w:t>
      </w:r>
      <w:r w:rsidR="00DD5A4E">
        <w:rPr>
          <w:szCs w:val="20"/>
        </w:rPr>
        <w:t>P</w:t>
      </w:r>
      <w:r w:rsidRPr="002B6640">
        <w:rPr>
          <w:szCs w:val="20"/>
        </w:rPr>
        <w:t xml:space="preserve">roposed </w:t>
      </w:r>
      <w:r w:rsidR="00DD5A4E">
        <w:rPr>
          <w:szCs w:val="20"/>
        </w:rPr>
        <w:t>M</w:t>
      </w:r>
      <w:r w:rsidRPr="002B6640">
        <w:rPr>
          <w:szCs w:val="20"/>
        </w:rPr>
        <w:t xml:space="preserve">ethod, </w:t>
      </w:r>
      <w:r>
        <w:rPr>
          <w:szCs w:val="20"/>
        </w:rPr>
        <w:t>w</w:t>
      </w:r>
      <w:r w:rsidRPr="00EA14AC">
        <w:rPr>
          <w:szCs w:val="20"/>
        </w:rPr>
        <w:t xml:space="preserve">e used the number of consumer complaints referring to PCS in each municipality in Brazil (Anatel 2022), and the number of PCS consumers by municipality in Brazil (Anatel 2022a), to generate an initial average graph signal </w:t>
      </w:r>
      <w:r w:rsidRPr="00EA14AC">
        <w:rPr>
          <w:rFonts w:ascii="Cambria Math" w:hAnsi="Cambria Math"/>
          <w:szCs w:val="20"/>
        </w:rPr>
        <w:t>𝒖(0)</w:t>
      </w:r>
      <w:r w:rsidRPr="00EA14AC">
        <w:rPr>
          <w:szCs w:val="20"/>
        </w:rPr>
        <w:t xml:space="preserve">, with </w:t>
      </w:r>
      <w:r w:rsidRPr="00EA14AC">
        <w:rPr>
          <w:rFonts w:ascii="Cambria Math" w:hAnsi="Cambria Math"/>
          <w:szCs w:val="20"/>
        </w:rPr>
        <w:t>𝒖</w:t>
      </w:r>
      <w:r w:rsidRPr="00EA14AC">
        <w:rPr>
          <w:szCs w:val="20"/>
        </w:rPr>
        <w:t xml:space="preserve"> defined as </w:t>
      </w:r>
      <w:r w:rsidRPr="00EA14AC">
        <w:rPr>
          <w:rFonts w:ascii="Cambria Math" w:hAnsi="Cambria Math"/>
          <w:szCs w:val="20"/>
        </w:rPr>
        <w:t>𝒖(𝑛) = [𝑢</w:t>
      </w:r>
      <w:r w:rsidRPr="00EA14AC">
        <w:rPr>
          <w:rFonts w:ascii="Cambria Math" w:hAnsi="Cambria Math"/>
          <w:szCs w:val="20"/>
          <w:vertAlign w:val="subscript"/>
        </w:rPr>
        <w:t>1</w:t>
      </w:r>
      <w:r w:rsidRPr="00EA14AC">
        <w:rPr>
          <w:rFonts w:ascii="Cambria Math" w:hAnsi="Cambria Math"/>
          <w:szCs w:val="20"/>
        </w:rPr>
        <w:t>(𝑛), 𝑢</w:t>
      </w:r>
      <w:r w:rsidRPr="00EA14AC">
        <w:rPr>
          <w:rFonts w:ascii="Cambria Math" w:hAnsi="Cambria Math"/>
          <w:szCs w:val="20"/>
          <w:vertAlign w:val="subscript"/>
        </w:rPr>
        <w:t>2</w:t>
      </w:r>
      <w:r w:rsidRPr="00EA14AC">
        <w:rPr>
          <w:rFonts w:ascii="Cambria Math" w:hAnsi="Cambria Math"/>
          <w:szCs w:val="20"/>
        </w:rPr>
        <w:t>(𝑛), ..., 𝑢</w:t>
      </w:r>
      <w:r w:rsidRPr="00EA14AC">
        <w:rPr>
          <w:rFonts w:ascii="Cambria Math" w:hAnsi="Cambria Math" w:cs="Cambria Math"/>
          <w:szCs w:val="20"/>
          <w:vertAlign w:val="subscript"/>
        </w:rPr>
        <w:t>𝑁</w:t>
      </w:r>
      <w:r w:rsidRPr="00EA14AC">
        <w:rPr>
          <w:rFonts w:ascii="Cambria Math" w:hAnsi="Cambria Math"/>
          <w:szCs w:val="20"/>
        </w:rPr>
        <w:t>(𝑛)]ᵀ</w:t>
      </w:r>
      <w:r w:rsidRPr="00EA14AC">
        <w:rPr>
          <w:szCs w:val="20"/>
        </w:rPr>
        <w:t xml:space="preserve"> </w:t>
      </w:r>
      <w:r w:rsidRPr="00EA14AC">
        <w:rPr>
          <w:rFonts w:ascii="Cambria Math" w:hAnsi="Cambria Math" w:cs="Cambria Math"/>
          <w:szCs w:val="20"/>
        </w:rPr>
        <w:t>∈</w:t>
      </w:r>
      <w:r w:rsidRPr="00EA14AC">
        <w:rPr>
          <w:szCs w:val="20"/>
        </w:rPr>
        <w:t xml:space="preserve"> </w:t>
      </w:r>
      <w:r w:rsidRPr="00EA14AC">
        <w:rPr>
          <w:rFonts w:ascii="Cambria Math" w:hAnsi="Cambria Math" w:cs="Cambria Math"/>
          <w:szCs w:val="20"/>
        </w:rPr>
        <w:t>ℝ</w:t>
      </w:r>
      <w:r w:rsidRPr="00EA14AC">
        <w:rPr>
          <w:rFonts w:ascii="Cambria Math" w:hAnsi="Cambria Math"/>
          <w:szCs w:val="20"/>
        </w:rPr>
        <w:t xml:space="preserve">ᴺ, </w:t>
      </w:r>
      <w:r w:rsidRPr="00EA14AC">
        <w:rPr>
          <w:szCs w:val="20"/>
        </w:rPr>
        <w:t xml:space="preserve">where element </w:t>
      </w:r>
      <w:r w:rsidRPr="00EA14AC">
        <w:rPr>
          <w:rFonts w:ascii="Cambria Math" w:hAnsi="Cambria Math"/>
          <w:szCs w:val="20"/>
        </w:rPr>
        <w:t>𝑢</w:t>
      </w:r>
      <w:r w:rsidRPr="00EA14AC">
        <w:rPr>
          <w:rFonts w:ascii="Cambria Math" w:hAnsi="Cambria Math" w:cs="Cambria Math"/>
          <w:szCs w:val="20"/>
          <w:vertAlign w:val="subscript"/>
        </w:rPr>
        <w:t>𝑖</w:t>
      </w:r>
      <w:r w:rsidRPr="00EA14AC">
        <w:rPr>
          <w:rFonts w:ascii="Cambria Math" w:hAnsi="Cambria Math"/>
          <w:szCs w:val="20"/>
        </w:rPr>
        <w:t xml:space="preserve">(𝑛) </w:t>
      </w:r>
      <w:r w:rsidRPr="00EA14AC">
        <w:rPr>
          <w:szCs w:val="20"/>
        </w:rPr>
        <w:t xml:space="preserve">represents the average graph signal related to vertex </w:t>
      </w:r>
      <w:r w:rsidRPr="00EA14AC">
        <w:rPr>
          <w:rFonts w:ascii="Cambria Math" w:hAnsi="Cambria Math" w:cs="Cambria Math"/>
          <w:szCs w:val="20"/>
        </w:rPr>
        <w:t>𝑣</w:t>
      </w:r>
      <w:r w:rsidRPr="00EA14AC">
        <w:rPr>
          <w:rFonts w:ascii="Cambria Math" w:hAnsi="Cambria Math" w:cs="Cambria Math"/>
          <w:szCs w:val="20"/>
          <w:vertAlign w:val="subscript"/>
        </w:rPr>
        <w:t>𝑖</w:t>
      </w:r>
      <w:r w:rsidRPr="00EA14AC">
        <w:rPr>
          <w:szCs w:val="20"/>
        </w:rPr>
        <w:t xml:space="preserve"> for inspection round </w:t>
      </w:r>
      <w:r w:rsidRPr="00EA14AC">
        <w:rPr>
          <w:rFonts w:ascii="Cambria Math" w:hAnsi="Cambria Math"/>
          <w:szCs w:val="20"/>
        </w:rPr>
        <w:t>𝑛. 𝑢</w:t>
      </w:r>
      <w:r w:rsidRPr="00EA14AC">
        <w:rPr>
          <w:rFonts w:ascii="Cambria Math" w:hAnsi="Cambria Math" w:cs="Cambria Math"/>
          <w:szCs w:val="20"/>
          <w:vertAlign w:val="subscript"/>
        </w:rPr>
        <w:t>𝑖</w:t>
      </w:r>
      <w:r w:rsidRPr="00EA14AC">
        <w:rPr>
          <w:rFonts w:ascii="Cambria Math" w:hAnsi="Cambria Math"/>
          <w:szCs w:val="20"/>
        </w:rPr>
        <w:t>(0)</w:t>
      </w:r>
      <w:r w:rsidRPr="00EA14AC">
        <w:rPr>
          <w:szCs w:val="20"/>
        </w:rPr>
        <w:t xml:space="preserve"> is the average consumer complaint rate of Brazilian municipality </w:t>
      </w:r>
      <w:r w:rsidRPr="00EA14AC">
        <w:rPr>
          <w:rFonts w:ascii="Cambria Math" w:hAnsi="Cambria Math" w:cs="Cambria Math"/>
          <w:szCs w:val="20"/>
        </w:rPr>
        <w:t>𝑣</w:t>
      </w:r>
      <w:r w:rsidRPr="00EA14AC">
        <w:rPr>
          <w:rFonts w:ascii="Cambria Math" w:hAnsi="Cambria Math" w:cs="Cambria Math"/>
          <w:szCs w:val="20"/>
          <w:vertAlign w:val="subscript"/>
        </w:rPr>
        <w:t>𝑖</w:t>
      </w:r>
      <w:r w:rsidRPr="00EA14AC">
        <w:rPr>
          <w:szCs w:val="20"/>
        </w:rPr>
        <w:t xml:space="preserve"> on July 2022.</w:t>
      </w:r>
    </w:p>
    <w:p w14:paraId="1A459CC7" w14:textId="714BF386" w:rsidR="002B6640" w:rsidRDefault="002B6640" w:rsidP="00A8379B">
      <w:pPr>
        <w:spacing w:before="240" w:after="240" w:line="240" w:lineRule="auto"/>
        <w:rPr>
          <w:rFonts w:hAnsi="Calibri" w:cs="Calibri"/>
          <w:szCs w:val="20"/>
        </w:rPr>
      </w:pPr>
      <w:r>
        <w:rPr>
          <w:szCs w:val="20"/>
        </w:rPr>
        <w:t>The Anatel’s</w:t>
      </w:r>
      <w:r w:rsidRPr="002B6640">
        <w:rPr>
          <w:szCs w:val="20"/>
        </w:rPr>
        <w:t xml:space="preserve"> Consumer Complaints Data Dashboard </w:t>
      </w:r>
      <w:r>
        <w:rPr>
          <w:szCs w:val="20"/>
        </w:rPr>
        <w:t xml:space="preserve">are available </w:t>
      </w:r>
      <w:r w:rsidR="00382F3A">
        <w:rPr>
          <w:szCs w:val="20"/>
        </w:rPr>
        <w:t xml:space="preserve">in internet </w:t>
      </w:r>
      <w:r>
        <w:rPr>
          <w:szCs w:val="20"/>
        </w:rPr>
        <w:t xml:space="preserve">at this </w:t>
      </w:r>
      <w:hyperlink r:id="rId8" w:history="1">
        <w:r w:rsidR="00382F3A">
          <w:rPr>
            <w:rStyle w:val="Hyperlink"/>
            <w:szCs w:val="20"/>
          </w:rPr>
          <w:t>page</w:t>
        </w:r>
      </w:hyperlink>
      <w:r w:rsidR="00382F3A">
        <w:rPr>
          <w:szCs w:val="20"/>
        </w:rPr>
        <w:t>. Figure S1 show</w:t>
      </w:r>
      <w:r w:rsidR="00486DBF">
        <w:rPr>
          <w:szCs w:val="20"/>
        </w:rPr>
        <w:t>s</w:t>
      </w:r>
      <w:r w:rsidR="00382F3A">
        <w:rPr>
          <w:szCs w:val="20"/>
        </w:rPr>
        <w:t xml:space="preserve"> this dashboard and how to </w:t>
      </w:r>
      <w:r w:rsidR="004F02FC">
        <w:rPr>
          <w:szCs w:val="20"/>
        </w:rPr>
        <w:t xml:space="preserve">select </w:t>
      </w:r>
      <w:r w:rsidR="00382F3A">
        <w:rPr>
          <w:szCs w:val="20"/>
        </w:rPr>
        <w:t xml:space="preserve">the necessary data to </w:t>
      </w:r>
      <w:r w:rsidR="00382F3A" w:rsidRPr="00EA14AC">
        <w:rPr>
          <w:szCs w:val="20"/>
        </w:rPr>
        <w:t>generate</w:t>
      </w:r>
      <w:r w:rsidR="00382F3A" w:rsidRPr="00382F3A">
        <w:rPr>
          <w:rFonts w:ascii="Cambria Math" w:hAnsi="Cambria Math"/>
          <w:szCs w:val="20"/>
        </w:rPr>
        <w:t xml:space="preserve"> </w:t>
      </w:r>
      <w:r w:rsidR="00382F3A" w:rsidRPr="00EA14AC">
        <w:rPr>
          <w:rFonts w:ascii="Cambria Math" w:hAnsi="Cambria Math"/>
          <w:szCs w:val="20"/>
        </w:rPr>
        <w:t>𝒖(0)</w:t>
      </w:r>
      <w:r w:rsidR="00382F3A" w:rsidRPr="00382F3A">
        <w:rPr>
          <w:rFonts w:hAnsi="Calibri" w:cs="Calibri"/>
          <w:szCs w:val="20"/>
        </w:rPr>
        <w:t>.</w:t>
      </w:r>
    </w:p>
    <w:p w14:paraId="3D1CB064" w14:textId="57F0944F" w:rsidR="004F02FC" w:rsidRDefault="004F02FC" w:rsidP="008A4449">
      <w:pPr>
        <w:spacing w:before="240" w:line="360" w:lineRule="auto"/>
        <w:jc w:val="center"/>
        <w:rPr>
          <w:rFonts w:hAnsi="Calibri" w:cs="Calibri"/>
          <w:szCs w:val="20"/>
        </w:rPr>
      </w:pPr>
      <w:bookmarkStart w:id="2" w:name="_Hlk117759959"/>
      <w:r w:rsidRPr="00EA14AC">
        <w:rPr>
          <w:rFonts w:hAnsi="Calibri" w:cs="Calibri"/>
          <w:b/>
          <w:bCs/>
          <w:szCs w:val="20"/>
        </w:rPr>
        <w:t xml:space="preserve">Figure </w:t>
      </w:r>
      <w:r>
        <w:rPr>
          <w:rFonts w:hAnsi="Calibri" w:cs="Calibri"/>
          <w:b/>
          <w:bCs/>
          <w:szCs w:val="20"/>
        </w:rPr>
        <w:t>S</w:t>
      </w:r>
      <w:r w:rsidRPr="00EA14AC">
        <w:rPr>
          <w:rFonts w:hAnsi="Calibri" w:cs="Calibri"/>
          <w:b/>
          <w:bCs/>
          <w:szCs w:val="20"/>
        </w:rPr>
        <w:t>1.</w:t>
      </w:r>
      <w:r w:rsidRPr="00EA14AC">
        <w:rPr>
          <w:rFonts w:hAnsi="Calibri" w:cs="Calibri"/>
          <w:szCs w:val="20"/>
        </w:rPr>
        <w:t xml:space="preserve"> </w:t>
      </w:r>
      <w:r w:rsidR="00486DBF">
        <w:rPr>
          <w:rFonts w:hAnsi="Calibri" w:cs="Calibri"/>
          <w:szCs w:val="20"/>
        </w:rPr>
        <w:t xml:space="preserve">Selecting data in </w:t>
      </w:r>
      <w:r>
        <w:rPr>
          <w:szCs w:val="20"/>
        </w:rPr>
        <w:t>Anatel’s</w:t>
      </w:r>
      <w:r w:rsidRPr="002B6640">
        <w:rPr>
          <w:szCs w:val="20"/>
        </w:rPr>
        <w:t xml:space="preserve"> Consumer Complaints Data Dashboard</w:t>
      </w:r>
      <w:r w:rsidRPr="00EA14AC">
        <w:rPr>
          <w:rFonts w:hAnsi="Calibri" w:cs="Calibri"/>
          <w:szCs w:val="20"/>
        </w:rPr>
        <w:t>.</w:t>
      </w:r>
      <w:bookmarkEnd w:id="2"/>
      <w:r>
        <w:rPr>
          <w:noProof/>
          <w:szCs w:val="20"/>
        </w:rPr>
        <w:drawing>
          <wp:inline distT="0" distB="0" distL="0" distR="0" wp14:anchorId="01B3E3A4" wp14:editId="394AF64F">
            <wp:extent cx="6472555" cy="1908175"/>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2555" cy="1908175"/>
                    </a:xfrm>
                    <a:prstGeom prst="rect">
                      <a:avLst/>
                    </a:prstGeom>
                    <a:noFill/>
                    <a:ln>
                      <a:noFill/>
                    </a:ln>
                  </pic:spPr>
                </pic:pic>
              </a:graphicData>
            </a:graphic>
          </wp:inline>
        </w:drawing>
      </w:r>
    </w:p>
    <w:p w14:paraId="7C340093" w14:textId="15454783" w:rsidR="008A4449" w:rsidRDefault="008A4449" w:rsidP="005F7460">
      <w:pPr>
        <w:spacing w:before="240" w:line="360" w:lineRule="auto"/>
        <w:jc w:val="left"/>
        <w:rPr>
          <w:rFonts w:hAnsi="Calibri" w:cs="Calibri"/>
          <w:szCs w:val="20"/>
        </w:rPr>
      </w:pPr>
      <w:r>
        <w:rPr>
          <w:rFonts w:hAnsi="Calibri" w:cs="Calibri"/>
          <w:szCs w:val="20"/>
        </w:rPr>
        <w:t xml:space="preserve">To properly select the data, </w:t>
      </w:r>
      <w:r w:rsidR="007119EA">
        <w:rPr>
          <w:rFonts w:hAnsi="Calibri" w:cs="Calibri"/>
          <w:szCs w:val="20"/>
        </w:rPr>
        <w:t>we</w:t>
      </w:r>
      <w:r>
        <w:rPr>
          <w:rFonts w:hAnsi="Calibri" w:cs="Calibri"/>
          <w:szCs w:val="20"/>
        </w:rPr>
        <w:t xml:space="preserve"> </w:t>
      </w:r>
      <w:r w:rsidR="00F16879">
        <w:rPr>
          <w:rFonts w:hAnsi="Calibri" w:cs="Calibri"/>
          <w:szCs w:val="20"/>
        </w:rPr>
        <w:t xml:space="preserve">have </w:t>
      </w:r>
      <w:r w:rsidR="005F7460">
        <w:rPr>
          <w:rFonts w:hAnsi="Calibri" w:cs="Calibri"/>
          <w:szCs w:val="20"/>
        </w:rPr>
        <w:t>chose</w:t>
      </w:r>
      <w:r w:rsidR="00F16879">
        <w:rPr>
          <w:rFonts w:hAnsi="Calibri" w:cs="Calibri"/>
          <w:szCs w:val="20"/>
        </w:rPr>
        <w:t>n</w:t>
      </w:r>
      <w:r w:rsidR="003C4AF5">
        <w:rPr>
          <w:rFonts w:hAnsi="Calibri" w:cs="Calibri"/>
          <w:szCs w:val="20"/>
        </w:rPr>
        <w:t>:</w:t>
      </w:r>
    </w:p>
    <w:p w14:paraId="75DE999B" w14:textId="1355D322" w:rsidR="008A4449" w:rsidRDefault="00F16879" w:rsidP="00A8379B">
      <w:pPr>
        <w:pStyle w:val="PargrafodaLista"/>
        <w:numPr>
          <w:ilvl w:val="0"/>
          <w:numId w:val="5"/>
        </w:numPr>
        <w:spacing w:line="240" w:lineRule="auto"/>
        <w:jc w:val="left"/>
        <w:rPr>
          <w:rFonts w:hAnsi="Calibri" w:cs="Calibri"/>
          <w:szCs w:val="20"/>
        </w:rPr>
      </w:pPr>
      <w:r>
        <w:rPr>
          <w:rFonts w:hAnsi="Calibri" w:cs="Calibri"/>
          <w:szCs w:val="20"/>
        </w:rPr>
        <w:t>“</w:t>
      </w:r>
      <w:r w:rsidR="008A4449">
        <w:rPr>
          <w:rFonts w:hAnsi="Calibri" w:cs="Calibri"/>
          <w:szCs w:val="20"/>
        </w:rPr>
        <w:t>Ano-Mês</w:t>
      </w:r>
      <w:r>
        <w:rPr>
          <w:rFonts w:hAnsi="Calibri" w:cs="Calibri"/>
          <w:szCs w:val="20"/>
        </w:rPr>
        <w:t>”</w:t>
      </w:r>
      <w:r w:rsidR="005F7460">
        <w:rPr>
          <w:rFonts w:hAnsi="Calibri" w:cs="Calibri"/>
          <w:szCs w:val="20"/>
        </w:rPr>
        <w:t xml:space="preserve">: </w:t>
      </w:r>
      <w:r>
        <w:rPr>
          <w:rFonts w:hAnsi="Calibri" w:cs="Calibri"/>
          <w:szCs w:val="20"/>
        </w:rPr>
        <w:t>“</w:t>
      </w:r>
      <w:r w:rsidR="005F7460">
        <w:rPr>
          <w:rFonts w:hAnsi="Calibri" w:cs="Calibri"/>
          <w:szCs w:val="20"/>
        </w:rPr>
        <w:t>2022-07</w:t>
      </w:r>
      <w:r>
        <w:rPr>
          <w:rFonts w:hAnsi="Calibri" w:cs="Calibri"/>
          <w:szCs w:val="20"/>
        </w:rPr>
        <w:t>”</w:t>
      </w:r>
      <w:r w:rsidR="003C4AF5">
        <w:rPr>
          <w:rFonts w:hAnsi="Calibri" w:cs="Calibri"/>
          <w:szCs w:val="20"/>
        </w:rPr>
        <w:t xml:space="preserve"> (Year-Month: 2022-07)</w:t>
      </w:r>
    </w:p>
    <w:p w14:paraId="639C99EE" w14:textId="332BEAA3" w:rsidR="008A4449" w:rsidRDefault="00F16879" w:rsidP="00A8379B">
      <w:pPr>
        <w:pStyle w:val="PargrafodaLista"/>
        <w:numPr>
          <w:ilvl w:val="0"/>
          <w:numId w:val="5"/>
        </w:numPr>
        <w:spacing w:line="240" w:lineRule="auto"/>
        <w:jc w:val="left"/>
        <w:rPr>
          <w:rFonts w:hAnsi="Calibri" w:cs="Calibri"/>
          <w:szCs w:val="20"/>
        </w:rPr>
      </w:pPr>
      <w:r>
        <w:rPr>
          <w:rFonts w:hAnsi="Calibri" w:cs="Calibri"/>
          <w:szCs w:val="20"/>
        </w:rPr>
        <w:t>“</w:t>
      </w:r>
      <w:r w:rsidR="005F7460">
        <w:rPr>
          <w:rFonts w:hAnsi="Calibri" w:cs="Calibri"/>
          <w:szCs w:val="20"/>
        </w:rPr>
        <w:t>Tipo</w:t>
      </w:r>
      <w:r>
        <w:rPr>
          <w:rFonts w:hAnsi="Calibri" w:cs="Calibri"/>
          <w:szCs w:val="20"/>
        </w:rPr>
        <w:t>”</w:t>
      </w:r>
      <w:r w:rsidR="005F7460">
        <w:rPr>
          <w:rFonts w:hAnsi="Calibri" w:cs="Calibri"/>
          <w:szCs w:val="20"/>
        </w:rPr>
        <w:t xml:space="preserve">: </w:t>
      </w:r>
      <w:r>
        <w:rPr>
          <w:rFonts w:hAnsi="Calibri" w:cs="Calibri"/>
          <w:szCs w:val="20"/>
        </w:rPr>
        <w:t>“</w:t>
      </w:r>
      <w:r w:rsidR="005F7460">
        <w:rPr>
          <w:rFonts w:hAnsi="Calibri" w:cs="Calibri"/>
          <w:szCs w:val="20"/>
        </w:rPr>
        <w:t>Reclamações</w:t>
      </w:r>
      <w:r>
        <w:rPr>
          <w:rFonts w:hAnsi="Calibri" w:cs="Calibri"/>
          <w:szCs w:val="20"/>
        </w:rPr>
        <w:t>”</w:t>
      </w:r>
      <w:r w:rsidR="003C4AF5">
        <w:rPr>
          <w:rFonts w:hAnsi="Calibri" w:cs="Calibri"/>
          <w:szCs w:val="20"/>
        </w:rPr>
        <w:t xml:space="preserve"> (Type: Complaints)</w:t>
      </w:r>
    </w:p>
    <w:p w14:paraId="3F160A2D" w14:textId="4F7C4CBA" w:rsidR="005F7460" w:rsidRDefault="00F16879" w:rsidP="00A8379B">
      <w:pPr>
        <w:pStyle w:val="PargrafodaLista"/>
        <w:numPr>
          <w:ilvl w:val="0"/>
          <w:numId w:val="5"/>
        </w:numPr>
        <w:spacing w:line="240" w:lineRule="auto"/>
        <w:jc w:val="left"/>
        <w:rPr>
          <w:rFonts w:hAnsi="Calibri" w:cs="Calibri"/>
          <w:szCs w:val="20"/>
        </w:rPr>
      </w:pPr>
      <w:r>
        <w:rPr>
          <w:rFonts w:hAnsi="Calibri" w:cs="Calibri"/>
          <w:szCs w:val="20"/>
        </w:rPr>
        <w:t>“</w:t>
      </w:r>
      <w:r w:rsidR="005F7460">
        <w:rPr>
          <w:rFonts w:hAnsi="Calibri" w:cs="Calibri"/>
          <w:szCs w:val="20"/>
        </w:rPr>
        <w:t>Serviço</w:t>
      </w:r>
      <w:r>
        <w:rPr>
          <w:rFonts w:hAnsi="Calibri" w:cs="Calibri"/>
          <w:szCs w:val="20"/>
        </w:rPr>
        <w:t>”</w:t>
      </w:r>
      <w:r w:rsidR="005F7460">
        <w:rPr>
          <w:rFonts w:hAnsi="Calibri" w:cs="Calibri"/>
          <w:szCs w:val="20"/>
        </w:rPr>
        <w:t xml:space="preserve">: </w:t>
      </w:r>
      <w:r>
        <w:rPr>
          <w:rFonts w:hAnsi="Calibri" w:cs="Calibri"/>
          <w:szCs w:val="20"/>
        </w:rPr>
        <w:t>“</w:t>
      </w:r>
      <w:r w:rsidR="005F7460">
        <w:rPr>
          <w:rFonts w:hAnsi="Calibri" w:cs="Calibri"/>
          <w:szCs w:val="20"/>
        </w:rPr>
        <w:t>SMP</w:t>
      </w:r>
      <w:r w:rsidR="003C4AF5">
        <w:rPr>
          <w:rFonts w:hAnsi="Calibri" w:cs="Calibri"/>
          <w:szCs w:val="20"/>
        </w:rPr>
        <w:t>_</w:t>
      </w:r>
      <w:r w:rsidR="005F7460">
        <w:rPr>
          <w:rFonts w:hAnsi="Calibri" w:cs="Calibri"/>
          <w:szCs w:val="20"/>
        </w:rPr>
        <w:t>Pós</w:t>
      </w:r>
      <w:r>
        <w:rPr>
          <w:rFonts w:hAnsi="Calibri" w:cs="Calibri"/>
          <w:szCs w:val="20"/>
        </w:rPr>
        <w:t>”</w:t>
      </w:r>
      <w:r w:rsidR="005F7460">
        <w:rPr>
          <w:rFonts w:hAnsi="Calibri" w:cs="Calibri"/>
          <w:szCs w:val="20"/>
        </w:rPr>
        <w:t xml:space="preserve"> and </w:t>
      </w:r>
      <w:r>
        <w:rPr>
          <w:rFonts w:hAnsi="Calibri" w:cs="Calibri"/>
          <w:szCs w:val="20"/>
        </w:rPr>
        <w:t>“</w:t>
      </w:r>
      <w:r w:rsidR="005F7460">
        <w:rPr>
          <w:rFonts w:hAnsi="Calibri" w:cs="Calibri"/>
          <w:szCs w:val="20"/>
        </w:rPr>
        <w:t>SMP</w:t>
      </w:r>
      <w:r w:rsidR="003C4AF5">
        <w:rPr>
          <w:rFonts w:hAnsi="Calibri" w:cs="Calibri"/>
          <w:szCs w:val="20"/>
        </w:rPr>
        <w:t>_</w:t>
      </w:r>
      <w:r w:rsidR="005F7460">
        <w:rPr>
          <w:rFonts w:hAnsi="Calibri" w:cs="Calibri"/>
          <w:szCs w:val="20"/>
        </w:rPr>
        <w:t>Pré</w:t>
      </w:r>
      <w:r>
        <w:rPr>
          <w:rFonts w:hAnsi="Calibri" w:cs="Calibri"/>
          <w:szCs w:val="20"/>
        </w:rPr>
        <w:t>”</w:t>
      </w:r>
      <w:r w:rsidR="003C4AF5">
        <w:rPr>
          <w:rFonts w:hAnsi="Calibri" w:cs="Calibri"/>
          <w:szCs w:val="20"/>
        </w:rPr>
        <w:t xml:space="preserve"> (Service: PCS_postpaid and PCS_prepaid)</w:t>
      </w:r>
    </w:p>
    <w:p w14:paraId="2E19FCA1" w14:textId="39A92BD0" w:rsidR="005F7460" w:rsidRDefault="00F16879" w:rsidP="00A8379B">
      <w:pPr>
        <w:pStyle w:val="PargrafodaLista"/>
        <w:numPr>
          <w:ilvl w:val="0"/>
          <w:numId w:val="5"/>
        </w:numPr>
        <w:spacing w:line="240" w:lineRule="auto"/>
        <w:jc w:val="left"/>
        <w:rPr>
          <w:rFonts w:hAnsi="Calibri" w:cs="Calibri"/>
          <w:szCs w:val="20"/>
        </w:rPr>
      </w:pPr>
      <w:r>
        <w:rPr>
          <w:rFonts w:hAnsi="Calibri" w:cs="Calibri"/>
          <w:szCs w:val="20"/>
        </w:rPr>
        <w:t>“</w:t>
      </w:r>
      <w:r w:rsidR="003C4AF5">
        <w:rPr>
          <w:rFonts w:hAnsi="Calibri" w:cs="Calibri"/>
          <w:szCs w:val="20"/>
        </w:rPr>
        <w:t>Cidade</w:t>
      </w:r>
      <w:r>
        <w:rPr>
          <w:rFonts w:hAnsi="Calibri" w:cs="Calibri"/>
          <w:szCs w:val="20"/>
        </w:rPr>
        <w:t>”</w:t>
      </w:r>
      <w:r w:rsidR="003C4AF5">
        <w:rPr>
          <w:rFonts w:hAnsi="Calibri" w:cs="Calibri"/>
          <w:szCs w:val="20"/>
        </w:rPr>
        <w:t xml:space="preserve">: </w:t>
      </w:r>
      <w:r>
        <w:rPr>
          <w:rFonts w:hAnsi="Calibri" w:cs="Calibri"/>
          <w:szCs w:val="20"/>
        </w:rPr>
        <w:t>“</w:t>
      </w:r>
      <w:r w:rsidR="003C4AF5">
        <w:rPr>
          <w:rFonts w:hAnsi="Calibri" w:cs="Calibri"/>
          <w:szCs w:val="20"/>
        </w:rPr>
        <w:t>Selecionar todos</w:t>
      </w:r>
      <w:r>
        <w:rPr>
          <w:rFonts w:hAnsi="Calibri" w:cs="Calibri"/>
          <w:szCs w:val="20"/>
        </w:rPr>
        <w:t>”</w:t>
      </w:r>
      <w:r w:rsidR="003C4AF5">
        <w:rPr>
          <w:rFonts w:hAnsi="Calibri" w:cs="Calibri"/>
          <w:szCs w:val="20"/>
        </w:rPr>
        <w:t xml:space="preserve"> (Municipality: Select all)</w:t>
      </w:r>
    </w:p>
    <w:p w14:paraId="26A1C775" w14:textId="3DB9322C" w:rsidR="00486DBF" w:rsidRPr="00486DBF" w:rsidRDefault="00486DBF" w:rsidP="00A8379B">
      <w:pPr>
        <w:spacing w:before="240" w:line="240" w:lineRule="auto"/>
        <w:jc w:val="left"/>
        <w:rPr>
          <w:rFonts w:hAnsi="Calibri" w:cs="Calibri"/>
          <w:szCs w:val="20"/>
        </w:rPr>
      </w:pPr>
      <w:r>
        <w:rPr>
          <w:szCs w:val="20"/>
        </w:rPr>
        <w:t>Figure S2 shows how to export the necessary data</w:t>
      </w:r>
      <w:r w:rsidRPr="00382F3A">
        <w:rPr>
          <w:rFonts w:hAnsi="Calibri" w:cs="Calibri"/>
          <w:szCs w:val="20"/>
        </w:rPr>
        <w:t>.</w:t>
      </w:r>
    </w:p>
    <w:p w14:paraId="04FB9E9E" w14:textId="536D5F5C" w:rsidR="008A4449" w:rsidRDefault="003C4AF5" w:rsidP="003C4AF5">
      <w:pPr>
        <w:keepNext/>
        <w:spacing w:before="240" w:line="360" w:lineRule="auto"/>
        <w:jc w:val="center"/>
        <w:rPr>
          <w:rFonts w:hAnsi="Calibri" w:cs="Calibri"/>
          <w:szCs w:val="20"/>
        </w:rPr>
      </w:pPr>
      <w:r w:rsidRPr="00EA14AC">
        <w:rPr>
          <w:rFonts w:hAnsi="Calibri" w:cs="Calibri"/>
          <w:b/>
          <w:bCs/>
          <w:szCs w:val="20"/>
        </w:rPr>
        <w:t xml:space="preserve">Figure </w:t>
      </w:r>
      <w:r>
        <w:rPr>
          <w:rFonts w:hAnsi="Calibri" w:cs="Calibri"/>
          <w:b/>
          <w:bCs/>
          <w:szCs w:val="20"/>
        </w:rPr>
        <w:t>S2</w:t>
      </w:r>
      <w:r w:rsidRPr="00EA14AC">
        <w:rPr>
          <w:rFonts w:hAnsi="Calibri" w:cs="Calibri"/>
          <w:b/>
          <w:bCs/>
          <w:szCs w:val="20"/>
        </w:rPr>
        <w:t>.</w:t>
      </w:r>
      <w:r w:rsidRPr="00EA14AC">
        <w:rPr>
          <w:rFonts w:hAnsi="Calibri" w:cs="Calibri"/>
          <w:szCs w:val="20"/>
        </w:rPr>
        <w:t xml:space="preserve"> </w:t>
      </w:r>
      <w:r w:rsidR="00486DBF">
        <w:rPr>
          <w:rFonts w:hAnsi="Calibri" w:cs="Calibri"/>
          <w:szCs w:val="20"/>
        </w:rPr>
        <w:t xml:space="preserve">Exporting data from </w:t>
      </w:r>
      <w:r>
        <w:rPr>
          <w:szCs w:val="20"/>
        </w:rPr>
        <w:t>Anatel’s</w:t>
      </w:r>
      <w:r w:rsidRPr="002B6640">
        <w:rPr>
          <w:szCs w:val="20"/>
        </w:rPr>
        <w:t xml:space="preserve"> Consumer Complaints Data Dashboard</w:t>
      </w:r>
      <w:r w:rsidRPr="00EA14AC">
        <w:rPr>
          <w:rFonts w:hAnsi="Calibri" w:cs="Calibri"/>
          <w:szCs w:val="20"/>
        </w:rPr>
        <w:t>.</w:t>
      </w:r>
    </w:p>
    <w:p w14:paraId="067D7947" w14:textId="466118AE" w:rsidR="002B6640" w:rsidRDefault="008A4449" w:rsidP="008A4449">
      <w:pPr>
        <w:spacing w:line="360" w:lineRule="auto"/>
        <w:jc w:val="left"/>
        <w:rPr>
          <w:rFonts w:hAnsi="Calibri" w:cs="Calibri"/>
          <w:szCs w:val="20"/>
        </w:rPr>
      </w:pPr>
      <w:r>
        <w:rPr>
          <w:noProof/>
        </w:rPr>
        <w:drawing>
          <wp:inline distT="0" distB="0" distL="0" distR="0" wp14:anchorId="23928343" wp14:editId="561C0D47">
            <wp:extent cx="6479540" cy="21945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2194560"/>
                    </a:xfrm>
                    <a:prstGeom prst="rect">
                      <a:avLst/>
                    </a:prstGeom>
                    <a:noFill/>
                    <a:ln>
                      <a:noFill/>
                    </a:ln>
                  </pic:spPr>
                </pic:pic>
              </a:graphicData>
            </a:graphic>
          </wp:inline>
        </w:drawing>
      </w:r>
    </w:p>
    <w:p w14:paraId="0D118B2F" w14:textId="0CC46A1C" w:rsidR="00244BA7" w:rsidRPr="00A8379B" w:rsidRDefault="00244BA7" w:rsidP="00A8379B">
      <w:pPr>
        <w:spacing w:before="240" w:line="240" w:lineRule="auto"/>
        <w:rPr>
          <w:szCs w:val="20"/>
        </w:rPr>
      </w:pPr>
      <w:r w:rsidRPr="00A8379B">
        <w:rPr>
          <w:szCs w:val="20"/>
        </w:rPr>
        <w:lastRenderedPageBreak/>
        <w:t xml:space="preserve">To properly export the data, </w:t>
      </w:r>
      <w:r w:rsidR="007119EA">
        <w:rPr>
          <w:szCs w:val="20"/>
        </w:rPr>
        <w:t>we</w:t>
      </w:r>
      <w:r w:rsidRPr="00A8379B">
        <w:rPr>
          <w:szCs w:val="20"/>
        </w:rPr>
        <w:t xml:space="preserve"> scroll down the page until </w:t>
      </w:r>
      <w:r w:rsidR="00F16879">
        <w:rPr>
          <w:szCs w:val="20"/>
        </w:rPr>
        <w:t>“</w:t>
      </w:r>
      <w:r w:rsidRPr="00A8379B">
        <w:rPr>
          <w:szCs w:val="20"/>
        </w:rPr>
        <w:t>Solicitações</w:t>
      </w:r>
      <w:r w:rsidR="00F16879">
        <w:rPr>
          <w:szCs w:val="20"/>
        </w:rPr>
        <w:t>”</w:t>
      </w:r>
      <w:r w:rsidRPr="00A8379B">
        <w:rPr>
          <w:szCs w:val="20"/>
        </w:rPr>
        <w:t xml:space="preserve"> (Requests) and expand all filter</w:t>
      </w:r>
      <w:r w:rsidR="00755F7B">
        <w:rPr>
          <w:szCs w:val="20"/>
        </w:rPr>
        <w:t>s</w:t>
      </w:r>
      <w:r w:rsidRPr="00A8379B">
        <w:rPr>
          <w:szCs w:val="20"/>
        </w:rPr>
        <w:t xml:space="preserve"> but the</w:t>
      </w:r>
      <w:r w:rsidR="00A8379B" w:rsidRPr="00A8379B">
        <w:rPr>
          <w:szCs w:val="20"/>
        </w:rPr>
        <w:t xml:space="preserve"> </w:t>
      </w:r>
      <w:r w:rsidRPr="00A8379B">
        <w:rPr>
          <w:szCs w:val="20"/>
        </w:rPr>
        <w:t xml:space="preserve">municipality. After that, </w:t>
      </w:r>
      <w:r w:rsidR="007119EA">
        <w:rPr>
          <w:szCs w:val="20"/>
        </w:rPr>
        <w:t xml:space="preserve">we </w:t>
      </w:r>
      <w:r w:rsidRPr="00A8379B">
        <w:rPr>
          <w:szCs w:val="20"/>
        </w:rPr>
        <w:t xml:space="preserve">click on </w:t>
      </w:r>
      <w:r w:rsidR="00F16879">
        <w:rPr>
          <w:szCs w:val="20"/>
        </w:rPr>
        <w:t>“</w:t>
      </w:r>
      <w:r w:rsidRPr="00A8379B">
        <w:rPr>
          <w:szCs w:val="20"/>
        </w:rPr>
        <w:t>Exportar Dados</w:t>
      </w:r>
      <w:r w:rsidR="00F16879">
        <w:rPr>
          <w:szCs w:val="20"/>
        </w:rPr>
        <w:t>”</w:t>
      </w:r>
      <w:r w:rsidRPr="00A8379B">
        <w:rPr>
          <w:szCs w:val="20"/>
        </w:rPr>
        <w:t xml:space="preserve"> (Export Data). </w:t>
      </w:r>
      <w:r w:rsidR="002C2B8B">
        <w:rPr>
          <w:szCs w:val="20"/>
        </w:rPr>
        <w:t>The data were down</w:t>
      </w:r>
      <w:r w:rsidRPr="00A8379B">
        <w:rPr>
          <w:szCs w:val="20"/>
        </w:rPr>
        <w:t>loaded in a .xlsx file with the format showed in Figure S3.</w:t>
      </w:r>
    </w:p>
    <w:p w14:paraId="5F1D76DC" w14:textId="37EC3267" w:rsidR="00A8379B" w:rsidRDefault="00A8379B" w:rsidP="00A8379B">
      <w:pPr>
        <w:keepNext/>
        <w:spacing w:before="240" w:line="360" w:lineRule="auto"/>
        <w:jc w:val="center"/>
        <w:rPr>
          <w:rFonts w:hAnsi="Calibri" w:cs="Calibri"/>
          <w:szCs w:val="20"/>
        </w:rPr>
      </w:pPr>
      <w:r w:rsidRPr="00EA14AC">
        <w:rPr>
          <w:rFonts w:hAnsi="Calibri" w:cs="Calibri"/>
          <w:b/>
          <w:bCs/>
          <w:szCs w:val="20"/>
        </w:rPr>
        <w:t xml:space="preserve">Figure </w:t>
      </w:r>
      <w:r>
        <w:rPr>
          <w:rFonts w:hAnsi="Calibri" w:cs="Calibri"/>
          <w:b/>
          <w:bCs/>
          <w:szCs w:val="20"/>
        </w:rPr>
        <w:t>S3</w:t>
      </w:r>
      <w:r w:rsidRPr="00EA14AC">
        <w:rPr>
          <w:rFonts w:hAnsi="Calibri" w:cs="Calibri"/>
          <w:b/>
          <w:bCs/>
          <w:szCs w:val="20"/>
        </w:rPr>
        <w:t>.</w:t>
      </w:r>
      <w:r w:rsidRPr="00EA14AC">
        <w:rPr>
          <w:rFonts w:hAnsi="Calibri" w:cs="Calibri"/>
          <w:szCs w:val="20"/>
        </w:rPr>
        <w:t xml:space="preserve"> </w:t>
      </w:r>
      <w:r>
        <w:rPr>
          <w:rFonts w:hAnsi="Calibri" w:cs="Calibri"/>
          <w:szCs w:val="20"/>
        </w:rPr>
        <w:t>Format of c</w:t>
      </w:r>
      <w:r w:rsidRPr="002B6640">
        <w:rPr>
          <w:szCs w:val="20"/>
        </w:rPr>
        <w:t xml:space="preserve">onsumer </w:t>
      </w:r>
      <w:r>
        <w:rPr>
          <w:szCs w:val="20"/>
        </w:rPr>
        <w:t>c</w:t>
      </w:r>
      <w:r w:rsidRPr="002B6640">
        <w:rPr>
          <w:szCs w:val="20"/>
        </w:rPr>
        <w:t xml:space="preserve">omplaints </w:t>
      </w:r>
      <w:r>
        <w:rPr>
          <w:szCs w:val="20"/>
        </w:rPr>
        <w:t>d</w:t>
      </w:r>
      <w:r w:rsidRPr="002B6640">
        <w:rPr>
          <w:szCs w:val="20"/>
        </w:rPr>
        <w:t xml:space="preserve">ata </w:t>
      </w:r>
      <w:r>
        <w:rPr>
          <w:szCs w:val="20"/>
        </w:rPr>
        <w:t>exported to a .xlsx file</w:t>
      </w:r>
      <w:r w:rsidRPr="00EA14AC">
        <w:rPr>
          <w:rFonts w:hAnsi="Calibri" w:cs="Calibri"/>
          <w:szCs w:val="20"/>
        </w:rPr>
        <w:t>.</w:t>
      </w:r>
    </w:p>
    <w:p w14:paraId="689624DA" w14:textId="63B8037F" w:rsidR="00244BA7" w:rsidRDefault="00A8379B" w:rsidP="00A8379B">
      <w:pPr>
        <w:spacing w:line="360" w:lineRule="auto"/>
        <w:jc w:val="left"/>
        <w:rPr>
          <w:rFonts w:hAnsi="Calibri" w:cs="Calibri"/>
          <w:szCs w:val="20"/>
        </w:rPr>
      </w:pPr>
      <w:r>
        <w:rPr>
          <w:rFonts w:hAnsi="Calibri" w:cs="Calibri"/>
          <w:noProof/>
          <w:szCs w:val="20"/>
        </w:rPr>
        <w:drawing>
          <wp:inline distT="0" distB="0" distL="0" distR="0" wp14:anchorId="725D0875" wp14:editId="12C9D333">
            <wp:extent cx="6472555" cy="1503045"/>
            <wp:effectExtent l="0" t="0" r="4445"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2555" cy="1503045"/>
                    </a:xfrm>
                    <a:prstGeom prst="rect">
                      <a:avLst/>
                    </a:prstGeom>
                    <a:noFill/>
                    <a:ln>
                      <a:noFill/>
                    </a:ln>
                  </pic:spPr>
                </pic:pic>
              </a:graphicData>
            </a:graphic>
          </wp:inline>
        </w:drawing>
      </w:r>
    </w:p>
    <w:p w14:paraId="1B23AB45" w14:textId="74E27F0C" w:rsidR="003A5164" w:rsidRDefault="007119EA" w:rsidP="003A5164">
      <w:pPr>
        <w:spacing w:before="240" w:line="240" w:lineRule="auto"/>
        <w:rPr>
          <w:szCs w:val="20"/>
        </w:rPr>
      </w:pPr>
      <w:r>
        <w:rPr>
          <w:szCs w:val="20"/>
        </w:rPr>
        <w:t>We</w:t>
      </w:r>
      <w:r w:rsidR="003A5164" w:rsidRPr="003A5164">
        <w:rPr>
          <w:szCs w:val="20"/>
        </w:rPr>
        <w:t xml:space="preserve"> sum the numbers of complaints</w:t>
      </w:r>
      <w:r w:rsidR="003A5164">
        <w:rPr>
          <w:szCs w:val="20"/>
        </w:rPr>
        <w:t>,</w:t>
      </w:r>
      <w:r w:rsidR="003A5164" w:rsidRPr="003A5164">
        <w:rPr>
          <w:szCs w:val="20"/>
        </w:rPr>
        <w:t xml:space="preserve"> </w:t>
      </w:r>
      <w:r w:rsidR="00F12038">
        <w:rPr>
          <w:szCs w:val="20"/>
        </w:rPr>
        <w:t>in column</w:t>
      </w:r>
      <w:r w:rsidR="003A5164" w:rsidRPr="003A5164">
        <w:rPr>
          <w:szCs w:val="20"/>
        </w:rPr>
        <w:t xml:space="preserve"> F</w:t>
      </w:r>
      <w:r w:rsidR="003A5164">
        <w:rPr>
          <w:szCs w:val="20"/>
        </w:rPr>
        <w:t>,</w:t>
      </w:r>
      <w:r w:rsidR="003A5164" w:rsidRPr="003A5164">
        <w:rPr>
          <w:szCs w:val="20"/>
        </w:rPr>
        <w:t xml:space="preserve"> according state and municipalities</w:t>
      </w:r>
      <w:r w:rsidR="003A5164">
        <w:rPr>
          <w:szCs w:val="20"/>
        </w:rPr>
        <w:t>,</w:t>
      </w:r>
      <w:r w:rsidR="003A5164" w:rsidRPr="003A5164">
        <w:rPr>
          <w:szCs w:val="20"/>
        </w:rPr>
        <w:t xml:space="preserve"> </w:t>
      </w:r>
      <w:r w:rsidR="00F12038">
        <w:rPr>
          <w:szCs w:val="20"/>
        </w:rPr>
        <w:t>in column</w:t>
      </w:r>
      <w:r w:rsidR="003A5164" w:rsidRPr="003A5164">
        <w:rPr>
          <w:szCs w:val="20"/>
        </w:rPr>
        <w:t>s C and D</w:t>
      </w:r>
      <w:r w:rsidR="003A5164">
        <w:rPr>
          <w:szCs w:val="20"/>
        </w:rPr>
        <w:t>,</w:t>
      </w:r>
      <w:r w:rsidR="003A5164" w:rsidRPr="003A5164">
        <w:rPr>
          <w:szCs w:val="20"/>
        </w:rPr>
        <w:t xml:space="preserve"> to determine the total complains per municipality of Brazil.</w:t>
      </w:r>
    </w:p>
    <w:p w14:paraId="772A7C23" w14:textId="78AFAB47" w:rsidR="003A5164" w:rsidRDefault="003A5164" w:rsidP="003A5164">
      <w:pPr>
        <w:spacing w:before="240" w:after="240" w:line="240" w:lineRule="auto"/>
        <w:rPr>
          <w:rFonts w:hAnsi="Calibri" w:cs="Calibri"/>
          <w:szCs w:val="20"/>
        </w:rPr>
      </w:pPr>
      <w:r>
        <w:rPr>
          <w:szCs w:val="20"/>
        </w:rPr>
        <w:t>The Anatel’s</w:t>
      </w:r>
      <w:r w:rsidRPr="002B6640">
        <w:rPr>
          <w:szCs w:val="20"/>
        </w:rPr>
        <w:t xml:space="preserve"> </w:t>
      </w:r>
      <w:r w:rsidRPr="003A5164">
        <w:rPr>
          <w:szCs w:val="20"/>
        </w:rPr>
        <w:t>PCS Access Data Dashboard</w:t>
      </w:r>
      <w:r w:rsidRPr="002B6640">
        <w:rPr>
          <w:szCs w:val="20"/>
        </w:rPr>
        <w:t xml:space="preserve"> </w:t>
      </w:r>
      <w:r>
        <w:rPr>
          <w:szCs w:val="20"/>
        </w:rPr>
        <w:t xml:space="preserve">are available in internet at this </w:t>
      </w:r>
      <w:hyperlink r:id="rId12" w:history="1">
        <w:r w:rsidRPr="003A5164">
          <w:rPr>
            <w:rStyle w:val="Hyperlink"/>
            <w:szCs w:val="20"/>
          </w:rPr>
          <w:t>page</w:t>
        </w:r>
      </w:hyperlink>
      <w:r>
        <w:rPr>
          <w:szCs w:val="20"/>
        </w:rPr>
        <w:t xml:space="preserve">. Figure S4 shows this dashboard and how to select the necessary data to </w:t>
      </w:r>
      <w:r w:rsidRPr="00EA14AC">
        <w:rPr>
          <w:szCs w:val="20"/>
        </w:rPr>
        <w:t>generate</w:t>
      </w:r>
      <w:r w:rsidRPr="00382F3A">
        <w:rPr>
          <w:rFonts w:ascii="Cambria Math" w:hAnsi="Cambria Math"/>
          <w:szCs w:val="20"/>
        </w:rPr>
        <w:t xml:space="preserve"> </w:t>
      </w:r>
      <w:r w:rsidRPr="00EA14AC">
        <w:rPr>
          <w:rFonts w:ascii="Cambria Math" w:hAnsi="Cambria Math"/>
          <w:szCs w:val="20"/>
        </w:rPr>
        <w:t>𝒖(0)</w:t>
      </w:r>
      <w:r w:rsidRPr="00382F3A">
        <w:rPr>
          <w:rFonts w:hAnsi="Calibri" w:cs="Calibri"/>
          <w:szCs w:val="20"/>
        </w:rPr>
        <w:t>.</w:t>
      </w:r>
    </w:p>
    <w:p w14:paraId="0F9B84FB" w14:textId="4B92B133" w:rsidR="00755F7B" w:rsidRDefault="003A5164" w:rsidP="008917DB">
      <w:pPr>
        <w:keepNext/>
        <w:spacing w:before="240" w:line="240" w:lineRule="auto"/>
        <w:jc w:val="center"/>
        <w:rPr>
          <w:rFonts w:hAnsi="Calibri" w:cs="Calibri"/>
          <w:szCs w:val="20"/>
        </w:rPr>
      </w:pPr>
      <w:r w:rsidRPr="00EA14AC">
        <w:rPr>
          <w:rFonts w:hAnsi="Calibri" w:cs="Calibri"/>
          <w:b/>
          <w:bCs/>
          <w:szCs w:val="20"/>
        </w:rPr>
        <w:t xml:space="preserve">Figure </w:t>
      </w:r>
      <w:r>
        <w:rPr>
          <w:rFonts w:hAnsi="Calibri" w:cs="Calibri"/>
          <w:b/>
          <w:bCs/>
          <w:szCs w:val="20"/>
        </w:rPr>
        <w:t>S4</w:t>
      </w:r>
      <w:r w:rsidRPr="00EA14AC">
        <w:rPr>
          <w:rFonts w:hAnsi="Calibri" w:cs="Calibri"/>
          <w:b/>
          <w:bCs/>
          <w:szCs w:val="20"/>
        </w:rPr>
        <w:t>.</w:t>
      </w:r>
      <w:r w:rsidRPr="00EA14AC">
        <w:rPr>
          <w:rFonts w:hAnsi="Calibri" w:cs="Calibri"/>
          <w:szCs w:val="20"/>
        </w:rPr>
        <w:t xml:space="preserve"> </w:t>
      </w:r>
      <w:r>
        <w:rPr>
          <w:rFonts w:hAnsi="Calibri" w:cs="Calibri"/>
          <w:szCs w:val="20"/>
        </w:rPr>
        <w:t xml:space="preserve">Selecting data in </w:t>
      </w:r>
      <w:r>
        <w:rPr>
          <w:szCs w:val="20"/>
        </w:rPr>
        <w:t>Anatel’s</w:t>
      </w:r>
      <w:r w:rsidRPr="002B6640">
        <w:rPr>
          <w:szCs w:val="20"/>
        </w:rPr>
        <w:t xml:space="preserve"> </w:t>
      </w:r>
      <w:r w:rsidRPr="003A5164">
        <w:rPr>
          <w:szCs w:val="20"/>
        </w:rPr>
        <w:t>PCS Access Data Dashboard</w:t>
      </w:r>
      <w:r w:rsidRPr="00EA14AC">
        <w:rPr>
          <w:rFonts w:hAnsi="Calibri" w:cs="Calibri"/>
          <w:szCs w:val="20"/>
        </w:rPr>
        <w:t>.</w:t>
      </w:r>
    </w:p>
    <w:p w14:paraId="33E9461F" w14:textId="4FFF48DF" w:rsidR="003A5164" w:rsidRDefault="00755F7B" w:rsidP="00755F7B">
      <w:pPr>
        <w:spacing w:line="360" w:lineRule="auto"/>
        <w:jc w:val="left"/>
        <w:rPr>
          <w:rFonts w:hAnsi="Calibri" w:cs="Calibri"/>
          <w:noProof/>
          <w:szCs w:val="20"/>
        </w:rPr>
      </w:pPr>
      <w:r>
        <w:rPr>
          <w:rFonts w:hAnsi="Calibri" w:cs="Calibri"/>
          <w:noProof/>
          <w:szCs w:val="20"/>
        </w:rPr>
        <w:drawing>
          <wp:inline distT="0" distB="0" distL="0" distR="0" wp14:anchorId="477C02AA" wp14:editId="01695673">
            <wp:extent cx="6472555" cy="2027555"/>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2555" cy="2027555"/>
                    </a:xfrm>
                    <a:prstGeom prst="rect">
                      <a:avLst/>
                    </a:prstGeom>
                    <a:noFill/>
                    <a:ln>
                      <a:noFill/>
                    </a:ln>
                  </pic:spPr>
                </pic:pic>
              </a:graphicData>
            </a:graphic>
          </wp:inline>
        </w:drawing>
      </w:r>
    </w:p>
    <w:p w14:paraId="1733F366" w14:textId="1C56FAAA" w:rsidR="003A5164" w:rsidRDefault="003A5164" w:rsidP="003A5164">
      <w:pPr>
        <w:spacing w:before="240" w:line="360" w:lineRule="auto"/>
        <w:jc w:val="left"/>
        <w:rPr>
          <w:rFonts w:hAnsi="Calibri" w:cs="Calibri"/>
          <w:szCs w:val="20"/>
        </w:rPr>
      </w:pPr>
      <w:r>
        <w:rPr>
          <w:rFonts w:hAnsi="Calibri" w:cs="Calibri"/>
          <w:szCs w:val="20"/>
        </w:rPr>
        <w:t>To properly select the data</w:t>
      </w:r>
      <w:r w:rsidR="00F16879">
        <w:rPr>
          <w:rFonts w:hAnsi="Calibri" w:cs="Calibri"/>
          <w:szCs w:val="20"/>
        </w:rPr>
        <w:t>, we have chosen</w:t>
      </w:r>
      <w:r>
        <w:rPr>
          <w:rFonts w:hAnsi="Calibri" w:cs="Calibri"/>
          <w:szCs w:val="20"/>
        </w:rPr>
        <w:t>:</w:t>
      </w:r>
    </w:p>
    <w:p w14:paraId="3F0D4541" w14:textId="3F3E7B39" w:rsidR="003A5164" w:rsidRDefault="00F16879" w:rsidP="00755F7B">
      <w:pPr>
        <w:pStyle w:val="PargrafodaLista"/>
        <w:numPr>
          <w:ilvl w:val="0"/>
          <w:numId w:val="6"/>
        </w:numPr>
        <w:spacing w:line="240" w:lineRule="auto"/>
        <w:jc w:val="left"/>
        <w:rPr>
          <w:rFonts w:hAnsi="Calibri" w:cs="Calibri"/>
          <w:szCs w:val="20"/>
        </w:rPr>
      </w:pPr>
      <w:r>
        <w:rPr>
          <w:rFonts w:hAnsi="Calibri" w:cs="Calibri"/>
          <w:szCs w:val="20"/>
        </w:rPr>
        <w:t>“</w:t>
      </w:r>
      <w:r w:rsidR="00755F7B">
        <w:rPr>
          <w:rFonts w:hAnsi="Calibri" w:cs="Calibri"/>
          <w:szCs w:val="20"/>
        </w:rPr>
        <w:t>Período</w:t>
      </w:r>
      <w:r>
        <w:rPr>
          <w:rFonts w:hAnsi="Calibri" w:cs="Calibri"/>
          <w:szCs w:val="20"/>
        </w:rPr>
        <w:t>”</w:t>
      </w:r>
      <w:r w:rsidR="00755F7B">
        <w:rPr>
          <w:rFonts w:hAnsi="Calibri" w:cs="Calibri"/>
          <w:szCs w:val="20"/>
        </w:rPr>
        <w:t xml:space="preserve">: </w:t>
      </w:r>
      <w:r>
        <w:rPr>
          <w:rFonts w:hAnsi="Calibri" w:cs="Calibri"/>
          <w:szCs w:val="20"/>
        </w:rPr>
        <w:t>“</w:t>
      </w:r>
      <w:r w:rsidR="00755F7B">
        <w:rPr>
          <w:rFonts w:hAnsi="Calibri" w:cs="Calibri"/>
          <w:szCs w:val="20"/>
        </w:rPr>
        <w:t>jul-</w:t>
      </w:r>
      <w:r w:rsidR="003A5164">
        <w:rPr>
          <w:rFonts w:hAnsi="Calibri" w:cs="Calibri"/>
          <w:szCs w:val="20"/>
        </w:rPr>
        <w:t>2022</w:t>
      </w:r>
      <w:r>
        <w:rPr>
          <w:rFonts w:hAnsi="Calibri" w:cs="Calibri"/>
          <w:szCs w:val="20"/>
        </w:rPr>
        <w:t>”</w:t>
      </w:r>
      <w:r w:rsidR="003A5164">
        <w:rPr>
          <w:rFonts w:hAnsi="Calibri" w:cs="Calibri"/>
          <w:szCs w:val="20"/>
        </w:rPr>
        <w:t xml:space="preserve"> (</w:t>
      </w:r>
      <w:r w:rsidR="00755F7B">
        <w:rPr>
          <w:rFonts w:hAnsi="Calibri" w:cs="Calibri"/>
          <w:szCs w:val="20"/>
        </w:rPr>
        <w:t>Period: July-2022</w:t>
      </w:r>
      <w:r w:rsidR="003A5164">
        <w:rPr>
          <w:rFonts w:hAnsi="Calibri" w:cs="Calibri"/>
          <w:szCs w:val="20"/>
        </w:rPr>
        <w:t>)</w:t>
      </w:r>
    </w:p>
    <w:p w14:paraId="432501EC" w14:textId="638D4FB1" w:rsidR="003A5164" w:rsidRDefault="00F16879" w:rsidP="00755F7B">
      <w:pPr>
        <w:pStyle w:val="PargrafodaLista"/>
        <w:numPr>
          <w:ilvl w:val="0"/>
          <w:numId w:val="6"/>
        </w:numPr>
        <w:spacing w:line="240" w:lineRule="auto"/>
        <w:jc w:val="left"/>
        <w:rPr>
          <w:rFonts w:hAnsi="Calibri" w:cs="Calibri"/>
          <w:szCs w:val="20"/>
        </w:rPr>
      </w:pPr>
      <w:r>
        <w:rPr>
          <w:rFonts w:hAnsi="Calibri" w:cs="Calibri"/>
          <w:szCs w:val="20"/>
        </w:rPr>
        <w:t>“</w:t>
      </w:r>
      <w:r w:rsidR="00755F7B">
        <w:rPr>
          <w:rFonts w:hAnsi="Calibri" w:cs="Calibri"/>
          <w:szCs w:val="20"/>
        </w:rPr>
        <w:t>Município</w:t>
      </w:r>
      <w:r>
        <w:rPr>
          <w:rFonts w:hAnsi="Calibri" w:cs="Calibri"/>
          <w:szCs w:val="20"/>
        </w:rPr>
        <w:t>”</w:t>
      </w:r>
      <w:r w:rsidR="00755F7B">
        <w:rPr>
          <w:rFonts w:hAnsi="Calibri" w:cs="Calibri"/>
          <w:szCs w:val="20"/>
        </w:rPr>
        <w:t xml:space="preserve">: </w:t>
      </w:r>
      <w:r>
        <w:rPr>
          <w:rFonts w:hAnsi="Calibri" w:cs="Calibri"/>
          <w:szCs w:val="20"/>
        </w:rPr>
        <w:t>“</w:t>
      </w:r>
      <w:r w:rsidR="00755F7B">
        <w:rPr>
          <w:rFonts w:hAnsi="Calibri" w:cs="Calibri"/>
          <w:szCs w:val="20"/>
        </w:rPr>
        <w:t>Selecionar todos</w:t>
      </w:r>
      <w:r>
        <w:rPr>
          <w:rFonts w:hAnsi="Calibri" w:cs="Calibri"/>
          <w:szCs w:val="20"/>
        </w:rPr>
        <w:t>”</w:t>
      </w:r>
      <w:r w:rsidR="00755F7B">
        <w:rPr>
          <w:rFonts w:hAnsi="Calibri" w:cs="Calibri"/>
          <w:szCs w:val="20"/>
        </w:rPr>
        <w:t xml:space="preserve"> (Municipality: Select all)</w:t>
      </w:r>
    </w:p>
    <w:p w14:paraId="7DC78236" w14:textId="6AE18073" w:rsidR="003A5164" w:rsidRPr="00486DBF" w:rsidRDefault="003A5164" w:rsidP="003A5164">
      <w:pPr>
        <w:spacing w:before="240" w:line="240" w:lineRule="auto"/>
        <w:jc w:val="left"/>
        <w:rPr>
          <w:rFonts w:hAnsi="Calibri" w:cs="Calibri"/>
          <w:szCs w:val="20"/>
        </w:rPr>
      </w:pPr>
      <w:r>
        <w:rPr>
          <w:szCs w:val="20"/>
        </w:rPr>
        <w:t>Figure S</w:t>
      </w:r>
      <w:r w:rsidR="00755F7B">
        <w:rPr>
          <w:szCs w:val="20"/>
        </w:rPr>
        <w:t>5</w:t>
      </w:r>
      <w:r>
        <w:rPr>
          <w:szCs w:val="20"/>
        </w:rPr>
        <w:t xml:space="preserve"> shows how to export the necessary data</w:t>
      </w:r>
      <w:r w:rsidR="00755F7B">
        <w:rPr>
          <w:szCs w:val="20"/>
        </w:rPr>
        <w:t>.</w:t>
      </w:r>
    </w:p>
    <w:p w14:paraId="69DB5CC2" w14:textId="317FC50E" w:rsidR="003A5164" w:rsidRDefault="003A5164" w:rsidP="003A5164">
      <w:pPr>
        <w:keepNext/>
        <w:spacing w:before="240" w:line="360" w:lineRule="auto"/>
        <w:jc w:val="center"/>
        <w:rPr>
          <w:rFonts w:hAnsi="Calibri" w:cs="Calibri"/>
          <w:szCs w:val="20"/>
        </w:rPr>
      </w:pPr>
      <w:r w:rsidRPr="00EA14AC">
        <w:rPr>
          <w:rFonts w:hAnsi="Calibri" w:cs="Calibri"/>
          <w:b/>
          <w:bCs/>
          <w:szCs w:val="20"/>
        </w:rPr>
        <w:lastRenderedPageBreak/>
        <w:t xml:space="preserve">Figure </w:t>
      </w:r>
      <w:r>
        <w:rPr>
          <w:rFonts w:hAnsi="Calibri" w:cs="Calibri"/>
          <w:b/>
          <w:bCs/>
          <w:szCs w:val="20"/>
        </w:rPr>
        <w:t>S</w:t>
      </w:r>
      <w:r w:rsidR="00755F7B">
        <w:rPr>
          <w:rFonts w:hAnsi="Calibri" w:cs="Calibri"/>
          <w:b/>
          <w:bCs/>
          <w:szCs w:val="20"/>
        </w:rPr>
        <w:t>5</w:t>
      </w:r>
      <w:r w:rsidRPr="00EA14AC">
        <w:rPr>
          <w:rFonts w:hAnsi="Calibri" w:cs="Calibri"/>
          <w:b/>
          <w:bCs/>
          <w:szCs w:val="20"/>
        </w:rPr>
        <w:t>.</w:t>
      </w:r>
      <w:r w:rsidRPr="00EA14AC">
        <w:rPr>
          <w:rFonts w:hAnsi="Calibri" w:cs="Calibri"/>
          <w:szCs w:val="20"/>
        </w:rPr>
        <w:t xml:space="preserve"> </w:t>
      </w:r>
      <w:r>
        <w:rPr>
          <w:rFonts w:hAnsi="Calibri" w:cs="Calibri"/>
          <w:szCs w:val="20"/>
        </w:rPr>
        <w:t xml:space="preserve">Exporting data from </w:t>
      </w:r>
      <w:r w:rsidR="00755F7B">
        <w:rPr>
          <w:szCs w:val="20"/>
        </w:rPr>
        <w:t>Anatel’s</w:t>
      </w:r>
      <w:r w:rsidR="00755F7B" w:rsidRPr="002B6640">
        <w:rPr>
          <w:szCs w:val="20"/>
        </w:rPr>
        <w:t xml:space="preserve"> </w:t>
      </w:r>
      <w:r w:rsidR="00755F7B" w:rsidRPr="003A5164">
        <w:rPr>
          <w:szCs w:val="20"/>
        </w:rPr>
        <w:t>PCS Access Data Dashboard</w:t>
      </w:r>
      <w:r w:rsidRPr="00EA14AC">
        <w:rPr>
          <w:rFonts w:hAnsi="Calibri" w:cs="Calibri"/>
          <w:szCs w:val="20"/>
        </w:rPr>
        <w:t>.</w:t>
      </w:r>
    </w:p>
    <w:p w14:paraId="1F826428" w14:textId="6D7C9494" w:rsidR="003A5164" w:rsidRDefault="00755F7B" w:rsidP="003A5164">
      <w:pPr>
        <w:spacing w:line="360" w:lineRule="auto"/>
        <w:jc w:val="left"/>
        <w:rPr>
          <w:rFonts w:hAnsi="Calibri" w:cs="Calibri"/>
          <w:szCs w:val="20"/>
        </w:rPr>
      </w:pPr>
      <w:r>
        <w:rPr>
          <w:rFonts w:hAnsi="Calibri" w:cs="Calibri"/>
          <w:noProof/>
          <w:szCs w:val="20"/>
        </w:rPr>
        <w:drawing>
          <wp:inline distT="0" distB="0" distL="0" distR="0" wp14:anchorId="2E473902" wp14:editId="6010543D">
            <wp:extent cx="6479540" cy="2281555"/>
            <wp:effectExtent l="0" t="0" r="0" b="444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9540" cy="2281555"/>
                    </a:xfrm>
                    <a:prstGeom prst="rect">
                      <a:avLst/>
                    </a:prstGeom>
                    <a:noFill/>
                    <a:ln>
                      <a:noFill/>
                    </a:ln>
                  </pic:spPr>
                </pic:pic>
              </a:graphicData>
            </a:graphic>
          </wp:inline>
        </w:drawing>
      </w:r>
    </w:p>
    <w:p w14:paraId="684918A9" w14:textId="08F58057" w:rsidR="003A5164" w:rsidRPr="00A8379B" w:rsidRDefault="003A5164" w:rsidP="003A5164">
      <w:pPr>
        <w:spacing w:before="240" w:line="240" w:lineRule="auto"/>
        <w:rPr>
          <w:szCs w:val="20"/>
        </w:rPr>
      </w:pPr>
      <w:r w:rsidRPr="00A8379B">
        <w:rPr>
          <w:szCs w:val="20"/>
        </w:rPr>
        <w:t>To properly export the data</w:t>
      </w:r>
      <w:r w:rsidR="007119EA">
        <w:rPr>
          <w:szCs w:val="20"/>
        </w:rPr>
        <w:t>, we</w:t>
      </w:r>
      <w:r w:rsidRPr="00A8379B">
        <w:rPr>
          <w:szCs w:val="20"/>
        </w:rPr>
        <w:t xml:space="preserve"> scroll down the page until </w:t>
      </w:r>
      <w:r w:rsidR="00F16879">
        <w:rPr>
          <w:szCs w:val="20"/>
        </w:rPr>
        <w:t>“</w:t>
      </w:r>
      <w:r w:rsidR="00755F7B">
        <w:rPr>
          <w:szCs w:val="20"/>
        </w:rPr>
        <w:t>Acessos de Telefonia Móvel</w:t>
      </w:r>
      <w:r w:rsidR="00F16879">
        <w:rPr>
          <w:szCs w:val="20"/>
        </w:rPr>
        <w:t>”</w:t>
      </w:r>
      <w:r w:rsidRPr="00A8379B">
        <w:rPr>
          <w:szCs w:val="20"/>
        </w:rPr>
        <w:t xml:space="preserve"> (</w:t>
      </w:r>
      <w:r w:rsidR="00755F7B" w:rsidRPr="00755F7B">
        <w:rPr>
          <w:szCs w:val="20"/>
        </w:rPr>
        <w:t>Mobile Phone Accesses</w:t>
      </w:r>
      <w:r w:rsidRPr="00A8379B">
        <w:rPr>
          <w:szCs w:val="20"/>
        </w:rPr>
        <w:t>) and expand all filter</w:t>
      </w:r>
      <w:r w:rsidR="00755F7B">
        <w:rPr>
          <w:szCs w:val="20"/>
        </w:rPr>
        <w:t>s</w:t>
      </w:r>
      <w:r w:rsidRPr="00A8379B">
        <w:rPr>
          <w:szCs w:val="20"/>
        </w:rPr>
        <w:t xml:space="preserve">. After that, </w:t>
      </w:r>
      <w:r w:rsidR="002C2B8B">
        <w:rPr>
          <w:szCs w:val="20"/>
        </w:rPr>
        <w:t>we</w:t>
      </w:r>
      <w:r w:rsidRPr="00A8379B">
        <w:rPr>
          <w:szCs w:val="20"/>
        </w:rPr>
        <w:t xml:space="preserve"> click on </w:t>
      </w:r>
      <w:r w:rsidR="00F16879">
        <w:rPr>
          <w:szCs w:val="20"/>
        </w:rPr>
        <w:t>“</w:t>
      </w:r>
      <w:r w:rsidRPr="00A8379B">
        <w:rPr>
          <w:szCs w:val="20"/>
        </w:rPr>
        <w:t>Exportar Dados</w:t>
      </w:r>
      <w:r w:rsidR="00F16879">
        <w:rPr>
          <w:szCs w:val="20"/>
        </w:rPr>
        <w:t>”</w:t>
      </w:r>
      <w:r w:rsidRPr="00A8379B">
        <w:rPr>
          <w:szCs w:val="20"/>
        </w:rPr>
        <w:t xml:space="preserve"> (Export Data). </w:t>
      </w:r>
      <w:r w:rsidR="002C2B8B">
        <w:rPr>
          <w:szCs w:val="20"/>
        </w:rPr>
        <w:t>The data were down</w:t>
      </w:r>
      <w:r w:rsidRPr="00A8379B">
        <w:rPr>
          <w:szCs w:val="20"/>
        </w:rPr>
        <w:t>loaded in a .xlsx file with the format showed in Figure S</w:t>
      </w:r>
      <w:r w:rsidR="006B772D">
        <w:rPr>
          <w:szCs w:val="20"/>
        </w:rPr>
        <w:t>6</w:t>
      </w:r>
      <w:r w:rsidRPr="00A8379B">
        <w:rPr>
          <w:szCs w:val="20"/>
        </w:rPr>
        <w:t>.</w:t>
      </w:r>
    </w:p>
    <w:p w14:paraId="57440C32" w14:textId="43B07098" w:rsidR="003A5164" w:rsidRDefault="003A5164" w:rsidP="003A5164">
      <w:pPr>
        <w:keepNext/>
        <w:spacing w:before="240" w:line="360" w:lineRule="auto"/>
        <w:jc w:val="center"/>
        <w:rPr>
          <w:rFonts w:hAnsi="Calibri" w:cs="Calibri"/>
          <w:szCs w:val="20"/>
        </w:rPr>
      </w:pPr>
      <w:r w:rsidRPr="00EA14AC">
        <w:rPr>
          <w:rFonts w:hAnsi="Calibri" w:cs="Calibri"/>
          <w:b/>
          <w:bCs/>
          <w:szCs w:val="20"/>
        </w:rPr>
        <w:t xml:space="preserve">Figure </w:t>
      </w:r>
      <w:r>
        <w:rPr>
          <w:rFonts w:hAnsi="Calibri" w:cs="Calibri"/>
          <w:b/>
          <w:bCs/>
          <w:szCs w:val="20"/>
        </w:rPr>
        <w:t>S</w:t>
      </w:r>
      <w:r w:rsidR="00755F7B">
        <w:rPr>
          <w:rFonts w:hAnsi="Calibri" w:cs="Calibri"/>
          <w:b/>
          <w:bCs/>
          <w:szCs w:val="20"/>
        </w:rPr>
        <w:t>6</w:t>
      </w:r>
      <w:r w:rsidRPr="00EA14AC">
        <w:rPr>
          <w:rFonts w:hAnsi="Calibri" w:cs="Calibri"/>
          <w:b/>
          <w:bCs/>
          <w:szCs w:val="20"/>
        </w:rPr>
        <w:t>.</w:t>
      </w:r>
      <w:r w:rsidRPr="00EA14AC">
        <w:rPr>
          <w:rFonts w:hAnsi="Calibri" w:cs="Calibri"/>
          <w:szCs w:val="20"/>
        </w:rPr>
        <w:t xml:space="preserve"> </w:t>
      </w:r>
      <w:r w:rsidR="006B772D" w:rsidRPr="006B772D">
        <w:rPr>
          <w:rFonts w:hAnsi="Calibri" w:cs="Calibri"/>
          <w:szCs w:val="20"/>
        </w:rPr>
        <w:t>Format of PCS consumers data exported to a .xlsx file</w:t>
      </w:r>
      <w:r w:rsidRPr="00EA14AC">
        <w:rPr>
          <w:rFonts w:hAnsi="Calibri" w:cs="Calibri"/>
          <w:szCs w:val="20"/>
        </w:rPr>
        <w:t>.</w:t>
      </w:r>
    </w:p>
    <w:p w14:paraId="6894BD38" w14:textId="67C4ECA7" w:rsidR="003A5164" w:rsidRDefault="006B772D" w:rsidP="003A5164">
      <w:pPr>
        <w:spacing w:line="360" w:lineRule="auto"/>
        <w:jc w:val="left"/>
        <w:rPr>
          <w:rFonts w:hAnsi="Calibri" w:cs="Calibri"/>
          <w:noProof/>
          <w:szCs w:val="20"/>
        </w:rPr>
      </w:pPr>
      <w:r>
        <w:rPr>
          <w:rFonts w:hAnsi="Calibri" w:cs="Calibri"/>
          <w:noProof/>
          <w:szCs w:val="20"/>
        </w:rPr>
        <w:drawing>
          <wp:inline distT="0" distB="0" distL="0" distR="0" wp14:anchorId="5B1B6BEB" wp14:editId="38F69BD4">
            <wp:extent cx="6472555" cy="1605915"/>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2555" cy="1605915"/>
                    </a:xfrm>
                    <a:prstGeom prst="rect">
                      <a:avLst/>
                    </a:prstGeom>
                    <a:noFill/>
                    <a:ln>
                      <a:noFill/>
                    </a:ln>
                  </pic:spPr>
                </pic:pic>
              </a:graphicData>
            </a:graphic>
          </wp:inline>
        </w:drawing>
      </w:r>
    </w:p>
    <w:p w14:paraId="4DE966AD" w14:textId="61350F8B" w:rsidR="006B772D" w:rsidRDefault="002C2B8B" w:rsidP="003A5164">
      <w:pPr>
        <w:spacing w:before="240" w:line="240" w:lineRule="auto"/>
        <w:rPr>
          <w:rFonts w:hAnsi="Calibri" w:cs="Calibri"/>
          <w:szCs w:val="20"/>
        </w:rPr>
      </w:pPr>
      <w:r>
        <w:rPr>
          <w:szCs w:val="20"/>
        </w:rPr>
        <w:t>We</w:t>
      </w:r>
      <w:r w:rsidR="003A5164" w:rsidRPr="003A5164">
        <w:rPr>
          <w:szCs w:val="20"/>
        </w:rPr>
        <w:t xml:space="preserve"> sum the numbers of </w:t>
      </w:r>
      <w:r w:rsidR="006B772D">
        <w:rPr>
          <w:szCs w:val="20"/>
        </w:rPr>
        <w:t>PCS consumers</w:t>
      </w:r>
      <w:r w:rsidR="003A5164">
        <w:rPr>
          <w:szCs w:val="20"/>
        </w:rPr>
        <w:t>,</w:t>
      </w:r>
      <w:r w:rsidR="003A5164" w:rsidRPr="003A5164">
        <w:rPr>
          <w:szCs w:val="20"/>
        </w:rPr>
        <w:t xml:space="preserve"> </w:t>
      </w:r>
      <w:r w:rsidR="00F12038">
        <w:rPr>
          <w:szCs w:val="20"/>
        </w:rPr>
        <w:t>in column</w:t>
      </w:r>
      <w:r w:rsidR="003A5164" w:rsidRPr="003A5164">
        <w:rPr>
          <w:szCs w:val="20"/>
        </w:rPr>
        <w:t xml:space="preserve"> </w:t>
      </w:r>
      <w:r w:rsidR="006B772D">
        <w:rPr>
          <w:szCs w:val="20"/>
        </w:rPr>
        <w:t>E</w:t>
      </w:r>
      <w:r w:rsidR="003A5164">
        <w:rPr>
          <w:szCs w:val="20"/>
        </w:rPr>
        <w:t>,</w:t>
      </w:r>
      <w:r w:rsidR="003A5164" w:rsidRPr="003A5164">
        <w:rPr>
          <w:szCs w:val="20"/>
        </w:rPr>
        <w:t xml:space="preserve"> according </w:t>
      </w:r>
      <w:r w:rsidR="006B772D">
        <w:rPr>
          <w:szCs w:val="20"/>
        </w:rPr>
        <w:t>m</w:t>
      </w:r>
      <w:r w:rsidR="003A5164" w:rsidRPr="003A5164">
        <w:rPr>
          <w:szCs w:val="20"/>
        </w:rPr>
        <w:t>unicipalities</w:t>
      </w:r>
      <w:r w:rsidR="003A5164">
        <w:rPr>
          <w:szCs w:val="20"/>
        </w:rPr>
        <w:t>,</w:t>
      </w:r>
      <w:r w:rsidR="003A5164" w:rsidRPr="003A5164">
        <w:rPr>
          <w:szCs w:val="20"/>
        </w:rPr>
        <w:t xml:space="preserve"> </w:t>
      </w:r>
      <w:r w:rsidR="00F12038">
        <w:rPr>
          <w:szCs w:val="20"/>
        </w:rPr>
        <w:t>in column</w:t>
      </w:r>
      <w:r w:rsidR="003A5164" w:rsidRPr="003A5164">
        <w:rPr>
          <w:szCs w:val="20"/>
        </w:rPr>
        <w:t xml:space="preserve"> D</w:t>
      </w:r>
      <w:r w:rsidR="003A5164">
        <w:rPr>
          <w:szCs w:val="20"/>
        </w:rPr>
        <w:t>,</w:t>
      </w:r>
      <w:r w:rsidR="003A5164" w:rsidRPr="003A5164">
        <w:rPr>
          <w:szCs w:val="20"/>
        </w:rPr>
        <w:t xml:space="preserve"> to determine the total </w:t>
      </w:r>
      <w:r w:rsidR="006B772D">
        <w:rPr>
          <w:szCs w:val="20"/>
        </w:rPr>
        <w:t>number of PCS consumers</w:t>
      </w:r>
      <w:r w:rsidR="006B772D" w:rsidRPr="003A5164">
        <w:rPr>
          <w:szCs w:val="20"/>
        </w:rPr>
        <w:t xml:space="preserve"> </w:t>
      </w:r>
      <w:r w:rsidR="003A5164" w:rsidRPr="003A5164">
        <w:rPr>
          <w:szCs w:val="20"/>
        </w:rPr>
        <w:t>per municipality of Brazil.</w:t>
      </w:r>
      <w:r w:rsidR="00F30500">
        <w:rPr>
          <w:szCs w:val="20"/>
        </w:rPr>
        <w:t xml:space="preserve"> </w:t>
      </w:r>
      <w:r w:rsidR="006B772D">
        <w:rPr>
          <w:szCs w:val="20"/>
        </w:rPr>
        <w:t xml:space="preserve">Dividing the </w:t>
      </w:r>
      <w:r w:rsidR="006B772D" w:rsidRPr="00EA14AC">
        <w:rPr>
          <w:szCs w:val="20"/>
        </w:rPr>
        <w:t xml:space="preserve">number of consumer complaints referring to PCS </w:t>
      </w:r>
      <w:r w:rsidR="006B772D">
        <w:rPr>
          <w:szCs w:val="20"/>
        </w:rPr>
        <w:t>by</w:t>
      </w:r>
      <w:r w:rsidR="006B772D" w:rsidRPr="00EA14AC">
        <w:rPr>
          <w:szCs w:val="20"/>
        </w:rPr>
        <w:t xml:space="preserve"> the number of PCS consumers</w:t>
      </w:r>
      <w:r w:rsidR="006B772D">
        <w:rPr>
          <w:szCs w:val="20"/>
        </w:rPr>
        <w:t xml:space="preserve">, for </w:t>
      </w:r>
      <w:r w:rsidR="006B772D" w:rsidRPr="00EA14AC">
        <w:rPr>
          <w:szCs w:val="20"/>
        </w:rPr>
        <w:t>each municipality in Brazil</w:t>
      </w:r>
      <w:r w:rsidR="006B772D">
        <w:rPr>
          <w:szCs w:val="20"/>
        </w:rPr>
        <w:t xml:space="preserve">, </w:t>
      </w:r>
      <w:r>
        <w:rPr>
          <w:szCs w:val="20"/>
        </w:rPr>
        <w:t>we</w:t>
      </w:r>
      <w:r w:rsidR="006B772D">
        <w:rPr>
          <w:szCs w:val="20"/>
        </w:rPr>
        <w:t xml:space="preserve"> </w:t>
      </w:r>
      <w:r w:rsidR="006B772D" w:rsidRPr="00EA14AC">
        <w:rPr>
          <w:szCs w:val="20"/>
        </w:rPr>
        <w:t>generate</w:t>
      </w:r>
      <w:r w:rsidR="006B772D" w:rsidRPr="00382F3A">
        <w:rPr>
          <w:rFonts w:ascii="Cambria Math" w:hAnsi="Cambria Math"/>
          <w:szCs w:val="20"/>
        </w:rPr>
        <w:t xml:space="preserve"> </w:t>
      </w:r>
      <w:r w:rsidR="006B772D" w:rsidRPr="00EA14AC">
        <w:rPr>
          <w:rFonts w:ascii="Cambria Math" w:hAnsi="Cambria Math"/>
          <w:szCs w:val="20"/>
        </w:rPr>
        <w:t>𝒖(0)</w:t>
      </w:r>
      <w:r w:rsidR="006B772D" w:rsidRPr="00382F3A">
        <w:rPr>
          <w:rFonts w:hAnsi="Calibri" w:cs="Calibri"/>
          <w:szCs w:val="20"/>
        </w:rPr>
        <w:t>.</w:t>
      </w:r>
    </w:p>
    <w:p w14:paraId="1B005183" w14:textId="77777777" w:rsidR="007C4AAC" w:rsidRDefault="00010708" w:rsidP="00A34BE5">
      <w:pPr>
        <w:spacing w:before="240" w:line="240" w:lineRule="auto"/>
        <w:rPr>
          <w:szCs w:val="20"/>
        </w:rPr>
      </w:pPr>
      <w:r>
        <w:rPr>
          <w:szCs w:val="20"/>
        </w:rPr>
        <w:t xml:space="preserve">Still in Section 5., </w:t>
      </w:r>
      <w:r w:rsidR="00A34BE5">
        <w:rPr>
          <w:szCs w:val="20"/>
        </w:rPr>
        <w:t>we</w:t>
      </w:r>
      <w:r w:rsidR="00C54664">
        <w:rPr>
          <w:szCs w:val="20"/>
        </w:rPr>
        <w:t xml:space="preserve"> </w:t>
      </w:r>
      <w:r w:rsidR="00827E23">
        <w:rPr>
          <w:szCs w:val="20"/>
        </w:rPr>
        <w:t xml:space="preserve">need to </w:t>
      </w:r>
      <w:r w:rsidR="00C54664" w:rsidRPr="00EA14AC">
        <w:rPr>
          <w:szCs w:val="20"/>
        </w:rPr>
        <w:t xml:space="preserve">model </w:t>
      </w:r>
      <w:r w:rsidR="00C54664" w:rsidRPr="00C54664">
        <w:rPr>
          <w:szCs w:val="20"/>
        </w:rPr>
        <w:t xml:space="preserve">Anatel’s expectation of </w:t>
      </w:r>
      <w:r w:rsidR="00827E23">
        <w:rPr>
          <w:szCs w:val="20"/>
        </w:rPr>
        <w:t xml:space="preserve">PCS </w:t>
      </w:r>
      <w:r w:rsidR="00C54664" w:rsidRPr="00C54664">
        <w:rPr>
          <w:szCs w:val="20"/>
        </w:rPr>
        <w:t xml:space="preserve">consumer dissatisfaction at each influenced municipality based on the </w:t>
      </w:r>
      <w:r w:rsidR="00827E23">
        <w:rPr>
          <w:szCs w:val="20"/>
        </w:rPr>
        <w:t xml:space="preserve">PCS </w:t>
      </w:r>
      <w:r w:rsidR="00C54664" w:rsidRPr="00C54664">
        <w:rPr>
          <w:szCs w:val="20"/>
        </w:rPr>
        <w:t>consumer dissatisfaction at their influencing municipalities</w:t>
      </w:r>
      <w:r w:rsidR="00A34BE5">
        <w:rPr>
          <w:szCs w:val="20"/>
        </w:rPr>
        <w:t>.</w:t>
      </w:r>
      <w:r w:rsidR="000F1127">
        <w:rPr>
          <w:szCs w:val="20"/>
        </w:rPr>
        <w:t xml:space="preserve"> </w:t>
      </w:r>
      <w:r w:rsidR="007C4AAC" w:rsidRPr="007C4AAC">
        <w:rPr>
          <w:szCs w:val="20"/>
        </w:rPr>
        <w:t xml:space="preserve">The adjacency matrix </w:t>
      </w:r>
      <w:r w:rsidR="007C4AAC" w:rsidRPr="007C4AAC">
        <w:rPr>
          <w:rFonts w:ascii="Cambria Math" w:hAnsi="Cambria Math" w:cs="Cambria Math"/>
          <w:szCs w:val="20"/>
        </w:rPr>
        <w:t>𝑾</w:t>
      </w:r>
      <w:r w:rsidR="007C4AAC" w:rsidRPr="007C4AAC">
        <w:rPr>
          <w:szCs w:val="20"/>
        </w:rPr>
        <w:t xml:space="preserve"> of </w:t>
      </w:r>
      <w:r w:rsidR="007C4AAC" w:rsidRPr="007C4AAC">
        <w:rPr>
          <w:rFonts w:ascii="Cambria Math" w:hAnsi="Cambria Math" w:cs="Cambria Math"/>
          <w:szCs w:val="20"/>
        </w:rPr>
        <w:t>𝒢</w:t>
      </w:r>
      <w:r w:rsidR="007C4AAC" w:rsidRPr="007C4AAC">
        <w:rPr>
          <w:szCs w:val="20"/>
        </w:rPr>
        <w:t xml:space="preserve"> was defined to adequately model Anatel’s expectation</w:t>
      </w:r>
      <w:r w:rsidR="007C4AAC">
        <w:rPr>
          <w:szCs w:val="20"/>
        </w:rPr>
        <w:t>.</w:t>
      </w:r>
    </w:p>
    <w:p w14:paraId="7F62DC0F" w14:textId="77777777" w:rsidR="003064C2" w:rsidRPr="003064C2" w:rsidRDefault="003064C2" w:rsidP="003064C2">
      <w:pPr>
        <w:spacing w:before="240" w:line="240" w:lineRule="auto"/>
        <w:rPr>
          <w:szCs w:val="20"/>
        </w:rPr>
      </w:pPr>
      <w:r w:rsidRPr="003064C2">
        <w:rPr>
          <w:szCs w:val="20"/>
        </w:rPr>
        <w:t>Assume that Anatel's real expectation during the evolution of PCS quality is that:</w:t>
      </w:r>
    </w:p>
    <w:p w14:paraId="0EA11973" w14:textId="0615B3F6" w:rsidR="003064C2" w:rsidRPr="003064C2" w:rsidRDefault="003064C2" w:rsidP="003064C2">
      <w:pPr>
        <w:pStyle w:val="PargrafodaLista"/>
        <w:numPr>
          <w:ilvl w:val="0"/>
          <w:numId w:val="7"/>
        </w:numPr>
        <w:spacing w:before="240" w:line="240" w:lineRule="auto"/>
        <w:rPr>
          <w:szCs w:val="20"/>
        </w:rPr>
      </w:pPr>
      <w:r w:rsidRPr="003064C2">
        <w:rPr>
          <w:szCs w:val="20"/>
        </w:rPr>
        <w:t>For municipalities where the external search for goods or services is characterized by urban relations of proximity, the influences between municipalities must be proportional to the displacements of consumers from an influenced municipality to influencing municipalities in the search for goods and services in general, and;</w:t>
      </w:r>
    </w:p>
    <w:p w14:paraId="5B5067EF" w14:textId="30AEE237" w:rsidR="003064C2" w:rsidRPr="003064C2" w:rsidRDefault="003064C2" w:rsidP="003064C2">
      <w:pPr>
        <w:pStyle w:val="PargrafodaLista"/>
        <w:numPr>
          <w:ilvl w:val="0"/>
          <w:numId w:val="7"/>
        </w:numPr>
        <w:spacing w:before="240" w:line="240" w:lineRule="auto"/>
        <w:rPr>
          <w:szCs w:val="20"/>
        </w:rPr>
      </w:pPr>
      <w:r w:rsidRPr="003064C2">
        <w:rPr>
          <w:szCs w:val="20"/>
        </w:rPr>
        <w:t>For municipalities where the external search for goods or services is characterized by long-distance relations, the influences between municipalities must be proportional to the importance of the relations in public and business management.</w:t>
      </w:r>
    </w:p>
    <w:p w14:paraId="75677EDF" w14:textId="77777777" w:rsidR="00EE1A47" w:rsidRDefault="003064C2" w:rsidP="00A34BE5">
      <w:pPr>
        <w:spacing w:before="240" w:line="240" w:lineRule="auto"/>
        <w:rPr>
          <w:szCs w:val="20"/>
        </w:rPr>
      </w:pPr>
      <w:r w:rsidRPr="003064C2">
        <w:rPr>
          <w:szCs w:val="20"/>
        </w:rPr>
        <w:t>In 2020, the IBGE published the study Areas of Influence of Cities 2018, in which it identifies and analyzes the Brazilian urban network, establishing the hierarchy and areas of influence of urban centers. The Brazilian urban network is characterized by small urban centers being influenced by one or more larger urban centers. To establish the hierarchy and areas of influence of urban centers, the IBGE considered the urban relations of proximity and the long-distance relations between these centers (IBGE 2020a).</w:t>
      </w:r>
    </w:p>
    <w:p w14:paraId="2472C48F" w14:textId="00F00133" w:rsidR="00A34BE5" w:rsidRDefault="00EE1A47" w:rsidP="00A34BE5">
      <w:pPr>
        <w:spacing w:before="240" w:line="240" w:lineRule="auto"/>
        <w:rPr>
          <w:szCs w:val="20"/>
        </w:rPr>
      </w:pPr>
      <w:r w:rsidRPr="00EE1A47">
        <w:rPr>
          <w:szCs w:val="20"/>
        </w:rPr>
        <w:lastRenderedPageBreak/>
        <w:t xml:space="preserve">For 5503 </w:t>
      </w:r>
      <w:r w:rsidR="00F16879">
        <w:rPr>
          <w:szCs w:val="20"/>
        </w:rPr>
        <w:t xml:space="preserve">out </w:t>
      </w:r>
      <w:r w:rsidRPr="00EE1A47">
        <w:rPr>
          <w:szCs w:val="20"/>
        </w:rPr>
        <w:t>of the 5570 municipalities in Brazil, the external search for goods or services is characterized by urban relations of proximity. For these municipalities, IBGE researched the relations in ten themes: clothing and footwear, furniture and electronics, low- and medium-complexity healthcare, high-complexity healthcare, higher education, cultural activities, sports activities, airport, newspapers, and public transportation.</w:t>
      </w:r>
      <w:r w:rsidR="000F1127">
        <w:rPr>
          <w:szCs w:val="20"/>
        </w:rPr>
        <w:t xml:space="preserve"> For these municipalities </w:t>
      </w:r>
      <w:r w:rsidR="000F1127" w:rsidRPr="00EA14AC">
        <w:rPr>
          <w:szCs w:val="20"/>
        </w:rPr>
        <w:t>we used the available information</w:t>
      </w:r>
      <w:r w:rsidR="000F1127" w:rsidRPr="00C54664">
        <w:rPr>
          <w:szCs w:val="20"/>
        </w:rPr>
        <w:t xml:space="preserve"> </w:t>
      </w:r>
      <w:r w:rsidR="000F1127">
        <w:rPr>
          <w:szCs w:val="20"/>
        </w:rPr>
        <w:t xml:space="preserve">in </w:t>
      </w:r>
      <w:r w:rsidR="000F1127" w:rsidRPr="00F30500">
        <w:rPr>
          <w:szCs w:val="20"/>
        </w:rPr>
        <w:t xml:space="preserve">REGIC 2018 </w:t>
      </w:r>
      <w:r w:rsidR="000F1127">
        <w:rPr>
          <w:szCs w:val="20"/>
        </w:rPr>
        <w:t>–</w:t>
      </w:r>
      <w:r w:rsidR="000F1127" w:rsidRPr="00F30500">
        <w:rPr>
          <w:szCs w:val="20"/>
        </w:rPr>
        <w:t xml:space="preserve"> </w:t>
      </w:r>
      <w:r w:rsidR="000F1127">
        <w:rPr>
          <w:szCs w:val="20"/>
        </w:rPr>
        <w:t xml:space="preserve">Municipalities </w:t>
      </w:r>
      <w:r w:rsidR="000F1127" w:rsidRPr="00F30500">
        <w:rPr>
          <w:szCs w:val="20"/>
        </w:rPr>
        <w:t>Connection</w:t>
      </w:r>
      <w:r w:rsidR="000F1127">
        <w:rPr>
          <w:szCs w:val="20"/>
        </w:rPr>
        <w:t xml:space="preserve">s and Attraction (IBGE 2020b) to </w:t>
      </w:r>
      <w:r w:rsidR="00F47532">
        <w:rPr>
          <w:szCs w:val="20"/>
        </w:rPr>
        <w:t>calculate the</w:t>
      </w:r>
      <w:r w:rsidR="00933EFF">
        <w:rPr>
          <w:szCs w:val="20"/>
        </w:rPr>
        <w:t>ir received</w:t>
      </w:r>
      <w:r w:rsidR="00F47532">
        <w:rPr>
          <w:szCs w:val="20"/>
        </w:rPr>
        <w:t xml:space="preserve"> influences</w:t>
      </w:r>
      <w:r w:rsidR="000F1127">
        <w:rPr>
          <w:szCs w:val="20"/>
        </w:rPr>
        <w:t>.</w:t>
      </w:r>
    </w:p>
    <w:p w14:paraId="53A4E618" w14:textId="5D04D06F" w:rsidR="009424A4" w:rsidRDefault="009424A4" w:rsidP="009424A4">
      <w:pPr>
        <w:spacing w:before="240" w:after="240" w:line="240" w:lineRule="auto"/>
        <w:rPr>
          <w:rFonts w:hAnsi="Calibri" w:cs="Calibri"/>
          <w:szCs w:val="20"/>
        </w:rPr>
      </w:pPr>
      <w:r>
        <w:rPr>
          <w:szCs w:val="20"/>
        </w:rPr>
        <w:t xml:space="preserve">The </w:t>
      </w:r>
      <w:r w:rsidRPr="00F30500">
        <w:rPr>
          <w:szCs w:val="20"/>
        </w:rPr>
        <w:t xml:space="preserve">REGIC 2018 </w:t>
      </w:r>
      <w:r>
        <w:rPr>
          <w:szCs w:val="20"/>
        </w:rPr>
        <w:t>–</w:t>
      </w:r>
      <w:r w:rsidRPr="00F30500">
        <w:rPr>
          <w:szCs w:val="20"/>
        </w:rPr>
        <w:t xml:space="preserve"> </w:t>
      </w:r>
      <w:r>
        <w:rPr>
          <w:szCs w:val="20"/>
        </w:rPr>
        <w:t xml:space="preserve">Municipalities </w:t>
      </w:r>
      <w:r w:rsidRPr="00F30500">
        <w:rPr>
          <w:szCs w:val="20"/>
        </w:rPr>
        <w:t>Connection</w:t>
      </w:r>
      <w:r>
        <w:rPr>
          <w:szCs w:val="20"/>
        </w:rPr>
        <w:t>s and Attraction data</w:t>
      </w:r>
      <w:r w:rsidRPr="002B6640">
        <w:rPr>
          <w:szCs w:val="20"/>
        </w:rPr>
        <w:t xml:space="preserve"> </w:t>
      </w:r>
      <w:r>
        <w:rPr>
          <w:szCs w:val="20"/>
        </w:rPr>
        <w:t xml:space="preserve">are available in internet at this </w:t>
      </w:r>
      <w:hyperlink r:id="rId16" w:history="1">
        <w:r w:rsidRPr="008917DB">
          <w:rPr>
            <w:rStyle w:val="Hyperlink"/>
            <w:szCs w:val="20"/>
          </w:rPr>
          <w:t>page</w:t>
        </w:r>
      </w:hyperlink>
      <w:r w:rsidR="008917DB">
        <w:rPr>
          <w:szCs w:val="20"/>
        </w:rPr>
        <w:t xml:space="preserve">, and the file </w:t>
      </w:r>
      <w:r w:rsidR="008917DB" w:rsidRPr="008917DB">
        <w:rPr>
          <w:szCs w:val="20"/>
        </w:rPr>
        <w:t>REGIC2018_Quest_Ligacoes_entre_Municipios</w:t>
      </w:r>
      <w:r w:rsidR="008917DB">
        <w:rPr>
          <w:szCs w:val="20"/>
        </w:rPr>
        <w:t>.</w:t>
      </w:r>
      <w:r w:rsidR="008917DB" w:rsidRPr="00A8379B">
        <w:rPr>
          <w:szCs w:val="20"/>
        </w:rPr>
        <w:t xml:space="preserve">xlsx </w:t>
      </w:r>
      <w:r w:rsidR="008917DB">
        <w:rPr>
          <w:szCs w:val="20"/>
        </w:rPr>
        <w:t>has the data of interest,</w:t>
      </w:r>
      <w:r w:rsidR="008917DB" w:rsidRPr="00A8379B">
        <w:rPr>
          <w:szCs w:val="20"/>
        </w:rPr>
        <w:t xml:space="preserve"> with the format showed in Figure S</w:t>
      </w:r>
      <w:r w:rsidR="008917DB">
        <w:rPr>
          <w:szCs w:val="20"/>
        </w:rPr>
        <w:t>7.</w:t>
      </w:r>
    </w:p>
    <w:p w14:paraId="781C06A0" w14:textId="6E5734E5" w:rsidR="009424A4" w:rsidRDefault="009424A4" w:rsidP="008917DB">
      <w:pPr>
        <w:keepNext/>
        <w:spacing w:before="240" w:line="240" w:lineRule="auto"/>
        <w:jc w:val="center"/>
        <w:rPr>
          <w:rFonts w:hAnsi="Calibri" w:cs="Calibri"/>
          <w:szCs w:val="20"/>
        </w:rPr>
      </w:pPr>
      <w:r w:rsidRPr="00EA14AC">
        <w:rPr>
          <w:rFonts w:hAnsi="Calibri" w:cs="Calibri"/>
          <w:b/>
          <w:bCs/>
          <w:szCs w:val="20"/>
        </w:rPr>
        <w:t xml:space="preserve">Figure </w:t>
      </w:r>
      <w:r>
        <w:rPr>
          <w:rFonts w:hAnsi="Calibri" w:cs="Calibri"/>
          <w:b/>
          <w:bCs/>
          <w:szCs w:val="20"/>
        </w:rPr>
        <w:t>S</w:t>
      </w:r>
      <w:r w:rsidR="008917DB">
        <w:rPr>
          <w:rFonts w:hAnsi="Calibri" w:cs="Calibri"/>
          <w:b/>
          <w:bCs/>
          <w:szCs w:val="20"/>
        </w:rPr>
        <w:t>7</w:t>
      </w:r>
      <w:r w:rsidRPr="00EA14AC">
        <w:rPr>
          <w:rFonts w:hAnsi="Calibri" w:cs="Calibri"/>
          <w:b/>
          <w:bCs/>
          <w:szCs w:val="20"/>
        </w:rPr>
        <w:t>.</w:t>
      </w:r>
      <w:r w:rsidRPr="00EA14AC">
        <w:rPr>
          <w:rFonts w:hAnsi="Calibri" w:cs="Calibri"/>
          <w:szCs w:val="20"/>
        </w:rPr>
        <w:t xml:space="preserve"> </w:t>
      </w:r>
      <w:r w:rsidR="00CD50C1">
        <w:rPr>
          <w:rFonts w:hAnsi="Calibri" w:cs="Calibri"/>
          <w:szCs w:val="20"/>
        </w:rPr>
        <w:t xml:space="preserve">Format of </w:t>
      </w:r>
      <w:r w:rsidR="00CD50C1" w:rsidRPr="00F30500">
        <w:rPr>
          <w:szCs w:val="20"/>
        </w:rPr>
        <w:t xml:space="preserve">REGIC 2018 </w:t>
      </w:r>
      <w:r w:rsidR="00CD50C1">
        <w:rPr>
          <w:szCs w:val="20"/>
        </w:rPr>
        <w:t>–</w:t>
      </w:r>
      <w:r w:rsidR="00CD50C1" w:rsidRPr="00F30500">
        <w:rPr>
          <w:szCs w:val="20"/>
        </w:rPr>
        <w:t xml:space="preserve"> </w:t>
      </w:r>
      <w:r w:rsidR="00CD50C1">
        <w:rPr>
          <w:szCs w:val="20"/>
        </w:rPr>
        <w:t xml:space="preserve">Municipalities </w:t>
      </w:r>
      <w:r w:rsidR="00CD50C1" w:rsidRPr="00F30500">
        <w:rPr>
          <w:szCs w:val="20"/>
        </w:rPr>
        <w:t>Connection</w:t>
      </w:r>
      <w:r w:rsidR="00CD50C1">
        <w:rPr>
          <w:szCs w:val="20"/>
        </w:rPr>
        <w:t>s and Attraction data</w:t>
      </w:r>
      <w:r w:rsidRPr="00EA14AC">
        <w:rPr>
          <w:rFonts w:hAnsi="Calibri" w:cs="Calibri"/>
          <w:szCs w:val="20"/>
        </w:rPr>
        <w:t>.</w:t>
      </w:r>
    </w:p>
    <w:p w14:paraId="66371525" w14:textId="679D7477" w:rsidR="009424A4" w:rsidRDefault="008917DB" w:rsidP="009424A4">
      <w:pPr>
        <w:spacing w:line="360" w:lineRule="auto"/>
        <w:jc w:val="left"/>
        <w:rPr>
          <w:rFonts w:hAnsi="Calibri" w:cs="Calibri"/>
          <w:noProof/>
          <w:szCs w:val="20"/>
        </w:rPr>
      </w:pPr>
      <w:r>
        <w:rPr>
          <w:rFonts w:hAnsi="Calibri" w:cs="Calibri"/>
          <w:noProof/>
          <w:szCs w:val="20"/>
        </w:rPr>
        <w:drawing>
          <wp:inline distT="0" distB="0" distL="0" distR="0" wp14:anchorId="603AE1CD" wp14:editId="0D85F890">
            <wp:extent cx="6472555" cy="133604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2555" cy="1336040"/>
                    </a:xfrm>
                    <a:prstGeom prst="rect">
                      <a:avLst/>
                    </a:prstGeom>
                    <a:noFill/>
                    <a:ln>
                      <a:noFill/>
                    </a:ln>
                  </pic:spPr>
                </pic:pic>
              </a:graphicData>
            </a:graphic>
          </wp:inline>
        </w:drawing>
      </w:r>
    </w:p>
    <w:p w14:paraId="3D009E98" w14:textId="6155667D" w:rsidR="00A34BE5" w:rsidRDefault="008917DB" w:rsidP="003A5164">
      <w:pPr>
        <w:spacing w:before="240" w:line="240" w:lineRule="auto"/>
        <w:rPr>
          <w:szCs w:val="20"/>
        </w:rPr>
      </w:pPr>
      <w:r>
        <w:rPr>
          <w:szCs w:val="20"/>
        </w:rPr>
        <w:t>We</w:t>
      </w:r>
      <w:r w:rsidRPr="003A5164">
        <w:rPr>
          <w:szCs w:val="20"/>
        </w:rPr>
        <w:t xml:space="preserve"> </w:t>
      </w:r>
      <w:r w:rsidR="00B22F16">
        <w:rPr>
          <w:szCs w:val="20"/>
        </w:rPr>
        <w:t xml:space="preserve">calculated the influences in municipalities </w:t>
      </w:r>
      <w:r w:rsidR="00FE1430">
        <w:rPr>
          <w:szCs w:val="20"/>
        </w:rPr>
        <w:t xml:space="preserve">that </w:t>
      </w:r>
      <w:r w:rsidR="00FE1430" w:rsidRPr="000F1127">
        <w:rPr>
          <w:szCs w:val="20"/>
        </w:rPr>
        <w:t>search for goods and services</w:t>
      </w:r>
      <w:r w:rsidR="00FE1430">
        <w:rPr>
          <w:szCs w:val="20"/>
        </w:rPr>
        <w:t xml:space="preserve"> in other municipalities as the</w:t>
      </w:r>
      <w:r w:rsidR="00B22F16">
        <w:rPr>
          <w:szCs w:val="20"/>
        </w:rPr>
        <w:t xml:space="preserve"> estimated </w:t>
      </w:r>
      <w:r w:rsidR="00B22F16" w:rsidRPr="00827E23">
        <w:rPr>
          <w:szCs w:val="20"/>
        </w:rPr>
        <w:t>percentage</w:t>
      </w:r>
      <w:r w:rsidR="00B22F16">
        <w:rPr>
          <w:szCs w:val="20"/>
        </w:rPr>
        <w:t xml:space="preserve"> </w:t>
      </w:r>
      <w:r w:rsidR="00B22F16" w:rsidRPr="00827E23">
        <w:rPr>
          <w:szCs w:val="20"/>
        </w:rPr>
        <w:t xml:space="preserve">of </w:t>
      </w:r>
      <w:r w:rsidR="00B22F16">
        <w:rPr>
          <w:szCs w:val="20"/>
        </w:rPr>
        <w:t>the</w:t>
      </w:r>
      <w:r w:rsidR="00B22F16" w:rsidRPr="00827E23">
        <w:rPr>
          <w:szCs w:val="20"/>
        </w:rPr>
        <w:t xml:space="preserve"> participation</w:t>
      </w:r>
      <w:r w:rsidR="00B22F16">
        <w:rPr>
          <w:szCs w:val="20"/>
        </w:rPr>
        <w:t xml:space="preserve"> (column AP)</w:t>
      </w:r>
      <w:r w:rsidR="00B22F16" w:rsidRPr="00827E23">
        <w:rPr>
          <w:szCs w:val="20"/>
        </w:rPr>
        <w:t xml:space="preserve"> </w:t>
      </w:r>
      <w:r w:rsidR="00B22F16">
        <w:rPr>
          <w:szCs w:val="20"/>
        </w:rPr>
        <w:t>of the influencing municipality (</w:t>
      </w:r>
      <w:r w:rsidR="00EF0E26">
        <w:rPr>
          <w:szCs w:val="20"/>
        </w:rPr>
        <w:t xml:space="preserve">which code is </w:t>
      </w:r>
      <w:r w:rsidR="00F12038">
        <w:rPr>
          <w:szCs w:val="20"/>
        </w:rPr>
        <w:t>in column</w:t>
      </w:r>
      <w:r w:rsidR="00EF0E26">
        <w:rPr>
          <w:szCs w:val="20"/>
        </w:rPr>
        <w:t xml:space="preserve"> M</w:t>
      </w:r>
      <w:r w:rsidR="00B22F16">
        <w:rPr>
          <w:szCs w:val="20"/>
        </w:rPr>
        <w:t xml:space="preserve">) </w:t>
      </w:r>
      <w:r w:rsidR="00B22F16" w:rsidRPr="00827E23">
        <w:rPr>
          <w:szCs w:val="20"/>
        </w:rPr>
        <w:t>on the total displacements of consumers from the influenced municipality</w:t>
      </w:r>
      <w:r w:rsidR="00B22F16">
        <w:rPr>
          <w:szCs w:val="20"/>
        </w:rPr>
        <w:t xml:space="preserve"> (</w:t>
      </w:r>
      <w:r w:rsidR="00EF0E26">
        <w:rPr>
          <w:szCs w:val="20"/>
        </w:rPr>
        <w:t xml:space="preserve">which code is </w:t>
      </w:r>
      <w:r w:rsidR="00F12038">
        <w:rPr>
          <w:szCs w:val="20"/>
        </w:rPr>
        <w:t>in column</w:t>
      </w:r>
      <w:r w:rsidR="00EF0E26">
        <w:rPr>
          <w:szCs w:val="20"/>
        </w:rPr>
        <w:t xml:space="preserve"> C</w:t>
      </w:r>
      <w:r w:rsidR="00B22F16">
        <w:rPr>
          <w:szCs w:val="20"/>
        </w:rPr>
        <w:t>)</w:t>
      </w:r>
      <w:r w:rsidR="001F7E57">
        <w:rPr>
          <w:szCs w:val="20"/>
        </w:rPr>
        <w:t>.</w:t>
      </w:r>
    </w:p>
    <w:p w14:paraId="3F3C0F3D" w14:textId="4A2DA557" w:rsidR="00EE1A47" w:rsidRDefault="00EE1A47" w:rsidP="00933EFF">
      <w:pPr>
        <w:spacing w:before="240" w:line="240" w:lineRule="auto"/>
        <w:rPr>
          <w:szCs w:val="20"/>
        </w:rPr>
      </w:pPr>
      <w:r w:rsidRPr="00EE1A47">
        <w:rPr>
          <w:szCs w:val="20"/>
        </w:rPr>
        <w:t xml:space="preserve">For </w:t>
      </w:r>
      <w:r w:rsidR="00F16879">
        <w:rPr>
          <w:szCs w:val="20"/>
        </w:rPr>
        <w:t xml:space="preserve">the remaining </w:t>
      </w:r>
      <w:r w:rsidRPr="00EE1A47">
        <w:rPr>
          <w:szCs w:val="20"/>
        </w:rPr>
        <w:t>67 municipalities</w:t>
      </w:r>
      <w:r w:rsidR="00F16879">
        <w:rPr>
          <w:szCs w:val="20"/>
        </w:rPr>
        <w:t>, which</w:t>
      </w:r>
      <w:r w:rsidRPr="00EE1A47">
        <w:rPr>
          <w:szCs w:val="20"/>
        </w:rPr>
        <w:t xml:space="preserve"> tend to satisfactorily supply goods and services to the consumers who inhabit them, the external search for goods or services is characterized by long-distance relations. For these municipalities, IBGE researched the relations in two themes: public management and business management.</w:t>
      </w:r>
    </w:p>
    <w:p w14:paraId="0CA585AF" w14:textId="0FC2CCEB" w:rsidR="00933EFF" w:rsidRDefault="00933EFF" w:rsidP="00933EFF">
      <w:pPr>
        <w:spacing w:before="240" w:line="240" w:lineRule="auto"/>
        <w:rPr>
          <w:szCs w:val="20"/>
        </w:rPr>
      </w:pPr>
      <w:r w:rsidRPr="00457ED0">
        <w:rPr>
          <w:szCs w:val="20"/>
        </w:rPr>
        <w:t xml:space="preserve">16 of these 67 municipalities are not the main municipality of the population arrangement to which they were grouped by the IBGE. </w:t>
      </w:r>
      <w:r w:rsidR="005A7CC8">
        <w:rPr>
          <w:szCs w:val="20"/>
        </w:rPr>
        <w:t>We</w:t>
      </w:r>
      <w:r w:rsidRPr="00457ED0">
        <w:rPr>
          <w:szCs w:val="20"/>
        </w:rPr>
        <w:t xml:space="preserve"> considered that all the influence received by these 16 municipalities comes from the main municipality of the arrangement to which they belong.</w:t>
      </w:r>
      <w:r>
        <w:rPr>
          <w:szCs w:val="20"/>
        </w:rPr>
        <w:t xml:space="preserve"> For these municipalities we used </w:t>
      </w:r>
      <w:r w:rsidRPr="00EA14AC">
        <w:rPr>
          <w:szCs w:val="20"/>
        </w:rPr>
        <w:t>the available information</w:t>
      </w:r>
      <w:r w:rsidRPr="00C54664">
        <w:rPr>
          <w:szCs w:val="20"/>
        </w:rPr>
        <w:t xml:space="preserve"> </w:t>
      </w:r>
      <w:r>
        <w:rPr>
          <w:szCs w:val="20"/>
        </w:rPr>
        <w:t xml:space="preserve">in </w:t>
      </w:r>
      <w:r w:rsidRPr="00F30500">
        <w:rPr>
          <w:szCs w:val="20"/>
        </w:rPr>
        <w:t xml:space="preserve">REGIC 2018 </w:t>
      </w:r>
      <w:r>
        <w:rPr>
          <w:szCs w:val="20"/>
        </w:rPr>
        <w:t>–</w:t>
      </w:r>
      <w:r w:rsidRPr="00F30500">
        <w:rPr>
          <w:szCs w:val="20"/>
        </w:rPr>
        <w:t xml:space="preserve"> </w:t>
      </w:r>
      <w:r w:rsidRPr="00933EFF">
        <w:rPr>
          <w:szCs w:val="20"/>
        </w:rPr>
        <w:t xml:space="preserve">Population Arrangements </w:t>
      </w:r>
      <w:r>
        <w:rPr>
          <w:szCs w:val="20"/>
        </w:rPr>
        <w:t>(IBGE 2020c) to set their received influences.</w:t>
      </w:r>
    </w:p>
    <w:p w14:paraId="40EA53A1" w14:textId="5450BAA1" w:rsidR="00EF0E26" w:rsidRPr="00A8379B" w:rsidRDefault="00EF0E26" w:rsidP="00EF0E26">
      <w:pPr>
        <w:spacing w:before="240" w:line="240" w:lineRule="auto"/>
        <w:rPr>
          <w:szCs w:val="20"/>
        </w:rPr>
      </w:pPr>
      <w:r>
        <w:rPr>
          <w:szCs w:val="20"/>
        </w:rPr>
        <w:t xml:space="preserve">The </w:t>
      </w:r>
      <w:r w:rsidRPr="00F30500">
        <w:rPr>
          <w:szCs w:val="20"/>
        </w:rPr>
        <w:t xml:space="preserve">REGIC 2018 </w:t>
      </w:r>
      <w:r>
        <w:rPr>
          <w:szCs w:val="20"/>
        </w:rPr>
        <w:t>–</w:t>
      </w:r>
      <w:r w:rsidRPr="00F30500">
        <w:rPr>
          <w:szCs w:val="20"/>
        </w:rPr>
        <w:t xml:space="preserve"> </w:t>
      </w:r>
      <w:r w:rsidRPr="00933EFF">
        <w:rPr>
          <w:szCs w:val="20"/>
        </w:rPr>
        <w:t xml:space="preserve">Population Arrangements </w:t>
      </w:r>
      <w:r>
        <w:rPr>
          <w:szCs w:val="20"/>
        </w:rPr>
        <w:t>data</w:t>
      </w:r>
      <w:r w:rsidRPr="002B6640">
        <w:rPr>
          <w:szCs w:val="20"/>
        </w:rPr>
        <w:t xml:space="preserve"> </w:t>
      </w:r>
      <w:r>
        <w:rPr>
          <w:szCs w:val="20"/>
        </w:rPr>
        <w:t xml:space="preserve">are available in internet at this </w:t>
      </w:r>
      <w:hyperlink r:id="rId18" w:history="1">
        <w:r w:rsidRPr="00EF0E26">
          <w:rPr>
            <w:rStyle w:val="Hyperlink"/>
            <w:szCs w:val="20"/>
          </w:rPr>
          <w:t>page</w:t>
        </w:r>
      </w:hyperlink>
      <w:r w:rsidRPr="00A8379B">
        <w:rPr>
          <w:szCs w:val="20"/>
        </w:rPr>
        <w:t xml:space="preserve">. </w:t>
      </w:r>
      <w:r>
        <w:rPr>
          <w:szCs w:val="20"/>
        </w:rPr>
        <w:t>The data were down</w:t>
      </w:r>
      <w:r w:rsidRPr="00A8379B">
        <w:rPr>
          <w:szCs w:val="20"/>
        </w:rPr>
        <w:t>loaded in a .xlsx file with the format showed in Figure S</w:t>
      </w:r>
      <w:r>
        <w:rPr>
          <w:szCs w:val="20"/>
        </w:rPr>
        <w:t>8</w:t>
      </w:r>
      <w:r w:rsidRPr="00A8379B">
        <w:rPr>
          <w:szCs w:val="20"/>
        </w:rPr>
        <w:t>.</w:t>
      </w:r>
    </w:p>
    <w:p w14:paraId="78972EBD" w14:textId="40267337" w:rsidR="00EF0E26" w:rsidRDefault="00EF0E26" w:rsidP="00EF0E26">
      <w:pPr>
        <w:keepNext/>
        <w:spacing w:before="240" w:line="240" w:lineRule="auto"/>
        <w:jc w:val="center"/>
        <w:rPr>
          <w:rFonts w:hAnsi="Calibri" w:cs="Calibri"/>
          <w:szCs w:val="20"/>
        </w:rPr>
      </w:pPr>
      <w:r w:rsidRPr="00EA14AC">
        <w:rPr>
          <w:rFonts w:hAnsi="Calibri" w:cs="Calibri"/>
          <w:b/>
          <w:bCs/>
          <w:szCs w:val="20"/>
        </w:rPr>
        <w:t xml:space="preserve">Figure </w:t>
      </w:r>
      <w:r>
        <w:rPr>
          <w:rFonts w:hAnsi="Calibri" w:cs="Calibri"/>
          <w:b/>
          <w:bCs/>
          <w:szCs w:val="20"/>
        </w:rPr>
        <w:t>S8</w:t>
      </w:r>
      <w:r w:rsidRPr="00EA14AC">
        <w:rPr>
          <w:rFonts w:hAnsi="Calibri" w:cs="Calibri"/>
          <w:b/>
          <w:bCs/>
          <w:szCs w:val="20"/>
        </w:rPr>
        <w:t>.</w:t>
      </w:r>
      <w:r w:rsidRPr="00EA14AC">
        <w:rPr>
          <w:rFonts w:hAnsi="Calibri" w:cs="Calibri"/>
          <w:szCs w:val="20"/>
        </w:rPr>
        <w:t xml:space="preserve"> </w:t>
      </w:r>
      <w:r>
        <w:rPr>
          <w:rFonts w:hAnsi="Calibri" w:cs="Calibri"/>
          <w:szCs w:val="20"/>
        </w:rPr>
        <w:t xml:space="preserve">Format of </w:t>
      </w:r>
      <w:r w:rsidRPr="00F30500">
        <w:rPr>
          <w:szCs w:val="20"/>
        </w:rPr>
        <w:t xml:space="preserve">REGIC 2018 </w:t>
      </w:r>
      <w:r>
        <w:rPr>
          <w:szCs w:val="20"/>
        </w:rPr>
        <w:t>–</w:t>
      </w:r>
      <w:r w:rsidRPr="00F30500">
        <w:rPr>
          <w:szCs w:val="20"/>
        </w:rPr>
        <w:t xml:space="preserve"> </w:t>
      </w:r>
      <w:r w:rsidRPr="00933EFF">
        <w:rPr>
          <w:szCs w:val="20"/>
        </w:rPr>
        <w:t xml:space="preserve">Population Arrangements </w:t>
      </w:r>
      <w:r>
        <w:rPr>
          <w:szCs w:val="20"/>
        </w:rPr>
        <w:t>data</w:t>
      </w:r>
      <w:r w:rsidRPr="00EA14AC">
        <w:rPr>
          <w:rFonts w:hAnsi="Calibri" w:cs="Calibri"/>
          <w:szCs w:val="20"/>
        </w:rPr>
        <w:t>.</w:t>
      </w:r>
    </w:p>
    <w:p w14:paraId="5AE8EE09" w14:textId="0463D15F" w:rsidR="00EF0E26" w:rsidRDefault="00EF0E26" w:rsidP="00EF0E26">
      <w:pPr>
        <w:spacing w:line="360" w:lineRule="auto"/>
        <w:jc w:val="left"/>
        <w:rPr>
          <w:rFonts w:hAnsi="Calibri" w:cs="Calibri"/>
          <w:noProof/>
          <w:szCs w:val="20"/>
        </w:rPr>
      </w:pPr>
      <w:r>
        <w:rPr>
          <w:rFonts w:hAnsi="Calibri" w:cs="Calibri"/>
          <w:noProof/>
          <w:szCs w:val="20"/>
        </w:rPr>
        <w:drawing>
          <wp:inline distT="0" distB="0" distL="0" distR="0" wp14:anchorId="77818DDD" wp14:editId="13677E45">
            <wp:extent cx="6473825" cy="1075055"/>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825" cy="1075055"/>
                    </a:xfrm>
                    <a:prstGeom prst="rect">
                      <a:avLst/>
                    </a:prstGeom>
                    <a:noFill/>
                    <a:ln>
                      <a:noFill/>
                    </a:ln>
                  </pic:spPr>
                </pic:pic>
              </a:graphicData>
            </a:graphic>
          </wp:inline>
        </w:drawing>
      </w:r>
    </w:p>
    <w:p w14:paraId="6495B1DB" w14:textId="0AF48DB7" w:rsidR="00EF0E26" w:rsidRDefault="00EF0E26" w:rsidP="00EF0E26">
      <w:pPr>
        <w:spacing w:before="240" w:line="240" w:lineRule="auto"/>
        <w:rPr>
          <w:szCs w:val="20"/>
        </w:rPr>
      </w:pPr>
      <w:r>
        <w:rPr>
          <w:szCs w:val="20"/>
        </w:rPr>
        <w:t>We</w:t>
      </w:r>
      <w:r w:rsidRPr="003A5164">
        <w:rPr>
          <w:szCs w:val="20"/>
        </w:rPr>
        <w:t xml:space="preserve"> </w:t>
      </w:r>
      <w:r>
        <w:rPr>
          <w:szCs w:val="20"/>
        </w:rPr>
        <w:t xml:space="preserve">set the influences </w:t>
      </w:r>
      <w:r w:rsidR="005A7CC8">
        <w:rPr>
          <w:szCs w:val="20"/>
        </w:rPr>
        <w:t xml:space="preserve">to 1 </w:t>
      </w:r>
      <w:r>
        <w:rPr>
          <w:szCs w:val="20"/>
        </w:rPr>
        <w:t xml:space="preserve">in that 16 of 67 municipalities using the code of the influenced municipality (column B) and </w:t>
      </w:r>
      <w:r w:rsidR="00F12038">
        <w:rPr>
          <w:szCs w:val="20"/>
        </w:rPr>
        <w:t xml:space="preserve">the code </w:t>
      </w:r>
      <w:r>
        <w:rPr>
          <w:szCs w:val="20"/>
        </w:rPr>
        <w:t xml:space="preserve">of </w:t>
      </w:r>
      <w:r w:rsidR="00F12038" w:rsidRPr="00457ED0">
        <w:rPr>
          <w:szCs w:val="20"/>
        </w:rPr>
        <w:t>the main municipality of the population arrangement</w:t>
      </w:r>
      <w:r w:rsidR="00F12038">
        <w:rPr>
          <w:szCs w:val="20"/>
        </w:rPr>
        <w:t xml:space="preserve"> (column C).</w:t>
      </w:r>
    </w:p>
    <w:p w14:paraId="246821E0" w14:textId="5042D007" w:rsidR="00CD50C1" w:rsidRDefault="00EF0E26" w:rsidP="00CD50C1">
      <w:pPr>
        <w:spacing w:before="240" w:line="240" w:lineRule="auto"/>
        <w:rPr>
          <w:szCs w:val="20"/>
        </w:rPr>
      </w:pPr>
      <w:r w:rsidRPr="00933EFF">
        <w:rPr>
          <w:szCs w:val="20"/>
        </w:rPr>
        <w:t xml:space="preserve">36 of </w:t>
      </w:r>
      <w:r w:rsidR="00747FC9">
        <w:rPr>
          <w:szCs w:val="20"/>
        </w:rPr>
        <w:t>these</w:t>
      </w:r>
      <w:r w:rsidRPr="00933EFF">
        <w:rPr>
          <w:szCs w:val="20"/>
        </w:rPr>
        <w:t xml:space="preserve"> 67 municipalities are the main municipality of the population arrangement to which they were grouped by the IBGE</w:t>
      </w:r>
      <w:r>
        <w:rPr>
          <w:szCs w:val="20"/>
        </w:rPr>
        <w:t xml:space="preserve">, but </w:t>
      </w:r>
      <w:r w:rsidRPr="00933EFF">
        <w:rPr>
          <w:szCs w:val="20"/>
        </w:rPr>
        <w:t>are not metropolises. It was considered that all the influence received by these 36 municipalities comes from the metropolis to which they are linked by IBGE</w:t>
      </w:r>
      <w:r>
        <w:rPr>
          <w:szCs w:val="20"/>
        </w:rPr>
        <w:t>.</w:t>
      </w:r>
      <w:r w:rsidR="00F12038">
        <w:rPr>
          <w:szCs w:val="20"/>
        </w:rPr>
        <w:t xml:space="preserve"> </w:t>
      </w:r>
      <w:r w:rsidR="00CD50C1">
        <w:rPr>
          <w:szCs w:val="20"/>
        </w:rPr>
        <w:t xml:space="preserve">For these municipalities </w:t>
      </w:r>
      <w:r w:rsidR="00CD50C1" w:rsidRPr="00EA14AC">
        <w:rPr>
          <w:szCs w:val="20"/>
        </w:rPr>
        <w:t>we used the available information</w:t>
      </w:r>
      <w:r w:rsidR="00CD50C1" w:rsidRPr="00C54664">
        <w:rPr>
          <w:szCs w:val="20"/>
        </w:rPr>
        <w:t xml:space="preserve"> </w:t>
      </w:r>
      <w:r w:rsidR="00CD50C1">
        <w:rPr>
          <w:szCs w:val="20"/>
        </w:rPr>
        <w:t xml:space="preserve">in </w:t>
      </w:r>
      <w:r w:rsidR="00CD50C1" w:rsidRPr="00F30500">
        <w:rPr>
          <w:szCs w:val="20"/>
        </w:rPr>
        <w:t xml:space="preserve">REGIC 2018 </w:t>
      </w:r>
      <w:r w:rsidR="00CD50C1">
        <w:rPr>
          <w:szCs w:val="20"/>
        </w:rPr>
        <w:t>–</w:t>
      </w:r>
      <w:r w:rsidR="00CD50C1" w:rsidRPr="00F30500">
        <w:rPr>
          <w:szCs w:val="20"/>
        </w:rPr>
        <w:t xml:space="preserve"> </w:t>
      </w:r>
      <w:r w:rsidR="00CD50C1" w:rsidRPr="00CD50C1">
        <w:rPr>
          <w:szCs w:val="20"/>
        </w:rPr>
        <w:t xml:space="preserve">Connection Between Cities </w:t>
      </w:r>
      <w:r w:rsidR="00CD50C1">
        <w:rPr>
          <w:szCs w:val="20"/>
        </w:rPr>
        <w:t>(IBGE 2020</w:t>
      </w:r>
      <w:r w:rsidR="00933EFF">
        <w:rPr>
          <w:szCs w:val="20"/>
        </w:rPr>
        <w:t>d</w:t>
      </w:r>
      <w:r w:rsidR="00CD50C1">
        <w:rPr>
          <w:szCs w:val="20"/>
        </w:rPr>
        <w:t xml:space="preserve">) to </w:t>
      </w:r>
      <w:r w:rsidR="004F15FA">
        <w:rPr>
          <w:szCs w:val="20"/>
        </w:rPr>
        <w:t>set</w:t>
      </w:r>
      <w:r w:rsidR="00CD50C1">
        <w:rPr>
          <w:szCs w:val="20"/>
        </w:rPr>
        <w:t xml:space="preserve"> </w:t>
      </w:r>
      <w:r w:rsidR="004F15FA">
        <w:rPr>
          <w:szCs w:val="20"/>
        </w:rPr>
        <w:t>their received influences</w:t>
      </w:r>
      <w:r w:rsidR="00CD50C1">
        <w:rPr>
          <w:szCs w:val="20"/>
        </w:rPr>
        <w:t>.</w:t>
      </w:r>
    </w:p>
    <w:p w14:paraId="6C6134A0" w14:textId="5C73ED1D" w:rsidR="00CD50C1" w:rsidRPr="00A8379B" w:rsidRDefault="00CD50C1" w:rsidP="00CD50C1">
      <w:pPr>
        <w:spacing w:before="240" w:line="240" w:lineRule="auto"/>
        <w:rPr>
          <w:szCs w:val="20"/>
        </w:rPr>
      </w:pPr>
      <w:r>
        <w:rPr>
          <w:szCs w:val="20"/>
        </w:rPr>
        <w:t xml:space="preserve">The </w:t>
      </w:r>
      <w:r w:rsidRPr="00F30500">
        <w:rPr>
          <w:szCs w:val="20"/>
        </w:rPr>
        <w:t xml:space="preserve">REGIC 2018 </w:t>
      </w:r>
      <w:r>
        <w:rPr>
          <w:szCs w:val="20"/>
        </w:rPr>
        <w:t>–</w:t>
      </w:r>
      <w:r w:rsidRPr="00F30500">
        <w:rPr>
          <w:szCs w:val="20"/>
        </w:rPr>
        <w:t xml:space="preserve"> </w:t>
      </w:r>
      <w:r w:rsidRPr="00CD50C1">
        <w:rPr>
          <w:szCs w:val="20"/>
        </w:rPr>
        <w:t xml:space="preserve">Connection Between Cities </w:t>
      </w:r>
      <w:r>
        <w:rPr>
          <w:szCs w:val="20"/>
        </w:rPr>
        <w:t>data</w:t>
      </w:r>
      <w:r w:rsidRPr="002B6640">
        <w:rPr>
          <w:szCs w:val="20"/>
        </w:rPr>
        <w:t xml:space="preserve"> </w:t>
      </w:r>
      <w:r>
        <w:rPr>
          <w:szCs w:val="20"/>
        </w:rPr>
        <w:t xml:space="preserve">are available in internet at this </w:t>
      </w:r>
      <w:hyperlink r:id="rId20" w:history="1">
        <w:r w:rsidRPr="00CD50C1">
          <w:rPr>
            <w:rStyle w:val="Hyperlink"/>
            <w:szCs w:val="20"/>
          </w:rPr>
          <w:t>page</w:t>
        </w:r>
      </w:hyperlink>
      <w:r w:rsidRPr="00A8379B">
        <w:rPr>
          <w:szCs w:val="20"/>
        </w:rPr>
        <w:t xml:space="preserve">. </w:t>
      </w:r>
      <w:r>
        <w:rPr>
          <w:szCs w:val="20"/>
        </w:rPr>
        <w:t>The data were down</w:t>
      </w:r>
      <w:r w:rsidRPr="00A8379B">
        <w:rPr>
          <w:szCs w:val="20"/>
        </w:rPr>
        <w:t>loaded in a .xlsx file with the format showed in Figure S</w:t>
      </w:r>
      <w:r w:rsidR="00F12038">
        <w:rPr>
          <w:szCs w:val="20"/>
        </w:rPr>
        <w:t>9</w:t>
      </w:r>
      <w:r w:rsidRPr="00A8379B">
        <w:rPr>
          <w:szCs w:val="20"/>
        </w:rPr>
        <w:t>.</w:t>
      </w:r>
    </w:p>
    <w:p w14:paraId="712FB777" w14:textId="7AE4E0EA" w:rsidR="00CD50C1" w:rsidRDefault="00CD50C1" w:rsidP="00CD50C1">
      <w:pPr>
        <w:keepNext/>
        <w:spacing w:before="240" w:line="240" w:lineRule="auto"/>
        <w:jc w:val="center"/>
        <w:rPr>
          <w:rFonts w:hAnsi="Calibri" w:cs="Calibri"/>
          <w:szCs w:val="20"/>
        </w:rPr>
      </w:pPr>
      <w:r w:rsidRPr="00EA14AC">
        <w:rPr>
          <w:rFonts w:hAnsi="Calibri" w:cs="Calibri"/>
          <w:b/>
          <w:bCs/>
          <w:szCs w:val="20"/>
        </w:rPr>
        <w:lastRenderedPageBreak/>
        <w:t xml:space="preserve">Figure </w:t>
      </w:r>
      <w:r>
        <w:rPr>
          <w:rFonts w:hAnsi="Calibri" w:cs="Calibri"/>
          <w:b/>
          <w:bCs/>
          <w:szCs w:val="20"/>
        </w:rPr>
        <w:t>S</w:t>
      </w:r>
      <w:r w:rsidR="004F15FA">
        <w:rPr>
          <w:rFonts w:hAnsi="Calibri" w:cs="Calibri"/>
          <w:b/>
          <w:bCs/>
          <w:szCs w:val="20"/>
        </w:rPr>
        <w:t>9</w:t>
      </w:r>
      <w:r w:rsidRPr="00EA14AC">
        <w:rPr>
          <w:rFonts w:hAnsi="Calibri" w:cs="Calibri"/>
          <w:b/>
          <w:bCs/>
          <w:szCs w:val="20"/>
        </w:rPr>
        <w:t>.</w:t>
      </w:r>
      <w:r w:rsidRPr="00EA14AC">
        <w:rPr>
          <w:rFonts w:hAnsi="Calibri" w:cs="Calibri"/>
          <w:szCs w:val="20"/>
        </w:rPr>
        <w:t xml:space="preserve"> </w:t>
      </w:r>
      <w:r>
        <w:rPr>
          <w:rFonts w:hAnsi="Calibri" w:cs="Calibri"/>
          <w:szCs w:val="20"/>
        </w:rPr>
        <w:t xml:space="preserve">Format of </w:t>
      </w:r>
      <w:r w:rsidRPr="00F30500">
        <w:rPr>
          <w:szCs w:val="20"/>
        </w:rPr>
        <w:t xml:space="preserve">REGIC 2018 </w:t>
      </w:r>
      <w:r>
        <w:rPr>
          <w:szCs w:val="20"/>
        </w:rPr>
        <w:t>–</w:t>
      </w:r>
      <w:r w:rsidRPr="00F30500">
        <w:rPr>
          <w:szCs w:val="20"/>
        </w:rPr>
        <w:t xml:space="preserve"> </w:t>
      </w:r>
      <w:r w:rsidRPr="00CD50C1">
        <w:rPr>
          <w:szCs w:val="20"/>
        </w:rPr>
        <w:t xml:space="preserve">Connection Between Cities </w:t>
      </w:r>
      <w:r>
        <w:rPr>
          <w:szCs w:val="20"/>
        </w:rPr>
        <w:t>data</w:t>
      </w:r>
      <w:r w:rsidRPr="00EA14AC">
        <w:rPr>
          <w:rFonts w:hAnsi="Calibri" w:cs="Calibri"/>
          <w:szCs w:val="20"/>
        </w:rPr>
        <w:t>.</w:t>
      </w:r>
    </w:p>
    <w:p w14:paraId="4E9E39F4" w14:textId="750747A8" w:rsidR="00CD50C1" w:rsidRDefault="00CD50C1" w:rsidP="00CD50C1">
      <w:pPr>
        <w:spacing w:line="360" w:lineRule="auto"/>
        <w:jc w:val="left"/>
        <w:rPr>
          <w:rFonts w:hAnsi="Calibri" w:cs="Calibri"/>
          <w:noProof/>
          <w:szCs w:val="20"/>
        </w:rPr>
      </w:pPr>
      <w:r>
        <w:rPr>
          <w:rFonts w:hAnsi="Calibri" w:cs="Calibri"/>
          <w:noProof/>
          <w:szCs w:val="20"/>
        </w:rPr>
        <w:drawing>
          <wp:inline distT="0" distB="0" distL="0" distR="0" wp14:anchorId="01A16CA8" wp14:editId="14B4BEC5">
            <wp:extent cx="6473825" cy="1331595"/>
            <wp:effectExtent l="0" t="0" r="3175"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3825" cy="1331595"/>
                    </a:xfrm>
                    <a:prstGeom prst="rect">
                      <a:avLst/>
                    </a:prstGeom>
                    <a:noFill/>
                    <a:ln>
                      <a:noFill/>
                    </a:ln>
                  </pic:spPr>
                </pic:pic>
              </a:graphicData>
            </a:graphic>
          </wp:inline>
        </w:drawing>
      </w:r>
    </w:p>
    <w:p w14:paraId="0BC6759F" w14:textId="451BB554" w:rsidR="004F15FA" w:rsidRDefault="004F15FA" w:rsidP="004F15FA">
      <w:pPr>
        <w:spacing w:before="240" w:line="240" w:lineRule="auto"/>
        <w:rPr>
          <w:szCs w:val="20"/>
        </w:rPr>
      </w:pPr>
      <w:r>
        <w:rPr>
          <w:szCs w:val="20"/>
        </w:rPr>
        <w:t>We</w:t>
      </w:r>
      <w:r w:rsidRPr="003A5164">
        <w:rPr>
          <w:szCs w:val="20"/>
        </w:rPr>
        <w:t xml:space="preserve"> </w:t>
      </w:r>
      <w:r>
        <w:rPr>
          <w:szCs w:val="20"/>
        </w:rPr>
        <w:t xml:space="preserve">set the influences </w:t>
      </w:r>
      <w:r w:rsidR="005A7CC8">
        <w:rPr>
          <w:szCs w:val="20"/>
        </w:rPr>
        <w:t xml:space="preserve">to 1 </w:t>
      </w:r>
      <w:r>
        <w:rPr>
          <w:szCs w:val="20"/>
        </w:rPr>
        <w:t xml:space="preserve">in that 36 of 67 municipalities using the information “sim” (yes) of the link (column O) according the code of the influenced municipality (column B) and the code of </w:t>
      </w:r>
      <w:r w:rsidR="00F97338" w:rsidRPr="00933EFF">
        <w:rPr>
          <w:szCs w:val="20"/>
        </w:rPr>
        <w:t>the metropolis to which they are linked</w:t>
      </w:r>
      <w:r w:rsidR="00F97338" w:rsidRPr="00457ED0">
        <w:rPr>
          <w:szCs w:val="20"/>
        </w:rPr>
        <w:t xml:space="preserve"> </w:t>
      </w:r>
      <w:r>
        <w:rPr>
          <w:szCs w:val="20"/>
        </w:rPr>
        <w:t xml:space="preserve">(column </w:t>
      </w:r>
      <w:r w:rsidR="00F97338">
        <w:rPr>
          <w:szCs w:val="20"/>
        </w:rPr>
        <w:t>H</w:t>
      </w:r>
      <w:r>
        <w:rPr>
          <w:szCs w:val="20"/>
        </w:rPr>
        <w:t>)</w:t>
      </w:r>
      <w:r w:rsidR="00F97338">
        <w:rPr>
          <w:szCs w:val="20"/>
        </w:rPr>
        <w:t>.</w:t>
      </w:r>
    </w:p>
    <w:p w14:paraId="07D339B2" w14:textId="23D3933B" w:rsidR="00747FC9" w:rsidRDefault="00747FC9" w:rsidP="00747FC9">
      <w:pPr>
        <w:spacing w:before="240" w:line="240" w:lineRule="auto"/>
        <w:rPr>
          <w:szCs w:val="20"/>
        </w:rPr>
      </w:pPr>
      <w:r>
        <w:rPr>
          <w:szCs w:val="20"/>
        </w:rPr>
        <w:t>The last 15 of these</w:t>
      </w:r>
      <w:r w:rsidRPr="00933EFF">
        <w:rPr>
          <w:szCs w:val="20"/>
        </w:rPr>
        <w:t xml:space="preserve"> 67 municipalities are</w:t>
      </w:r>
      <w:r>
        <w:rPr>
          <w:szCs w:val="20"/>
        </w:rPr>
        <w:t xml:space="preserve"> metropolises</w:t>
      </w:r>
      <w:r w:rsidRPr="00933EFF">
        <w:rPr>
          <w:szCs w:val="20"/>
        </w:rPr>
        <w:t>. It was considered that the influence</w:t>
      </w:r>
      <w:r>
        <w:rPr>
          <w:szCs w:val="20"/>
        </w:rPr>
        <w:t>s</w:t>
      </w:r>
      <w:r w:rsidRPr="00933EFF">
        <w:rPr>
          <w:szCs w:val="20"/>
        </w:rPr>
        <w:t xml:space="preserve"> received by these </w:t>
      </w:r>
      <w:r>
        <w:rPr>
          <w:szCs w:val="20"/>
        </w:rPr>
        <w:t>15</w:t>
      </w:r>
      <w:r w:rsidRPr="00933EFF">
        <w:rPr>
          <w:szCs w:val="20"/>
        </w:rPr>
        <w:t xml:space="preserve"> municipalities comes from the </w:t>
      </w:r>
      <w:r>
        <w:rPr>
          <w:szCs w:val="20"/>
        </w:rPr>
        <w:t xml:space="preserve">relations of public and business management. For these municipalities </w:t>
      </w:r>
      <w:r w:rsidRPr="00EA14AC">
        <w:rPr>
          <w:szCs w:val="20"/>
        </w:rPr>
        <w:t>we used the available information</w:t>
      </w:r>
      <w:r w:rsidRPr="00C54664">
        <w:rPr>
          <w:szCs w:val="20"/>
        </w:rPr>
        <w:t xml:space="preserve"> </w:t>
      </w:r>
      <w:r>
        <w:rPr>
          <w:szCs w:val="20"/>
        </w:rPr>
        <w:t xml:space="preserve">in </w:t>
      </w:r>
      <w:r w:rsidRPr="00F30500">
        <w:rPr>
          <w:szCs w:val="20"/>
        </w:rPr>
        <w:t xml:space="preserve">REGIC 2018 </w:t>
      </w:r>
      <w:r>
        <w:rPr>
          <w:szCs w:val="20"/>
        </w:rPr>
        <w:t>–</w:t>
      </w:r>
      <w:r w:rsidRPr="00F30500">
        <w:rPr>
          <w:szCs w:val="20"/>
        </w:rPr>
        <w:t xml:space="preserve"> </w:t>
      </w:r>
      <w:r w:rsidRPr="00CD50C1">
        <w:rPr>
          <w:szCs w:val="20"/>
        </w:rPr>
        <w:t xml:space="preserve">Connection Between Cities </w:t>
      </w:r>
      <w:r>
        <w:rPr>
          <w:szCs w:val="20"/>
        </w:rPr>
        <w:t xml:space="preserve">(IBGE 2020d) to set their received influences. </w:t>
      </w:r>
      <w:r w:rsidR="00B57053">
        <w:rPr>
          <w:szCs w:val="20"/>
        </w:rPr>
        <w:t>These relations between metropolises are set by IBGE from 0 to 3, meaning: 0 – no relation, 1 – first order relation, 2 – second order relation, and 3 – third order relation. The second and the third relations are equivalent, respectively, to 95% and 90% of the influence of the first order relation</w:t>
      </w:r>
      <w:r w:rsidR="00B02F7C">
        <w:rPr>
          <w:szCs w:val="20"/>
        </w:rPr>
        <w:t xml:space="preserve"> (IBGE 2020a)</w:t>
      </w:r>
      <w:r w:rsidR="00B57053">
        <w:rPr>
          <w:szCs w:val="20"/>
        </w:rPr>
        <w:t xml:space="preserve">. </w:t>
      </w:r>
      <w:r>
        <w:rPr>
          <w:szCs w:val="20"/>
        </w:rPr>
        <w:t>We</w:t>
      </w:r>
      <w:r w:rsidRPr="003A5164">
        <w:rPr>
          <w:szCs w:val="20"/>
        </w:rPr>
        <w:t xml:space="preserve"> </w:t>
      </w:r>
      <w:r>
        <w:rPr>
          <w:szCs w:val="20"/>
        </w:rPr>
        <w:t xml:space="preserve">calculated the influences </w:t>
      </w:r>
      <w:r w:rsidR="00B57053">
        <w:rPr>
          <w:szCs w:val="20"/>
        </w:rPr>
        <w:t>on</w:t>
      </w:r>
      <w:r>
        <w:rPr>
          <w:szCs w:val="20"/>
        </w:rPr>
        <w:t xml:space="preserve"> influenced municipalities that are metropolises (column B) as the average influence </w:t>
      </w:r>
      <w:r w:rsidR="00B57053">
        <w:rPr>
          <w:szCs w:val="20"/>
        </w:rPr>
        <w:t>on</w:t>
      </w:r>
      <w:r>
        <w:rPr>
          <w:szCs w:val="20"/>
        </w:rPr>
        <w:t xml:space="preserve"> public management (column </w:t>
      </w:r>
      <w:r w:rsidR="00B57053">
        <w:rPr>
          <w:szCs w:val="20"/>
        </w:rPr>
        <w:t>W) and business management (column X) of</w:t>
      </w:r>
      <w:r>
        <w:rPr>
          <w:szCs w:val="20"/>
        </w:rPr>
        <w:t xml:space="preserve"> influencing municipality</w:t>
      </w:r>
      <w:r w:rsidR="005A7CC8">
        <w:rPr>
          <w:szCs w:val="20"/>
        </w:rPr>
        <w:t xml:space="preserve"> (column H)</w:t>
      </w:r>
      <w:r w:rsidR="00B57053">
        <w:rPr>
          <w:szCs w:val="20"/>
        </w:rPr>
        <w:t>,</w:t>
      </w:r>
      <w:r>
        <w:rPr>
          <w:szCs w:val="20"/>
        </w:rPr>
        <w:t xml:space="preserve"> </w:t>
      </w:r>
      <w:r w:rsidR="00B57053">
        <w:rPr>
          <w:szCs w:val="20"/>
        </w:rPr>
        <w:t>that are also metropolis</w:t>
      </w:r>
      <w:r>
        <w:rPr>
          <w:szCs w:val="20"/>
        </w:rPr>
        <w:t>.</w:t>
      </w:r>
    </w:p>
    <w:p w14:paraId="6DF3DC10" w14:textId="32B92331" w:rsidR="007C4AAC" w:rsidRPr="00EE1A47" w:rsidRDefault="00BC7EC4" w:rsidP="007C4AAC">
      <w:pPr>
        <w:spacing w:before="240" w:line="240" w:lineRule="auto"/>
        <w:rPr>
          <w:rFonts w:hAnsi="Calibri" w:cs="Calibri"/>
          <w:szCs w:val="20"/>
        </w:rPr>
      </w:pPr>
      <w:r>
        <w:rPr>
          <w:szCs w:val="20"/>
        </w:rPr>
        <w:t>T</w:t>
      </w:r>
      <w:r w:rsidR="00B02F7C">
        <w:rPr>
          <w:szCs w:val="20"/>
        </w:rPr>
        <w:t xml:space="preserve">he </w:t>
      </w:r>
      <w:r w:rsidR="00B02F7C" w:rsidRPr="00EA14AC">
        <w:rPr>
          <w:szCs w:val="20"/>
        </w:rPr>
        <w:t xml:space="preserve">average consumer complaint rate of Brazilian municipality </w:t>
      </w:r>
      <w:r w:rsidR="00B02F7C" w:rsidRPr="00EA14AC">
        <w:rPr>
          <w:rFonts w:ascii="Cambria Math" w:hAnsi="Cambria Math" w:cs="Cambria Math"/>
          <w:szCs w:val="20"/>
        </w:rPr>
        <w:t>𝑣</w:t>
      </w:r>
      <w:r w:rsidR="00B02F7C" w:rsidRPr="00EA14AC">
        <w:rPr>
          <w:rFonts w:ascii="Cambria Math" w:hAnsi="Cambria Math" w:cs="Cambria Math"/>
          <w:szCs w:val="20"/>
          <w:vertAlign w:val="subscript"/>
        </w:rPr>
        <w:t>𝑖</w:t>
      </w:r>
      <w:r w:rsidR="00B02F7C" w:rsidRPr="00EA14AC">
        <w:rPr>
          <w:szCs w:val="20"/>
        </w:rPr>
        <w:t xml:space="preserve"> on July 2022</w:t>
      </w:r>
      <w:r w:rsidR="007C4AAC">
        <w:rPr>
          <w:szCs w:val="20"/>
        </w:rPr>
        <w:t xml:space="preserve"> (the graph signal </w:t>
      </w:r>
      <w:r w:rsidR="00B02F7C" w:rsidRPr="00EA14AC">
        <w:rPr>
          <w:rFonts w:ascii="Cambria Math" w:hAnsi="Cambria Math"/>
          <w:szCs w:val="20"/>
        </w:rPr>
        <w:t>𝒖(0)</w:t>
      </w:r>
      <w:r w:rsidR="007C4AAC">
        <w:rPr>
          <w:rFonts w:ascii="Cambria Math" w:hAnsi="Cambria Math"/>
          <w:szCs w:val="20"/>
        </w:rPr>
        <w:t>)</w:t>
      </w:r>
      <w:r w:rsidR="00B02F7C" w:rsidRPr="00B02F7C">
        <w:rPr>
          <w:rFonts w:hAnsi="Calibri" w:cs="Calibri"/>
          <w:szCs w:val="20"/>
        </w:rPr>
        <w:t xml:space="preserve">, </w:t>
      </w:r>
      <w:r w:rsidR="007C4AAC">
        <w:rPr>
          <w:rFonts w:hAnsi="Calibri" w:cs="Calibri"/>
          <w:szCs w:val="20"/>
        </w:rPr>
        <w:t xml:space="preserve">the influences between municipalities to model the </w:t>
      </w:r>
      <w:r w:rsidR="007C4AAC" w:rsidRPr="00C54664">
        <w:rPr>
          <w:szCs w:val="20"/>
        </w:rPr>
        <w:t xml:space="preserve">Anatel’s expectation of </w:t>
      </w:r>
      <w:r w:rsidR="007C4AAC">
        <w:rPr>
          <w:szCs w:val="20"/>
        </w:rPr>
        <w:t xml:space="preserve">PCS </w:t>
      </w:r>
      <w:r w:rsidR="007C4AAC" w:rsidRPr="00C54664">
        <w:rPr>
          <w:szCs w:val="20"/>
        </w:rPr>
        <w:t>consumer dissatisfaction at each influenced municipality</w:t>
      </w:r>
      <w:r w:rsidR="007C4AAC">
        <w:rPr>
          <w:szCs w:val="20"/>
        </w:rPr>
        <w:t xml:space="preserve"> (t</w:t>
      </w:r>
      <w:r w:rsidR="007C4AAC" w:rsidRPr="007C4AAC">
        <w:rPr>
          <w:szCs w:val="20"/>
        </w:rPr>
        <w:t xml:space="preserve">he adjacency matrix </w:t>
      </w:r>
      <w:r w:rsidR="007C4AAC" w:rsidRPr="007C4AAC">
        <w:rPr>
          <w:rFonts w:ascii="Cambria Math" w:hAnsi="Cambria Math" w:cs="Cambria Math"/>
          <w:szCs w:val="20"/>
        </w:rPr>
        <w:t>𝑾</w:t>
      </w:r>
      <w:r w:rsidR="007C4AAC" w:rsidRPr="007C4AAC">
        <w:rPr>
          <w:szCs w:val="20"/>
        </w:rPr>
        <w:t xml:space="preserve"> of </w:t>
      </w:r>
      <w:r w:rsidR="007C4AAC" w:rsidRPr="007C4AAC">
        <w:rPr>
          <w:rFonts w:ascii="Cambria Math" w:hAnsi="Cambria Math" w:cs="Cambria Math"/>
          <w:szCs w:val="20"/>
        </w:rPr>
        <w:t>𝒢</w:t>
      </w:r>
      <w:r w:rsidR="007C4AAC">
        <w:rPr>
          <w:rFonts w:ascii="Cambria Math" w:hAnsi="Cambria Math" w:cs="Cambria Math"/>
          <w:szCs w:val="20"/>
        </w:rPr>
        <w:t>)</w:t>
      </w:r>
      <w:r w:rsidR="007C4AAC">
        <w:rPr>
          <w:rFonts w:hAnsi="Calibri" w:cs="Calibri"/>
          <w:szCs w:val="20"/>
        </w:rPr>
        <w:t xml:space="preserve">, and the number of consumers per municipality, the vector </w:t>
      </w:r>
      <w:r w:rsidR="007C4AAC">
        <w:rPr>
          <w:rFonts w:ascii="Cambria Math" w:hAnsi="Cambria Math" w:cs="Calibri"/>
          <w:szCs w:val="20"/>
        </w:rPr>
        <w:t>𝒄</w:t>
      </w:r>
      <w:r w:rsidR="007C4AAC" w:rsidRPr="00EA14AC">
        <w:rPr>
          <w:rFonts w:ascii="Cambria Math" w:hAnsi="Cambria Math"/>
          <w:szCs w:val="20"/>
        </w:rPr>
        <w:t xml:space="preserve"> = [</w:t>
      </w:r>
      <w:r w:rsidR="007C4AAC">
        <w:rPr>
          <w:rFonts w:ascii="Cambria Math" w:hAnsi="Cambria Math" w:cs="Cambria Math"/>
          <w:szCs w:val="20"/>
        </w:rPr>
        <w:t>𝑐</w:t>
      </w:r>
      <w:r w:rsidR="007C4AAC" w:rsidRPr="00EA14AC">
        <w:rPr>
          <w:rFonts w:ascii="Cambria Math" w:hAnsi="Cambria Math"/>
          <w:szCs w:val="20"/>
          <w:vertAlign w:val="subscript"/>
        </w:rPr>
        <w:t>1</w:t>
      </w:r>
      <w:r w:rsidR="007C4AAC" w:rsidRPr="00EA14AC">
        <w:rPr>
          <w:rFonts w:ascii="Cambria Math" w:hAnsi="Cambria Math"/>
          <w:szCs w:val="20"/>
        </w:rPr>
        <w:t xml:space="preserve">, </w:t>
      </w:r>
      <w:r w:rsidR="007C4AAC">
        <w:rPr>
          <w:rFonts w:ascii="Cambria Math" w:hAnsi="Cambria Math" w:cs="Cambria Math"/>
          <w:szCs w:val="20"/>
        </w:rPr>
        <w:t>𝑐</w:t>
      </w:r>
      <w:r w:rsidR="007C4AAC" w:rsidRPr="00EA14AC">
        <w:rPr>
          <w:rFonts w:ascii="Cambria Math" w:hAnsi="Cambria Math"/>
          <w:szCs w:val="20"/>
          <w:vertAlign w:val="subscript"/>
        </w:rPr>
        <w:t>2</w:t>
      </w:r>
      <w:r w:rsidR="007C4AAC" w:rsidRPr="00EA14AC">
        <w:rPr>
          <w:rFonts w:ascii="Cambria Math" w:hAnsi="Cambria Math"/>
          <w:szCs w:val="20"/>
        </w:rPr>
        <w:t xml:space="preserve">, ..., </w:t>
      </w:r>
      <w:r w:rsidR="007C4AAC">
        <w:rPr>
          <w:rFonts w:ascii="Cambria Math" w:hAnsi="Cambria Math" w:cs="Cambria Math"/>
          <w:szCs w:val="20"/>
        </w:rPr>
        <w:t>𝑐</w:t>
      </w:r>
      <w:r w:rsidR="007C4AAC" w:rsidRPr="00EA14AC">
        <w:rPr>
          <w:rFonts w:ascii="Cambria Math" w:hAnsi="Cambria Math" w:cs="Cambria Math"/>
          <w:szCs w:val="20"/>
          <w:vertAlign w:val="subscript"/>
        </w:rPr>
        <w:t>𝑁</w:t>
      </w:r>
      <w:r w:rsidR="007C4AAC" w:rsidRPr="00EA14AC">
        <w:rPr>
          <w:rFonts w:ascii="Cambria Math" w:hAnsi="Cambria Math"/>
          <w:szCs w:val="20"/>
        </w:rPr>
        <w:t>]ᵀ</w:t>
      </w:r>
      <w:r w:rsidR="007C4AAC" w:rsidRPr="00EA14AC">
        <w:rPr>
          <w:szCs w:val="20"/>
        </w:rPr>
        <w:t>, with</w:t>
      </w:r>
      <w:r w:rsidR="007C4AAC">
        <w:rPr>
          <w:szCs w:val="20"/>
        </w:rPr>
        <w:t xml:space="preserve"> </w:t>
      </w:r>
      <w:r w:rsidR="00073992" w:rsidRPr="00EA14AC">
        <w:rPr>
          <w:rFonts w:ascii="Cambria Math" w:hAnsi="Cambria Math"/>
          <w:szCs w:val="20"/>
        </w:rPr>
        <w:t>50.</w:t>
      </w:r>
      <w:r w:rsidR="00073992" w:rsidRPr="00EE1A47">
        <w:rPr>
          <w:rFonts w:hAnsi="Calibri" w:cs="Calibri"/>
          <w:szCs w:val="20"/>
        </w:rPr>
        <w:t>000</w:t>
      </w:r>
      <w:r w:rsidR="00073992" w:rsidRPr="00EE1A47">
        <w:rPr>
          <w:rFonts w:ascii="Cambria Math" w:hAnsi="Cambria Math" w:cs="Cambria Math"/>
        </w:rPr>
        <w:t>𝑐</w:t>
      </w:r>
      <w:r w:rsidR="00073992" w:rsidRPr="00EE1A47">
        <w:rPr>
          <w:rFonts w:ascii="Cambria Math" w:hAnsi="Cambria Math" w:cs="Cambria Math"/>
          <w:szCs w:val="20"/>
          <w:vertAlign w:val="subscript"/>
        </w:rPr>
        <w:t>𝑖</w:t>
      </w:r>
      <w:r w:rsidR="00073992" w:rsidRPr="00EE1A47">
        <w:rPr>
          <w:rFonts w:hAnsi="Calibri" w:cs="Calibri"/>
          <w:szCs w:val="20"/>
        </w:rPr>
        <w:t xml:space="preserve"> the number of </w:t>
      </w:r>
      <w:r w:rsidR="00073992" w:rsidRPr="00EE1A47">
        <w:rPr>
          <w:rFonts w:hAnsi="Calibri" w:cs="Calibri"/>
        </w:rPr>
        <w:t>consumers in municipality</w:t>
      </w:r>
      <w:r w:rsidR="00073992">
        <w:rPr>
          <w:rFonts w:ascii="Cambria Math" w:hAnsi="Cambria Math"/>
        </w:rPr>
        <w:t xml:space="preserve"> </w:t>
      </w:r>
      <w:r w:rsidR="00073992" w:rsidRPr="00EA14AC">
        <w:rPr>
          <w:rFonts w:ascii="Cambria Math" w:hAnsi="Cambria Math" w:cs="Cambria Math"/>
          <w:szCs w:val="20"/>
        </w:rPr>
        <w:t>𝑣</w:t>
      </w:r>
      <w:r w:rsidR="00073992" w:rsidRPr="00EA14AC">
        <w:rPr>
          <w:rFonts w:ascii="Cambria Math" w:hAnsi="Cambria Math" w:cs="Cambria Math"/>
          <w:szCs w:val="20"/>
          <w:vertAlign w:val="subscript"/>
        </w:rPr>
        <w:t>𝑖</w:t>
      </w:r>
      <w:r w:rsidRPr="00EE1A47">
        <w:rPr>
          <w:rFonts w:hAnsi="Calibri" w:cs="Calibri"/>
          <w:szCs w:val="20"/>
        </w:rPr>
        <w:t>, are already properly organized in</w:t>
      </w:r>
      <w:r>
        <w:rPr>
          <w:szCs w:val="20"/>
        </w:rPr>
        <w:t xml:space="preserve"> the file </w:t>
      </w:r>
      <w:r w:rsidRPr="00EE1A47">
        <w:rPr>
          <w:szCs w:val="20"/>
        </w:rPr>
        <w:t>data_</w:t>
      </w:r>
      <w:r w:rsidR="005A7CC8" w:rsidRPr="00EE1A47">
        <w:rPr>
          <w:szCs w:val="20"/>
        </w:rPr>
        <w:t>for_</w:t>
      </w:r>
      <w:r w:rsidRPr="00EE1A47">
        <w:rPr>
          <w:szCs w:val="20"/>
        </w:rPr>
        <w:t>print_</w:t>
      </w:r>
      <w:r w:rsidR="005A7CC8" w:rsidRPr="00EE1A47">
        <w:rPr>
          <w:szCs w:val="20"/>
        </w:rPr>
        <w:t>simulations</w:t>
      </w:r>
      <w:r w:rsidRPr="00EE1A47">
        <w:rPr>
          <w:szCs w:val="20"/>
        </w:rPr>
        <w:t>.npz</w:t>
      </w:r>
      <w:r w:rsidR="00DD5A4E">
        <w:rPr>
          <w:szCs w:val="20"/>
        </w:rPr>
        <w:t xml:space="preserve">, </w:t>
      </w:r>
      <w:r w:rsidR="00DD5A4E" w:rsidRPr="00DD5A4E">
        <w:rPr>
          <w:szCs w:val="20"/>
        </w:rPr>
        <w:t>available at</w:t>
      </w:r>
      <w:r w:rsidR="00DD5A4E">
        <w:rPr>
          <w:szCs w:val="20"/>
        </w:rPr>
        <w:t xml:space="preserve"> </w:t>
      </w:r>
      <w:r w:rsidR="00DD5A4E" w:rsidRPr="00DD5A4E">
        <w:rPr>
          <w:szCs w:val="20"/>
        </w:rPr>
        <w:t>https://github.com/PRInT2023</w:t>
      </w:r>
      <w:r w:rsidRPr="00EE1A47">
        <w:rPr>
          <w:szCs w:val="20"/>
        </w:rPr>
        <w:t xml:space="preserve">. File </w:t>
      </w:r>
      <w:r w:rsidR="00EE1A47" w:rsidRPr="00EE1A47">
        <w:rPr>
          <w:szCs w:val="20"/>
        </w:rPr>
        <w:t>print_simulations</w:t>
      </w:r>
      <w:r w:rsidRPr="00EE1A47">
        <w:rPr>
          <w:szCs w:val="20"/>
        </w:rPr>
        <w:t>.ipynb contains the s</w:t>
      </w:r>
      <w:r w:rsidRPr="00EE1A47">
        <w:rPr>
          <w:rFonts w:hAnsi="Calibri" w:cs="Calibri"/>
          <w:szCs w:val="20"/>
        </w:rPr>
        <w:t xml:space="preserve">cript in Python language for reproduction of simulations, results and figures presented in article Principles, </w:t>
      </w:r>
      <w:r w:rsidR="00DD5A4E">
        <w:rPr>
          <w:rFonts w:hAnsi="Calibri" w:cs="Calibri"/>
          <w:szCs w:val="20"/>
        </w:rPr>
        <w:t>E</w:t>
      </w:r>
      <w:r w:rsidRPr="00EE1A47">
        <w:rPr>
          <w:rFonts w:hAnsi="Calibri" w:cs="Calibri"/>
          <w:szCs w:val="20"/>
        </w:rPr>
        <w:t xml:space="preserve">valuation </w:t>
      </w:r>
      <w:r w:rsidR="00DD5A4E">
        <w:rPr>
          <w:rFonts w:hAnsi="Calibri" w:cs="Calibri"/>
          <w:szCs w:val="20"/>
        </w:rPr>
        <w:t>M</w:t>
      </w:r>
      <w:r w:rsidRPr="00EE1A47">
        <w:rPr>
          <w:rFonts w:hAnsi="Calibri" w:cs="Calibri"/>
          <w:szCs w:val="20"/>
        </w:rPr>
        <w:t xml:space="preserve">etrics and </w:t>
      </w:r>
      <w:r w:rsidR="00DD5A4E">
        <w:rPr>
          <w:rFonts w:hAnsi="Calibri" w:cs="Calibri"/>
          <w:szCs w:val="20"/>
        </w:rPr>
        <w:t>M</w:t>
      </w:r>
      <w:r w:rsidRPr="00EE1A47">
        <w:rPr>
          <w:rFonts w:hAnsi="Calibri" w:cs="Calibri"/>
          <w:szCs w:val="20"/>
        </w:rPr>
        <w:t xml:space="preserve">ethod for </w:t>
      </w:r>
      <w:r w:rsidR="00DD5A4E">
        <w:rPr>
          <w:rFonts w:hAnsi="Calibri" w:cs="Calibri"/>
          <w:szCs w:val="20"/>
        </w:rPr>
        <w:t>P</w:t>
      </w:r>
      <w:r w:rsidRPr="00EE1A47">
        <w:rPr>
          <w:rFonts w:hAnsi="Calibri" w:cs="Calibri"/>
          <w:szCs w:val="20"/>
        </w:rPr>
        <w:t xml:space="preserve">lanned </w:t>
      </w:r>
      <w:r w:rsidR="00DD5A4E">
        <w:rPr>
          <w:rFonts w:hAnsi="Calibri" w:cs="Calibri"/>
          <w:szCs w:val="20"/>
        </w:rPr>
        <w:t>R</w:t>
      </w:r>
      <w:r w:rsidRPr="00EE1A47">
        <w:rPr>
          <w:rFonts w:hAnsi="Calibri" w:cs="Calibri"/>
          <w:szCs w:val="20"/>
        </w:rPr>
        <w:t xml:space="preserve">egulatory </w:t>
      </w:r>
      <w:r w:rsidR="00DD5A4E">
        <w:rPr>
          <w:rFonts w:hAnsi="Calibri" w:cs="Calibri"/>
          <w:szCs w:val="20"/>
        </w:rPr>
        <w:t>I</w:t>
      </w:r>
      <w:r w:rsidRPr="00EE1A47">
        <w:rPr>
          <w:rFonts w:hAnsi="Calibri" w:cs="Calibri"/>
          <w:szCs w:val="20"/>
        </w:rPr>
        <w:t xml:space="preserve">nspection </w:t>
      </w:r>
      <w:r w:rsidR="00DD5A4E">
        <w:rPr>
          <w:rFonts w:hAnsi="Calibri" w:cs="Calibri"/>
          <w:szCs w:val="20"/>
        </w:rPr>
        <w:t>T</w:t>
      </w:r>
      <w:r w:rsidRPr="00EE1A47">
        <w:rPr>
          <w:rFonts w:hAnsi="Calibri" w:cs="Calibri"/>
          <w:szCs w:val="20"/>
        </w:rPr>
        <w:t>argeting.</w:t>
      </w:r>
    </w:p>
    <w:p w14:paraId="3EFEA8A6" w14:textId="1CD46D01" w:rsidR="00AA54E6" w:rsidRPr="00EA14AC" w:rsidRDefault="0075591D" w:rsidP="00E632D0">
      <w:pPr>
        <w:keepNext/>
        <w:spacing w:before="240" w:after="240" w:line="240" w:lineRule="auto"/>
      </w:pPr>
      <w:r w:rsidRPr="00EA14AC">
        <w:rPr>
          <w:b/>
          <w:bCs/>
          <w:szCs w:val="20"/>
        </w:rPr>
        <w:t>References</w:t>
      </w:r>
    </w:p>
    <w:p w14:paraId="5D342230" w14:textId="77777777" w:rsidR="002B6640" w:rsidRPr="00EA14AC" w:rsidRDefault="002B6640" w:rsidP="002B6640">
      <w:pPr>
        <w:spacing w:line="240" w:lineRule="auto"/>
        <w:ind w:left="567" w:hanging="567"/>
      </w:pPr>
      <w:r w:rsidRPr="00EA14AC">
        <w:t xml:space="preserve">Anatel (2022) </w:t>
      </w:r>
      <w:r w:rsidRPr="00EA14AC">
        <w:rPr>
          <w:i/>
          <w:iCs/>
        </w:rPr>
        <w:t>Consumer Complaints Data Dashboard</w:t>
      </w:r>
      <w:r w:rsidRPr="00EA14AC">
        <w:t>. National Telecommunications Agency, Brazil. [Last accessed October 19, 2022.] Available from URL: https://informacoes.anatel.gov.br/paineis/consumidor/reclamacoes.</w:t>
      </w:r>
    </w:p>
    <w:p w14:paraId="341073BD" w14:textId="77777777" w:rsidR="002B6640" w:rsidRPr="00EA14AC" w:rsidRDefault="002B6640" w:rsidP="002B6640">
      <w:pPr>
        <w:spacing w:line="240" w:lineRule="auto"/>
        <w:ind w:left="567" w:hanging="567"/>
      </w:pPr>
      <w:r w:rsidRPr="00EA14AC">
        <w:t xml:space="preserve">Anatel (2022a) </w:t>
      </w:r>
      <w:bookmarkStart w:id="3" w:name="_Hlk117761180"/>
      <w:r w:rsidRPr="00EA14AC">
        <w:rPr>
          <w:i/>
          <w:iCs/>
        </w:rPr>
        <w:t>PCS Access Data Dashboard</w:t>
      </w:r>
      <w:r w:rsidRPr="00EA14AC">
        <w:t>. National Telecommunications Agency, Brazil. [Last accessed October 19, 2022.] Available from URL: https://informacoes.anatel.gov.br/paineis/acessos/telefonia-movel.</w:t>
      </w:r>
      <w:bookmarkEnd w:id="3"/>
    </w:p>
    <w:p w14:paraId="7CDDEB20" w14:textId="47E1728D" w:rsidR="000F0DD2" w:rsidRDefault="000F0DD2" w:rsidP="00AE4315">
      <w:pPr>
        <w:spacing w:line="240" w:lineRule="auto"/>
        <w:ind w:left="567" w:hanging="567"/>
      </w:pPr>
      <w:r w:rsidRPr="00EA14AC">
        <w:t xml:space="preserve">IBGE (2020a) </w:t>
      </w:r>
      <w:r w:rsidR="00AE4315" w:rsidRPr="00EA14AC">
        <w:rPr>
          <w:i/>
          <w:iCs/>
          <w:szCs w:val="20"/>
        </w:rPr>
        <w:t>Areas of Influence of Cities</w:t>
      </w:r>
      <w:r w:rsidR="00AE4315" w:rsidRPr="00EA14AC">
        <w:rPr>
          <w:szCs w:val="20"/>
        </w:rPr>
        <w:t xml:space="preserve"> </w:t>
      </w:r>
      <w:r w:rsidR="00AE4315" w:rsidRPr="00EA14AC">
        <w:rPr>
          <w:i/>
          <w:iCs/>
        </w:rPr>
        <w:t>2018 - REGIC 2018</w:t>
      </w:r>
      <w:r w:rsidR="00AE4315" w:rsidRPr="00EA14AC">
        <w:t>. [Last accessed October 19, 2022.] Available from URL: https://www.ibge.gov.br/en/geosciences/territorial-organization/geographic-networks-and-flows/19332-areas-of-influence-of-cities.html?=&amp;t=publicacoes.</w:t>
      </w:r>
    </w:p>
    <w:p w14:paraId="35253807" w14:textId="4F0DA175" w:rsidR="004E09D5" w:rsidRPr="00EA14AC" w:rsidRDefault="004E09D5" w:rsidP="004E09D5">
      <w:pPr>
        <w:spacing w:line="240" w:lineRule="auto"/>
        <w:ind w:left="567" w:hanging="567"/>
      </w:pPr>
      <w:r w:rsidRPr="00EA14AC">
        <w:t xml:space="preserve">IBGE (2020b) </w:t>
      </w:r>
      <w:r w:rsidRPr="00EA14AC">
        <w:rPr>
          <w:i/>
          <w:iCs/>
        </w:rPr>
        <w:t xml:space="preserve">REGIC 2018 - </w:t>
      </w:r>
      <w:r w:rsidRPr="004E09D5">
        <w:rPr>
          <w:i/>
          <w:iCs/>
        </w:rPr>
        <w:t>Municipalities Connections and Attraction</w:t>
      </w:r>
      <w:r w:rsidRPr="00EA14AC">
        <w:t>. [Last accessed October 19, 2022.] Available from URL: https://geoftp.ibge.gov.br/organizacao_do_territorio/divisao_regional/regioes_de_influencia_das_cidades/Regioes_de_influencia_das_cidades_2018_Resultados_definitivos/base_tabular/</w:t>
      </w:r>
      <w:r w:rsidRPr="004E09D5">
        <w:t xml:space="preserve"> REGIC2018_Municipios_Ligacoes_e_atracao_xlsx.zip</w:t>
      </w:r>
      <w:r w:rsidRPr="00EA14AC">
        <w:t>.</w:t>
      </w:r>
    </w:p>
    <w:p w14:paraId="1935FCFA" w14:textId="64FBC8E9" w:rsidR="00933EFF" w:rsidRDefault="00933EFF" w:rsidP="00AE4315">
      <w:pPr>
        <w:spacing w:line="240" w:lineRule="auto"/>
        <w:ind w:left="567" w:hanging="567"/>
      </w:pPr>
      <w:r w:rsidRPr="00EA14AC">
        <w:t>IBGE (2020</w:t>
      </w:r>
      <w:r>
        <w:t>c</w:t>
      </w:r>
      <w:r w:rsidRPr="00EA14AC">
        <w:t xml:space="preserve">) </w:t>
      </w:r>
      <w:r w:rsidRPr="00EA14AC">
        <w:rPr>
          <w:i/>
          <w:iCs/>
        </w:rPr>
        <w:t>REGIC 2018 -</w:t>
      </w:r>
      <w:r>
        <w:rPr>
          <w:i/>
          <w:iCs/>
        </w:rPr>
        <w:t xml:space="preserve"> </w:t>
      </w:r>
      <w:r w:rsidRPr="00933EFF">
        <w:rPr>
          <w:i/>
          <w:iCs/>
        </w:rPr>
        <w:t>Population Arrangements</w:t>
      </w:r>
      <w:r>
        <w:rPr>
          <w:i/>
          <w:iCs/>
        </w:rPr>
        <w:t>.</w:t>
      </w:r>
      <w:r>
        <w:t xml:space="preserve"> </w:t>
      </w:r>
      <w:r w:rsidRPr="00EA14AC">
        <w:t xml:space="preserve">[Last accessed October 19, 2022.] Available from URL: </w:t>
      </w:r>
      <w:r w:rsidRPr="00933EFF">
        <w:rPr>
          <w:i/>
          <w:iCs/>
        </w:rPr>
        <w:t>https</w:t>
      </w:r>
      <w:r w:rsidRPr="00933EFF">
        <w:t>://geoftp.ibge.gov.br/organizacao_do_territorio/divisao_regional/regioes_de_influencia_das_cidades/Regioes_de_influencia_das_cidades_2018_Resultados_definitivos/base_tabular/REGIC2018_Arranjos_Populacionais.xlsx</w:t>
      </w:r>
      <w:r w:rsidR="00EF0E26">
        <w:t>.</w:t>
      </w:r>
    </w:p>
    <w:p w14:paraId="0F57DDDC" w14:textId="193057EE" w:rsidR="00AA54E6" w:rsidRPr="00EA14AC" w:rsidRDefault="000F0DD2" w:rsidP="00BC7EC4">
      <w:pPr>
        <w:spacing w:line="240" w:lineRule="auto"/>
        <w:ind w:left="567" w:hanging="567"/>
      </w:pPr>
      <w:r w:rsidRPr="00EA14AC">
        <w:t>IBGE (2020</w:t>
      </w:r>
      <w:r w:rsidR="00933EFF">
        <w:t>d</w:t>
      </w:r>
      <w:r w:rsidRPr="00EA14AC">
        <w:t xml:space="preserve">) </w:t>
      </w:r>
      <w:bookmarkStart w:id="4" w:name="_Hlk117763157"/>
      <w:r w:rsidR="00AE4315" w:rsidRPr="00EA14AC">
        <w:rPr>
          <w:i/>
          <w:iCs/>
        </w:rPr>
        <w:t xml:space="preserve">REGIC 2018 - </w:t>
      </w:r>
      <w:bookmarkStart w:id="5" w:name="_Hlk117852816"/>
      <w:r w:rsidR="00AE4315" w:rsidRPr="00EA14AC">
        <w:rPr>
          <w:i/>
          <w:iCs/>
        </w:rPr>
        <w:t>Connection Between Cities</w:t>
      </w:r>
      <w:bookmarkEnd w:id="4"/>
      <w:bookmarkEnd w:id="5"/>
      <w:r w:rsidR="00AE4315" w:rsidRPr="00EA14AC">
        <w:t>. [Last accessed October 19, 2022.] Available from URL: https://geoftp.ibge.gov.br/organizacao_do_territorio/divisao_regional/regioes_de_influencia_das_cidades/Regioes_de_influencia_das_cidades_2018_Resultados_definitivos/base_tabular/REGIC2018_Ligacoes_entre_Cidades.xlsx.</w:t>
      </w:r>
    </w:p>
    <w:sectPr w:rsidR="00AA54E6" w:rsidRPr="00EA14AC">
      <w:pgSz w:w="11906" w:h="15840"/>
      <w:pgMar w:top="851" w:right="851" w:bottom="851" w:left="851"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36E3" w14:textId="77777777" w:rsidR="00654E83" w:rsidRDefault="00654E83">
      <w:pPr>
        <w:spacing w:line="240" w:lineRule="auto"/>
      </w:pPr>
      <w:r>
        <w:separator/>
      </w:r>
    </w:p>
  </w:endnote>
  <w:endnote w:type="continuationSeparator" w:id="0">
    <w:p w14:paraId="05DDC5FE" w14:textId="77777777" w:rsidR="00654E83" w:rsidRDefault="00654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amp;G_Texto">
    <w:altName w:val="Cambria Math"/>
    <w:panose1 w:val="02000503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BADB" w14:textId="77777777" w:rsidR="00654E83" w:rsidRDefault="00654E83">
      <w:pPr>
        <w:spacing w:line="240" w:lineRule="auto"/>
      </w:pPr>
      <w:r>
        <w:separator/>
      </w:r>
    </w:p>
  </w:footnote>
  <w:footnote w:type="continuationSeparator" w:id="0">
    <w:p w14:paraId="3B1F08A4" w14:textId="77777777" w:rsidR="00654E83" w:rsidRDefault="00654E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ADF"/>
    <w:multiLevelType w:val="hybridMultilevel"/>
    <w:tmpl w:val="6F4E6A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A52E7F"/>
    <w:multiLevelType w:val="hybridMultilevel"/>
    <w:tmpl w:val="FABC92EA"/>
    <w:lvl w:ilvl="0" w:tplc="7C1E07D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52A86"/>
    <w:multiLevelType w:val="hybridMultilevel"/>
    <w:tmpl w:val="CB8AE74C"/>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05CD3"/>
    <w:multiLevelType w:val="hybridMultilevel"/>
    <w:tmpl w:val="CB8AE74C"/>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90AC5"/>
    <w:multiLevelType w:val="hybridMultilevel"/>
    <w:tmpl w:val="58BEE614"/>
    <w:lvl w:ilvl="0" w:tplc="A016E64A">
      <w:start w:val="1"/>
      <w:numFmt w:val="decimal"/>
      <w:lvlText w:val="%1."/>
      <w:lvlJc w:val="left"/>
      <w:pPr>
        <w:ind w:left="720" w:hanging="360"/>
      </w:pPr>
      <w:rPr>
        <w:rFonts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C353F"/>
    <w:multiLevelType w:val="hybridMultilevel"/>
    <w:tmpl w:val="C0E80472"/>
    <w:lvl w:ilvl="0" w:tplc="041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347EBB"/>
    <w:multiLevelType w:val="multilevel"/>
    <w:tmpl w:val="601A1E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4D96B0D"/>
    <w:multiLevelType w:val="hybridMultilevel"/>
    <w:tmpl w:val="3D347238"/>
    <w:lvl w:ilvl="0" w:tplc="A016E64A">
      <w:start w:val="1"/>
      <w:numFmt w:val="decimal"/>
      <w:lvlText w:val="%1."/>
      <w:lvlJc w:val="left"/>
      <w:pPr>
        <w:ind w:left="720" w:hanging="360"/>
      </w:pPr>
      <w:rPr>
        <w:rFonts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09"/>
    <w:rsid w:val="00002336"/>
    <w:rsid w:val="00005CB7"/>
    <w:rsid w:val="00010708"/>
    <w:rsid w:val="000126B7"/>
    <w:rsid w:val="00015F15"/>
    <w:rsid w:val="00017B99"/>
    <w:rsid w:val="000209DF"/>
    <w:rsid w:val="00020D72"/>
    <w:rsid w:val="00023754"/>
    <w:rsid w:val="00025120"/>
    <w:rsid w:val="000253EF"/>
    <w:rsid w:val="0002601A"/>
    <w:rsid w:val="00031974"/>
    <w:rsid w:val="00034A31"/>
    <w:rsid w:val="00036DAC"/>
    <w:rsid w:val="00037E76"/>
    <w:rsid w:val="00042BEF"/>
    <w:rsid w:val="00045760"/>
    <w:rsid w:val="00045BC3"/>
    <w:rsid w:val="000472C4"/>
    <w:rsid w:val="00047BD9"/>
    <w:rsid w:val="00050467"/>
    <w:rsid w:val="0005111D"/>
    <w:rsid w:val="00051DD7"/>
    <w:rsid w:val="00051E6C"/>
    <w:rsid w:val="000524EF"/>
    <w:rsid w:val="00053B3C"/>
    <w:rsid w:val="000615DE"/>
    <w:rsid w:val="000658FC"/>
    <w:rsid w:val="00073992"/>
    <w:rsid w:val="0007403B"/>
    <w:rsid w:val="00074F1D"/>
    <w:rsid w:val="0007582E"/>
    <w:rsid w:val="00080DCB"/>
    <w:rsid w:val="00081B45"/>
    <w:rsid w:val="0008632D"/>
    <w:rsid w:val="00091E8E"/>
    <w:rsid w:val="00094411"/>
    <w:rsid w:val="00094E1A"/>
    <w:rsid w:val="00096A14"/>
    <w:rsid w:val="00096A39"/>
    <w:rsid w:val="00096FE1"/>
    <w:rsid w:val="000A0170"/>
    <w:rsid w:val="000A3010"/>
    <w:rsid w:val="000A402D"/>
    <w:rsid w:val="000A53E3"/>
    <w:rsid w:val="000A6E91"/>
    <w:rsid w:val="000B4C21"/>
    <w:rsid w:val="000B5218"/>
    <w:rsid w:val="000C01BC"/>
    <w:rsid w:val="000C0629"/>
    <w:rsid w:val="000C57B6"/>
    <w:rsid w:val="000C72C8"/>
    <w:rsid w:val="000C77BE"/>
    <w:rsid w:val="000D01A5"/>
    <w:rsid w:val="000D158A"/>
    <w:rsid w:val="000D1D26"/>
    <w:rsid w:val="000D2BDE"/>
    <w:rsid w:val="000D4899"/>
    <w:rsid w:val="000D643A"/>
    <w:rsid w:val="000D7DB5"/>
    <w:rsid w:val="000E0158"/>
    <w:rsid w:val="000E08CC"/>
    <w:rsid w:val="000E1049"/>
    <w:rsid w:val="000E20A3"/>
    <w:rsid w:val="000E2219"/>
    <w:rsid w:val="000E53C3"/>
    <w:rsid w:val="000E608E"/>
    <w:rsid w:val="000F049A"/>
    <w:rsid w:val="000F0DD2"/>
    <w:rsid w:val="000F1127"/>
    <w:rsid w:val="000F27CD"/>
    <w:rsid w:val="000F36A5"/>
    <w:rsid w:val="000F4A3D"/>
    <w:rsid w:val="000F519B"/>
    <w:rsid w:val="000F6D4F"/>
    <w:rsid w:val="000F7A73"/>
    <w:rsid w:val="00100C1F"/>
    <w:rsid w:val="0010165D"/>
    <w:rsid w:val="0010212C"/>
    <w:rsid w:val="001033BF"/>
    <w:rsid w:val="001037F2"/>
    <w:rsid w:val="00104472"/>
    <w:rsid w:val="00104A23"/>
    <w:rsid w:val="00106F78"/>
    <w:rsid w:val="00107046"/>
    <w:rsid w:val="00112796"/>
    <w:rsid w:val="00112E86"/>
    <w:rsid w:val="00114297"/>
    <w:rsid w:val="00115971"/>
    <w:rsid w:val="00117802"/>
    <w:rsid w:val="001241B2"/>
    <w:rsid w:val="0012700A"/>
    <w:rsid w:val="00130D3F"/>
    <w:rsid w:val="001311D8"/>
    <w:rsid w:val="0013139A"/>
    <w:rsid w:val="00133174"/>
    <w:rsid w:val="00134317"/>
    <w:rsid w:val="00134AB3"/>
    <w:rsid w:val="00137FF8"/>
    <w:rsid w:val="00140E3A"/>
    <w:rsid w:val="00142B5D"/>
    <w:rsid w:val="001430BB"/>
    <w:rsid w:val="001432F7"/>
    <w:rsid w:val="00144600"/>
    <w:rsid w:val="001470E5"/>
    <w:rsid w:val="001505A0"/>
    <w:rsid w:val="00150F05"/>
    <w:rsid w:val="0015348E"/>
    <w:rsid w:val="0015672E"/>
    <w:rsid w:val="00156DED"/>
    <w:rsid w:val="001620D5"/>
    <w:rsid w:val="00163B52"/>
    <w:rsid w:val="001644B8"/>
    <w:rsid w:val="001644DC"/>
    <w:rsid w:val="001646DD"/>
    <w:rsid w:val="0016570B"/>
    <w:rsid w:val="00165CF5"/>
    <w:rsid w:val="00167A50"/>
    <w:rsid w:val="001707FA"/>
    <w:rsid w:val="00172364"/>
    <w:rsid w:val="00173CB8"/>
    <w:rsid w:val="001741D4"/>
    <w:rsid w:val="0018171D"/>
    <w:rsid w:val="00181BAB"/>
    <w:rsid w:val="00183DEF"/>
    <w:rsid w:val="00185A13"/>
    <w:rsid w:val="00187FC0"/>
    <w:rsid w:val="001900C2"/>
    <w:rsid w:val="001907F5"/>
    <w:rsid w:val="00190F15"/>
    <w:rsid w:val="00193961"/>
    <w:rsid w:val="001974B2"/>
    <w:rsid w:val="00197642"/>
    <w:rsid w:val="001A3844"/>
    <w:rsid w:val="001A4E38"/>
    <w:rsid w:val="001A5416"/>
    <w:rsid w:val="001A5457"/>
    <w:rsid w:val="001A6E57"/>
    <w:rsid w:val="001A7326"/>
    <w:rsid w:val="001A7DBA"/>
    <w:rsid w:val="001A7EC3"/>
    <w:rsid w:val="001B5769"/>
    <w:rsid w:val="001B5B52"/>
    <w:rsid w:val="001B6DE3"/>
    <w:rsid w:val="001C078D"/>
    <w:rsid w:val="001C0B4E"/>
    <w:rsid w:val="001C1783"/>
    <w:rsid w:val="001C2CA7"/>
    <w:rsid w:val="001C7217"/>
    <w:rsid w:val="001C72C8"/>
    <w:rsid w:val="001C75D1"/>
    <w:rsid w:val="001D0FE9"/>
    <w:rsid w:val="001D2BF4"/>
    <w:rsid w:val="001D5F1C"/>
    <w:rsid w:val="001E052A"/>
    <w:rsid w:val="001E1075"/>
    <w:rsid w:val="001E1449"/>
    <w:rsid w:val="001E16A1"/>
    <w:rsid w:val="001E33CD"/>
    <w:rsid w:val="001E797F"/>
    <w:rsid w:val="001F0B18"/>
    <w:rsid w:val="001F0B8F"/>
    <w:rsid w:val="001F2008"/>
    <w:rsid w:val="001F3F87"/>
    <w:rsid w:val="001F51B5"/>
    <w:rsid w:val="001F62EA"/>
    <w:rsid w:val="001F7E57"/>
    <w:rsid w:val="00201776"/>
    <w:rsid w:val="002020DF"/>
    <w:rsid w:val="002021F6"/>
    <w:rsid w:val="002038A0"/>
    <w:rsid w:val="002058F7"/>
    <w:rsid w:val="00206064"/>
    <w:rsid w:val="00207291"/>
    <w:rsid w:val="002077B8"/>
    <w:rsid w:val="0021066C"/>
    <w:rsid w:val="00210969"/>
    <w:rsid w:val="00210B84"/>
    <w:rsid w:val="002120CD"/>
    <w:rsid w:val="00214A3B"/>
    <w:rsid w:val="00215654"/>
    <w:rsid w:val="00217E6A"/>
    <w:rsid w:val="00221406"/>
    <w:rsid w:val="00221EDD"/>
    <w:rsid w:val="00226D74"/>
    <w:rsid w:val="00230924"/>
    <w:rsid w:val="002337DC"/>
    <w:rsid w:val="00233E14"/>
    <w:rsid w:val="00236731"/>
    <w:rsid w:val="002379C0"/>
    <w:rsid w:val="00237DD4"/>
    <w:rsid w:val="0024438A"/>
    <w:rsid w:val="00244BA7"/>
    <w:rsid w:val="00244C38"/>
    <w:rsid w:val="00245A33"/>
    <w:rsid w:val="00247F2D"/>
    <w:rsid w:val="0025169F"/>
    <w:rsid w:val="00252E2E"/>
    <w:rsid w:val="00255E6D"/>
    <w:rsid w:val="00257423"/>
    <w:rsid w:val="0026216D"/>
    <w:rsid w:val="00267576"/>
    <w:rsid w:val="00267ABB"/>
    <w:rsid w:val="00271609"/>
    <w:rsid w:val="00273C0F"/>
    <w:rsid w:val="00273D21"/>
    <w:rsid w:val="00274E06"/>
    <w:rsid w:val="00277A45"/>
    <w:rsid w:val="00277F88"/>
    <w:rsid w:val="00281F82"/>
    <w:rsid w:val="002827B0"/>
    <w:rsid w:val="002828A6"/>
    <w:rsid w:val="00284A46"/>
    <w:rsid w:val="002861F6"/>
    <w:rsid w:val="00286BBC"/>
    <w:rsid w:val="00291B52"/>
    <w:rsid w:val="00294285"/>
    <w:rsid w:val="00295D40"/>
    <w:rsid w:val="00295EDF"/>
    <w:rsid w:val="002A1032"/>
    <w:rsid w:val="002A40A0"/>
    <w:rsid w:val="002A4880"/>
    <w:rsid w:val="002A49C5"/>
    <w:rsid w:val="002A4E5E"/>
    <w:rsid w:val="002A5CCA"/>
    <w:rsid w:val="002A65BE"/>
    <w:rsid w:val="002A6DE4"/>
    <w:rsid w:val="002B23BC"/>
    <w:rsid w:val="002B47AA"/>
    <w:rsid w:val="002B6640"/>
    <w:rsid w:val="002C0C4B"/>
    <w:rsid w:val="002C151A"/>
    <w:rsid w:val="002C20D5"/>
    <w:rsid w:val="002C2B8B"/>
    <w:rsid w:val="002C3FC6"/>
    <w:rsid w:val="002C4BD8"/>
    <w:rsid w:val="002C53AA"/>
    <w:rsid w:val="002D0D4D"/>
    <w:rsid w:val="002D1597"/>
    <w:rsid w:val="002D26F9"/>
    <w:rsid w:val="002D3EC8"/>
    <w:rsid w:val="002D463B"/>
    <w:rsid w:val="002D4889"/>
    <w:rsid w:val="002D539D"/>
    <w:rsid w:val="002D6104"/>
    <w:rsid w:val="002D67DD"/>
    <w:rsid w:val="002D6B73"/>
    <w:rsid w:val="002D6DAD"/>
    <w:rsid w:val="002D7971"/>
    <w:rsid w:val="002E4EC4"/>
    <w:rsid w:val="002E7395"/>
    <w:rsid w:val="002F1703"/>
    <w:rsid w:val="002F2E8E"/>
    <w:rsid w:val="002F634E"/>
    <w:rsid w:val="002F6D13"/>
    <w:rsid w:val="002F73AB"/>
    <w:rsid w:val="00300036"/>
    <w:rsid w:val="0030090F"/>
    <w:rsid w:val="003019DF"/>
    <w:rsid w:val="00301CD3"/>
    <w:rsid w:val="00303AE4"/>
    <w:rsid w:val="00303CF0"/>
    <w:rsid w:val="003050DA"/>
    <w:rsid w:val="003064C2"/>
    <w:rsid w:val="00313433"/>
    <w:rsid w:val="003134D1"/>
    <w:rsid w:val="003136B8"/>
    <w:rsid w:val="0031434E"/>
    <w:rsid w:val="00314442"/>
    <w:rsid w:val="00315F4C"/>
    <w:rsid w:val="00323B72"/>
    <w:rsid w:val="0032752A"/>
    <w:rsid w:val="0033026C"/>
    <w:rsid w:val="00330309"/>
    <w:rsid w:val="0033175A"/>
    <w:rsid w:val="003321F9"/>
    <w:rsid w:val="003373CF"/>
    <w:rsid w:val="00337C24"/>
    <w:rsid w:val="00337CEC"/>
    <w:rsid w:val="00340C4F"/>
    <w:rsid w:val="003415D3"/>
    <w:rsid w:val="00341F12"/>
    <w:rsid w:val="0034269D"/>
    <w:rsid w:val="00345D80"/>
    <w:rsid w:val="003478EE"/>
    <w:rsid w:val="00347FB7"/>
    <w:rsid w:val="003504B2"/>
    <w:rsid w:val="00356378"/>
    <w:rsid w:val="003569F6"/>
    <w:rsid w:val="00356FF4"/>
    <w:rsid w:val="00360D87"/>
    <w:rsid w:val="003612E4"/>
    <w:rsid w:val="00362ADE"/>
    <w:rsid w:val="00363A4E"/>
    <w:rsid w:val="00365D30"/>
    <w:rsid w:val="00365E9F"/>
    <w:rsid w:val="00366E7C"/>
    <w:rsid w:val="003717C9"/>
    <w:rsid w:val="00373BDF"/>
    <w:rsid w:val="00376651"/>
    <w:rsid w:val="003777E0"/>
    <w:rsid w:val="00377BB3"/>
    <w:rsid w:val="00381380"/>
    <w:rsid w:val="00382F3A"/>
    <w:rsid w:val="00383822"/>
    <w:rsid w:val="00384FAE"/>
    <w:rsid w:val="00387A5B"/>
    <w:rsid w:val="0039177D"/>
    <w:rsid w:val="00394F2C"/>
    <w:rsid w:val="00395AD0"/>
    <w:rsid w:val="0039625C"/>
    <w:rsid w:val="00396629"/>
    <w:rsid w:val="003A02DF"/>
    <w:rsid w:val="003A3BCF"/>
    <w:rsid w:val="003A4670"/>
    <w:rsid w:val="003A5164"/>
    <w:rsid w:val="003A5E1B"/>
    <w:rsid w:val="003B1B71"/>
    <w:rsid w:val="003B66D3"/>
    <w:rsid w:val="003B6C99"/>
    <w:rsid w:val="003C01A5"/>
    <w:rsid w:val="003C1093"/>
    <w:rsid w:val="003C209A"/>
    <w:rsid w:val="003C440F"/>
    <w:rsid w:val="003C4AF5"/>
    <w:rsid w:val="003C59B6"/>
    <w:rsid w:val="003C6379"/>
    <w:rsid w:val="003C7F08"/>
    <w:rsid w:val="003D1900"/>
    <w:rsid w:val="003D1B04"/>
    <w:rsid w:val="003D664F"/>
    <w:rsid w:val="003D75E0"/>
    <w:rsid w:val="003D7FFE"/>
    <w:rsid w:val="003E0171"/>
    <w:rsid w:val="003E0348"/>
    <w:rsid w:val="003E220B"/>
    <w:rsid w:val="003E2D3D"/>
    <w:rsid w:val="003E2DBB"/>
    <w:rsid w:val="003E390A"/>
    <w:rsid w:val="003F60E8"/>
    <w:rsid w:val="00402CB4"/>
    <w:rsid w:val="00402DA3"/>
    <w:rsid w:val="004065CD"/>
    <w:rsid w:val="004077D9"/>
    <w:rsid w:val="00414E3A"/>
    <w:rsid w:val="004171A4"/>
    <w:rsid w:val="0041721F"/>
    <w:rsid w:val="0041788F"/>
    <w:rsid w:val="00417A89"/>
    <w:rsid w:val="00420AB6"/>
    <w:rsid w:val="0042112F"/>
    <w:rsid w:val="00422500"/>
    <w:rsid w:val="004243F7"/>
    <w:rsid w:val="00424774"/>
    <w:rsid w:val="0042535A"/>
    <w:rsid w:val="00425625"/>
    <w:rsid w:val="00425EFE"/>
    <w:rsid w:val="004264B1"/>
    <w:rsid w:val="00426BD6"/>
    <w:rsid w:val="00430DC7"/>
    <w:rsid w:val="00433AF7"/>
    <w:rsid w:val="00433F61"/>
    <w:rsid w:val="004344FD"/>
    <w:rsid w:val="00435506"/>
    <w:rsid w:val="0044050E"/>
    <w:rsid w:val="004419F6"/>
    <w:rsid w:val="00442796"/>
    <w:rsid w:val="00447295"/>
    <w:rsid w:val="00452663"/>
    <w:rsid w:val="0045274F"/>
    <w:rsid w:val="00455DDC"/>
    <w:rsid w:val="004569FB"/>
    <w:rsid w:val="00457ED0"/>
    <w:rsid w:val="004651B7"/>
    <w:rsid w:val="00475B62"/>
    <w:rsid w:val="0048176A"/>
    <w:rsid w:val="00481E39"/>
    <w:rsid w:val="00483B7B"/>
    <w:rsid w:val="00486DBF"/>
    <w:rsid w:val="004878FF"/>
    <w:rsid w:val="00491F18"/>
    <w:rsid w:val="00492AC3"/>
    <w:rsid w:val="00492EC9"/>
    <w:rsid w:val="00493EAB"/>
    <w:rsid w:val="0049476D"/>
    <w:rsid w:val="00495347"/>
    <w:rsid w:val="004954B0"/>
    <w:rsid w:val="004A1B43"/>
    <w:rsid w:val="004A27DB"/>
    <w:rsid w:val="004A42B7"/>
    <w:rsid w:val="004A4CBD"/>
    <w:rsid w:val="004A59E6"/>
    <w:rsid w:val="004A5C9E"/>
    <w:rsid w:val="004A6C0E"/>
    <w:rsid w:val="004B07FD"/>
    <w:rsid w:val="004B21EF"/>
    <w:rsid w:val="004B4B71"/>
    <w:rsid w:val="004B4FB9"/>
    <w:rsid w:val="004B5166"/>
    <w:rsid w:val="004B6F64"/>
    <w:rsid w:val="004B7703"/>
    <w:rsid w:val="004C1018"/>
    <w:rsid w:val="004C64BD"/>
    <w:rsid w:val="004C7276"/>
    <w:rsid w:val="004D178D"/>
    <w:rsid w:val="004D23A8"/>
    <w:rsid w:val="004D27BF"/>
    <w:rsid w:val="004D3DA5"/>
    <w:rsid w:val="004D42A0"/>
    <w:rsid w:val="004D4B21"/>
    <w:rsid w:val="004D6888"/>
    <w:rsid w:val="004D6A56"/>
    <w:rsid w:val="004E09D5"/>
    <w:rsid w:val="004E6CDF"/>
    <w:rsid w:val="004F02FC"/>
    <w:rsid w:val="004F044A"/>
    <w:rsid w:val="004F15FA"/>
    <w:rsid w:val="004F160F"/>
    <w:rsid w:val="004F2EFB"/>
    <w:rsid w:val="004F42F3"/>
    <w:rsid w:val="004F60AA"/>
    <w:rsid w:val="004F6BB8"/>
    <w:rsid w:val="00500C2D"/>
    <w:rsid w:val="00504007"/>
    <w:rsid w:val="005041D0"/>
    <w:rsid w:val="00504397"/>
    <w:rsid w:val="00504413"/>
    <w:rsid w:val="005057B9"/>
    <w:rsid w:val="00505D63"/>
    <w:rsid w:val="00506B06"/>
    <w:rsid w:val="005071B1"/>
    <w:rsid w:val="00507B18"/>
    <w:rsid w:val="0051307D"/>
    <w:rsid w:val="00513B16"/>
    <w:rsid w:val="00513BA1"/>
    <w:rsid w:val="005147D9"/>
    <w:rsid w:val="00520418"/>
    <w:rsid w:val="00520D01"/>
    <w:rsid w:val="00523DFF"/>
    <w:rsid w:val="00525528"/>
    <w:rsid w:val="00527440"/>
    <w:rsid w:val="005328F8"/>
    <w:rsid w:val="00532BDC"/>
    <w:rsid w:val="00537666"/>
    <w:rsid w:val="0054391C"/>
    <w:rsid w:val="0054452B"/>
    <w:rsid w:val="00545010"/>
    <w:rsid w:val="005450B3"/>
    <w:rsid w:val="005465AA"/>
    <w:rsid w:val="00550C67"/>
    <w:rsid w:val="005523D2"/>
    <w:rsid w:val="00552A87"/>
    <w:rsid w:val="005535C0"/>
    <w:rsid w:val="00553915"/>
    <w:rsid w:val="00557C76"/>
    <w:rsid w:val="00562549"/>
    <w:rsid w:val="005666A6"/>
    <w:rsid w:val="00567868"/>
    <w:rsid w:val="00570B15"/>
    <w:rsid w:val="00572CD3"/>
    <w:rsid w:val="00572EDA"/>
    <w:rsid w:val="00575911"/>
    <w:rsid w:val="00575A0F"/>
    <w:rsid w:val="0057622A"/>
    <w:rsid w:val="00576EB1"/>
    <w:rsid w:val="00577737"/>
    <w:rsid w:val="0058069D"/>
    <w:rsid w:val="00581073"/>
    <w:rsid w:val="0058116B"/>
    <w:rsid w:val="00583342"/>
    <w:rsid w:val="005855C4"/>
    <w:rsid w:val="00585711"/>
    <w:rsid w:val="005931CB"/>
    <w:rsid w:val="005936DA"/>
    <w:rsid w:val="005955B2"/>
    <w:rsid w:val="005A0B88"/>
    <w:rsid w:val="005A284E"/>
    <w:rsid w:val="005A36F1"/>
    <w:rsid w:val="005A7B0A"/>
    <w:rsid w:val="005A7CC8"/>
    <w:rsid w:val="005B1003"/>
    <w:rsid w:val="005B1566"/>
    <w:rsid w:val="005B17B1"/>
    <w:rsid w:val="005B25A0"/>
    <w:rsid w:val="005B63F2"/>
    <w:rsid w:val="005C138D"/>
    <w:rsid w:val="005C1560"/>
    <w:rsid w:val="005C2815"/>
    <w:rsid w:val="005C32C7"/>
    <w:rsid w:val="005C3747"/>
    <w:rsid w:val="005C4953"/>
    <w:rsid w:val="005C4E2A"/>
    <w:rsid w:val="005C5C60"/>
    <w:rsid w:val="005C5F82"/>
    <w:rsid w:val="005D162C"/>
    <w:rsid w:val="005D352C"/>
    <w:rsid w:val="005D49BF"/>
    <w:rsid w:val="005D5350"/>
    <w:rsid w:val="005D7592"/>
    <w:rsid w:val="005E12FE"/>
    <w:rsid w:val="005E1482"/>
    <w:rsid w:val="005E2720"/>
    <w:rsid w:val="005E29E0"/>
    <w:rsid w:val="005E4088"/>
    <w:rsid w:val="005E6320"/>
    <w:rsid w:val="005F04DF"/>
    <w:rsid w:val="005F0EF1"/>
    <w:rsid w:val="005F20AF"/>
    <w:rsid w:val="005F4C24"/>
    <w:rsid w:val="005F7460"/>
    <w:rsid w:val="0060045A"/>
    <w:rsid w:val="006030AA"/>
    <w:rsid w:val="0060655D"/>
    <w:rsid w:val="00606A1C"/>
    <w:rsid w:val="00607838"/>
    <w:rsid w:val="0060786A"/>
    <w:rsid w:val="006103F5"/>
    <w:rsid w:val="00610D45"/>
    <w:rsid w:val="00611BBB"/>
    <w:rsid w:val="00616866"/>
    <w:rsid w:val="00621586"/>
    <w:rsid w:val="00621A01"/>
    <w:rsid w:val="006238C6"/>
    <w:rsid w:val="00624EBC"/>
    <w:rsid w:val="00625715"/>
    <w:rsid w:val="006302DA"/>
    <w:rsid w:val="00634932"/>
    <w:rsid w:val="00635F27"/>
    <w:rsid w:val="00636761"/>
    <w:rsid w:val="00636E49"/>
    <w:rsid w:val="00637981"/>
    <w:rsid w:val="0064025D"/>
    <w:rsid w:val="006415F6"/>
    <w:rsid w:val="00641CAF"/>
    <w:rsid w:val="00642856"/>
    <w:rsid w:val="00642DCB"/>
    <w:rsid w:val="00642E10"/>
    <w:rsid w:val="00650CF3"/>
    <w:rsid w:val="006513DA"/>
    <w:rsid w:val="0065229B"/>
    <w:rsid w:val="00652C79"/>
    <w:rsid w:val="006543FD"/>
    <w:rsid w:val="00654B72"/>
    <w:rsid w:val="00654E83"/>
    <w:rsid w:val="0066277A"/>
    <w:rsid w:val="00662B9A"/>
    <w:rsid w:val="00664739"/>
    <w:rsid w:val="00665CA4"/>
    <w:rsid w:val="0066773C"/>
    <w:rsid w:val="00672105"/>
    <w:rsid w:val="00673227"/>
    <w:rsid w:val="0067505D"/>
    <w:rsid w:val="0067585A"/>
    <w:rsid w:val="00680277"/>
    <w:rsid w:val="0068089F"/>
    <w:rsid w:val="00685674"/>
    <w:rsid w:val="006861D7"/>
    <w:rsid w:val="00686222"/>
    <w:rsid w:val="00686A80"/>
    <w:rsid w:val="0069069A"/>
    <w:rsid w:val="00691C8A"/>
    <w:rsid w:val="00692283"/>
    <w:rsid w:val="0069420B"/>
    <w:rsid w:val="00695EA4"/>
    <w:rsid w:val="006A1F1A"/>
    <w:rsid w:val="006A21D1"/>
    <w:rsid w:val="006A2B23"/>
    <w:rsid w:val="006A2E09"/>
    <w:rsid w:val="006A72A7"/>
    <w:rsid w:val="006A72FB"/>
    <w:rsid w:val="006B16C6"/>
    <w:rsid w:val="006B1E8C"/>
    <w:rsid w:val="006B2196"/>
    <w:rsid w:val="006B2BF5"/>
    <w:rsid w:val="006B5F91"/>
    <w:rsid w:val="006B6914"/>
    <w:rsid w:val="006B772D"/>
    <w:rsid w:val="006C36D2"/>
    <w:rsid w:val="006C41AB"/>
    <w:rsid w:val="006C517A"/>
    <w:rsid w:val="006C6973"/>
    <w:rsid w:val="006D0E4D"/>
    <w:rsid w:val="006D3F0F"/>
    <w:rsid w:val="006D57D2"/>
    <w:rsid w:val="006D6539"/>
    <w:rsid w:val="006E0D3B"/>
    <w:rsid w:val="006E138F"/>
    <w:rsid w:val="006E1F42"/>
    <w:rsid w:val="006E35A0"/>
    <w:rsid w:val="006E3B3E"/>
    <w:rsid w:val="006E3C84"/>
    <w:rsid w:val="006E565C"/>
    <w:rsid w:val="006E6D83"/>
    <w:rsid w:val="006F0000"/>
    <w:rsid w:val="006F03BC"/>
    <w:rsid w:val="006F2264"/>
    <w:rsid w:val="006F2949"/>
    <w:rsid w:val="006F41A2"/>
    <w:rsid w:val="006F4B73"/>
    <w:rsid w:val="006F543F"/>
    <w:rsid w:val="007000FB"/>
    <w:rsid w:val="00702253"/>
    <w:rsid w:val="007053D0"/>
    <w:rsid w:val="00706620"/>
    <w:rsid w:val="00706672"/>
    <w:rsid w:val="0071137E"/>
    <w:rsid w:val="007119EA"/>
    <w:rsid w:val="00712726"/>
    <w:rsid w:val="00714126"/>
    <w:rsid w:val="0071425B"/>
    <w:rsid w:val="0071593C"/>
    <w:rsid w:val="007213E2"/>
    <w:rsid w:val="00722356"/>
    <w:rsid w:val="007229C9"/>
    <w:rsid w:val="007233FA"/>
    <w:rsid w:val="00725500"/>
    <w:rsid w:val="00725E08"/>
    <w:rsid w:val="00726462"/>
    <w:rsid w:val="00727F20"/>
    <w:rsid w:val="007327BE"/>
    <w:rsid w:val="0073319D"/>
    <w:rsid w:val="00735BAE"/>
    <w:rsid w:val="007377A7"/>
    <w:rsid w:val="00740583"/>
    <w:rsid w:val="00740FFF"/>
    <w:rsid w:val="00745E73"/>
    <w:rsid w:val="00747954"/>
    <w:rsid w:val="00747FC9"/>
    <w:rsid w:val="007528D8"/>
    <w:rsid w:val="0075591D"/>
    <w:rsid w:val="00755F7B"/>
    <w:rsid w:val="00757BC9"/>
    <w:rsid w:val="00760F95"/>
    <w:rsid w:val="0076197F"/>
    <w:rsid w:val="00762264"/>
    <w:rsid w:val="00766071"/>
    <w:rsid w:val="0076636D"/>
    <w:rsid w:val="0076689C"/>
    <w:rsid w:val="00766A7B"/>
    <w:rsid w:val="00770223"/>
    <w:rsid w:val="00773B4F"/>
    <w:rsid w:val="00773DE1"/>
    <w:rsid w:val="00775089"/>
    <w:rsid w:val="00775209"/>
    <w:rsid w:val="0077622C"/>
    <w:rsid w:val="00777DCD"/>
    <w:rsid w:val="00782FAF"/>
    <w:rsid w:val="00783E2F"/>
    <w:rsid w:val="007845BE"/>
    <w:rsid w:val="007851AF"/>
    <w:rsid w:val="00787101"/>
    <w:rsid w:val="0079063E"/>
    <w:rsid w:val="007913F3"/>
    <w:rsid w:val="00791E88"/>
    <w:rsid w:val="00794DF5"/>
    <w:rsid w:val="00795C80"/>
    <w:rsid w:val="007A097C"/>
    <w:rsid w:val="007A0E41"/>
    <w:rsid w:val="007A0F6D"/>
    <w:rsid w:val="007A122C"/>
    <w:rsid w:val="007A23CD"/>
    <w:rsid w:val="007A26AB"/>
    <w:rsid w:val="007A292C"/>
    <w:rsid w:val="007A3E82"/>
    <w:rsid w:val="007A3EAC"/>
    <w:rsid w:val="007A46D3"/>
    <w:rsid w:val="007A5092"/>
    <w:rsid w:val="007A54BA"/>
    <w:rsid w:val="007A6723"/>
    <w:rsid w:val="007A794E"/>
    <w:rsid w:val="007B03D5"/>
    <w:rsid w:val="007B0B97"/>
    <w:rsid w:val="007B2AFF"/>
    <w:rsid w:val="007B3D7B"/>
    <w:rsid w:val="007B75D1"/>
    <w:rsid w:val="007B76D1"/>
    <w:rsid w:val="007C028E"/>
    <w:rsid w:val="007C1513"/>
    <w:rsid w:val="007C20D7"/>
    <w:rsid w:val="007C24AA"/>
    <w:rsid w:val="007C3A7F"/>
    <w:rsid w:val="007C4AAC"/>
    <w:rsid w:val="007C4D22"/>
    <w:rsid w:val="007C7016"/>
    <w:rsid w:val="007C760F"/>
    <w:rsid w:val="007C76F5"/>
    <w:rsid w:val="007C7DA7"/>
    <w:rsid w:val="007D3594"/>
    <w:rsid w:val="007D4715"/>
    <w:rsid w:val="007D50B2"/>
    <w:rsid w:val="007D59DD"/>
    <w:rsid w:val="007D5DE5"/>
    <w:rsid w:val="007D6D9B"/>
    <w:rsid w:val="007D6F4F"/>
    <w:rsid w:val="007D6FA1"/>
    <w:rsid w:val="007E1AEB"/>
    <w:rsid w:val="007E3C9C"/>
    <w:rsid w:val="007E4489"/>
    <w:rsid w:val="007E4996"/>
    <w:rsid w:val="007E637A"/>
    <w:rsid w:val="007F05BE"/>
    <w:rsid w:val="007F20C3"/>
    <w:rsid w:val="007F5FB7"/>
    <w:rsid w:val="007F6ACD"/>
    <w:rsid w:val="008001BE"/>
    <w:rsid w:val="00802300"/>
    <w:rsid w:val="00803800"/>
    <w:rsid w:val="00805BEB"/>
    <w:rsid w:val="0080755C"/>
    <w:rsid w:val="00807939"/>
    <w:rsid w:val="00811523"/>
    <w:rsid w:val="008152C1"/>
    <w:rsid w:val="00815C4A"/>
    <w:rsid w:val="0081685E"/>
    <w:rsid w:val="00821253"/>
    <w:rsid w:val="008213B8"/>
    <w:rsid w:val="00827E23"/>
    <w:rsid w:val="008308D7"/>
    <w:rsid w:val="00831118"/>
    <w:rsid w:val="008318A6"/>
    <w:rsid w:val="00833685"/>
    <w:rsid w:val="0083522F"/>
    <w:rsid w:val="008375CC"/>
    <w:rsid w:val="00841F52"/>
    <w:rsid w:val="00843811"/>
    <w:rsid w:val="0084579A"/>
    <w:rsid w:val="0084637A"/>
    <w:rsid w:val="00846B65"/>
    <w:rsid w:val="00846F6B"/>
    <w:rsid w:val="008509F0"/>
    <w:rsid w:val="00855411"/>
    <w:rsid w:val="00855420"/>
    <w:rsid w:val="0085587A"/>
    <w:rsid w:val="00861308"/>
    <w:rsid w:val="008637E0"/>
    <w:rsid w:val="00864E67"/>
    <w:rsid w:val="00870596"/>
    <w:rsid w:val="00871179"/>
    <w:rsid w:val="00872A9E"/>
    <w:rsid w:val="0087438A"/>
    <w:rsid w:val="008752B6"/>
    <w:rsid w:val="0087680A"/>
    <w:rsid w:val="0087775B"/>
    <w:rsid w:val="0088008C"/>
    <w:rsid w:val="00880EAD"/>
    <w:rsid w:val="00881296"/>
    <w:rsid w:val="008813E9"/>
    <w:rsid w:val="00881B04"/>
    <w:rsid w:val="00884340"/>
    <w:rsid w:val="00885213"/>
    <w:rsid w:val="008854DA"/>
    <w:rsid w:val="00885564"/>
    <w:rsid w:val="00890714"/>
    <w:rsid w:val="00890843"/>
    <w:rsid w:val="0089091B"/>
    <w:rsid w:val="0089142E"/>
    <w:rsid w:val="008915F5"/>
    <w:rsid w:val="008917DB"/>
    <w:rsid w:val="008930BC"/>
    <w:rsid w:val="00894C95"/>
    <w:rsid w:val="008951E7"/>
    <w:rsid w:val="008A02C0"/>
    <w:rsid w:val="008A1B44"/>
    <w:rsid w:val="008A2A1A"/>
    <w:rsid w:val="008A4449"/>
    <w:rsid w:val="008A5109"/>
    <w:rsid w:val="008A66CD"/>
    <w:rsid w:val="008B018D"/>
    <w:rsid w:val="008B0316"/>
    <w:rsid w:val="008B5CD0"/>
    <w:rsid w:val="008B5DE7"/>
    <w:rsid w:val="008C150A"/>
    <w:rsid w:val="008C2206"/>
    <w:rsid w:val="008C2B0E"/>
    <w:rsid w:val="008C3C4D"/>
    <w:rsid w:val="008C579A"/>
    <w:rsid w:val="008C616B"/>
    <w:rsid w:val="008C6528"/>
    <w:rsid w:val="008C7CFF"/>
    <w:rsid w:val="008D1687"/>
    <w:rsid w:val="008D1D38"/>
    <w:rsid w:val="008D2EA0"/>
    <w:rsid w:val="008D346F"/>
    <w:rsid w:val="008D35F5"/>
    <w:rsid w:val="008D3775"/>
    <w:rsid w:val="008D455C"/>
    <w:rsid w:val="008D55E5"/>
    <w:rsid w:val="008D56B3"/>
    <w:rsid w:val="008D580A"/>
    <w:rsid w:val="008D5ACF"/>
    <w:rsid w:val="008D61DD"/>
    <w:rsid w:val="008D6506"/>
    <w:rsid w:val="008E14D2"/>
    <w:rsid w:val="008E34B8"/>
    <w:rsid w:val="008E5E39"/>
    <w:rsid w:val="008E5E5A"/>
    <w:rsid w:val="008E6364"/>
    <w:rsid w:val="008E7CFC"/>
    <w:rsid w:val="008F2081"/>
    <w:rsid w:val="008F3595"/>
    <w:rsid w:val="008F4D60"/>
    <w:rsid w:val="008F5AE7"/>
    <w:rsid w:val="008F7B9A"/>
    <w:rsid w:val="009015AD"/>
    <w:rsid w:val="0090299E"/>
    <w:rsid w:val="00902F59"/>
    <w:rsid w:val="00902FF4"/>
    <w:rsid w:val="00904B3C"/>
    <w:rsid w:val="009054E9"/>
    <w:rsid w:val="009061BA"/>
    <w:rsid w:val="0091024D"/>
    <w:rsid w:val="00910454"/>
    <w:rsid w:val="00910642"/>
    <w:rsid w:val="009118E8"/>
    <w:rsid w:val="00912851"/>
    <w:rsid w:val="00912DB0"/>
    <w:rsid w:val="00912DB6"/>
    <w:rsid w:val="009159A3"/>
    <w:rsid w:val="00922BB4"/>
    <w:rsid w:val="00923C9D"/>
    <w:rsid w:val="00923EA4"/>
    <w:rsid w:val="009252F6"/>
    <w:rsid w:val="009260B9"/>
    <w:rsid w:val="009266D5"/>
    <w:rsid w:val="00931122"/>
    <w:rsid w:val="0093216C"/>
    <w:rsid w:val="009321C6"/>
    <w:rsid w:val="00933EFF"/>
    <w:rsid w:val="00936C61"/>
    <w:rsid w:val="009378B1"/>
    <w:rsid w:val="009424A4"/>
    <w:rsid w:val="009426F6"/>
    <w:rsid w:val="00942AFB"/>
    <w:rsid w:val="00943F15"/>
    <w:rsid w:val="00945DE2"/>
    <w:rsid w:val="00946D68"/>
    <w:rsid w:val="00950566"/>
    <w:rsid w:val="009508FE"/>
    <w:rsid w:val="00952252"/>
    <w:rsid w:val="00954DA8"/>
    <w:rsid w:val="00955B0D"/>
    <w:rsid w:val="00955CD7"/>
    <w:rsid w:val="00955FD4"/>
    <w:rsid w:val="00956631"/>
    <w:rsid w:val="00957098"/>
    <w:rsid w:val="00963D5B"/>
    <w:rsid w:val="00964DD2"/>
    <w:rsid w:val="0096624C"/>
    <w:rsid w:val="00966A8A"/>
    <w:rsid w:val="009677D8"/>
    <w:rsid w:val="00970176"/>
    <w:rsid w:val="00971819"/>
    <w:rsid w:val="009732EA"/>
    <w:rsid w:val="00974437"/>
    <w:rsid w:val="00974F4D"/>
    <w:rsid w:val="009752E1"/>
    <w:rsid w:val="00977D17"/>
    <w:rsid w:val="00980DEB"/>
    <w:rsid w:val="00981399"/>
    <w:rsid w:val="0098201C"/>
    <w:rsid w:val="00983938"/>
    <w:rsid w:val="0098653E"/>
    <w:rsid w:val="00986647"/>
    <w:rsid w:val="00993AFE"/>
    <w:rsid w:val="00993F5A"/>
    <w:rsid w:val="00994F11"/>
    <w:rsid w:val="009A00A1"/>
    <w:rsid w:val="009A3062"/>
    <w:rsid w:val="009A382A"/>
    <w:rsid w:val="009A5FC5"/>
    <w:rsid w:val="009A7F38"/>
    <w:rsid w:val="009B5161"/>
    <w:rsid w:val="009B7469"/>
    <w:rsid w:val="009C29D7"/>
    <w:rsid w:val="009C323A"/>
    <w:rsid w:val="009C3739"/>
    <w:rsid w:val="009C3DB3"/>
    <w:rsid w:val="009C3FEE"/>
    <w:rsid w:val="009C4115"/>
    <w:rsid w:val="009C46B3"/>
    <w:rsid w:val="009C54B2"/>
    <w:rsid w:val="009C5607"/>
    <w:rsid w:val="009D3B08"/>
    <w:rsid w:val="009D5765"/>
    <w:rsid w:val="009D72F9"/>
    <w:rsid w:val="009E0910"/>
    <w:rsid w:val="009E1CFC"/>
    <w:rsid w:val="009E2A78"/>
    <w:rsid w:val="009E53AB"/>
    <w:rsid w:val="009F0649"/>
    <w:rsid w:val="009F0CE2"/>
    <w:rsid w:val="009F2079"/>
    <w:rsid w:val="009F3CEF"/>
    <w:rsid w:val="009F4386"/>
    <w:rsid w:val="009F5374"/>
    <w:rsid w:val="009F5AE6"/>
    <w:rsid w:val="00A00B92"/>
    <w:rsid w:val="00A0122F"/>
    <w:rsid w:val="00A04535"/>
    <w:rsid w:val="00A056B8"/>
    <w:rsid w:val="00A05931"/>
    <w:rsid w:val="00A0738B"/>
    <w:rsid w:val="00A07CAE"/>
    <w:rsid w:val="00A11326"/>
    <w:rsid w:val="00A12B8B"/>
    <w:rsid w:val="00A15EE7"/>
    <w:rsid w:val="00A17B08"/>
    <w:rsid w:val="00A215D8"/>
    <w:rsid w:val="00A23735"/>
    <w:rsid w:val="00A24297"/>
    <w:rsid w:val="00A2552E"/>
    <w:rsid w:val="00A2699C"/>
    <w:rsid w:val="00A27146"/>
    <w:rsid w:val="00A27A03"/>
    <w:rsid w:val="00A27B36"/>
    <w:rsid w:val="00A31E9F"/>
    <w:rsid w:val="00A32DC7"/>
    <w:rsid w:val="00A330E2"/>
    <w:rsid w:val="00A331AC"/>
    <w:rsid w:val="00A3404C"/>
    <w:rsid w:val="00A34BE5"/>
    <w:rsid w:val="00A414E7"/>
    <w:rsid w:val="00A41F3B"/>
    <w:rsid w:val="00A43FD0"/>
    <w:rsid w:val="00A460FE"/>
    <w:rsid w:val="00A46D47"/>
    <w:rsid w:val="00A50EBE"/>
    <w:rsid w:val="00A53168"/>
    <w:rsid w:val="00A53DE5"/>
    <w:rsid w:val="00A551DE"/>
    <w:rsid w:val="00A55B26"/>
    <w:rsid w:val="00A55F5D"/>
    <w:rsid w:val="00A60823"/>
    <w:rsid w:val="00A616FE"/>
    <w:rsid w:val="00A6201B"/>
    <w:rsid w:val="00A6215D"/>
    <w:rsid w:val="00A62DE4"/>
    <w:rsid w:val="00A643FB"/>
    <w:rsid w:val="00A6542E"/>
    <w:rsid w:val="00A67BB4"/>
    <w:rsid w:val="00A70760"/>
    <w:rsid w:val="00A70B9F"/>
    <w:rsid w:val="00A72407"/>
    <w:rsid w:val="00A72540"/>
    <w:rsid w:val="00A725FF"/>
    <w:rsid w:val="00A72B04"/>
    <w:rsid w:val="00A80434"/>
    <w:rsid w:val="00A82540"/>
    <w:rsid w:val="00A82A65"/>
    <w:rsid w:val="00A8316B"/>
    <w:rsid w:val="00A8379B"/>
    <w:rsid w:val="00A853D4"/>
    <w:rsid w:val="00A86D4A"/>
    <w:rsid w:val="00A900CF"/>
    <w:rsid w:val="00A907F0"/>
    <w:rsid w:val="00A90A59"/>
    <w:rsid w:val="00A90CA8"/>
    <w:rsid w:val="00A916D8"/>
    <w:rsid w:val="00A9180F"/>
    <w:rsid w:val="00A921DC"/>
    <w:rsid w:val="00A9500F"/>
    <w:rsid w:val="00A974A4"/>
    <w:rsid w:val="00AA2D6F"/>
    <w:rsid w:val="00AA4533"/>
    <w:rsid w:val="00AA54E6"/>
    <w:rsid w:val="00AA552F"/>
    <w:rsid w:val="00AA5F64"/>
    <w:rsid w:val="00AA7265"/>
    <w:rsid w:val="00AA79C4"/>
    <w:rsid w:val="00AB3577"/>
    <w:rsid w:val="00AB61FA"/>
    <w:rsid w:val="00AB6ED0"/>
    <w:rsid w:val="00AB6F72"/>
    <w:rsid w:val="00AC0BA7"/>
    <w:rsid w:val="00AC13FF"/>
    <w:rsid w:val="00AC18FC"/>
    <w:rsid w:val="00AC1920"/>
    <w:rsid w:val="00AC421A"/>
    <w:rsid w:val="00AC5105"/>
    <w:rsid w:val="00AC62BB"/>
    <w:rsid w:val="00AC77B4"/>
    <w:rsid w:val="00AD1C44"/>
    <w:rsid w:val="00AE27A7"/>
    <w:rsid w:val="00AE303B"/>
    <w:rsid w:val="00AE3E01"/>
    <w:rsid w:val="00AE4315"/>
    <w:rsid w:val="00AF44DA"/>
    <w:rsid w:val="00AF5EDC"/>
    <w:rsid w:val="00AF698D"/>
    <w:rsid w:val="00B02F7C"/>
    <w:rsid w:val="00B04ACE"/>
    <w:rsid w:val="00B0571D"/>
    <w:rsid w:val="00B05AE0"/>
    <w:rsid w:val="00B06150"/>
    <w:rsid w:val="00B07BCC"/>
    <w:rsid w:val="00B14D89"/>
    <w:rsid w:val="00B2111B"/>
    <w:rsid w:val="00B21A43"/>
    <w:rsid w:val="00B22F16"/>
    <w:rsid w:val="00B236C7"/>
    <w:rsid w:val="00B2479F"/>
    <w:rsid w:val="00B25A1C"/>
    <w:rsid w:val="00B277F0"/>
    <w:rsid w:val="00B3518F"/>
    <w:rsid w:val="00B4062E"/>
    <w:rsid w:val="00B406D7"/>
    <w:rsid w:val="00B46688"/>
    <w:rsid w:val="00B46790"/>
    <w:rsid w:val="00B46AAE"/>
    <w:rsid w:val="00B5027E"/>
    <w:rsid w:val="00B5136E"/>
    <w:rsid w:val="00B52AE3"/>
    <w:rsid w:val="00B5337C"/>
    <w:rsid w:val="00B56508"/>
    <w:rsid w:val="00B57053"/>
    <w:rsid w:val="00B60531"/>
    <w:rsid w:val="00B60933"/>
    <w:rsid w:val="00B62B4A"/>
    <w:rsid w:val="00B641CD"/>
    <w:rsid w:val="00B703AF"/>
    <w:rsid w:val="00B70645"/>
    <w:rsid w:val="00B72402"/>
    <w:rsid w:val="00B73DEB"/>
    <w:rsid w:val="00B76145"/>
    <w:rsid w:val="00B813A0"/>
    <w:rsid w:val="00B815A0"/>
    <w:rsid w:val="00B85576"/>
    <w:rsid w:val="00B86D6B"/>
    <w:rsid w:val="00B876D1"/>
    <w:rsid w:val="00B87BA8"/>
    <w:rsid w:val="00B909D5"/>
    <w:rsid w:val="00B91C74"/>
    <w:rsid w:val="00B92864"/>
    <w:rsid w:val="00B93349"/>
    <w:rsid w:val="00B940FB"/>
    <w:rsid w:val="00B96F6D"/>
    <w:rsid w:val="00B973BD"/>
    <w:rsid w:val="00BA038A"/>
    <w:rsid w:val="00BA1303"/>
    <w:rsid w:val="00BA1C26"/>
    <w:rsid w:val="00BA6DC6"/>
    <w:rsid w:val="00BB1827"/>
    <w:rsid w:val="00BB3990"/>
    <w:rsid w:val="00BB4BD5"/>
    <w:rsid w:val="00BB4E95"/>
    <w:rsid w:val="00BB5072"/>
    <w:rsid w:val="00BB536B"/>
    <w:rsid w:val="00BB6A6B"/>
    <w:rsid w:val="00BC04B7"/>
    <w:rsid w:val="00BC1915"/>
    <w:rsid w:val="00BC29A2"/>
    <w:rsid w:val="00BC4A9F"/>
    <w:rsid w:val="00BC4C64"/>
    <w:rsid w:val="00BC7EC4"/>
    <w:rsid w:val="00BD0501"/>
    <w:rsid w:val="00BD2780"/>
    <w:rsid w:val="00BD7312"/>
    <w:rsid w:val="00BE18F5"/>
    <w:rsid w:val="00BE4762"/>
    <w:rsid w:val="00BE6BDA"/>
    <w:rsid w:val="00BF0397"/>
    <w:rsid w:val="00BF153A"/>
    <w:rsid w:val="00BF320B"/>
    <w:rsid w:val="00BF5168"/>
    <w:rsid w:val="00C0008F"/>
    <w:rsid w:val="00C0302F"/>
    <w:rsid w:val="00C031C1"/>
    <w:rsid w:val="00C05F8B"/>
    <w:rsid w:val="00C07ADC"/>
    <w:rsid w:val="00C07C70"/>
    <w:rsid w:val="00C10660"/>
    <w:rsid w:val="00C123FC"/>
    <w:rsid w:val="00C141D0"/>
    <w:rsid w:val="00C14679"/>
    <w:rsid w:val="00C146CC"/>
    <w:rsid w:val="00C24615"/>
    <w:rsid w:val="00C246F9"/>
    <w:rsid w:val="00C26309"/>
    <w:rsid w:val="00C27FD1"/>
    <w:rsid w:val="00C3174D"/>
    <w:rsid w:val="00C3705B"/>
    <w:rsid w:val="00C403E7"/>
    <w:rsid w:val="00C418E7"/>
    <w:rsid w:val="00C423A9"/>
    <w:rsid w:val="00C45EA2"/>
    <w:rsid w:val="00C466B9"/>
    <w:rsid w:val="00C472A0"/>
    <w:rsid w:val="00C47422"/>
    <w:rsid w:val="00C50163"/>
    <w:rsid w:val="00C50C11"/>
    <w:rsid w:val="00C52A52"/>
    <w:rsid w:val="00C54664"/>
    <w:rsid w:val="00C559D3"/>
    <w:rsid w:val="00C573EB"/>
    <w:rsid w:val="00C6087C"/>
    <w:rsid w:val="00C63F27"/>
    <w:rsid w:val="00C64804"/>
    <w:rsid w:val="00C66E9B"/>
    <w:rsid w:val="00C670E8"/>
    <w:rsid w:val="00C74FB5"/>
    <w:rsid w:val="00C754F6"/>
    <w:rsid w:val="00C75FCF"/>
    <w:rsid w:val="00C77360"/>
    <w:rsid w:val="00C82DDD"/>
    <w:rsid w:val="00C8322A"/>
    <w:rsid w:val="00C845CA"/>
    <w:rsid w:val="00C86836"/>
    <w:rsid w:val="00C92867"/>
    <w:rsid w:val="00C92FB3"/>
    <w:rsid w:val="00C935C5"/>
    <w:rsid w:val="00C9434B"/>
    <w:rsid w:val="00C9446D"/>
    <w:rsid w:val="00C96294"/>
    <w:rsid w:val="00C96D57"/>
    <w:rsid w:val="00C97F0C"/>
    <w:rsid w:val="00C97F80"/>
    <w:rsid w:val="00CA0FBE"/>
    <w:rsid w:val="00CA2177"/>
    <w:rsid w:val="00CA3220"/>
    <w:rsid w:val="00CA3DAB"/>
    <w:rsid w:val="00CA6387"/>
    <w:rsid w:val="00CA6E2C"/>
    <w:rsid w:val="00CB4DC8"/>
    <w:rsid w:val="00CB75DC"/>
    <w:rsid w:val="00CB773A"/>
    <w:rsid w:val="00CC0DD9"/>
    <w:rsid w:val="00CC0EA3"/>
    <w:rsid w:val="00CC3D69"/>
    <w:rsid w:val="00CC435E"/>
    <w:rsid w:val="00CC5155"/>
    <w:rsid w:val="00CD02EC"/>
    <w:rsid w:val="00CD0D74"/>
    <w:rsid w:val="00CD1A90"/>
    <w:rsid w:val="00CD50C1"/>
    <w:rsid w:val="00CD6B5A"/>
    <w:rsid w:val="00CD77F3"/>
    <w:rsid w:val="00CE2148"/>
    <w:rsid w:val="00CE314B"/>
    <w:rsid w:val="00CE316F"/>
    <w:rsid w:val="00CE4956"/>
    <w:rsid w:val="00CE6705"/>
    <w:rsid w:val="00CF0454"/>
    <w:rsid w:val="00CF17C3"/>
    <w:rsid w:val="00CF2B88"/>
    <w:rsid w:val="00CF3BF9"/>
    <w:rsid w:val="00CF42EC"/>
    <w:rsid w:val="00CF48B3"/>
    <w:rsid w:val="00CF4B5B"/>
    <w:rsid w:val="00CF5A49"/>
    <w:rsid w:val="00CF6B1E"/>
    <w:rsid w:val="00CF6D80"/>
    <w:rsid w:val="00D01E15"/>
    <w:rsid w:val="00D02AB4"/>
    <w:rsid w:val="00D055EC"/>
    <w:rsid w:val="00D106B9"/>
    <w:rsid w:val="00D10C17"/>
    <w:rsid w:val="00D13249"/>
    <w:rsid w:val="00D1325A"/>
    <w:rsid w:val="00D13935"/>
    <w:rsid w:val="00D14F3E"/>
    <w:rsid w:val="00D24757"/>
    <w:rsid w:val="00D25A7C"/>
    <w:rsid w:val="00D26E81"/>
    <w:rsid w:val="00D309EF"/>
    <w:rsid w:val="00D31405"/>
    <w:rsid w:val="00D32FF2"/>
    <w:rsid w:val="00D36F09"/>
    <w:rsid w:val="00D434C5"/>
    <w:rsid w:val="00D43638"/>
    <w:rsid w:val="00D43E34"/>
    <w:rsid w:val="00D45842"/>
    <w:rsid w:val="00D46714"/>
    <w:rsid w:val="00D51586"/>
    <w:rsid w:val="00D555A5"/>
    <w:rsid w:val="00D5668A"/>
    <w:rsid w:val="00D567C6"/>
    <w:rsid w:val="00D5796A"/>
    <w:rsid w:val="00D612A2"/>
    <w:rsid w:val="00D6182E"/>
    <w:rsid w:val="00D63E1E"/>
    <w:rsid w:val="00D649AF"/>
    <w:rsid w:val="00D650E8"/>
    <w:rsid w:val="00D66A10"/>
    <w:rsid w:val="00D70E3C"/>
    <w:rsid w:val="00D74845"/>
    <w:rsid w:val="00D74E88"/>
    <w:rsid w:val="00D75664"/>
    <w:rsid w:val="00D757B3"/>
    <w:rsid w:val="00D75ECA"/>
    <w:rsid w:val="00D77DF5"/>
    <w:rsid w:val="00D81D24"/>
    <w:rsid w:val="00D81EC4"/>
    <w:rsid w:val="00D850EB"/>
    <w:rsid w:val="00D85CD5"/>
    <w:rsid w:val="00D87D8E"/>
    <w:rsid w:val="00D87FD1"/>
    <w:rsid w:val="00D902DD"/>
    <w:rsid w:val="00D917C3"/>
    <w:rsid w:val="00D92F98"/>
    <w:rsid w:val="00D95310"/>
    <w:rsid w:val="00D969AE"/>
    <w:rsid w:val="00D972F1"/>
    <w:rsid w:val="00DA0933"/>
    <w:rsid w:val="00DA1FC2"/>
    <w:rsid w:val="00DA28A3"/>
    <w:rsid w:val="00DA378A"/>
    <w:rsid w:val="00DA564E"/>
    <w:rsid w:val="00DA5F15"/>
    <w:rsid w:val="00DA633E"/>
    <w:rsid w:val="00DA6B8A"/>
    <w:rsid w:val="00DA7A70"/>
    <w:rsid w:val="00DB043A"/>
    <w:rsid w:val="00DB1DC5"/>
    <w:rsid w:val="00DB34D4"/>
    <w:rsid w:val="00DC0B1D"/>
    <w:rsid w:val="00DC1A74"/>
    <w:rsid w:val="00DC287D"/>
    <w:rsid w:val="00DC2FE2"/>
    <w:rsid w:val="00DC331B"/>
    <w:rsid w:val="00DC3BA4"/>
    <w:rsid w:val="00DC3E91"/>
    <w:rsid w:val="00DC645F"/>
    <w:rsid w:val="00DC646E"/>
    <w:rsid w:val="00DC7EDA"/>
    <w:rsid w:val="00DD4570"/>
    <w:rsid w:val="00DD5A4E"/>
    <w:rsid w:val="00DD6564"/>
    <w:rsid w:val="00DD6E1C"/>
    <w:rsid w:val="00DD6E76"/>
    <w:rsid w:val="00DD7A29"/>
    <w:rsid w:val="00DD7FF1"/>
    <w:rsid w:val="00DE2CB8"/>
    <w:rsid w:val="00DE3178"/>
    <w:rsid w:val="00DE5320"/>
    <w:rsid w:val="00DF007E"/>
    <w:rsid w:val="00DF0256"/>
    <w:rsid w:val="00DF1BB0"/>
    <w:rsid w:val="00DF7A8E"/>
    <w:rsid w:val="00E02BBB"/>
    <w:rsid w:val="00E02EE6"/>
    <w:rsid w:val="00E04278"/>
    <w:rsid w:val="00E04A94"/>
    <w:rsid w:val="00E1023D"/>
    <w:rsid w:val="00E10C0A"/>
    <w:rsid w:val="00E114A2"/>
    <w:rsid w:val="00E11FD0"/>
    <w:rsid w:val="00E1200A"/>
    <w:rsid w:val="00E1305B"/>
    <w:rsid w:val="00E14F28"/>
    <w:rsid w:val="00E21087"/>
    <w:rsid w:val="00E251A9"/>
    <w:rsid w:val="00E25238"/>
    <w:rsid w:val="00E263BA"/>
    <w:rsid w:val="00E30338"/>
    <w:rsid w:val="00E30EAC"/>
    <w:rsid w:val="00E31AB0"/>
    <w:rsid w:val="00E31F8B"/>
    <w:rsid w:val="00E323ED"/>
    <w:rsid w:val="00E33221"/>
    <w:rsid w:val="00E34AB7"/>
    <w:rsid w:val="00E35263"/>
    <w:rsid w:val="00E3657C"/>
    <w:rsid w:val="00E37380"/>
    <w:rsid w:val="00E40438"/>
    <w:rsid w:val="00E40466"/>
    <w:rsid w:val="00E41352"/>
    <w:rsid w:val="00E43DF4"/>
    <w:rsid w:val="00E4610A"/>
    <w:rsid w:val="00E46DF4"/>
    <w:rsid w:val="00E473F2"/>
    <w:rsid w:val="00E47FEE"/>
    <w:rsid w:val="00E534F1"/>
    <w:rsid w:val="00E5468C"/>
    <w:rsid w:val="00E54B70"/>
    <w:rsid w:val="00E54FBE"/>
    <w:rsid w:val="00E565AF"/>
    <w:rsid w:val="00E5736A"/>
    <w:rsid w:val="00E614BC"/>
    <w:rsid w:val="00E61548"/>
    <w:rsid w:val="00E632D0"/>
    <w:rsid w:val="00E64016"/>
    <w:rsid w:val="00E652C8"/>
    <w:rsid w:val="00E65312"/>
    <w:rsid w:val="00E6590C"/>
    <w:rsid w:val="00E66486"/>
    <w:rsid w:val="00E67018"/>
    <w:rsid w:val="00E703E4"/>
    <w:rsid w:val="00E721C8"/>
    <w:rsid w:val="00E74801"/>
    <w:rsid w:val="00E75730"/>
    <w:rsid w:val="00E77B67"/>
    <w:rsid w:val="00E800D9"/>
    <w:rsid w:val="00E80424"/>
    <w:rsid w:val="00E8081E"/>
    <w:rsid w:val="00E82297"/>
    <w:rsid w:val="00E834C1"/>
    <w:rsid w:val="00E85EC6"/>
    <w:rsid w:val="00E85FF4"/>
    <w:rsid w:val="00E8771B"/>
    <w:rsid w:val="00E90E20"/>
    <w:rsid w:val="00E9130E"/>
    <w:rsid w:val="00E92895"/>
    <w:rsid w:val="00E92DFB"/>
    <w:rsid w:val="00E96264"/>
    <w:rsid w:val="00E97D14"/>
    <w:rsid w:val="00EA0B96"/>
    <w:rsid w:val="00EA1187"/>
    <w:rsid w:val="00EA14AC"/>
    <w:rsid w:val="00EA25A1"/>
    <w:rsid w:val="00EA3A92"/>
    <w:rsid w:val="00EA44D3"/>
    <w:rsid w:val="00EA4947"/>
    <w:rsid w:val="00EB05CA"/>
    <w:rsid w:val="00EB192D"/>
    <w:rsid w:val="00EB28FB"/>
    <w:rsid w:val="00EB3919"/>
    <w:rsid w:val="00EB3AD3"/>
    <w:rsid w:val="00EB3F25"/>
    <w:rsid w:val="00EC0D5E"/>
    <w:rsid w:val="00EC1385"/>
    <w:rsid w:val="00EC202C"/>
    <w:rsid w:val="00EC3CBB"/>
    <w:rsid w:val="00EC6744"/>
    <w:rsid w:val="00EC6F82"/>
    <w:rsid w:val="00ED15CA"/>
    <w:rsid w:val="00ED418E"/>
    <w:rsid w:val="00ED56F8"/>
    <w:rsid w:val="00ED71C1"/>
    <w:rsid w:val="00ED750D"/>
    <w:rsid w:val="00ED75B0"/>
    <w:rsid w:val="00ED7749"/>
    <w:rsid w:val="00EE1A47"/>
    <w:rsid w:val="00EE3CF8"/>
    <w:rsid w:val="00EE3DB5"/>
    <w:rsid w:val="00EE3E8A"/>
    <w:rsid w:val="00EE3FD8"/>
    <w:rsid w:val="00EE550C"/>
    <w:rsid w:val="00EE6B79"/>
    <w:rsid w:val="00EF0B39"/>
    <w:rsid w:val="00EF0E26"/>
    <w:rsid w:val="00EF614F"/>
    <w:rsid w:val="00EF6749"/>
    <w:rsid w:val="00EF703B"/>
    <w:rsid w:val="00F003A3"/>
    <w:rsid w:val="00F011CF"/>
    <w:rsid w:val="00F0298F"/>
    <w:rsid w:val="00F065F1"/>
    <w:rsid w:val="00F0765A"/>
    <w:rsid w:val="00F07685"/>
    <w:rsid w:val="00F10743"/>
    <w:rsid w:val="00F12038"/>
    <w:rsid w:val="00F12FA3"/>
    <w:rsid w:val="00F13179"/>
    <w:rsid w:val="00F14712"/>
    <w:rsid w:val="00F16879"/>
    <w:rsid w:val="00F20DC5"/>
    <w:rsid w:val="00F21A3E"/>
    <w:rsid w:val="00F21B3C"/>
    <w:rsid w:val="00F2373B"/>
    <w:rsid w:val="00F250CB"/>
    <w:rsid w:val="00F269A8"/>
    <w:rsid w:val="00F26C71"/>
    <w:rsid w:val="00F27B14"/>
    <w:rsid w:val="00F30500"/>
    <w:rsid w:val="00F32561"/>
    <w:rsid w:val="00F32F7F"/>
    <w:rsid w:val="00F33A62"/>
    <w:rsid w:val="00F3545B"/>
    <w:rsid w:val="00F36758"/>
    <w:rsid w:val="00F400C5"/>
    <w:rsid w:val="00F41AAB"/>
    <w:rsid w:val="00F424B6"/>
    <w:rsid w:val="00F43919"/>
    <w:rsid w:val="00F44E97"/>
    <w:rsid w:val="00F4584C"/>
    <w:rsid w:val="00F45B18"/>
    <w:rsid w:val="00F47532"/>
    <w:rsid w:val="00F56767"/>
    <w:rsid w:val="00F567FA"/>
    <w:rsid w:val="00F57460"/>
    <w:rsid w:val="00F57E6C"/>
    <w:rsid w:val="00F61085"/>
    <w:rsid w:val="00F6143D"/>
    <w:rsid w:val="00F6211B"/>
    <w:rsid w:val="00F633CB"/>
    <w:rsid w:val="00F64687"/>
    <w:rsid w:val="00F662CC"/>
    <w:rsid w:val="00F6662D"/>
    <w:rsid w:val="00F70208"/>
    <w:rsid w:val="00F71DEA"/>
    <w:rsid w:val="00F72F5C"/>
    <w:rsid w:val="00F73C6C"/>
    <w:rsid w:val="00F750F8"/>
    <w:rsid w:val="00F810A4"/>
    <w:rsid w:val="00F810D0"/>
    <w:rsid w:val="00F848AB"/>
    <w:rsid w:val="00F84A1F"/>
    <w:rsid w:val="00F85EE7"/>
    <w:rsid w:val="00F86739"/>
    <w:rsid w:val="00F93796"/>
    <w:rsid w:val="00F97338"/>
    <w:rsid w:val="00FA0A00"/>
    <w:rsid w:val="00FA1A33"/>
    <w:rsid w:val="00FA1E28"/>
    <w:rsid w:val="00FA5002"/>
    <w:rsid w:val="00FA6467"/>
    <w:rsid w:val="00FA674E"/>
    <w:rsid w:val="00FA7652"/>
    <w:rsid w:val="00FB090B"/>
    <w:rsid w:val="00FB31B4"/>
    <w:rsid w:val="00FB3A27"/>
    <w:rsid w:val="00FB458B"/>
    <w:rsid w:val="00FB4D84"/>
    <w:rsid w:val="00FC24E5"/>
    <w:rsid w:val="00FC3B3C"/>
    <w:rsid w:val="00FD092D"/>
    <w:rsid w:val="00FD525C"/>
    <w:rsid w:val="00FD5F5A"/>
    <w:rsid w:val="00FD71A6"/>
    <w:rsid w:val="00FE1430"/>
    <w:rsid w:val="00FE23F7"/>
    <w:rsid w:val="00FE2FC7"/>
    <w:rsid w:val="00FE3CFF"/>
    <w:rsid w:val="00FE4B79"/>
    <w:rsid w:val="00FE7754"/>
    <w:rsid w:val="00FF1655"/>
    <w:rsid w:val="00FF69A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073F"/>
  <w15:docId w15:val="{07FB1EF4-66B5-492E-90D5-99E1280B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E2"/>
    <w:pPr>
      <w:spacing w:line="480" w:lineRule="auto"/>
      <w:jc w:val="both"/>
    </w:pPr>
    <w:rPr>
      <w:rFonts w:ascii="Calibri"/>
    </w:rPr>
  </w:style>
  <w:style w:type="paragraph" w:styleId="Ttulo1">
    <w:name w:val="heading 1"/>
    <w:basedOn w:val="Normal"/>
    <w:next w:val="Normal"/>
    <w:link w:val="Ttulo1Char"/>
    <w:uiPriority w:val="9"/>
    <w:qFormat/>
    <w:rsid w:val="00E53B2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pt-BR" w:eastAsia="pt-BR"/>
    </w:rPr>
  </w:style>
  <w:style w:type="paragraph" w:styleId="Ttulo2">
    <w:name w:val="heading 2"/>
    <w:basedOn w:val="Normal"/>
    <w:next w:val="Normal"/>
    <w:link w:val="Ttulo2Char"/>
    <w:uiPriority w:val="9"/>
    <w:unhideWhenUsed/>
    <w:qFormat/>
    <w:rsid w:val="006210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A017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VerbatimChar">
    <w:name w:val="Verbatim Char"/>
    <w:qFormat/>
    <w:rPr>
      <w:rFonts w:ascii="Consolas" w:hAnsi="Consolas"/>
      <w:sz w:val="22"/>
    </w:rPr>
  </w:style>
  <w:style w:type="character" w:customStyle="1" w:styleId="LinkdaInternet">
    <w:name w:val="Link da Internet"/>
    <w:basedOn w:val="Fontepargpadro"/>
    <w:uiPriority w:val="99"/>
    <w:unhideWhenUsed/>
    <w:rsid w:val="00872C8C"/>
    <w:rPr>
      <w:color w:val="0563C1" w:themeColor="hyperlink"/>
      <w:u w:val="single"/>
    </w:rPr>
  </w:style>
  <w:style w:type="character" w:customStyle="1" w:styleId="MenoPendente1">
    <w:name w:val="Menção Pendente1"/>
    <w:basedOn w:val="Fontepargpadro"/>
    <w:uiPriority w:val="99"/>
    <w:semiHidden/>
    <w:unhideWhenUsed/>
    <w:qFormat/>
    <w:rsid w:val="00872C8C"/>
    <w:rPr>
      <w:color w:val="605E5C"/>
      <w:shd w:val="clear" w:color="auto" w:fill="E1DFDD"/>
    </w:rPr>
  </w:style>
  <w:style w:type="character" w:customStyle="1" w:styleId="MTConvertedEquation">
    <w:name w:val="MTConvertedEquation"/>
    <w:basedOn w:val="Fontepargpadro"/>
    <w:qFormat/>
    <w:rsid w:val="003F6402"/>
    <w:rPr>
      <w:rFonts w:ascii="Cambria Math" w:hAnsi="Cambria Math"/>
      <w:szCs w:val="24"/>
    </w:rPr>
  </w:style>
  <w:style w:type="character" w:customStyle="1" w:styleId="MTDisplayEquationChar">
    <w:name w:val="MTDisplayEquation Char"/>
    <w:basedOn w:val="Fontepargpadro"/>
    <w:link w:val="MTDisplayEquation"/>
    <w:qFormat/>
    <w:rsid w:val="00F8106D"/>
  </w:style>
  <w:style w:type="character" w:customStyle="1" w:styleId="MTEquationSection">
    <w:name w:val="MTEquationSection"/>
    <w:basedOn w:val="Fontepargpadro"/>
    <w:qFormat/>
    <w:rsid w:val="00F8106D"/>
    <w:rPr>
      <w:rFonts w:ascii="R&amp;G_Texto" w:hAnsi="R&amp;G_Texto"/>
      <w:vanish/>
      <w:color w:val="FF0000"/>
      <w:sz w:val="24"/>
      <w:szCs w:val="24"/>
    </w:rPr>
  </w:style>
  <w:style w:type="character" w:customStyle="1" w:styleId="Ttulo1Char">
    <w:name w:val="Título 1 Char"/>
    <w:basedOn w:val="Fontepargpadro"/>
    <w:link w:val="Ttulo1"/>
    <w:uiPriority w:val="9"/>
    <w:qFormat/>
    <w:rsid w:val="00E53B25"/>
    <w:rPr>
      <w:rFonts w:asciiTheme="majorHAnsi" w:eastAsiaTheme="majorEastAsia" w:hAnsiTheme="majorHAnsi" w:cstheme="majorBidi"/>
      <w:color w:val="2F5496" w:themeColor="accent1" w:themeShade="BF"/>
      <w:sz w:val="32"/>
      <w:szCs w:val="32"/>
      <w:lang w:val="pt-BR" w:eastAsia="pt-BR"/>
    </w:rPr>
  </w:style>
  <w:style w:type="character" w:styleId="Refdecomentrio">
    <w:name w:val="annotation reference"/>
    <w:basedOn w:val="Fontepargpadro"/>
    <w:uiPriority w:val="99"/>
    <w:semiHidden/>
    <w:unhideWhenUsed/>
    <w:qFormat/>
    <w:rsid w:val="00E93190"/>
    <w:rPr>
      <w:sz w:val="16"/>
      <w:szCs w:val="16"/>
    </w:rPr>
  </w:style>
  <w:style w:type="character" w:customStyle="1" w:styleId="TextodecomentrioChar">
    <w:name w:val="Texto de comentário Char"/>
    <w:basedOn w:val="Fontepargpadro"/>
    <w:link w:val="Textodecomentrio"/>
    <w:uiPriority w:val="99"/>
    <w:semiHidden/>
    <w:qFormat/>
    <w:rsid w:val="00E93190"/>
    <w:rPr>
      <w:sz w:val="20"/>
      <w:szCs w:val="20"/>
    </w:rPr>
  </w:style>
  <w:style w:type="character" w:customStyle="1" w:styleId="AssuntodocomentrioChar">
    <w:name w:val="Assunto do comentário Char"/>
    <w:basedOn w:val="TextodecomentrioChar"/>
    <w:link w:val="Assuntodocomentrio"/>
    <w:uiPriority w:val="99"/>
    <w:semiHidden/>
    <w:qFormat/>
    <w:rsid w:val="00E93190"/>
    <w:rPr>
      <w:b/>
      <w:bCs/>
      <w:sz w:val="20"/>
      <w:szCs w:val="20"/>
    </w:rPr>
  </w:style>
  <w:style w:type="character" w:customStyle="1" w:styleId="TextodenotadefimChar">
    <w:name w:val="Texto de nota de fim Char"/>
    <w:basedOn w:val="Fontepargpadro"/>
    <w:link w:val="Textodenotadefim"/>
    <w:uiPriority w:val="99"/>
    <w:semiHidden/>
    <w:qFormat/>
    <w:rsid w:val="00CA2D3E"/>
    <w:rPr>
      <w:sz w:val="20"/>
      <w:szCs w:val="20"/>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sid w:val="00CA2D3E"/>
    <w:rPr>
      <w:vertAlign w:val="superscript"/>
    </w:rPr>
  </w:style>
  <w:style w:type="character" w:customStyle="1" w:styleId="refChar">
    <w:name w:val="ref Char"/>
    <w:basedOn w:val="Fontepargpadro"/>
    <w:qFormat/>
    <w:rsid w:val="00DE35FB"/>
    <w:rPr>
      <w:rFonts w:ascii="R&amp;G_Texto" w:hAnsi="R&amp;G_Texto"/>
      <w:sz w:val="18"/>
      <w:szCs w:val="18"/>
    </w:rPr>
  </w:style>
  <w:style w:type="character" w:customStyle="1" w:styleId="TtuloChar">
    <w:name w:val="Título Char"/>
    <w:basedOn w:val="Fontepargpadro"/>
    <w:link w:val="Ttulo"/>
    <w:uiPriority w:val="10"/>
    <w:qFormat/>
    <w:rsid w:val="00624BE2"/>
    <w:rPr>
      <w:rFonts w:asciiTheme="majorHAnsi" w:eastAsiaTheme="majorEastAsia" w:hAnsiTheme="majorHAnsi" w:cstheme="majorBidi"/>
      <w:spacing w:val="-10"/>
      <w:kern w:val="2"/>
      <w:sz w:val="56"/>
      <w:szCs w:val="56"/>
    </w:rPr>
  </w:style>
  <w:style w:type="character" w:customStyle="1" w:styleId="CabealhoChar">
    <w:name w:val="Cabeçalho Char"/>
    <w:basedOn w:val="Fontepargpadro"/>
    <w:link w:val="Cabealho"/>
    <w:uiPriority w:val="99"/>
    <w:qFormat/>
    <w:rsid w:val="00F649FE"/>
    <w:rPr>
      <w:rFonts w:ascii="Calibri" w:hAnsi="Calibri"/>
      <w:sz w:val="20"/>
    </w:rPr>
  </w:style>
  <w:style w:type="character" w:customStyle="1" w:styleId="RodapChar">
    <w:name w:val="Rodapé Char"/>
    <w:basedOn w:val="Fontepargpadro"/>
    <w:link w:val="Rodap"/>
    <w:uiPriority w:val="99"/>
    <w:qFormat/>
    <w:rsid w:val="00F649FE"/>
    <w:rPr>
      <w:rFonts w:ascii="Calibri" w:hAnsi="Calibri"/>
      <w:sz w:val="20"/>
    </w:rPr>
  </w:style>
  <w:style w:type="character" w:styleId="Forte">
    <w:name w:val="Strong"/>
    <w:basedOn w:val="Fontepargpadro"/>
    <w:uiPriority w:val="22"/>
    <w:qFormat/>
    <w:rsid w:val="005D1927"/>
    <w:rPr>
      <w:b/>
      <w:bCs/>
    </w:rPr>
  </w:style>
  <w:style w:type="character" w:customStyle="1" w:styleId="Ttulo2Char">
    <w:name w:val="Título 2 Char"/>
    <w:basedOn w:val="Fontepargpadro"/>
    <w:link w:val="Ttulo2"/>
    <w:uiPriority w:val="9"/>
    <w:qFormat/>
    <w:rsid w:val="0062104A"/>
    <w:rPr>
      <w:rFonts w:asciiTheme="majorHAnsi" w:eastAsiaTheme="majorEastAsia" w:hAnsiTheme="majorHAnsi" w:cstheme="majorBidi"/>
      <w:color w:val="2F5496" w:themeColor="accent1" w:themeShade="BF"/>
      <w:sz w:val="26"/>
      <w:szCs w:val="26"/>
    </w:rPr>
  </w:style>
  <w:style w:type="character" w:customStyle="1" w:styleId="TextodebaloChar">
    <w:name w:val="Texto de balão Char"/>
    <w:basedOn w:val="Fontepargpadro"/>
    <w:link w:val="Textodebalo"/>
    <w:uiPriority w:val="99"/>
    <w:semiHidden/>
    <w:qFormat/>
    <w:rsid w:val="00094BF9"/>
    <w:rPr>
      <w:rFonts w:ascii="Segoe UI" w:hAnsi="Segoe UI" w:cs="Segoe UI"/>
      <w:sz w:val="18"/>
      <w:szCs w:val="18"/>
    </w:rPr>
  </w:style>
  <w:style w:type="character" w:styleId="TextodoEspaoReservado">
    <w:name w:val="Placeholder Text"/>
    <w:basedOn w:val="Fontepargpadro"/>
    <w:uiPriority w:val="99"/>
    <w:semiHidden/>
    <w:qFormat/>
    <w:rsid w:val="00CE101A"/>
    <w:rPr>
      <w:color w:val="808080"/>
    </w:rPr>
  </w:style>
  <w:style w:type="character" w:customStyle="1" w:styleId="MenoPendente2">
    <w:name w:val="Menção Pendente2"/>
    <w:basedOn w:val="Fontepargpadro"/>
    <w:uiPriority w:val="99"/>
    <w:semiHidden/>
    <w:unhideWhenUsed/>
    <w:qFormat/>
    <w:rsid w:val="004A5E4B"/>
    <w:rPr>
      <w:color w:val="605E5C"/>
      <w:shd w:val="clear" w:color="auto" w:fill="E1DFDD"/>
    </w:rPr>
  </w:style>
  <w:style w:type="character" w:customStyle="1" w:styleId="Citao1">
    <w:name w:val="Citação1"/>
    <w:qFormat/>
    <w:rPr>
      <w:i/>
      <w:iCs/>
    </w:rPr>
  </w:style>
  <w:style w:type="paragraph" w:styleId="Ttulo">
    <w:name w:val="Title"/>
    <w:basedOn w:val="Normal"/>
    <w:next w:val="Corpodetexto"/>
    <w:link w:val="TtuloChar"/>
    <w:uiPriority w:val="10"/>
    <w:qFormat/>
    <w:rsid w:val="00624BE2"/>
    <w:pPr>
      <w:spacing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A17573"/>
    <w:pPr>
      <w:spacing w:line="240" w:lineRule="auto"/>
      <w:jc w:val="right"/>
    </w:pPr>
    <w:rPr>
      <w:rFonts w:ascii="R&amp;G_Texto" w:hAnsi="R&amp;G_Texto"/>
      <w:iCs/>
      <w:sz w:val="24"/>
      <w:szCs w:val="18"/>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E07CE8"/>
    <w:pPr>
      <w:ind w:left="720"/>
      <w:contextualSpacing/>
    </w:pPr>
  </w:style>
  <w:style w:type="paragraph" w:customStyle="1" w:styleId="MTDisplayEquation">
    <w:name w:val="MTDisplayEquation"/>
    <w:basedOn w:val="Normal"/>
    <w:next w:val="Normal"/>
    <w:link w:val="MTDisplayEquationChar"/>
    <w:qFormat/>
    <w:rsid w:val="00F8106D"/>
    <w:pPr>
      <w:tabs>
        <w:tab w:val="center" w:pos="4320"/>
        <w:tab w:val="right" w:pos="8640"/>
      </w:tabs>
    </w:pPr>
  </w:style>
  <w:style w:type="paragraph" w:styleId="Bibliografia">
    <w:name w:val="Bibliography"/>
    <w:basedOn w:val="Normal"/>
    <w:next w:val="Normal"/>
    <w:uiPriority w:val="37"/>
    <w:unhideWhenUsed/>
    <w:qFormat/>
    <w:rsid w:val="00E53B25"/>
  </w:style>
  <w:style w:type="paragraph" w:styleId="Textodecomentrio">
    <w:name w:val="annotation text"/>
    <w:basedOn w:val="Normal"/>
    <w:link w:val="TextodecomentrioChar"/>
    <w:uiPriority w:val="99"/>
    <w:semiHidden/>
    <w:unhideWhenUsed/>
    <w:qFormat/>
    <w:rsid w:val="00E93190"/>
    <w:pPr>
      <w:spacing w:line="240" w:lineRule="auto"/>
    </w:pPr>
    <w:rPr>
      <w:szCs w:val="20"/>
    </w:rPr>
  </w:style>
  <w:style w:type="paragraph" w:styleId="Assuntodocomentrio">
    <w:name w:val="annotation subject"/>
    <w:basedOn w:val="Textodecomentrio"/>
    <w:next w:val="Textodecomentrio"/>
    <w:link w:val="AssuntodocomentrioChar"/>
    <w:uiPriority w:val="99"/>
    <w:semiHidden/>
    <w:unhideWhenUsed/>
    <w:qFormat/>
    <w:rsid w:val="00E93190"/>
    <w:rPr>
      <w:b/>
      <w:bCs/>
    </w:rPr>
  </w:style>
  <w:style w:type="paragraph" w:styleId="Textodenotadefim">
    <w:name w:val="endnote text"/>
    <w:basedOn w:val="Normal"/>
    <w:link w:val="TextodenotadefimChar"/>
    <w:uiPriority w:val="99"/>
    <w:semiHidden/>
    <w:unhideWhenUsed/>
    <w:rsid w:val="00CA2D3E"/>
    <w:pPr>
      <w:spacing w:line="240" w:lineRule="auto"/>
    </w:pPr>
    <w:rPr>
      <w:szCs w:val="20"/>
    </w:rPr>
  </w:style>
  <w:style w:type="paragraph" w:customStyle="1" w:styleId="ref">
    <w:name w:val="ref"/>
    <w:basedOn w:val="Normal"/>
    <w:qFormat/>
    <w:rsid w:val="00DE35FB"/>
    <w:pPr>
      <w:ind w:left="426" w:hanging="426"/>
      <w:contextualSpacing/>
      <w:mirrorIndents/>
    </w:pPr>
    <w:rPr>
      <w:rFonts w:ascii="R&amp;G_Texto" w:hAnsi="R&amp;G_Texto"/>
      <w:sz w:val="18"/>
      <w:szCs w:val="18"/>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F649FE"/>
    <w:pPr>
      <w:tabs>
        <w:tab w:val="center" w:pos="4419"/>
        <w:tab w:val="right" w:pos="8838"/>
      </w:tabs>
      <w:spacing w:line="240" w:lineRule="auto"/>
    </w:pPr>
  </w:style>
  <w:style w:type="paragraph" w:styleId="Rodap">
    <w:name w:val="footer"/>
    <w:basedOn w:val="Normal"/>
    <w:link w:val="RodapChar"/>
    <w:uiPriority w:val="99"/>
    <w:unhideWhenUsed/>
    <w:rsid w:val="00F649FE"/>
    <w:pPr>
      <w:tabs>
        <w:tab w:val="center" w:pos="4419"/>
        <w:tab w:val="right" w:pos="8838"/>
      </w:tabs>
      <w:spacing w:line="240" w:lineRule="auto"/>
    </w:pPr>
  </w:style>
  <w:style w:type="paragraph" w:styleId="Reviso">
    <w:name w:val="Revision"/>
    <w:uiPriority w:val="99"/>
    <w:semiHidden/>
    <w:qFormat/>
    <w:rsid w:val="006717A9"/>
    <w:rPr>
      <w:rFonts w:ascii="Calibri"/>
    </w:rPr>
  </w:style>
  <w:style w:type="paragraph" w:styleId="Textodebalo">
    <w:name w:val="Balloon Text"/>
    <w:basedOn w:val="Normal"/>
    <w:link w:val="TextodebaloChar"/>
    <w:uiPriority w:val="99"/>
    <w:semiHidden/>
    <w:unhideWhenUsed/>
    <w:qFormat/>
    <w:rsid w:val="00094BF9"/>
    <w:pPr>
      <w:spacing w:line="240" w:lineRule="auto"/>
    </w:pPr>
    <w:rPr>
      <w:rFonts w:ascii="Segoe UI" w:hAnsi="Segoe UI" w:cs="Segoe UI"/>
      <w:sz w:val="18"/>
      <w:szCs w:val="18"/>
    </w:rPr>
  </w:style>
  <w:style w:type="table" w:styleId="Tabelacomgrade">
    <w:name w:val="Table Grid"/>
    <w:basedOn w:val="Tabelanormal"/>
    <w:uiPriority w:val="39"/>
    <w:rsid w:val="00606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0A0170"/>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C559D3"/>
    <w:rPr>
      <w:color w:val="0563C1" w:themeColor="hyperlink"/>
      <w:u w:val="single"/>
    </w:rPr>
  </w:style>
  <w:style w:type="table" w:customStyle="1" w:styleId="Tabelacomgrade1">
    <w:name w:val="Tabela com grade1"/>
    <w:basedOn w:val="Tabelanormal"/>
    <w:next w:val="Tabelacomgrade"/>
    <w:uiPriority w:val="39"/>
    <w:rsid w:val="001D0FE9"/>
    <w:pPr>
      <w:suppressAutoHyphens w:val="0"/>
    </w:pPr>
    <w:rPr>
      <w:rFonts w:asci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82F3A"/>
    <w:rPr>
      <w:color w:val="605E5C"/>
      <w:shd w:val="clear" w:color="auto" w:fill="E1DFDD"/>
    </w:rPr>
  </w:style>
  <w:style w:type="character" w:styleId="HiperlinkVisitado">
    <w:name w:val="FollowedHyperlink"/>
    <w:basedOn w:val="Fontepargpadro"/>
    <w:uiPriority w:val="99"/>
    <w:semiHidden/>
    <w:unhideWhenUsed/>
    <w:rsid w:val="00382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040">
      <w:bodyDiv w:val="1"/>
      <w:marLeft w:val="0"/>
      <w:marRight w:val="0"/>
      <w:marTop w:val="0"/>
      <w:marBottom w:val="0"/>
      <w:divBdr>
        <w:top w:val="none" w:sz="0" w:space="0" w:color="auto"/>
        <w:left w:val="none" w:sz="0" w:space="0" w:color="auto"/>
        <w:bottom w:val="none" w:sz="0" w:space="0" w:color="auto"/>
        <w:right w:val="none" w:sz="0" w:space="0" w:color="auto"/>
      </w:divBdr>
      <w:divsChild>
        <w:div w:id="1059325331">
          <w:marLeft w:val="0"/>
          <w:marRight w:val="0"/>
          <w:marTop w:val="0"/>
          <w:marBottom w:val="0"/>
          <w:divBdr>
            <w:top w:val="none" w:sz="0" w:space="0" w:color="auto"/>
            <w:left w:val="none" w:sz="0" w:space="0" w:color="auto"/>
            <w:bottom w:val="none" w:sz="0" w:space="0" w:color="auto"/>
            <w:right w:val="none" w:sz="0" w:space="0" w:color="auto"/>
          </w:divBdr>
        </w:div>
      </w:divsChild>
    </w:div>
    <w:div w:id="112066759">
      <w:bodyDiv w:val="1"/>
      <w:marLeft w:val="0"/>
      <w:marRight w:val="0"/>
      <w:marTop w:val="0"/>
      <w:marBottom w:val="0"/>
      <w:divBdr>
        <w:top w:val="none" w:sz="0" w:space="0" w:color="auto"/>
        <w:left w:val="none" w:sz="0" w:space="0" w:color="auto"/>
        <w:bottom w:val="none" w:sz="0" w:space="0" w:color="auto"/>
        <w:right w:val="none" w:sz="0" w:space="0" w:color="auto"/>
      </w:divBdr>
    </w:div>
    <w:div w:id="121963808">
      <w:bodyDiv w:val="1"/>
      <w:marLeft w:val="0"/>
      <w:marRight w:val="0"/>
      <w:marTop w:val="0"/>
      <w:marBottom w:val="0"/>
      <w:divBdr>
        <w:top w:val="none" w:sz="0" w:space="0" w:color="auto"/>
        <w:left w:val="none" w:sz="0" w:space="0" w:color="auto"/>
        <w:bottom w:val="none" w:sz="0" w:space="0" w:color="auto"/>
        <w:right w:val="none" w:sz="0" w:space="0" w:color="auto"/>
      </w:divBdr>
      <w:divsChild>
        <w:div w:id="683285559">
          <w:marLeft w:val="0"/>
          <w:marRight w:val="0"/>
          <w:marTop w:val="60"/>
          <w:marBottom w:val="0"/>
          <w:divBdr>
            <w:top w:val="none" w:sz="0" w:space="0" w:color="auto"/>
            <w:left w:val="none" w:sz="0" w:space="0" w:color="auto"/>
            <w:bottom w:val="none" w:sz="0" w:space="0" w:color="auto"/>
            <w:right w:val="none" w:sz="0" w:space="0" w:color="auto"/>
          </w:divBdr>
        </w:div>
      </w:divsChild>
    </w:div>
    <w:div w:id="182594089">
      <w:bodyDiv w:val="1"/>
      <w:marLeft w:val="0"/>
      <w:marRight w:val="0"/>
      <w:marTop w:val="0"/>
      <w:marBottom w:val="0"/>
      <w:divBdr>
        <w:top w:val="none" w:sz="0" w:space="0" w:color="auto"/>
        <w:left w:val="none" w:sz="0" w:space="0" w:color="auto"/>
        <w:bottom w:val="none" w:sz="0" w:space="0" w:color="auto"/>
        <w:right w:val="none" w:sz="0" w:space="0" w:color="auto"/>
      </w:divBdr>
    </w:div>
    <w:div w:id="239294218">
      <w:bodyDiv w:val="1"/>
      <w:marLeft w:val="0"/>
      <w:marRight w:val="0"/>
      <w:marTop w:val="0"/>
      <w:marBottom w:val="0"/>
      <w:divBdr>
        <w:top w:val="none" w:sz="0" w:space="0" w:color="auto"/>
        <w:left w:val="none" w:sz="0" w:space="0" w:color="auto"/>
        <w:bottom w:val="none" w:sz="0" w:space="0" w:color="auto"/>
        <w:right w:val="none" w:sz="0" w:space="0" w:color="auto"/>
      </w:divBdr>
    </w:div>
    <w:div w:id="293407104">
      <w:bodyDiv w:val="1"/>
      <w:marLeft w:val="0"/>
      <w:marRight w:val="0"/>
      <w:marTop w:val="0"/>
      <w:marBottom w:val="0"/>
      <w:divBdr>
        <w:top w:val="none" w:sz="0" w:space="0" w:color="auto"/>
        <w:left w:val="none" w:sz="0" w:space="0" w:color="auto"/>
        <w:bottom w:val="none" w:sz="0" w:space="0" w:color="auto"/>
        <w:right w:val="none" w:sz="0" w:space="0" w:color="auto"/>
      </w:divBdr>
    </w:div>
    <w:div w:id="755131065">
      <w:bodyDiv w:val="1"/>
      <w:marLeft w:val="0"/>
      <w:marRight w:val="0"/>
      <w:marTop w:val="0"/>
      <w:marBottom w:val="0"/>
      <w:divBdr>
        <w:top w:val="none" w:sz="0" w:space="0" w:color="auto"/>
        <w:left w:val="none" w:sz="0" w:space="0" w:color="auto"/>
        <w:bottom w:val="none" w:sz="0" w:space="0" w:color="auto"/>
        <w:right w:val="none" w:sz="0" w:space="0" w:color="auto"/>
      </w:divBdr>
      <w:divsChild>
        <w:div w:id="1990397260">
          <w:marLeft w:val="0"/>
          <w:marRight w:val="0"/>
          <w:marTop w:val="100"/>
          <w:marBottom w:val="0"/>
          <w:divBdr>
            <w:top w:val="none" w:sz="0" w:space="0" w:color="auto"/>
            <w:left w:val="none" w:sz="0" w:space="0" w:color="auto"/>
            <w:bottom w:val="none" w:sz="0" w:space="0" w:color="auto"/>
            <w:right w:val="none" w:sz="0" w:space="0" w:color="auto"/>
          </w:divBdr>
        </w:div>
        <w:div w:id="407926069">
          <w:marLeft w:val="0"/>
          <w:marRight w:val="0"/>
          <w:marTop w:val="0"/>
          <w:marBottom w:val="0"/>
          <w:divBdr>
            <w:top w:val="none" w:sz="0" w:space="0" w:color="auto"/>
            <w:left w:val="none" w:sz="0" w:space="0" w:color="auto"/>
            <w:bottom w:val="none" w:sz="0" w:space="0" w:color="auto"/>
            <w:right w:val="none" w:sz="0" w:space="0" w:color="auto"/>
          </w:divBdr>
          <w:divsChild>
            <w:div w:id="573852395">
              <w:marLeft w:val="0"/>
              <w:marRight w:val="0"/>
              <w:marTop w:val="0"/>
              <w:marBottom w:val="0"/>
              <w:divBdr>
                <w:top w:val="none" w:sz="0" w:space="0" w:color="auto"/>
                <w:left w:val="none" w:sz="0" w:space="0" w:color="auto"/>
                <w:bottom w:val="none" w:sz="0" w:space="0" w:color="auto"/>
                <w:right w:val="none" w:sz="0" w:space="0" w:color="auto"/>
              </w:divBdr>
              <w:divsChild>
                <w:div w:id="1370641952">
                  <w:marLeft w:val="0"/>
                  <w:marRight w:val="0"/>
                  <w:marTop w:val="0"/>
                  <w:marBottom w:val="0"/>
                  <w:divBdr>
                    <w:top w:val="none" w:sz="0" w:space="0" w:color="auto"/>
                    <w:left w:val="none" w:sz="0" w:space="0" w:color="auto"/>
                    <w:bottom w:val="none" w:sz="0" w:space="0" w:color="auto"/>
                    <w:right w:val="none" w:sz="0" w:space="0" w:color="auto"/>
                  </w:divBdr>
                  <w:divsChild>
                    <w:div w:id="988941712">
                      <w:marLeft w:val="0"/>
                      <w:marRight w:val="0"/>
                      <w:marTop w:val="0"/>
                      <w:marBottom w:val="0"/>
                      <w:divBdr>
                        <w:top w:val="none" w:sz="0" w:space="0" w:color="auto"/>
                        <w:left w:val="none" w:sz="0" w:space="0" w:color="auto"/>
                        <w:bottom w:val="none" w:sz="0" w:space="0" w:color="auto"/>
                        <w:right w:val="none" w:sz="0" w:space="0" w:color="auto"/>
                      </w:divBdr>
                      <w:divsChild>
                        <w:div w:id="6058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9749">
              <w:marLeft w:val="0"/>
              <w:marRight w:val="0"/>
              <w:marTop w:val="0"/>
              <w:marBottom w:val="0"/>
              <w:divBdr>
                <w:top w:val="none" w:sz="0" w:space="0" w:color="auto"/>
                <w:left w:val="none" w:sz="0" w:space="0" w:color="auto"/>
                <w:bottom w:val="none" w:sz="0" w:space="0" w:color="auto"/>
                <w:right w:val="none" w:sz="0" w:space="0" w:color="auto"/>
              </w:divBdr>
              <w:divsChild>
                <w:div w:id="603728533">
                  <w:marLeft w:val="0"/>
                  <w:marRight w:val="0"/>
                  <w:marTop w:val="0"/>
                  <w:marBottom w:val="0"/>
                  <w:divBdr>
                    <w:top w:val="none" w:sz="0" w:space="0" w:color="auto"/>
                    <w:left w:val="none" w:sz="0" w:space="0" w:color="auto"/>
                    <w:bottom w:val="none" w:sz="0" w:space="0" w:color="auto"/>
                    <w:right w:val="none" w:sz="0" w:space="0" w:color="auto"/>
                  </w:divBdr>
                  <w:divsChild>
                    <w:div w:id="10719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3315">
      <w:bodyDiv w:val="1"/>
      <w:marLeft w:val="0"/>
      <w:marRight w:val="0"/>
      <w:marTop w:val="0"/>
      <w:marBottom w:val="0"/>
      <w:divBdr>
        <w:top w:val="none" w:sz="0" w:space="0" w:color="auto"/>
        <w:left w:val="none" w:sz="0" w:space="0" w:color="auto"/>
        <w:bottom w:val="none" w:sz="0" w:space="0" w:color="auto"/>
        <w:right w:val="none" w:sz="0" w:space="0" w:color="auto"/>
      </w:divBdr>
      <w:divsChild>
        <w:div w:id="1694958845">
          <w:marLeft w:val="0"/>
          <w:marRight w:val="0"/>
          <w:marTop w:val="0"/>
          <w:marBottom w:val="0"/>
          <w:divBdr>
            <w:top w:val="none" w:sz="0" w:space="0" w:color="auto"/>
            <w:left w:val="none" w:sz="0" w:space="0" w:color="auto"/>
            <w:bottom w:val="none" w:sz="0" w:space="0" w:color="auto"/>
            <w:right w:val="none" w:sz="0" w:space="0" w:color="auto"/>
          </w:divBdr>
        </w:div>
      </w:divsChild>
    </w:div>
    <w:div w:id="1350370319">
      <w:bodyDiv w:val="1"/>
      <w:marLeft w:val="0"/>
      <w:marRight w:val="0"/>
      <w:marTop w:val="0"/>
      <w:marBottom w:val="0"/>
      <w:divBdr>
        <w:top w:val="none" w:sz="0" w:space="0" w:color="auto"/>
        <w:left w:val="none" w:sz="0" w:space="0" w:color="auto"/>
        <w:bottom w:val="none" w:sz="0" w:space="0" w:color="auto"/>
        <w:right w:val="none" w:sz="0" w:space="0" w:color="auto"/>
      </w:divBdr>
    </w:div>
    <w:div w:id="1584071045">
      <w:bodyDiv w:val="1"/>
      <w:marLeft w:val="0"/>
      <w:marRight w:val="0"/>
      <w:marTop w:val="0"/>
      <w:marBottom w:val="0"/>
      <w:divBdr>
        <w:top w:val="none" w:sz="0" w:space="0" w:color="auto"/>
        <w:left w:val="none" w:sz="0" w:space="0" w:color="auto"/>
        <w:bottom w:val="none" w:sz="0" w:space="0" w:color="auto"/>
        <w:right w:val="none" w:sz="0" w:space="0" w:color="auto"/>
      </w:divBdr>
    </w:div>
    <w:div w:id="1707945629">
      <w:bodyDiv w:val="1"/>
      <w:marLeft w:val="0"/>
      <w:marRight w:val="0"/>
      <w:marTop w:val="0"/>
      <w:marBottom w:val="0"/>
      <w:divBdr>
        <w:top w:val="none" w:sz="0" w:space="0" w:color="auto"/>
        <w:left w:val="none" w:sz="0" w:space="0" w:color="auto"/>
        <w:bottom w:val="none" w:sz="0" w:space="0" w:color="auto"/>
        <w:right w:val="none" w:sz="0" w:space="0" w:color="auto"/>
      </w:divBdr>
    </w:div>
    <w:div w:id="1774327838">
      <w:bodyDiv w:val="1"/>
      <w:marLeft w:val="0"/>
      <w:marRight w:val="0"/>
      <w:marTop w:val="0"/>
      <w:marBottom w:val="0"/>
      <w:divBdr>
        <w:top w:val="none" w:sz="0" w:space="0" w:color="auto"/>
        <w:left w:val="none" w:sz="0" w:space="0" w:color="auto"/>
        <w:bottom w:val="none" w:sz="0" w:space="0" w:color="auto"/>
        <w:right w:val="none" w:sz="0" w:space="0" w:color="auto"/>
      </w:divBdr>
    </w:div>
    <w:div w:id="1796945826">
      <w:bodyDiv w:val="1"/>
      <w:marLeft w:val="0"/>
      <w:marRight w:val="0"/>
      <w:marTop w:val="0"/>
      <w:marBottom w:val="0"/>
      <w:divBdr>
        <w:top w:val="none" w:sz="0" w:space="0" w:color="auto"/>
        <w:left w:val="none" w:sz="0" w:space="0" w:color="auto"/>
        <w:bottom w:val="none" w:sz="0" w:space="0" w:color="auto"/>
        <w:right w:val="none" w:sz="0" w:space="0" w:color="auto"/>
      </w:divBdr>
      <w:divsChild>
        <w:div w:id="1507398310">
          <w:marLeft w:val="0"/>
          <w:marRight w:val="0"/>
          <w:marTop w:val="0"/>
          <w:marBottom w:val="0"/>
          <w:divBdr>
            <w:top w:val="none" w:sz="0" w:space="0" w:color="auto"/>
            <w:left w:val="none" w:sz="0" w:space="0" w:color="auto"/>
            <w:bottom w:val="none" w:sz="0" w:space="0" w:color="auto"/>
            <w:right w:val="none" w:sz="0" w:space="0" w:color="auto"/>
          </w:divBdr>
        </w:div>
        <w:div w:id="2107848080">
          <w:marLeft w:val="0"/>
          <w:marRight w:val="0"/>
          <w:marTop w:val="0"/>
          <w:marBottom w:val="0"/>
          <w:divBdr>
            <w:top w:val="none" w:sz="0" w:space="0" w:color="auto"/>
            <w:left w:val="none" w:sz="0" w:space="0" w:color="auto"/>
            <w:bottom w:val="none" w:sz="0" w:space="0" w:color="auto"/>
            <w:right w:val="none" w:sz="0" w:space="0" w:color="auto"/>
          </w:divBdr>
          <w:divsChild>
            <w:div w:id="1341202844">
              <w:marLeft w:val="0"/>
              <w:marRight w:val="0"/>
              <w:marTop w:val="0"/>
              <w:marBottom w:val="0"/>
              <w:divBdr>
                <w:top w:val="none" w:sz="0" w:space="0" w:color="auto"/>
                <w:left w:val="none" w:sz="0" w:space="0" w:color="auto"/>
                <w:bottom w:val="none" w:sz="0" w:space="0" w:color="auto"/>
                <w:right w:val="none" w:sz="0" w:space="0" w:color="auto"/>
              </w:divBdr>
              <w:divsChild>
                <w:div w:id="274486083">
                  <w:marLeft w:val="0"/>
                  <w:marRight w:val="0"/>
                  <w:marTop w:val="0"/>
                  <w:marBottom w:val="0"/>
                  <w:divBdr>
                    <w:top w:val="none" w:sz="0" w:space="0" w:color="auto"/>
                    <w:left w:val="none" w:sz="0" w:space="0" w:color="auto"/>
                    <w:bottom w:val="none" w:sz="0" w:space="0" w:color="auto"/>
                    <w:right w:val="none" w:sz="0" w:space="0" w:color="auto"/>
                  </w:divBdr>
                  <w:divsChild>
                    <w:div w:id="902255002">
                      <w:marLeft w:val="0"/>
                      <w:marRight w:val="0"/>
                      <w:marTop w:val="0"/>
                      <w:marBottom w:val="0"/>
                      <w:divBdr>
                        <w:top w:val="none" w:sz="0" w:space="0" w:color="auto"/>
                        <w:left w:val="none" w:sz="0" w:space="0" w:color="auto"/>
                        <w:bottom w:val="none" w:sz="0" w:space="0" w:color="auto"/>
                        <w:right w:val="none" w:sz="0" w:space="0" w:color="auto"/>
                      </w:divBdr>
                      <w:divsChild>
                        <w:div w:id="883978406">
                          <w:marLeft w:val="0"/>
                          <w:marRight w:val="0"/>
                          <w:marTop w:val="0"/>
                          <w:marBottom w:val="0"/>
                          <w:divBdr>
                            <w:top w:val="none" w:sz="0" w:space="0" w:color="auto"/>
                            <w:left w:val="none" w:sz="0" w:space="0" w:color="auto"/>
                            <w:bottom w:val="none" w:sz="0" w:space="0" w:color="auto"/>
                            <w:right w:val="none" w:sz="0" w:space="0" w:color="auto"/>
                          </w:divBdr>
                          <w:divsChild>
                            <w:div w:id="384261440">
                              <w:marLeft w:val="0"/>
                              <w:marRight w:val="0"/>
                              <w:marTop w:val="0"/>
                              <w:marBottom w:val="0"/>
                              <w:divBdr>
                                <w:top w:val="none" w:sz="0" w:space="0" w:color="auto"/>
                                <w:left w:val="none" w:sz="0" w:space="0" w:color="auto"/>
                                <w:bottom w:val="none" w:sz="0" w:space="0" w:color="auto"/>
                                <w:right w:val="none" w:sz="0" w:space="0" w:color="auto"/>
                              </w:divBdr>
                              <w:divsChild>
                                <w:div w:id="929242878">
                                  <w:marLeft w:val="0"/>
                                  <w:marRight w:val="0"/>
                                  <w:marTop w:val="0"/>
                                  <w:marBottom w:val="0"/>
                                  <w:divBdr>
                                    <w:top w:val="none" w:sz="0" w:space="0" w:color="auto"/>
                                    <w:left w:val="none" w:sz="0" w:space="0" w:color="auto"/>
                                    <w:bottom w:val="none" w:sz="0" w:space="0" w:color="auto"/>
                                    <w:right w:val="none" w:sz="0" w:space="0" w:color="auto"/>
                                  </w:divBdr>
                                  <w:divsChild>
                                    <w:div w:id="215360409">
                                      <w:marLeft w:val="0"/>
                                      <w:marRight w:val="0"/>
                                      <w:marTop w:val="0"/>
                                      <w:marBottom w:val="0"/>
                                      <w:divBdr>
                                        <w:top w:val="none" w:sz="0" w:space="0" w:color="auto"/>
                                        <w:left w:val="none" w:sz="0" w:space="0" w:color="auto"/>
                                        <w:bottom w:val="none" w:sz="0" w:space="0" w:color="auto"/>
                                        <w:right w:val="none" w:sz="0" w:space="0" w:color="auto"/>
                                      </w:divBdr>
                                      <w:divsChild>
                                        <w:div w:id="1904220592">
                                          <w:marLeft w:val="0"/>
                                          <w:marRight w:val="0"/>
                                          <w:marTop w:val="0"/>
                                          <w:marBottom w:val="0"/>
                                          <w:divBdr>
                                            <w:top w:val="none" w:sz="0" w:space="0" w:color="auto"/>
                                            <w:left w:val="none" w:sz="0" w:space="0" w:color="auto"/>
                                            <w:bottom w:val="none" w:sz="0" w:space="0" w:color="auto"/>
                                            <w:right w:val="none" w:sz="0" w:space="0" w:color="auto"/>
                                          </w:divBdr>
                                          <w:divsChild>
                                            <w:div w:id="552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8015">
                              <w:marLeft w:val="0"/>
                              <w:marRight w:val="0"/>
                              <w:marTop w:val="0"/>
                              <w:marBottom w:val="0"/>
                              <w:divBdr>
                                <w:top w:val="none" w:sz="0" w:space="0" w:color="auto"/>
                                <w:left w:val="none" w:sz="0" w:space="0" w:color="auto"/>
                                <w:bottom w:val="none" w:sz="0" w:space="0" w:color="auto"/>
                                <w:right w:val="none" w:sz="0" w:space="0" w:color="auto"/>
                              </w:divBdr>
                              <w:divsChild>
                                <w:div w:id="1688366705">
                                  <w:marLeft w:val="0"/>
                                  <w:marRight w:val="0"/>
                                  <w:marTop w:val="0"/>
                                  <w:marBottom w:val="0"/>
                                  <w:divBdr>
                                    <w:top w:val="none" w:sz="0" w:space="0" w:color="auto"/>
                                    <w:left w:val="none" w:sz="0" w:space="0" w:color="auto"/>
                                    <w:bottom w:val="none" w:sz="0" w:space="0" w:color="auto"/>
                                    <w:right w:val="none" w:sz="0" w:space="0" w:color="auto"/>
                                  </w:divBdr>
                                  <w:divsChild>
                                    <w:div w:id="1340810152">
                                      <w:marLeft w:val="30"/>
                                      <w:marRight w:val="30"/>
                                      <w:marTop w:val="30"/>
                                      <w:marBottom w:val="30"/>
                                      <w:divBdr>
                                        <w:top w:val="none" w:sz="0" w:space="0" w:color="auto"/>
                                        <w:left w:val="none" w:sz="0" w:space="0" w:color="auto"/>
                                        <w:bottom w:val="none" w:sz="0" w:space="0" w:color="auto"/>
                                        <w:right w:val="none" w:sz="0" w:space="0" w:color="auto"/>
                                      </w:divBdr>
                                      <w:divsChild>
                                        <w:div w:id="1872037674">
                                          <w:marLeft w:val="0"/>
                                          <w:marRight w:val="0"/>
                                          <w:marTop w:val="0"/>
                                          <w:marBottom w:val="0"/>
                                          <w:divBdr>
                                            <w:top w:val="none" w:sz="0" w:space="0" w:color="auto"/>
                                            <w:left w:val="none" w:sz="0" w:space="0" w:color="auto"/>
                                            <w:bottom w:val="none" w:sz="0" w:space="0" w:color="auto"/>
                                            <w:right w:val="none" w:sz="0" w:space="0" w:color="auto"/>
                                          </w:divBdr>
                                          <w:divsChild>
                                            <w:div w:id="1698968012">
                                              <w:marLeft w:val="0"/>
                                              <w:marRight w:val="0"/>
                                              <w:marTop w:val="0"/>
                                              <w:marBottom w:val="0"/>
                                              <w:divBdr>
                                                <w:top w:val="none" w:sz="0" w:space="0" w:color="auto"/>
                                                <w:left w:val="none" w:sz="0" w:space="0" w:color="auto"/>
                                                <w:bottom w:val="none" w:sz="0" w:space="0" w:color="auto"/>
                                                <w:right w:val="none" w:sz="0" w:space="0" w:color="auto"/>
                                              </w:divBdr>
                                              <w:divsChild>
                                                <w:div w:id="1011104586">
                                                  <w:marLeft w:val="0"/>
                                                  <w:marRight w:val="0"/>
                                                  <w:marTop w:val="0"/>
                                                  <w:marBottom w:val="0"/>
                                                  <w:divBdr>
                                                    <w:top w:val="none" w:sz="0" w:space="0" w:color="auto"/>
                                                    <w:left w:val="none" w:sz="0" w:space="0" w:color="auto"/>
                                                    <w:bottom w:val="none" w:sz="0" w:space="0" w:color="auto"/>
                                                    <w:right w:val="none" w:sz="0" w:space="0" w:color="auto"/>
                                                  </w:divBdr>
                                                  <w:divsChild>
                                                    <w:div w:id="30108454">
                                                      <w:marLeft w:val="0"/>
                                                      <w:marRight w:val="0"/>
                                                      <w:marTop w:val="0"/>
                                                      <w:marBottom w:val="0"/>
                                                      <w:divBdr>
                                                        <w:top w:val="none" w:sz="0" w:space="0" w:color="auto"/>
                                                        <w:left w:val="none" w:sz="0" w:space="0" w:color="auto"/>
                                                        <w:bottom w:val="none" w:sz="0" w:space="0" w:color="auto"/>
                                                        <w:right w:val="none" w:sz="0" w:space="0" w:color="auto"/>
                                                      </w:divBdr>
                                                    </w:div>
                                                  </w:divsChild>
                                                </w:div>
                                                <w:div w:id="577130054">
                                                  <w:marLeft w:val="0"/>
                                                  <w:marRight w:val="0"/>
                                                  <w:marTop w:val="0"/>
                                                  <w:marBottom w:val="0"/>
                                                  <w:divBdr>
                                                    <w:top w:val="none" w:sz="0" w:space="0" w:color="auto"/>
                                                    <w:left w:val="none" w:sz="0" w:space="0" w:color="auto"/>
                                                    <w:bottom w:val="none" w:sz="0" w:space="0" w:color="auto"/>
                                                    <w:right w:val="none" w:sz="0" w:space="0" w:color="auto"/>
                                                  </w:divBdr>
                                                  <w:divsChild>
                                                    <w:div w:id="357970605">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coes.anatel.gov.br/paineis/consumidor/reclamacoes" TargetMode="External"/><Relationship Id="rId13" Type="http://schemas.openxmlformats.org/officeDocument/2006/relationships/image" Target="media/image4.png"/><Relationship Id="rId18" Type="http://schemas.openxmlformats.org/officeDocument/2006/relationships/hyperlink" Target="https://geoftp.ibge.gov.br/organizacao_do_territorio/divisao_regional/regioes_de_influencia_das_cidades/Regioes_de_influencia_das_cidades_2018_Resultados_definitivos/base_tabular/REGIC2018_Arranjos_Populacionais.xlsx"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informacoes.anatel.gov.br/paineis/acessos/telefonia-move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eoftp.ibge.gov.br/organizacao_do_territorio/divisao_regional/regioes_de_influencia_das_cidades/Regioes_de_influencia_das_cidades_2018_Resultados_definitivos/base_tabular/%20REGIC2018_Municipios_Ligacoes_e_atracao_xlsx.zip" TargetMode="External"/><Relationship Id="rId20" Type="http://schemas.openxmlformats.org/officeDocument/2006/relationships/hyperlink" Target="https://geoftp.ibge.gov.br/organizacao_do_territorio/divisao_regional/regioes_de_influencia_das_cidades/Regioes_de_influencia_das_cidades_2018_Resultados_definitivos/base_tabular/REGIC2018_Ligacoes_entre_Cidades.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2000</b:Year>
    <b:Volume>115</b:Volume>
    <b:BIBTEX_Entry>book</b:BIBTEX_Entry>
    <b:SourceType>Book</b:SourceType>
    <b:Title>A conceptual framework for understanding e-service quality: implications for future research and managerial practice</b:Title>
    <b:Tag>zeithaml2000conceptual</b:Tag>
    <b:Publisher>Marketing Science Institute Cambridge, MA</b:Publisher>
    <b:Author>
      <b:Author>
        <b:NameList>
          <b:Person>
            <b:Last>Zeithaml</b:Last>
            <b:Middle>A.</b:Middle>
            <b:First>Valarie</b:First>
          </b:Person>
          <b:Person>
            <b:Last>Parasuraman</b:Last>
            <b:First>Ananthanarayanan</b:First>
          </b:Person>
          <b:Person>
            <b:Last>Malhotra</b:Last>
            <b:First>Arvind</b:First>
          </b:Person>
          <b:Person>
            <b:Last>others</b:Last>
          </b:Person>
        </b:NameList>
      </b:Author>
    </b:Author>
    <b:RefOrder>27</b:RefOrder>
  </b:Source>
  <b:Source>
    <b:Year>2019</b:Year>
    <b:Volume>119</b:Volume>
    <b:BIBTEX_Entry>article</b:BIBTEX_Entry>
    <b:SourceType>JournalArticle</b:SourceType>
    <b:Title>Regulatory Monitors</b:Title>
    <b:Tag>van2019regulatory</b:Tag>
    <b:Publisher>JSTOR</b:Publisher>
    <b:Author>
      <b:Author>
        <b:NameList>
          <b:Person>
            <b:Last>Van Loo</b:Last>
            <b:First>Rory</b:First>
          </b:Person>
        </b:NameList>
      </b:Author>
    </b:Author>
    <b:Pages>369–444</b:Pages>
    <b:JournalName>Columbia Law Review</b:JournalName>
    <b:Number>2</b:Number>
    <b:RefOrder>11</b:RefOrder>
  </b:Source>
  <b:Source>
    <b:Year>2020</b:Year>
    <b:Volume>154</b:Volume>
    <b:BIBTEX_Entry>article</b:BIBTEX_Entry>
    <b:SourceType>JournalArticle</b:SourceType>
    <b:Title>Applications of artificial intelligence and machine learning in smart cities</b:Title>
    <b:Tag>ullah2020applications</b:Tag>
    <b:Publisher>Elsevier</b:Publisher>
    <b:Author>
      <b:Author>
        <b:NameList>
          <b:Person>
            <b:Last>Ullah</b:Last>
            <b:First>Zaib</b:First>
          </b:Person>
          <b:Person>
            <b:Last>Al-Turjman</b:Last>
            <b:First>Fadi</b:First>
          </b:Person>
          <b:Person>
            <b:Last>Mostarda</b:Last>
            <b:First>Leonardo</b:First>
          </b:Person>
          <b:Person>
            <b:Last>Gagliardi</b:Last>
            <b:First>Roberto</b:First>
          </b:Person>
        </b:NameList>
      </b:Author>
    </b:Author>
    <b:Pages>313–323</b:Pages>
    <b:JournalName>Computer Communications</b:JournalName>
    <b:RefOrder>16</b:RefOrder>
  </b:Source>
  <b:Source>
    <b:Year>2015</b:Year>
    <b:BIBTEX_Entry>book</b:BIBTEX_Entry>
    <b:SourceType>Book</b:SourceType>
    <b:Title>Machine learning: a Bayesian and optimization perspective</b:Title>
    <b:Tag>theodoridis2015machine</b:Tag>
    <b:Publisher>Academic press</b:Publisher>
    <b:Author>
      <b:Author>
        <b:NameList>
          <b:Person>
            <b:Last>Theodoridis</b:Last>
            <b:First>Sergios</b:First>
          </b:Person>
        </b:NameList>
      </b:Author>
    </b:Author>
    <b:RefOrder>60</b:RefOrder>
  </b:Source>
  <b:Source>
    <b:Year>2010</b:Year>
    <b:Volume>47</b:Volume>
    <b:BIBTEX_Entry>article</b:BIBTEX_Entry>
    <b:SourceType>JournalArticle</b:SourceType>
    <b:Title>External urban relational process: Introducing central flow theory to complement central place theory</b:Title>
    <b:Tag>taylor2010external</b:Tag>
    <b:Publisher>SAGE Publications Sage UK: London, England</b:Publisher>
    <b:Author>
      <b:Author>
        <b:NameList>
          <b:Person>
            <b:Last>Taylor</b:Last>
            <b:Middle>J.</b:Middle>
            <b:First>Peter</b:First>
          </b:Person>
          <b:Person>
            <b:Last>Hoyler</b:Last>
            <b:First>Michael</b:First>
          </b:Person>
          <b:Person>
            <b:Last>Verbruggen</b:Last>
            <b:First>Raf</b:First>
          </b:Person>
        </b:NameList>
      </b:Author>
    </b:Author>
    <b:Pages>2803–2818</b:Pages>
    <b:JournalName>Urban studies</b:JournalName>
    <b:Number>13</b:Number>
    <b:RefOrder>34</b:RefOrder>
  </b:Source>
  <b:Source>
    <b:Year>2011</b:Year>
    <b:BIBTEX_Entry>inproceedings</b:BIBTEX_Entry>
    <b:SourceType>ConferenceProceedings</b:SourceType>
    <b:Title>A model to identify the dimensions of mobile service quality</b:Title>
    <b:Tag>stiakakis2011model</b:Tag>
    <b:BookTitle>2011 10th International Conference on Mobile Business</b:BookTitle>
    <b:Author>
      <b:Author>
        <b:NameList>
          <b:Person>
            <b:Last>Stiakakis</b:Last>
            <b:First>Emmanouil</b:First>
          </b:Person>
          <b:Person>
            <b:Last>Georgiadis</b:Last>
            <b:Middle>K.</b:Middle>
            <b:First>Christos</b:First>
          </b:Person>
        </b:NameList>
      </b:Author>
    </b:Author>
    <b:Pages>195–204</b:Pages>
    <b:ConferenceName>2011 10th International Conference on Mobile Business</b:ConferenceName>
    <b:RefOrder>29</b:RefOrder>
  </b:Source>
  <b:Source>
    <b:Year>2019</b:Year>
    <b:BIBTEX_Entry>book</b:BIBTEX_Entry>
    <b:SourceType>Book</b:SourceType>
    <b:Title>Vertex-frequency analysis of graph signals</b:Title>
    <b:Tag>stankovic2019vertex</b:Tag>
    <b:Publisher>Springer</b:Publisher>
    <b:Author>
      <b:Author>
        <b:NameList>
          <b:Person>
            <b:Last>Stanković</b:Last>
            <b:First>Ljubiša</b:First>
          </b:Person>
          <b:Person>
            <b:Last>Sejdić</b:Last>
            <b:First>Ervin</b:First>
          </b:Person>
        </b:NameList>
      </b:Author>
    </b:Author>
    <b:City>Cham</b:City>
    <b:StateProvince>Switzerland</b:StateProvince>
    <b:CountryRegion/>
    <b:RefOrder>42</b:RefOrder>
  </b:Source>
  <b:Source>
    <b:Year>2013</b:Year>
    <b:Volume>30</b:Volume>
    <b:BIBTEX_Entry>article</b:BIBTEX_Entry>
    <b:SourceType>JournalArticle</b:SourceType>
    <b:Title>The emerging field of signal processing on graphs: Extending high-dimensional data analysis to networks and other irregular domains</b:Title>
    <b:Tag>shuman2013emerging</b:Tag>
    <b:Publisher>IEEE</b:Publisher>
    <b:Author>
      <b:Author>
        <b:NameList>
          <b:Person>
            <b:Last>Shuman</b:Last>
            <b:Middle>I.</b:Middle>
            <b:First>David</b:First>
          </b:Person>
          <b:Person>
            <b:Last>Narang</b:Last>
            <b:Middle>K.</b:Middle>
            <b:First>Sunil</b:First>
          </b:Person>
          <b:Person>
            <b:Last>Frossard</b:Last>
            <b:First>Pascal</b:First>
          </b:Person>
          <b:Person>
            <b:Last>Ortega</b:Last>
            <b:First>Antonio</b:First>
          </b:Person>
          <b:Person>
            <b:Last>Vandergheynst</b:Last>
            <b:First>Pierre</b:First>
          </b:Person>
        </b:NameList>
      </b:Author>
    </b:Author>
    <b:Pages>83–98</b:Pages>
    <b:JournalName>IEEE signal processing magazine</b:JournalName>
    <b:Number>3</b:Number>
    <b:RefOrder>40</b:RefOrder>
  </b:Source>
  <b:Source>
    <b:Year>2017</b:Year>
    <b:Volume>11</b:Volume>
    <b:BIBTEX_Entry>article</b:BIBTEX_Entry>
    <b:SourceType>JournalArticle</b:SourceType>
    <b:Title>On the graph Fourier transform for directed graphs</b:Title>
    <b:Tag>sardellitti2017graph</b:Tag>
    <b:Publisher>IEEE</b:Publisher>
    <b:Author>
      <b:Author>
        <b:NameList>
          <b:Person>
            <b:Last>Sardellitti</b:Last>
            <b:First>Stefania</b:First>
          </b:Person>
          <b:Person>
            <b:Last>Barbarossa</b:Last>
            <b:First>Sergio</b:First>
          </b:Person>
          <b:Person>
            <b:Last>Di Lorenzo</b:Last>
            <b:First>Paolo</b:First>
          </b:Person>
        </b:NameList>
      </b:Author>
    </b:Author>
    <b:Pages>796–811</b:Pages>
    <b:JournalName>IEEE Journal of Selected Topics in Signal Processing</b:JournalName>
    <b:Number>6</b:Number>
    <b:RefOrder>48</b:RefOrder>
  </b:Source>
  <b:Source>
    <b:Year>2013</b:Year>
    <b:Volume>61</b:Volume>
    <b:BIBTEX_Entry>article</b:BIBTEX_Entry>
    <b:SourceType>JournalArticle</b:SourceType>
    <b:Title>Discrete signal processing on graphs</b:Title>
    <b:Tag>sandryhaila2013discrete</b:Tag>
    <b:Publisher>IEEE</b:Publisher>
    <b:Author>
      <b:Author>
        <b:NameList>
          <b:Person>
            <b:Last>Sandryhaila</b:Last>
            <b:First>Aliaksei</b:First>
          </b:Person>
          <b:Person>
            <b:Last>Moura</b:Last>
            <b:Middle>M. F.</b:Middle>
            <b:First>José</b:First>
          </b:Person>
        </b:NameList>
      </b:Author>
    </b:Author>
    <b:Pages>1644–1656</b:Pages>
    <b:JournalName>IEEE transactions on signal processing</b:JournalName>
    <b:Number>7</b:Number>
    <b:RefOrder>45</b:RefOrder>
  </b:Source>
  <b:Source>
    <b:Year>2014</b:Year>
    <b:Volume>31</b:Volume>
    <b:BIBTEX_Entry>article</b:BIBTEX_Entry>
    <b:SourceType>JournalArticle</b:SourceType>
    <b:Title>Big data analysis with signal processing on graphs: Representation and processing of massive data sets with irregular structure</b:Title>
    <b:Tag>sandryhaila2014big</b:Tag>
    <b:Publisher>IEEE</b:Publisher>
    <b:Author>
      <b:Author>
        <b:NameList>
          <b:Person>
            <b:Last>Sandryhaila</b:Last>
            <b:First>Aliaksei</b:First>
          </b:Person>
          <b:Person>
            <b:Last>Moura</b:Last>
            <b:Middle>M. F.</b:Middle>
            <b:First>José</b:First>
          </b:Person>
        </b:NameList>
      </b:Author>
    </b:Author>
    <b:Pages>80–90</b:Pages>
    <b:JournalName>IEEE Signal Processing Magazine</b:JournalName>
    <b:Number>5</b:Number>
    <b:RefOrder>46</b:RefOrder>
  </b:Source>
  <b:Source>
    <b:Year>2015</b:Year>
    <b:BIBTEX_Entry>book</b:BIBTEX_Entry>
    <b:SourceType>Book</b:SourceType>
    <b:Title>The world of indicators: The making of governmental knowledge through quantification</b:Title>
    <b:Tag>rottenburg2015world</b:Tag>
    <b:Publisher>Cambridge University Press</b:Publisher>
    <b:Author>
      <b:Author>
        <b:NameList>
          <b:Person>
            <b:Last>Rottenburg</b:Last>
            <b:First>Richard</b:First>
          </b:Person>
          <b:Person>
            <b:Last>Merry</b:Last>
            <b:Middle>E.</b:Middle>
            <b:First>Sally</b:First>
          </b:Person>
          <b:Person>
            <b:Last>Park</b:Last>
            <b:First>Sung-Joon</b:First>
          </b:Person>
          <b:Person>
            <b:Last>Mugler</b:Last>
            <b:First>Johanna</b:First>
          </b:Person>
        </b:NameList>
      </b:Author>
    </b:Author>
    <b:RefOrder>24</b:RefOrder>
  </b:Source>
  <b:Source>
    <b:Year>2020</b:Year>
    <b:Volume>28</b:Volume>
    <b:BIBTEX_Entry>article</b:BIBTEX_Entry>
    <b:SourceType>JournalArticle</b:SourceType>
    <b:Title>EU Cohesion Policy and spatial economic growth: trajectories in economic thought</b:Title>
    <b:Tag>rauhut2020eu</b:Tag>
    <b:Publisher>Taylor &amp; Francis</b:Publisher>
    <b:Author>
      <b:Author>
        <b:NameList>
          <b:Person>
            <b:Last>Rauhut</b:Last>
            <b:First>Daniel</b:First>
          </b:Person>
          <b:Person>
            <b:Last>Humer</b:Last>
            <b:First>Alois</b:First>
          </b:Person>
        </b:NameList>
      </b:Author>
    </b:Author>
    <b:Pages>2116–2133</b:Pages>
    <b:JournalName>European Planning Studies</b:JournalName>
    <b:Number>11</b:Number>
    <b:RefOrder>52</b:RefOrder>
  </b:Source>
  <b:Source>
    <b:Year>2017</b:Year>
    <b:Volume>15</b:Volume>
    <b:BIBTEX_Entry>article</b:BIBTEX_Entry>
    <b:SourceType>JournalArticle</b:SourceType>
    <b:Title>The Effects of Law Through Actions of Inspections</b:Title>
    <b:Tag>pecaric2017effects</b:Tag>
    <b:Publisher>HeinOnline</b:Publisher>
    <b:Author>
      <b:Author>
        <b:NameList>
          <b:Person>
            <b:Last>Pecaric</b:Last>
            <b:First>Mirko</b:First>
          </b:Person>
        </b:NameList>
      </b:Author>
    </b:Author>
    <b:Pages>129</b:Pages>
    <b:JournalName>Int'l Pub. Admin. Rev.</b:JournalName>
    <b:RefOrder>10</b:RefOrder>
  </b:Source>
  <b:Source>
    <b:Year>1985</b:Year>
    <b:Volume>49</b:Volume>
    <b:BIBTEX_Entry>article</b:BIBTEX_Entry>
    <b:SourceType>JournalArticle</b:SourceType>
    <b:Title>A conceptual model of service quality and its implications for future research</b:Title>
    <b:Tag>parasuraman1985conceptual</b:Tag>
    <b:Publisher>SAGE Publications Sage CA: Los Angeles, CA</b:Publisher>
    <b:Author>
      <b:Author>
        <b:NameList>
          <b:Person>
            <b:Last>Parasuraman</b:Last>
            <b:First>Anantharanthan</b:First>
          </b:Person>
          <b:Person>
            <b:Last>Zeithaml</b:Last>
            <b:Middle>A.</b:Middle>
            <b:First>Valarie</b:First>
          </b:Person>
          <b:Person>
            <b:Last>Berry</b:Last>
            <b:Middle>L.</b:Middle>
            <b:First>Leonard</b:First>
          </b:Person>
        </b:NameList>
      </b:Author>
    </b:Author>
    <b:Pages>41–50</b:Pages>
    <b:JournalName>Journal of marketing</b:JournalName>
    <b:Number>4</b:Number>
    <b:RefOrder>26</b:RefOrder>
  </b:Source>
  <b:Source>
    <b:Year>2018</b:Year>
    <b:Volume>106</b:Volume>
    <b:BIBTEX_Entry>article</b:BIBTEX_Entry>
    <b:SourceType>JournalArticle</b:SourceType>
    <b:Title>Graph signal processing: Overview, challenges, and applications</b:Title>
    <b:Tag>ortega2018graph</b:Tag>
    <b:Publisher>IEEE</b:Publisher>
    <b:Author>
      <b:Author>
        <b:NameList>
          <b:Person>
            <b:Last>Ortega</b:Last>
            <b:First>Antonio</b:First>
          </b:Person>
          <b:Person>
            <b:Last>Frossard</b:Last>
            <b:First>Pascal</b:First>
          </b:Person>
          <b:Person>
            <b:Last>Kovačević</b:Last>
            <b:First>Jelena</b:First>
          </b:Person>
          <b:Person>
            <b:Last>Moura</b:Last>
            <b:Middle>M. F.</b:Middle>
            <b:First>José</b:First>
          </b:Person>
          <b:Person>
            <b:Last>Vandergheynst</b:Last>
            <b:First>Pierre</b:First>
          </b:Person>
        </b:NameList>
      </b:Author>
    </b:Author>
    <b:Pages>808–828</b:Pages>
    <b:JournalName>Proceedings of the IEEE</b:JournalName>
    <b:Number>5</b:Number>
    <b:RefOrder>43</b:RefOrder>
  </b:Source>
  <b:Source>
    <b:LCID>en-US</b:LCID>
    <b:Year>2012</b:Year>
    <b:BIBTEX_Entry>book</b:BIBTEX_Entry>
    <b:SourceType>Book</b:SourceType>
    <b:Title>Stocktaking on Evaluation: Evaluating the impact of competition law enforcement</b:Title>
    <b:Tag>Ormosi2012stock</b:Tag>
    <b:Publisher>Organisation for Economic Cooperation and Development</b:Publisher>
    <b:URL>https://www.oecd.org/officialdocuments/publicdisplaydocumentpdf/?cote=DAF/COMP/WP2(2012)5&amp;doclanguage=en</b:URL>
    <b:Author>
      <b:Author>
        <b:NameList>
          <b:Person>
            <b:Last>Ormosi</b:Last>
            <b:First>Peter</b:First>
          </b:Person>
        </b:NameList>
      </b:Author>
    </b:Author>
    <b:RefOrder>21</b:RefOrder>
  </b:Source>
  <b:Source>
    <b:Year>2020</b:Year>
    <b:BIBTEX_Entry>book</b:BIBTEX_Entry>
    <b:SourceType>Book</b:SourceType>
    <b:Title>Measuring consumer detriment and the impact of consumer policy</b:Title>
    <b:Tag>OECD2020consumer</b:Tag>
    <b:Publisher>Organisation for Economic Co-operation and Development</b:Publisher>
    <b:URL>https://www.oecd-ilibrary.org/content/paper/0c2e643b-en</b:URL>
    <b:DOI>https://doi.org/https://doi.org/10.1787/0c2e643b-en</b:DOI>
    <b:Author>
      <b:Author>
        <b:NameList>
          <b:Person>
            <b:Last>OECD</b:Last>
          </b:Person>
        </b:NameList>
      </b:Author>
    </b:Author>
    <b:RefOrder>23</b:RefOrder>
  </b:Source>
  <b:Source>
    <b:Year>2012</b:Year>
    <b:BIBTEX_Entry>book</b:BIBTEX_Entry>
    <b:SourceType>Book</b:SourceType>
    <b:Title>Machine learning: a probabilistic perspective</b:Title>
    <b:Tag>murphy2012machine</b:Tag>
    <b:Publisher>MIT press</b:Publisher>
    <b:Author>
      <b:Author>
        <b:NameList>
          <b:Person>
            <b:Last>Murphy</b:Last>
            <b:Middle>P.</b:Middle>
            <b:First>Kevin</b:First>
          </b:Person>
        </b:NameList>
      </b:Author>
    </b:Author>
    <b:RefOrder>62</b:RefOrder>
  </b:Source>
  <b:Source>
    <b:Year>2019</b:Year>
    <b:Volume>13</b:Volume>
    <b:BIBTEX_Entry>article</b:BIBTEX_Entry>
    <b:SourceType>JournalArticle</b:SourceType>
    <b:Title>Numbers in regulatory intermediation: Exploring the role of performance measurement between legitimacy and compliance</b:Title>
    <b:Tag>mehrpouya2019numbers</b:Tag>
    <b:Publisher>Wiley Online Library</b:Publisher>
    <b:Author>
      <b:Author>
        <b:NameList>
          <b:Person>
            <b:Last>Mehrpouya</b:Last>
            <b:First>Afshin</b:First>
          </b:Person>
          <b:Person>
            <b:Last>Samiolo</b:Last>
            <b:First>Rita</b:First>
          </b:Person>
        </b:NameList>
      </b:Author>
    </b:Author>
    <b:Pages>220–239</b:Pages>
    <b:JournalName>Regulation &amp; Governance</b:JournalName>
    <b:Number>2</b:Number>
    <b:RefOrder>33</b:RefOrder>
  </b:Source>
  <b:Source>
    <b:Year>2020</b:Year>
    <b:Volume>37</b:Volume>
    <b:BIBTEX_Entry>article</b:BIBTEX_Entry>
    <b:SourceType>JournalArticle</b:SourceType>
    <b:Title>Graph Signal Processing: Foundations and Emerging Directions [From the Guest Editors]</b:Title>
    <b:Tag>marques2020graph</b:Tag>
    <b:Publisher>IEEE</b:Publisher>
    <b:Author>
      <b:Author>
        <b:NameList>
          <b:Person>
            <b:Last>Marques</b:Last>
            <b:Middle>G.</b:Middle>
            <b:First>Antonio</b:First>
          </b:Person>
          <b:Person>
            <b:Last>Kiyavash</b:Last>
            <b:First>Negar</b:First>
          </b:Person>
          <b:Person>
            <b:Last>Moura</b:Last>
            <b:Middle>M. F.</b:Middle>
            <b:First>José</b:First>
          </b:Person>
          <b:Person>
            <b:Last>Van De Ville</b:Last>
            <b:First>Dimitri</b:First>
          </b:Person>
          <b:Person>
            <b:Last>Willett</b:Last>
            <b:First>Rebecca</b:First>
          </b:Person>
        </b:NameList>
      </b:Author>
    </b:Author>
    <b:Pages>11–13</b:Pages>
    <b:JournalName>IEEE Signal Processing Magazine</b:JournalName>
    <b:Number>6</b:Number>
    <b:RefOrder>36</b:RefOrder>
  </b:Source>
  <b:Source>
    <b:Year>2020</b:Year>
    <b:Volume>139</b:Volume>
    <b:BIBTEX_Entry>article</b:BIBTEX_Entry>
    <b:SourceType>JournalArticle</b:SourceType>
    <b:Title>Applications of machine learning and artificial intelligence for Covid-19 (SARS-CoV-2) pandemic: A review</b:Title>
    <b:Tag>lalmuanawma2020applications</b:Tag>
    <b:Publisher>Elsevier</b:Publisher>
    <b:Author>
      <b:Author>
        <b:NameList>
          <b:Person>
            <b:Last>Lalmuanawma</b:Last>
            <b:First>Samuel</b:First>
          </b:Person>
          <b:Person>
            <b:Last>Hussain</b:Last>
            <b:First>Jamal</b:First>
          </b:Person>
          <b:Person>
            <b:Last>Chhakchhuak</b:Last>
            <b:First>Lalrinfela</b:First>
          </b:Person>
        </b:NameList>
      </b:Author>
    </b:Author>
    <b:Pages>110059</b:Pages>
    <b:JournalName>Chaos, Solitons &amp; Fractals</b:JournalName>
    <b:RefOrder>14</b:RefOrder>
  </b:Source>
  <b:Source>
    <b:Year>2014</b:Year>
    <b:Volume>5</b:Volume>
    <b:BIBTEX_Entry>article</b:BIBTEX_Entry>
    <b:SourceType>JournalArticle</b:SourceType>
    <b:Title>Service quality expectations and perceptions of Telecom sector in INDIA</b:Title>
    <b:Tag>kushwah2014service</b:Tag>
    <b:Author>
      <b:Author>
        <b:NameList>
          <b:Person>
            <b:Last>Kushwah</b:Last>
            <b:Middle>Vigg</b:Middle>
            <b:First>Silky</b:First>
          </b:Person>
          <b:Person>
            <b:Last>Bhargav</b:Last>
            <b:First>Ahuti</b:First>
          </b:Person>
        </b:NameList>
      </b:Author>
    </b:Author>
    <b:Pages>1–10</b:Pages>
    <b:JournalName>International Journal of Advancements in Technology</b:JournalName>
    <b:Number>1</b:Number>
    <b:RefOrder>30</b:RefOrder>
  </b:Source>
  <b:Source>
    <b:Year>2020</b:Year>
    <b:BIBTEX_Entry>article</b:BIBTEX_Entry>
    <b:SourceType>JournalArticle</b:SourceType>
    <b:Title>Improving regulatory effectiveness through better targeting: Evidence from OSHA</b:Title>
    <b:Tag>johnson2020improving</b:Tag>
    <b:Author>
      <b:Author>
        <b:NameList>
          <b:Person>
            <b:Last>Johnson</b:Last>
            <b:Middle>S.</b:Middle>
            <b:First>Matthew</b:First>
          </b:Person>
          <b:Person>
            <b:Last>Levine</b:Last>
            <b:Middle>I.</b:Middle>
            <b:First>David</b:First>
          </b:Person>
          <b:Person>
            <b:Last>Toffel</b:Last>
            <b:Middle>W.</b:Middle>
            <b:First>Michael</b:First>
          </b:Person>
        </b:NameList>
      </b:Author>
    </b:Author>
    <b:JournalName>Harvard Business School Technology &amp; Operations Mgt. Unit Working Paper</b:JournalName>
    <b:Number>20-019</b:Number>
    <b:RefOrder>4</b:RefOrder>
  </b:Source>
  <b:Source>
    <b:Year>2020</b:Year>
    <b:BIBTEX_Entry>misc</b:BIBTEX_Entry>
    <b:SourceType>Misc</b:SourceType>
    <b:Title>REGIC 2018 - Ligações entre Cidades</b:Title>
    <b:Tag>ibge2020ligacoes</b:Tag>
    <b:URL>https://geoftp.ibge.gov.br/organizacao_do_territorio/divisao_regional/regioes_de_influencia_das_cidades/Regioes_de_influencia_das_cidades_2018_Resultados_definitivos/base_tabular/REGIC2018_Ligacoes_entre_Cidades.xlsx'</b:URL>
    <b:Author>
      <b:Author>
        <b:NameList>
          <b:Person>
            <b:Last>IBGE</b:Last>
          </b:Person>
        </b:NameList>
      </b:Author>
      <b:Editor>
        <b:NameList>
          <b:Person>
            <b:Last>de Geografia e Estatística</b:Last>
            <b:Middle>Brasileiro</b:Middle>
            <b:First>Instituto</b:First>
          </b:Person>
        </b:NameList>
      </b:Editor>
    </b:Author>
    <b:PublicationTitle>REGIC 2018 - Ligações entre Cidades</b:PublicationTitle>
    <b:RefOrder>58</b:RefOrder>
  </b:Source>
  <b:Source>
    <b:Year>2020</b:Year>
    <b:Volume>13</b:Volume>
    <b:BIBTEX_Entry>article</b:BIBTEX_Entry>
    <b:SourceType>JournalArticle</b:SourceType>
    <b:Title>Machine learning and artificial intelligence: definitions, applications, and future directions</b:Title>
    <b:Tag>helm2020machine</b:Tag>
    <b:Publisher>Springer</b:Publisher>
    <b:Author>
      <b:Author>
        <b:NameList>
          <b:Person>
            <b:Last>Helm</b:Last>
            <b:Middle>Matthew</b:Middle>
            <b:First>J.</b:First>
          </b:Person>
          <b:Person>
            <b:Last>Swiergosz</b:Last>
            <b:Middle>M.</b:Middle>
            <b:First>Andrew</b:First>
          </b:Person>
          <b:Person>
            <b:Last>Haeberle</b:Last>
            <b:Middle>S.</b:Middle>
            <b:First>Heather</b:First>
          </b:Person>
          <b:Person>
            <b:Last>Karnuta</b:Last>
            <b:Middle>M.</b:Middle>
            <b:First>Jaret</b:First>
          </b:Person>
          <b:Person>
            <b:Last>Schaffer</b:Last>
            <b:Middle>L.</b:Middle>
            <b:First>Jonathan</b:First>
          </b:Person>
          <b:Person>
            <b:Last>Krebs</b:Last>
            <b:Middle>E.</b:Middle>
            <b:First>Viktor</b:First>
          </b:Person>
          <b:Person>
            <b:Last>Spitzer</b:Last>
            <b:Middle>I.</b:Middle>
            <b:First>Andrew</b:First>
          </b:Person>
          <b:Person>
            <b:Last>Ramkumar</b:Last>
            <b:Middle>N.</b:Middle>
            <b:First>Prem</b:First>
          </b:Person>
        </b:NameList>
      </b:Author>
    </b:Author>
    <b:Pages>69–76</b:Pages>
    <b:JournalName>Current reviews in musculoskeletal medicine</b:JournalName>
    <b:Number>1</b:Number>
    <b:RefOrder>15</b:RefOrder>
  </b:Source>
  <b:Source>
    <b:Year>1984</b:Year>
    <b:BIBTEX_Entry>article</b:BIBTEX_Entry>
    <b:SourceType>JournalArticle</b:SourceType>
    <b:Title>A service quality model and its marketing implications</b:Title>
    <b:Tag>gronroos1984service</b:Tag>
    <b:Publisher>MCB UP Ltd</b:Publisher>
    <b:Author>
      <b:Author>
        <b:NameList>
          <b:Person>
            <b:Last>Grönroos</b:Last>
            <b:First>Christian</b:First>
          </b:Person>
        </b:NameList>
      </b:Author>
    </b:Author>
    <b:JournalName>European Journal of marketing</b:JournalName>
    <b:RefOrder>25</b:RefOrder>
  </b:Source>
  <b:Source>
    <b:Year>2016</b:Year>
    <b:BIBTEX_Entry>book</b:BIBTEX_Entry>
    <b:SourceType>Book</b:SourceType>
    <b:Title>Deep learning</b:Title>
    <b:Tag>goodfellow2016deep</b:Tag>
    <b:Publisher>MIT press</b:Publisher>
    <b:Author>
      <b:Author>
        <b:NameList>
          <b:Person>
            <b:Last>Goodfellow</b:Last>
            <b:First>Ian</b:First>
          </b:Person>
          <b:Person>
            <b:Last>Bengio</b:Last>
            <b:First>Yoshua</b:First>
          </b:Person>
          <b:Person>
            <b:Last>Courville</b:Last>
            <b:First>Aaron</b:First>
          </b:Person>
        </b:NameList>
      </b:Author>
    </b:Author>
    <b:RefOrder>61</b:RefOrder>
  </b:Source>
  <b:Source>
    <b:Year>2012</b:Year>
    <b:BIBTEX_Entry>book</b:BIBTEX_Entry>
    <b:SourceType>Book</b:SourceType>
    <b:Title>Grafos: conceitos, algoritmos e aplicações</b:Title>
    <b:Tag>goldbarg2012grafos</b:Tag>
    <b:Publisher>Elsevier</b:Publisher>
    <b:Author>
      <b:Author>
        <b:NameList>
          <b:Person>
            <b:Last>Goldbarg</b:Last>
            <b:First>Marco</b:First>
          </b:Person>
          <b:Person>
            <b:Last>Goldbarg</b:Last>
            <b:First>Elizabeth</b:First>
          </b:Person>
        </b:NameList>
      </b:Author>
    </b:Author>
    <b:City>Rio de Janeiro, RJ, Brasil</b:City>
    <b:RefOrder>37</b:RefOrder>
  </b:Source>
  <b:Source>
    <b:Year>2017</b:Year>
    <b:Volume>65</b:Volume>
    <b:BIBTEX_Entry>article</b:BIBTEX_Entry>
    <b:SourceType>JournalArticle</b:SourceType>
    <b:Title>On the shift operator, graph frequency, and optimal filtering in graph signal processing</b:Title>
    <b:Tag>gavili2017shift</b:Tag>
    <b:Publisher>IEEE</b:Publisher>
    <b:Author>
      <b:Author>
        <b:NameList>
          <b:Person>
            <b:Last>Gavili</b:Last>
            <b:First>Adnan</b:First>
          </b:Person>
          <b:Person>
            <b:Last>Zhang</b:Last>
            <b:First>Xiao-Ping</b:First>
          </b:Person>
        </b:NameList>
      </b:Author>
    </b:Author>
    <b:Pages>6303–6318</b:Pages>
    <b:JournalName>IEEE Transactions on Signal Processing</b:JournalName>
    <b:Number>23</b:Number>
    <b:RefOrder>41</b:RefOrder>
  </b:Source>
  <b:Source>
    <b:Year>2018</b:Year>
    <b:Volume>113</b:Volume>
    <b:BIBTEX_Entry>article</b:BIBTEX_Entry>
    <b:SourceType>JournalArticle</b:SourceType>
    <b:Title>Determinants of loyalty to public transit: A model integrating Satisfaction-Loyalty Theory and Expectation-Confirmation Theory</b:Title>
    <b:Tag>fu2018determinants</b:Tag>
    <b:Publisher>Elsevier</b:Publisher>
    <b:Author>
      <b:Author>
        <b:NameList>
          <b:Person>
            <b:Last>Fu</b:Last>
            <b:First>Xue-mei</b:First>
          </b:Person>
          <b:Person>
            <b:Last>Zhang</b:Last>
            <b:First>Jiang-hua</b:First>
          </b:Person>
          <b:Person>
            <b:Last>Chan</b:Last>
            <b:Middle>T. S.</b:Middle>
            <b:First>Felix</b:First>
          </b:Person>
        </b:NameList>
      </b:Author>
    </b:Author>
    <b:Pages>476–490</b:Pages>
    <b:JournalName>Transportation Research Part A: Policy and Practice</b:JournalName>
    <b:RefOrder>31</b:RefOrder>
  </b:Source>
  <b:Source>
    <b:Year>2006</b:Year>
    <b:Volume>9</b:Volume>
    <b:BIBTEX_Entry>article</b:BIBTEX_Entry>
    <b:SourceType>JournalArticle</b:SourceType>
    <b:Title>Quality of electronic services: conceptualizing and testing a hierarchical model</b:Title>
    <b:Tag>fassnacht2006quality</b:Tag>
    <b:Publisher>Sage Publications Sage CA: Thousand Oaks, CA</b:Publisher>
    <b:Author>
      <b:Author>
        <b:NameList>
          <b:Person>
            <b:Last>Fassnacht</b:Last>
            <b:First>Martin</b:First>
          </b:Person>
          <b:Person>
            <b:Last>Koese</b:Last>
            <b:First>Ibrahim</b:First>
          </b:Person>
        </b:NameList>
      </b:Author>
    </b:Author>
    <b:Pages>19–37</b:Pages>
    <b:JournalName>Journal of service research</b:JournalName>
    <b:Number>1</b:Number>
    <b:RefOrder>28</b:RefOrder>
  </b:Source>
  <b:Source>
    <b:Year>2021</b:Year>
    <b:BIBTEX_Entry>book</b:BIBTEX_Entry>
    <b:SourceType>Book</b:SourceType>
    <b:Title>Deep learning with Python</b:Title>
    <b:Tag>chollet2021deep</b:Tag>
    <b:Publisher>Simon and Schuster</b:Publisher>
    <b:Author>
      <b:Author>
        <b:NameList>
          <b:Person>
            <b:Last>Chollet</b:Last>
            <b:First>Francois</b:First>
          </b:Person>
        </b:NameList>
      </b:Author>
    </b:Author>
    <b:RefOrder>63</b:RefOrder>
  </b:Source>
  <b:Source>
    <b:Year>2018</b:Year>
    <b:BIBTEX_Entry>inproceedings</b:BIBTEX_Entry>
    <b:SourceType>ConferenceProceedings</b:SourceType>
    <b:Title>Study on the Application of Machine Learning in Government Service: Take Consumer Protection Service as an Example</b:Title>
    <b:Tag>chen2018study</b:Tag>
    <b:BookTitle>2018 15th International Conference on Service Systems and Service Management (ICSSSM)</b:BookTitle>
    <b:Author>
      <b:Author>
        <b:NameList>
          <b:Person>
            <b:Last>Chen</b:Last>
            <b:First>Yao</b:First>
          </b:Person>
          <b:Person>
            <b:Last>Wang</b:Last>
            <b:First>Jinfei</b:First>
          </b:Person>
          <b:Person>
            <b:Last>Cai</b:Last>
            <b:First>Zhengyu</b:First>
          </b:Person>
        </b:NameList>
      </b:Author>
    </b:Author>
    <b:Pages>1–5</b:Pages>
    <b:ConferenceName>2018 15th International Conference on Service Systems and Service Management (ICSSSM)</b:ConferenceName>
    <b:RefOrder>17</b:RefOrder>
  </b:Source>
  <b:Source>
    <b:Year>2007</b:Year>
    <b:Volume>32</b:Volume>
    <b:BIBTEX_Entry>article</b:BIBTEX_Entry>
    <b:SourceType>JournalArticle</b:SourceType>
    <b:Title>Why would corporations behave in socially responsible ways? An institutional theory of corporate social responsibility</b:Title>
    <b:Tag>campbell2007would</b:Tag>
    <b:Publisher>Academy of Management Briarcliff Manor, NY 10510</b:Publisher>
    <b:Author>
      <b:Author>
        <b:NameList>
          <b:Person>
            <b:Last>Campbell</b:Last>
            <b:Middle>L.</b:Middle>
            <b:First>John</b:First>
          </b:Person>
        </b:NameList>
      </b:Author>
    </b:Author>
    <b:Pages>946–967</b:Pages>
    <b:JournalName>Academy of management Review</b:JournalName>
    <b:Number>3</b:Number>
    <b:RefOrder>12</b:RefOrder>
  </b:Source>
  <b:Source>
    <b:Year>2020</b:Year>
    <b:BIBTEX_Entry>article</b:BIBTEX_Entry>
    <b:SourceType>JournalArticle</b:SourceType>
    <b:Title>Why regulators assess risk differently: Regulatory style, business organization, and the varied practice of risk-based food safety inspections across the EU</b:Title>
    <b:Tag>borraz2020regulators</b:Tag>
    <b:Publisher>Wiley Online Library</b:Publisher>
    <b:Author>
      <b:Author>
        <b:NameList>
          <b:Person>
            <b:Last>Borraz</b:Last>
            <b:First>Olivier</b:First>
          </b:Person>
          <b:Person>
            <b:Last>Beaussier</b:Last>
            <b:First>Anne-Laure</b:First>
          </b:Person>
          <b:Person>
            <b:Last>Wesseling</b:Last>
            <b:First>Mara</b:First>
          </b:Person>
          <b:Person>
            <b:Last>Demeritt</b:Last>
            <b:First>David</b:First>
          </b:Person>
          <b:Person>
            <b:Last>Rothstein</b:Last>
            <b:First>Henry</b:First>
          </b:Person>
          <b:Person>
            <b:Last>Hermans</b:Last>
            <b:First>Marijke</b:First>
          </b:Person>
          <b:Person>
            <b:Last>Huber</b:Last>
            <b:First>Michael</b:First>
          </b:Person>
          <b:Person>
            <b:Last>Paul</b:Last>
            <b:First>Regine</b:First>
          </b:Person>
        </b:NameList>
      </b:Author>
    </b:Author>
    <b:JournalName>Regulation &amp; Governance</b:JournalName>
    <b:RefOrder>7</b:RefOrder>
  </b:Source>
  <b:Source>
    <b:Year>2019</b:Year>
    <b:BIBTEX_Entry>incollection</b:BIBTEX_Entry>
    <b:SourceType>BookSection</b:SourceType>
    <b:Title>A filtering framework for time-varying graph signals</b:Title>
    <b:Tag>bohannon2019filtering</b:Tag>
    <b:Publisher>Springer</b:Publisher>
    <b:BookTitle>Vertex-Frequency Analysis of Graph Signals</b:BookTitle>
    <b:Author>
      <b:Author>
        <b:NameList>
          <b:Person>
            <b:Last>Bohannon</b:Last>
            <b:Middle>W.</b:Middle>
            <b:First>Addison</b:First>
          </b:Person>
          <b:Person>
            <b:Last>Sadler</b:Last>
            <b:Middle>M.</b:Middle>
            <b:First>Brian</b:First>
          </b:Person>
          <b:Person>
            <b:Last>Balan</b:Last>
            <b:Middle>V.</b:Middle>
            <b:First>Radu</b:First>
          </b:Person>
        </b:NameList>
      </b:Author>
    </b:Author>
    <b:Pages>341–376</b:Pages>
    <b:ConferenceName>Vertex-Frequency Analysis of Graph Signals</b:ConferenceName>
    <b:City>Cham</b:City>
    <b:StateProvince>Switzerland</b:StateProvince>
    <b:CountryRegion/>
    <b:RefOrder>44</b:RefOrder>
  </b:Source>
  <b:Source>
    <b:Year>2012</b:Year>
    <b:BIBTEX_Entry>book</b:BIBTEX_Entry>
    <b:SourceType>Book</b:SourceType>
    <b:Title>Inspection reforms: why, how, and with what results</b:Title>
    <b:Tag>blanc2012inspection</b:Tag>
    <b:Publisher>Oecd Paris</b:Publisher>
    <b:Author>
      <b:Author>
        <b:NameList>
          <b:Person>
            <b:Last>Blanc</b:Last>
            <b:First>Florentin</b:First>
          </b:Person>
        </b:NameList>
      </b:Author>
    </b:Author>
    <b:RefOrder>1</b:RefOrder>
  </b:Source>
  <b:Source>
    <b:Year>2021</b:Year>
    <b:BIBTEX_Entry>incollection</b:BIBTEX_Entry>
    <b:SourceType>BookSection</b:SourceType>
    <b:Title>Complex networks and fundamental urban processes</b:Title>
    <b:Tag>bettencourt2021complex</b:Tag>
    <b:Publisher>Edward Elgar Publishing</b:Publisher>
    <b:BookTitle>Handbook of Cities and Networks</b:BookTitle>
    <b:Author>
      <b:Author>
        <b:NameList>
          <b:Person>
            <b:Last>Bettencourt</b:Last>
            <b:Middle>M. A.</b:Middle>
            <b:First>Luı́s</b:First>
          </b:Person>
        </b:NameList>
      </b:Author>
    </b:Author>
    <b:ConferenceName>Handbook of Cities and Networks</b:ConferenceName>
    <b:RefOrder>35</b:RefOrder>
  </b:Source>
  <b:Source>
    <b:Year>1993</b:Year>
    <b:Volume>104</b:Volume>
    <b:BIBTEX_Entry>book</b:BIBTEX_Entry>
    <b:SourceType>Book</b:SourceType>
    <b:Title>Detection of abrupt changes: theory and application</b:Title>
    <b:Tag>basseville1993detection</b:Tag>
    <b:Publisher>prentice Hall Englewood Cliffs</b:Publisher>
    <b:Author>
      <b:Author>
        <b:NameList>
          <b:Person>
            <b:Last>Basseville</b:Last>
            <b:First>Michele</b:First>
          </b:Person>
          <b:Person>
            <b:Last>Nikiforov</b:Last>
            <b:Middle>V.</b:Middle>
            <b:First>Igor</b:First>
          </b:Person>
          <b:Person>
            <b:Last>others</b:Last>
          </b:Person>
        </b:NameList>
      </b:Author>
    </b:Author>
    <b:RefOrder>59</b:RefOrder>
  </b:Source>
  <b:Source>
    <b:Year>2008</b:Year>
    <b:Volume>71</b:Volume>
    <b:BIBTEX_Entry>article</b:BIBTEX_Entry>
    <b:SourceType>JournalArticle</b:SourceType>
    <b:Title>Really responsive regulation</b:Title>
    <b:Tag>baldwin2008really</b:Tag>
    <b:Publisher>Wiley Online Library</b:Publisher>
    <b:Author>
      <b:Author>
        <b:NameList>
          <b:Person>
            <b:Last>Baldwin</b:Last>
            <b:First>Robert</b:First>
          </b:Person>
          <b:Person>
            <b:Last>Black</b:Last>
            <b:First>Julia</b:First>
          </b:Person>
        </b:NameList>
      </b:Author>
    </b:Author>
    <b:Pages>59–94</b:Pages>
    <b:JournalName>The modern law review</b:JournalName>
    <b:Number>1</b:Number>
    <b:RefOrder>9</b:RefOrder>
  </b:Source>
  <b:Source>
    <b:Year>1992</b:Year>
    <b:BIBTEX_Entry>book</b:BIBTEX_Entry>
    <b:SourceType>Book</b:SourceType>
    <b:Title>Responsive regulation: Transcending the deregulation debate</b:Title>
    <b:Tag>ayres1992responsive</b:Tag>
    <b:Publisher>Oxford University Press, USA</b:Publisher>
    <b:Author>
      <b:Author>
        <b:NameList>
          <b:Person>
            <b:Last>Ayres</b:Last>
            <b:First>Ian</b:First>
          </b:Person>
          <b:Person>
            <b:Last>Braithwaite</b:Last>
            <b:First>John</b:First>
          </b:Person>
        </b:NameList>
      </b:Author>
    </b:Author>
    <b:RefOrder>8</b:RefOrder>
  </b:Source>
  <b:Source>
    <b:Year>2020</b:Year>
    <b:Volume>44</b:Volume>
    <b:BIBTEX_Entry>article</b:BIBTEX_Entry>
    <b:SourceType>JournalArticle</b:SourceType>
    <b:Title>Special issue: Artificial intelligence, economy and society</b:Title>
    <b:Tag>TPspecialissue</b:Tag>
    <b:URL>https://www.sciencedirect.com/journal/telecommunications-policy/vol/44/issue/6</b:URL>
    <b:Author>
      <b:Author>
        <b:Corporate>Telecommunications Policy</b:Corporate>
      </b:Author>
      <b:Editor>
        <b:NameList>
          <b:Person>
            <b:Last>Feijoo</b:Last>
            <b:First>Claudio</b:First>
          </b:Person>
          <b:Person>
            <b:Last>Kwon</b:Last>
            <b:First>Youngsun</b:First>
          </b:Person>
        </b:NameList>
      </b:Editor>
    </b:Author>
    <b:JournalName>Telecommunications Policy</b:JournalName>
    <b:Number>6</b:Number>
    <b:RefOrder>19</b:RefOrder>
  </b:Source>
  <b:Source>
    <b:Year>2022</b:Year>
    <b:Volume>16</b:Volume>
    <b:BIBTEX_Entry>article</b:BIBTEX_Entry>
    <b:SourceType>JournalArticle</b:SourceType>
    <b:Title>Special Issue: Algorithmic Regulation</b:Title>
    <b:Tag>RGspecialissue</b:Tag>
    <b:URL>https://onlinelibrary.wiley.com/toc/17485991/2022/16/1</b:URL>
    <b:Author>
      <b:Author>
        <b:Corporate>Regulation &amp; Governance</b:Corporate>
      </b:Author>
    </b:Author>
    <b:Pages>3-224</b:Pages>
    <b:JournalName>Regulation &amp; Governance</b:JournalName>
    <b:Number>1</b:Number>
    <b:RefOrder>20</b:RefOrder>
  </b:Source>
  <b:Source>
    <b:Year>2020</b:Year>
    <b:Volume>37</b:Volume>
    <b:BIBTEX_Entry>article</b:BIBTEX_Entry>
    <b:SourceType>JournalArticle</b:SourceType>
    <b:Title>Special Issue on Graph Signal Processing: Foundations and Emerging Directions</b:Title>
    <b:Tag>SPspecialissue</b:Tag>
    <b:URL>https://ieeexplore.ieee.org/xpl/tocresult.jsp?isnumber=9244169</b:URL>
    <b:Author>
      <b:Author>
        <b:Corporate>IEEE Signal Processing Magazine</b:Corporate>
      </b:Author>
      <b:Editor>
        <b:NameList>
          <b:Person>
            <b:Last>Marques</b:Last>
            <b:Middle>G.</b:Middle>
            <b:First>Antonio</b:First>
          </b:Person>
          <b:Person>
            <b:Last>Kiyavash</b:Last>
            <b:First>Negar</b:First>
          </b:Person>
          <b:Person>
            <b:Last>Moura</b:Last>
            <b:Middle>M. F.</b:Middle>
            <b:First>José</b:First>
          </b:Person>
          <b:Person>
            <b:Last>Van De Ville</b:Last>
            <b:First>Dimitri</b:First>
          </b:Person>
          <b:Person>
            <b:Last>Willett</b:Last>
            <b:First>Rebecca</b:First>
          </b:Person>
        </b:NameList>
      </b:Editor>
    </b:Author>
    <b:JournalName>IEEE Signal Processing Magazine</b:JournalName>
    <b:Number>6</b:Number>
    <b:RefOrder>49</b:RefOrder>
  </b:Source>
  <b:Source>
    <b:Year>2021</b:Year>
    <b:BIBTEX_Entry>book</b:BIBTEX_Entry>
    <b:SourceType>Book</b:SourceType>
    <b:Title>OECD Regulatory Policy Outlook 2021</b:Title>
    <b:Tag>OECD2021regulatory</b:Tag>
    <b:Publisher>Organisation for Economic Co-operation and Development</b:Publisher>
    <b:URL>https://www.oecd-ilibrary.org/content/publication/38b0fdb1-en</b:URL>
    <b:Author>
      <b:Author>
        <b:Corporate>OECD</b:Corporate>
      </b:Author>
    </b:Author>
    <b:Pages>301</b:Pages>
    <b:Guid>{7033A10A-B9D4-46AF-892C-8736B1B77B1F}</b:Guid>
    <b:LCID>en-US</b:LCID>
    <b:RefOrder>5</b:RefOrder>
  </b:Source>
  <b:Source>
    <b:Year>2010</b:Year>
    <b:BIBTEX_Entry>book</b:BIBTEX_Entry>
    <b:SourceType>Book</b:SourceType>
    <b:Title>Risk and Regulatory Policy: Improving the Governance of Risk</b:Title>
    <b:Tag>oecd2010risk</b:Tag>
    <b:Publisher>Organisation for Economic Cooperation and Development</b:Publisher>
    <b:URL>https://www.oecd-ilibrary.org/content/publication/9789264082939-en</b:URL>
    <b:DOI>https://doi.org/https://doi.org/10.1787/9789264082939-en</b:DOI>
    <b:Author>
      <b:Author>
        <b:Corporate>OECD</b:Corporate>
      </b:Author>
    </b:Author>
    <b:Pages>248</b:Pages>
    <b:Guid>{903E257D-7518-4A99-8071-3124A0E2F403}</b:Guid>
    <b:LCID>en-US</b:LCID>
    <b:RefOrder>6</b:RefOrder>
  </b:Source>
  <b:Source>
    <b:Year>2021</b:Year>
    <b:BIBTEX_Entry>book</b:BIBTEX_Entry>
    <b:SourceType>Book</b:SourceType>
    <b:Title>Data-Driven, Information-Enabled Regulatory Delivery</b:Title>
    <b:Tag>oecd2021data</b:Tag>
    <b:Publisher>Organisation for Economic Co-operation and Development</b:Publisher>
    <b:URL>https://www.oecd-ilibrary.org/content/publication/8f99ec8c-en</b:URL>
    <b:Author>
      <b:Author>
        <b:Corporate>OECD</b:Corporate>
      </b:Author>
    </b:Author>
    <b:Pages>37</b:Pages>
    <b:Guid>{8F284988-E602-4BF5-A1F0-62C7EBDF008B}</b:Guid>
    <b:RefOrder>13</b:RefOrder>
  </b:Source>
  <b:Source>
    <b:Year>2022, and references within</b:Year>
    <b:Volume>16</b:Volume>
    <b:BIBTEX_Entry>article</b:BIBTEX_Entry>
    <b:SourceType>JournalArticle</b:SourceType>
    <b:Title>Certification systems for machine learning: Lessons from sustainability</b:Title>
    <b:Tag>matus2022certification</b:Tag>
    <b:Publisher>Wiley Online Library</b:Publisher>
    <b:Author>
      <b:Author>
        <b:NameList>
          <b:Person>
            <b:Last>Matus</b:Last>
            <b:Middle>J. M.</b:Middle>
            <b:First>Kira</b:First>
          </b:Person>
          <b:Person>
            <b:Last>Veale</b:Last>
            <b:First>Michael</b:First>
          </b:Person>
        </b:NameList>
      </b:Author>
    </b:Author>
    <b:Pages>177–196</b:Pages>
    <b:JournalName>Regulation &amp; Governance</b:JournalName>
    <b:Number>1</b:Number>
    <b:Guid>{193BAB27-F114-4E0F-A079-534F00C8DA75}</b:Guid>
    <b:RefOrder>18</b:RefOrder>
  </b:Source>
  <b:Source>
    <b:Year>2008</b:Year>
    <b:Volume>56</b:Volume>
    <b:BIBTEX_Entry>article</b:BIBTEX_Entry>
    <b:SourceType>JournalArticle</b:SourceType>
    <b:Title>Algebraic signal processing theory: Cooley–Tukey type algorithms for DCTs and DSTs</b:Title>
    <b:Tag>puschel2008cooley</b:Tag>
    <b:Publisher>IEEE</b:Publisher>
    <b:Author>
      <b:Author>
        <b:NameList>
          <b:Person>
            <b:Last>Puschel</b:Last>
            <b:First>Markus</b:First>
          </b:Person>
          <b:Person>
            <b:Last>Moura</b:Last>
            <b:Middle>M. F.</b:Middle>
            <b:First>José</b:First>
          </b:Person>
        </b:NameList>
      </b:Author>
    </b:Author>
    <b:Pages>1502–1521</b:Pages>
    <b:JournalName>IEEE Transactions on Signal Processing</b:JournalName>
    <b:Number>4</b:Number>
    <b:Guid>{8EB2EAF7-6F07-44A5-8907-279258DCF50A}</b:Guid>
    <b:RefOrder>38</b:RefOrder>
  </b:Source>
  <b:Source>
    <b:Year>2008</b:Year>
    <b:Volume>56</b:Volume>
    <b:BIBTEX_Entry>article</b:BIBTEX_Entry>
    <b:SourceType>JournalArticle</b:SourceType>
    <b:Title>Algebraic signal processing theory: Foundation and 1-D time</b:Title>
    <b:Tag>puschel2008fundation</b:Tag>
    <b:Publisher>IEEE</b:Publisher>
    <b:Author>
      <b:Author>
        <b:NameList>
          <b:Person>
            <b:Last>Puschel</b:Last>
            <b:First>Markus</b:First>
          </b:Person>
          <b:Person>
            <b:Last>Moura</b:Last>
            <b:Middle>M. F.</b:Middle>
            <b:First>José</b:First>
          </b:Person>
        </b:NameList>
      </b:Author>
    </b:Author>
    <b:Pages>3572–3585</b:Pages>
    <b:JournalName>IEEE Transactions on Signal Processing</b:JournalName>
    <b:Number>8</b:Number>
    <b:Guid>{142D0260-925B-40F4-920E-C5A439B6ADAA}</b:Guid>
    <b:RefOrder>39</b:RefOrder>
  </b:Source>
  <b:Source>
    <b:Year>2014</b:Year>
    <b:Volume>62</b:Volume>
    <b:BIBTEX_Entry>article</b:BIBTEX_Entry>
    <b:SourceType>JournalArticle</b:SourceType>
    <b:Title>Discrete signal processing on graphs: Frequency analysis</b:Title>
    <b:Tag>sandryhaila2014frequency</b:Tag>
    <b:Publisher>IEEE</b:Publisher>
    <b:Author>
      <b:Author>
        <b:NameList>
          <b:Person>
            <b:Last>Sandryhaila</b:Last>
            <b:First>Aliaksei</b:First>
          </b:Person>
          <b:Person>
            <b:Last>Moura</b:Last>
            <b:Middle>M. F.</b:Middle>
            <b:First>José</b:First>
          </b:Person>
        </b:NameList>
      </b:Author>
    </b:Author>
    <b:Pages>3042–3054</b:Pages>
    <b:JournalName>IEEE Transactions on Signal Processing</b:JournalName>
    <b:Number>12</b:Number>
    <b:Guid>{8CD30138-D61E-4251-A84F-525151FAF754}</b:Guid>
    <b:RefOrder>47</b:RefOrder>
  </b:Source>
  <b:Source>
    <b:Year>2021</b:Year>
    <b:BIBTEX_Entry>misc</b:BIBTEX_Entry>
    <b:SourceType>Misc</b:SourceType>
    <b:Title>Regulamento de Fiscalização Regulatória</b:Title>
    <b:Tag>resolucao746</b:Tag>
    <b:URL>https://www.in.gov.br/en/web/dou/-/resolucao-anatel-n-746-de-22-de-junho-de-2021-327665275</b:URL>
    <b:Author>
      <b:Author>
        <b:Corporate>Anatel</b:Corporate>
      </b:Author>
      <b:Editor>
        <b:NameList>
          <b:Person>
            <b:Last>de Telecomunicações</b:Last>
            <b:Middle>Nacional</b:Middle>
            <b:First>Agência</b:First>
          </b:Person>
        </b:NameList>
      </b:Editor>
    </b:Author>
    <b:PublicationTitle>Regulamento de Fiscalização Regulatória</b:PublicationTitle>
    <b:Guid>{ACF666C5-057C-4857-A78F-27E0B9C28467}</b:Guid>
    <b:RefOrder>50</b:RefOrder>
  </b:Source>
  <b:Source>
    <b:Year>2021</b:Year>
    <b:BIBTEX_Entry>misc</b:BIBTEX_Entry>
    <b:SourceType>Misc</b:SourceType>
    <b:Title>Relatório Anual de Diagnóstico das Relações de Consumo 2021 (SEI nº 7025781)</b:Title>
    <b:Tag>reclamacoes2020</b:Tag>
    <b:URL>https://www.anatel.gov.br/seipesquisa</b:URL>
    <b:Author>
      <b:Author>
        <b:Corporate>Anatel</b:Corporate>
      </b:Author>
      <b:Editor>
        <b:NameList>
          <b:Person>
            <b:Last>de Telecomunicações</b:Last>
            <b:Middle>Nacional</b:Middle>
            <b:First>Agência</b:First>
          </b:Person>
        </b:NameList>
      </b:Editor>
    </b:Author>
    <b:PublicationTitle>Relatório Anual de Diagnóstico das Relações de Consumo 2021 (SEI nº 7025781)</b:PublicationTitle>
    <b:Guid>{CB09A3F1-23B7-4437-B691-60707B2F873A}</b:Guid>
    <b:RefOrder>51</b:RefOrder>
  </b:Source>
  <b:Source>
    <b:Year>2007</b:Year>
    <b:BIBTEX_Entry>misc</b:BIBTEX_Entry>
    <b:SourceType>Misc</b:SourceType>
    <b:Title>Edital nº 002/2007/SPV-Anatel</b:Title>
    <b:Tag>anatel2007edital</b:Tag>
    <b:URL>https://www.anatel.gov.br/Portal/exibirPortalRedireciona.do?codigoDocumento=244968</b:URL>
    <b:Author>
      <b:Author>
        <b:Corporate>Anatel</b:Corporate>
      </b:Author>
      <b:Editor>
        <b:NameList>
          <b:Person>
            <b:Last>de Telecomunicações</b:Last>
            <b:Middle>Nacional</b:Middle>
            <b:First>Agência</b:First>
          </b:Person>
        </b:NameList>
      </b:Editor>
    </b:Author>
    <b:PublicationTitle>Edital nº 002/2007/SPV-Anatel</b:PublicationTitle>
    <b:Guid>{78D12A72-809D-4AD1-B511-71A274B0403F}</b:Guid>
    <b:RefOrder>53</b:RefOrder>
  </b:Source>
  <b:Source>
    <b:Year>2010</b:Year>
    <b:BIBTEX_Entry>misc</b:BIBTEX_Entry>
    <b:SourceType>Misc</b:SourceType>
    <b:Title>Edital nº 002/2010/PVCP/SPV-Anatel</b:Title>
    <b:Tag>anatel2010edital</b:Tag>
    <b:URL>https://www.anatel.gov.br/Portal/exibirPortalRedireciona.do?codigoDocumento=254426</b:URL>
    <b:Author>
      <b:Author>
        <b:Corporate>Anatel</b:Corporate>
      </b:Author>
      <b:Editor>
        <b:NameList>
          <b:Person>
            <b:Last>de Telecomunicações</b:Last>
            <b:Middle>Nacional</b:Middle>
            <b:First>Agência</b:First>
          </b:Person>
        </b:NameList>
      </b:Editor>
    </b:Author>
    <b:PublicationTitle>Edital nº 002/2010/PVCP/SPV-Anatel</b:PublicationTitle>
    <b:Guid>{7971DA4C-01B9-48DE-8463-4C26038A9BEA}</b:Guid>
    <b:RefOrder>54</b:RefOrder>
  </b:Source>
  <b:Source>
    <b:Year>2012</b:Year>
    <b:BIBTEX_Entry>misc</b:BIBTEX_Entry>
    <b:SourceType>Misc</b:SourceType>
    <b:Title>Edital nº 004/2012/PVCP/SPV-Anatel</b:Title>
    <b:Tag>anatel2012edital</b:Tag>
    <b:URL>https://www.anatel.gov.br/Portal/exibirPortalRedireciona.do?codigoDocumento=287996</b:URL>
    <b:Author>
      <b:Author>
        <b:Corporate>Anatel</b:Corporate>
      </b:Author>
      <b:Editor>
        <b:NameList>
          <b:Person>
            <b:Last>de Telecomunicações</b:Last>
            <b:Middle>Nacional</b:Middle>
            <b:First>Agência</b:First>
          </b:Person>
        </b:NameList>
      </b:Editor>
    </b:Author>
    <b:PublicationTitle>Edital nº 004/2012/PVCP/SPV-Anatel</b:PublicationTitle>
    <b:Guid>{CBA48458-903D-4116-A942-0AC054426D45}</b:Guid>
    <b:RefOrder>55</b:RefOrder>
  </b:Source>
  <b:Source>
    <b:Year>2021</b:Year>
    <b:BIBTEX_Entry>misc</b:BIBTEX_Entry>
    <b:SourceType>Misc</b:SourceType>
    <b:Title>Edital 1/2021-SOR/SPR/CD-ANATEL (SEI nº 7452039)</b:Title>
    <b:Tag>anatel2021edital</b:Tag>
    <b:URL>https://www.anatel.gov.br/seipesquisa</b:URL>
    <b:Author>
      <b:Author>
        <b:Corporate>Anatel</b:Corporate>
      </b:Author>
      <b:Editor>
        <b:NameList>
          <b:Person>
            <b:Last>de Telecomunicações</b:Last>
            <b:Middle>Nacional</b:Middle>
            <b:First>Agência</b:First>
          </b:Person>
        </b:NameList>
      </b:Editor>
    </b:Author>
    <b:PublicationTitle>Edital 1/2021-SOR/SPR/CD-ANATEL (SEI nº 7452039)</b:PublicationTitle>
    <b:Guid>{8827F545-6B53-4EE3-A7DC-65CDEA221E77}</b:Guid>
    <b:RefOrder>56</b:RefOrder>
  </b:Source>
  <b:Source>
    <b:Year>2020</b:Year>
    <b:BIBTEX_Entry>misc</b:BIBTEX_Entry>
    <b:SourceType>Misc</b:SourceType>
    <b:Title>Regiões de Influência das Cidades 2018 - REGIC 2018</b:Title>
    <b:Tag>ibge2020influencia</b:Tag>
    <b:URL>https://www.ibge.gov.br/geociencias/cartas-e-mapas/redes-geograficas/15798-regioes-de-influencia-das-cidades.html</b:URL>
    <b:Author>
      <b:Author>
        <b:Corporate>IBGE</b:Corporate>
      </b:Author>
      <b:Editor>
        <b:NameList>
          <b:Person>
            <b:Last>de Geografia e Estatística</b:Last>
            <b:Middle>Brasileiro</b:Middle>
            <b:First>Instituto</b:First>
          </b:Person>
        </b:NameList>
      </b:Editor>
    </b:Author>
    <b:PublicationTitle>Regiões de Influência das Cidades 2018 - REGIC 2018</b:PublicationTitle>
    <b:Guid>{8F83D4B3-028B-4C96-8DA0-4B21DC6080CD}</b:Guid>
    <b:RefOrder>57</b:RefOrder>
  </b:Source>
  <b:Source>
    <b:Year>2016</b:Year>
    <b:BIBTEX_Entry>misc</b:BIBTEX_Entry>
    <b:SourceType>Misc</b:SourceType>
    <b:Title>United Nations guidelines for consumer protection</b:Title>
    <b:Tag>united2016united</b:Tag>
    <b:Publisher>United Nations</b:Publisher>
    <b:Author>
      <b:Author>
        <b:Corporate>UN</b:Corporate>
      </b:Author>
    </b:Author>
    <b:PublicationTitle>United Nations guidelines for consumer protection</b:PublicationTitle>
    <b:Guid>{F90BACAF-F46C-49CA-81C6-7D66B9DE6761}</b:Guid>
    <b:Pages>11</b:Pages>
    <b:RefOrder>22</b:RefOrder>
  </b:Source>
  <b:Source>
    <b:Year>2020</b:Year>
    <b:BIBTEX_Entry>misc</b:BIBTEX_Entry>
    <b:SourceType>Misc</b:SourceType>
    <b:Title>Special Report 22/2020: Future of EU agencies – Potential for more flexibility and cooperation</b:Title>
    <b:Tag>eca2020future</b:Tag>
    <b:Publisher>Publications Office of the European Union</b:Publisher>
    <b:URL>https://www.eca.europa.eu/en/Pages/DocItem.aspx?did=54740</b:URL>
    <b:Author>
      <b:Author>
        <b:Corporate>EU</b:Corporate>
      </b:Author>
    </b:Author>
    <b:PublicationTitle>Special Report 22/2020: Future of EU agencies – Potential for more flexibility and cooperation</b:PublicationTitle>
    <b:Guid>{C206AD6E-564A-40BA-AB44-38AC85E6B3A7}</b:Guid>
    <b:LCID>en-US</b:LCID>
    <b:RefOrder>2</b:RefOrder>
  </b:Source>
  <b:Source>
    <b:Year>2021</b:Year>
    <b:BIBTEX_Entry>misc</b:BIBTEX_Entry>
    <b:SourceType>Misc</b:SourceType>
    <b:Title>Analytical Perspectives, Budget of the United States Government, Fiscal Year 2022</b:Title>
    <b:Tag>usa2022budget</b:Tag>
    <b:Publisher>U.S. Government Publishing Office</b:Publisher>
    <b:URL>https://www.govinfo.gov/app/details/BUDGET-2022-PER/BUDGET-2022-PER-8-6</b:URL>
    <b:Author>
      <b:Author>
        <b:Corporate>US</b:Corporate>
      </b:Author>
    </b:Author>
    <b:PublicationTitle>Analytical Perspectives, Budget of the United States Government, Fiscal Year 2022</b:PublicationTitle>
    <b:Guid>{96F916D7-5FB2-4CC3-9FAA-FE1E57E5F067}</b:Guid>
    <b:RefOrder>3</b:RefOrder>
  </b:Source>
  <b:Source>
    <b:Year>2007</b:Year>
    <b:BIBTEX_Entry>misc</b:BIBTEX_Entry>
    <b:SourceType>Misc</b:SourceType>
    <b:Title>An analysis of the issue of consumer detriment and the most appropriate methodologies to estimate it</b:Title>
    <b:Tag>economics2007analysis</b:Tag>
    <b:Publisher>DG SANCO</b:Publisher>
    <b:URL>http://www.europe-economics.com/attachment.php?id_attachment=1278&amp;controller=attachment</b:URL>
    <b:Author>
      <b:Author>
        <b:Corporate>EEA</b:Corporate>
      </b:Author>
    </b:Author>
    <b:PublicationTitle>An analysis of the issue of consumer detriment and the most appropriate methodologies to estimate it</b:PublicationTitle>
    <b:Guid>{2DC3DDD1-2F7A-4D65-B211-AA8BA29EE584}</b:Guid>
    <b:RefOrder>32</b:RefOrder>
  </b:Source>
</b:Sources>
</file>

<file path=customXml/itemProps1.xml><?xml version="1.0" encoding="utf-8"?>
<ds:datastoreItem xmlns:ds="http://schemas.openxmlformats.org/officeDocument/2006/customXml" ds:itemID="{9540F0F0-46BC-4EA4-A6D7-205C2BDEC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Pages>
  <Words>1788</Words>
  <Characters>10195</Characters>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2022-10-03T22:01:00Z</cp:lastPrinted>
  <dcterms:created xsi:type="dcterms:W3CDTF">2022-10-18T22:34:00Z</dcterms:created>
  <dcterms:modified xsi:type="dcterms:W3CDTF">2022-11-08T12:58:00Z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EquationNumber2">
    <vt:lpwstr>(#E1)</vt:lpwstr>
  </property>
  <property fmtid="{D5CDD505-2E9C-101B-9397-08002B2CF9AE}" pid="7" name="MTEquationSection">
    <vt:lpwstr>1</vt:lpwstr>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GrammarlyDocumentId">
    <vt:lpwstr>7560726cf3766739bf60908508ff6b3254a4294fc39afde220452e88ad98c0ff</vt:lpwstr>
  </property>
</Properties>
</file>