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9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Codificação de Intermediários Regulatórios na Legislação da UE sobre Transição Verde</w:t>
      </w:r>
    </w:p>
    <w:p>
      <w:pPr>
        <w:pStyle w:val="Subtitle"/>
      </w:pPr>
      <w:r>
        <w:t xml:space="preserve">Relatório final de apresentação do exercício de codificação</w:t>
      </w:r>
    </w:p>
    <w:p>
      <w:pPr>
        <w:pStyle w:val="Author"/>
      </w:pPr>
      <w:r>
        <w:t xml:space="preserve">Igor Caires Machado — Postdoctoral Researcher, ENAP · ORCID 0009-0008-9547-5223</w:t>
      </w:r>
    </w:p>
    <w:p>
      <w:pPr>
        <w:pStyle w:val="Date"/>
      </w:pPr>
      <w:r>
        <w:t xml:space="preserve">Invalid Date</w:t>
      </w:r>
    </w:p>
    <w:bookmarkStart w:id="9" w:name="sumário-executivo"/>
    <w:p>
      <w:pPr>
        <w:pStyle w:val="Heading2"/>
      </w:pPr>
      <w:r>
        <w:t xml:space="preserve">1 Sumário executivo</w:t>
      </w:r>
    </w:p>
    <w:p>
      <w:pPr>
        <w:pStyle w:val="FirstParagraph"/>
      </w:pPr>
      <w:r>
        <w:t xml:space="preserve">Este relatório documenta, de forma completa e autoexplicativa, o exercício de</w:t>
      </w:r>
      <w:r>
        <w:t xml:space="preserve"> </w:t>
      </w:r>
      <w:r>
        <w:t xml:space="preserve">codificação de intermediários regulatórios realizado em resposta à chamada</w:t>
      </w:r>
      <w:r>
        <w:t xml:space="preserve"> </w:t>
      </w:r>
      <w:r>
        <w:t xml:space="preserve">do Prof. David Levi-Faur por um Research Assistant/Partner no projeto</w:t>
      </w:r>
      <w:r>
        <w:t xml:space="preserve"> </w:t>
      </w:r>
      <w:r>
        <w:t xml:space="preserve">“Governance by and of Intermediaries”</w:t>
      </w:r>
      <w:r>
        <w:t xml:space="preserve">. Cobre: o problema teórico que motivou</w:t>
      </w:r>
      <w:r>
        <w:t xml:space="preserve"> </w:t>
      </w:r>
      <w:r>
        <w:t xml:space="preserve">o exercício; o quadro conceitual adotado; a arquitetura operacional de três</w:t>
      </w:r>
      <w:r>
        <w:t xml:space="preserve"> </w:t>
      </w:r>
      <w:r>
        <w:t xml:space="preserve">estágios (triagem lexical → adjudicação relacional → codificação</w:t>
      </w:r>
      <w:r>
        <w:t xml:space="preserve"> </w:t>
      </w:r>
      <w:r>
        <w:t xml:space="preserve">institucional); o passo a passo do que foi efetivamente executado, com</w:t>
      </w:r>
      <w:r>
        <w:t xml:space="preserve"> </w:t>
      </w:r>
      <w:r>
        <w:t xml:space="preserve">números reais; os principais achados metodológicos, incluindo um erro</w:t>
      </w:r>
      <w:r>
        <w:t xml:space="preserve"> </w:t>
      </w:r>
      <w:r>
        <w:t xml:space="preserve">encontrado e corrigido durante o próprio processo; o estado da validação; e</w:t>
      </w:r>
      <w:r>
        <w:t xml:space="preserve"> </w:t>
      </w:r>
      <w:r>
        <w:t xml:space="preserve">o que essa camada de codificação mede — e explicitamente não mede.</w:t>
      </w:r>
    </w:p>
    <w:p>
      <w:pPr>
        <w:pStyle w:val="BodyText"/>
      </w:pPr>
      <w:r>
        <w:t xml:space="preserve">O exercício partiu de 4 atos legislativos da União Europeia, processou</w:t>
      </w:r>
      <w:r>
        <w:t xml:space="preserve"> </w:t>
      </w:r>
      <w:r>
        <w:t xml:space="preserve">1.079 sinais textuais de triagem, adjudicou 10 candidatos a relação</w:t>
      </w:r>
      <w:r>
        <w:t xml:space="preserve"> </w:t>
      </w:r>
      <w:r>
        <w:t xml:space="preserve">regulatória (7 positivos, 2 negativos, 1 condicional) e codificou</w:t>
      </w:r>
      <w:r>
        <w:t xml:space="preserve"> </w:t>
      </w:r>
      <w:r>
        <w:t xml:space="preserve">institucionalmente</w:t>
      </w:r>
      <w:r>
        <w:t xml:space="preserve"> </w:t>
      </w:r>
      <w:r>
        <w:rPr>
          <w:b/>
          <w:bCs/>
        </w:rPr>
        <w:t xml:space="preserve">7 relações regulador–intermediário–alvo (R-I-T)</w:t>
      </w:r>
      <w:r>
        <w:t xml:space="preserve"> </w:t>
      </w:r>
      <w:r>
        <w:t xml:space="preserve">plenamente individualizadas, organizadas em 3 cadeias que demonstram</w:t>
      </w:r>
      <w:r>
        <w:t xml:space="preserve"> </w:t>
      </w:r>
      <w:r>
        <w:t xml:space="preserve">meta-regulação e multiplicidade de papel.</w:t>
      </w:r>
    </w:p>
    <w:bookmarkEnd w:id="9"/>
    <w:bookmarkStart w:id="10" w:name="objetivo-e-escopo-deste-relatório"/>
    <w:p>
      <w:pPr>
        <w:pStyle w:val="Heading2"/>
      </w:pPr>
      <w:r>
        <w:t xml:space="preserve">2 Objetivo e escopo deste relatório</w:t>
      </w:r>
    </w:p>
    <w:p>
      <w:pPr>
        <w:pStyle w:val="FirstParagraph"/>
      </w:pPr>
      <w:r>
        <w:t xml:space="preserve">Este documento não substitui a nota de pesquisa curta preparada para o</w:t>
      </w:r>
      <w:r>
        <w:t xml:space="preserve"> </w:t>
      </w:r>
      <w:r>
        <w:t xml:space="preserve">Prof. David Levi-Faur (</w:t>
      </w:r>
      <w:r>
        <w:rPr>
          <w:rStyle w:val="VerbatimChar"/>
        </w:rPr>
        <w:t xml:space="preserve">RESEARCH_NOTE_v3.docx</w:t>
      </w:r>
      <w:r>
        <w:t xml:space="preserve">) — serve a um propósito</w:t>
      </w:r>
      <w:r>
        <w:t xml:space="preserve"> </w:t>
      </w:r>
      <w:r>
        <w:t xml:space="preserve">diferente: registrar, com profundidade e figuras ilustrativas, exatamente</w:t>
      </w:r>
      <w:r>
        <w:t xml:space="preserve"> </w:t>
      </w:r>
      <w:r>
        <w:t xml:space="preserve">como o exercício foi conduzido, para que qualquer pessoa (incluindo o</w:t>
      </w:r>
      <w:r>
        <w:t xml:space="preserve"> </w:t>
      </w:r>
      <w:r>
        <w:t xml:space="preserve">próprio autor, em uma data futura) consiga reconstruir o raciocínio sem</w:t>
      </w:r>
      <w:r>
        <w:t xml:space="preserve"> </w:t>
      </w:r>
      <w:r>
        <w:t xml:space="preserve">depender de contexto externo. Cobre as três versões do exercício (v1, v2,</w:t>
      </w:r>
      <w:r>
        <w:t xml:space="preserve"> </w:t>
      </w:r>
      <w:r>
        <w:t xml:space="preserve">v3), mas concentra-se na arquitetura v3, atualmente em uso.</w:t>
      </w:r>
    </w:p>
    <w:bookmarkEnd w:id="10"/>
    <w:bookmarkStart w:id="11" w:name="o-problema-teórico"/>
    <w:p>
      <w:pPr>
        <w:pStyle w:val="Heading2"/>
      </w:pPr>
      <w:r>
        <w:t xml:space="preserve">3 O problema teórico</w:t>
      </w:r>
    </w:p>
    <w:p>
      <w:pPr>
        <w:pStyle w:val="FirstParagraph"/>
      </w:pPr>
      <w:r>
        <w:t xml:space="preserve">A proposta de pesquisa do Prof. Levi-Faur (</w:t>
      </w:r>
      <w:r>
        <w:t xml:space="preserve">“Can Intermediaries Save Liberal</w:t>
      </w:r>
      <w:r>
        <w:t xml:space="preserve"> </w:t>
      </w:r>
      <w:r>
        <w:t xml:space="preserve">Governance? Toward Effective and Legitimate Regulatory Intermediation”</w:t>
      </w:r>
      <w:r>
        <w:t xml:space="preserve">)</w:t>
      </w:r>
      <w:r>
        <w:t xml:space="preserve"> </w:t>
      </w:r>
      <w:r>
        <w:t xml:space="preserve">parte da premissa de que a agenda de reforma democrática deve se voltar para</w:t>
      </w:r>
      <w:r>
        <w:t xml:space="preserve"> </w:t>
      </w:r>
      <w:r>
        <w:t xml:space="preserve">os</w:t>
      </w:r>
      <w:r>
        <w:t xml:space="preserve"> </w:t>
      </w:r>
      <w:r>
        <w:rPr>
          <w:b/>
          <w:bCs/>
        </w:rPr>
        <w:t xml:space="preserve">intermediários regulatórios</w:t>
      </w:r>
      <w:r>
        <w:t xml:space="preserve"> </w:t>
      </w:r>
      <w:r>
        <w:t xml:space="preserve">— os corretores de regras entre</w:t>
      </w:r>
      <w:r>
        <w:t xml:space="preserve"> </w:t>
      </w:r>
      <w:r>
        <w:t xml:space="preserve">reguladores (rule-makers) e regulados (rule-takers). A literatura de</w:t>
      </w:r>
      <w:r>
        <w:t xml:space="preserve"> </w:t>
      </w:r>
      <w:r>
        <w:t xml:space="preserve">regulação ainda trata essa relação como bipartite, deixando de teorizar</w:t>
      </w:r>
      <w:r>
        <w:t xml:space="preserve"> </w:t>
      </w:r>
      <w:r>
        <w:t xml:space="preserve">quem certifica, audita, classifica e reporta. A proposta organiza a</w:t>
      </w:r>
      <w:r>
        <w:t xml:space="preserve"> </w:t>
      </w:r>
      <w:r>
        <w:t xml:space="preserve">intermediação regulatória como uma arquitetura de</w:t>
      </w:r>
      <w:r>
        <w:t xml:space="preserve"> </w:t>
      </w:r>
      <w:r>
        <w:rPr>
          <w:b/>
          <w:bCs/>
        </w:rPr>
        <w:t xml:space="preserve">atores + mecanismos +</w:t>
      </w:r>
      <w:r>
        <w:rPr>
          <w:b/>
          <w:bCs/>
        </w:rPr>
        <w:t xml:space="preserve"> </w:t>
      </w:r>
      <w:r>
        <w:rPr>
          <w:b/>
          <w:bCs/>
        </w:rPr>
        <w:t xml:space="preserve">estratégias</w:t>
      </w:r>
      <w:r>
        <w:t xml:space="preserve">, com quatro mecanismos primários —</w:t>
      </w:r>
      <w:r>
        <w:t xml:space="preserve"> </w:t>
      </w:r>
      <w:r>
        <w:rPr>
          <w:b/>
          <w:bCs/>
        </w:rPr>
        <w:t xml:space="preserve">reporting</w:t>
      </w:r>
      <w:r>
        <w:t xml:space="preserve"> </w:t>
      </w:r>
      <w:r>
        <w:t xml:space="preserve">(liderado</w:t>
      </w:r>
      <w:r>
        <w:t xml:space="preserve"> </w:t>
      </w:r>
      <w:r>
        <w:t xml:space="preserve">pelo Estado),</w:t>
      </w:r>
      <w:r>
        <w:t xml:space="preserve"> </w:t>
      </w:r>
      <w:r>
        <w:rPr>
          <w:b/>
          <w:bCs/>
        </w:rPr>
        <w:t xml:space="preserve">certification</w:t>
      </w:r>
      <w:r>
        <w:t xml:space="preserve"> </w:t>
      </w:r>
      <w:r>
        <w:t xml:space="preserve">(liderado por ONGs),</w:t>
      </w:r>
      <w:r>
        <w:t xml:space="preserve"> </w:t>
      </w:r>
      <w:r>
        <w:rPr>
          <w:b/>
          <w:bCs/>
        </w:rPr>
        <w:t xml:space="preserve">ranking/rating</w:t>
      </w:r>
      <w:r>
        <w:t xml:space="preserve"> </w:t>
      </w:r>
      <w:r>
        <w:t xml:space="preserve">(liderado por empresas) e</w:t>
      </w:r>
      <w:r>
        <w:t xml:space="preserve"> </w:t>
      </w:r>
      <w:r>
        <w:rPr>
          <w:b/>
          <w:bCs/>
        </w:rPr>
        <w:t xml:space="preserve">auditing</w:t>
      </w:r>
      <w:r>
        <w:t xml:space="preserve"> </w:t>
      </w:r>
      <w:r>
        <w:t xml:space="preserve">(liderado pela profissão) — e um</w:t>
      </w:r>
      <w:r>
        <w:t xml:space="preserve"> </w:t>
      </w:r>
      <w:r>
        <w:t xml:space="preserve">conjunto de atributos institucionais dos intermediários (papel formal,</w:t>
      </w:r>
      <w:r>
        <w:t xml:space="preserve"> </w:t>
      </w:r>
      <w:r>
        <w:t xml:space="preserve">voluntarismo, nível, esfera, motivação, modo de operação, centralidade,</w:t>
      </w:r>
      <w:r>
        <w:t xml:space="preserve"> </w:t>
      </w:r>
      <w:r>
        <w:t xml:space="preserve">grau de separação).</w:t>
      </w:r>
    </w:p>
    <w:p>
      <w:pPr>
        <w:pStyle w:val="BodyText"/>
      </w:pPr>
      <w:r>
        <w:t xml:space="preserve">A chamada específica a que este exercício responde pede a codificação</w:t>
      </w:r>
      <w:r>
        <w:t xml:space="preserve"> </w:t>
      </w:r>
      <w:r>
        <w:t xml:space="preserve">desses intermediários na legislação da União Europeia sobre transição</w:t>
      </w:r>
      <w:r>
        <w:t xml:space="preserve"> </w:t>
      </w:r>
      <w:r>
        <w:t xml:space="preserve">verde. O desafio metodológico central — descoberto e corrigido ao longo de</w:t>
      </w:r>
      <w:r>
        <w:t xml:space="preserve"> </w:t>
      </w:r>
      <w:r>
        <w:t xml:space="preserve">três rodadas deste exercício — é que</w:t>
      </w:r>
      <w:r>
        <w:t xml:space="preserve"> </w:t>
      </w:r>
      <w:r>
        <w:rPr>
          <w:b/>
          <w:bCs/>
        </w:rPr>
        <w:t xml:space="preserve">triagem lexical de mecanismos não é</w:t>
      </w:r>
      <w:r>
        <w:rPr>
          <w:b/>
          <w:bCs/>
        </w:rPr>
        <w:t xml:space="preserve"> </w:t>
      </w:r>
      <w:r>
        <w:rPr>
          <w:b/>
          <w:bCs/>
        </w:rPr>
        <w:t xml:space="preserve">o mesmo que codificação de intermediários</w:t>
      </w:r>
      <w:r>
        <w:t xml:space="preserve">: um parágrafo pode conter a</w:t>
      </w:r>
      <w:r>
        <w:t xml:space="preserve"> </w:t>
      </w:r>
      <w:r>
        <w:t xml:space="preserve">palavra</w:t>
      </w:r>
      <w:r>
        <w:t xml:space="preserve"> </w:t>
      </w:r>
      <w:r>
        <w:t xml:space="preserve">“auditor”</w:t>
      </w:r>
      <w:r>
        <w:t xml:space="preserve"> </w:t>
      </w:r>
      <w:r>
        <w:t xml:space="preserve">sem que exista, ali, uma relação regulatória</w:t>
      </w:r>
      <w:r>
        <w:t xml:space="preserve"> </w:t>
      </w:r>
      <w:r>
        <w:t xml:space="preserve">identificável entre um regulador, um intermediário e um alvo.</w:t>
      </w:r>
    </w:p>
    <w:bookmarkEnd w:id="11"/>
    <w:bookmarkStart w:id="15" w:name="quadro-conceitual"/>
    <w:p>
      <w:pPr>
        <w:pStyle w:val="Heading2"/>
      </w:pPr>
      <w:r>
        <w:t xml:space="preserve">4 Quadro conceitual</w:t>
      </w:r>
    </w:p>
    <w:p>
      <w:pPr>
        <w:pStyle w:val="FirstParagraph"/>
      </w:pPr>
      <w:r>
        <w:t xml:space="preserve">O exercício adota explicitamente a arquitetura abaixo, evitando dois erros</w:t>
      </w:r>
      <w:r>
        <w:t xml:space="preserve"> </w:t>
      </w:r>
      <w:r>
        <w:t xml:space="preserve">simétricos: tratar como já medido algo que a teoria apenas prevê para</w:t>
      </w:r>
      <w:r>
        <w:t xml:space="preserve"> </w:t>
      </w:r>
      <w:r>
        <w:t xml:space="preserve">análise futura (efetividade, legitimidade, confiança, polycentricity), e</w:t>
      </w:r>
      <w:r>
        <w:t xml:space="preserve"> </w:t>
      </w:r>
      <w:r>
        <w:t xml:space="preserve">tratar como intermediário qualquer ator mencionado perto de linguagem de</w:t>
      </w:r>
      <w:r>
        <w:t xml:space="preserve"> </w:t>
      </w:r>
      <w:r>
        <w:t xml:space="preserve">regulação.</w:t>
      </w:r>
    </w:p>
    <w:p>
      <w:pPr>
        <w:pStyle w:val="CaptionedFigure"/>
      </w:pPr>
      <w:r>
        <w:drawing>
          <wp:inline>
            <wp:extent cx="4533900" cy="6084003"/>
            <wp:effectExtent b="0" l="0" r="0" t="0"/>
            <wp:docPr descr="Quadro conceitual: do contexto regulatório à análise futura" title="" id="13" name="Picture"/>
            <a:graphic>
              <a:graphicData uri="http://schemas.openxmlformats.org/drawingml/2006/picture">
                <pic:pic>
                  <pic:nvPicPr>
                    <pic:cNvPr descr="figures/fig1_conceptual_framework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60840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Quadro conceitual: do contexto regulatório à análise futura</w:t>
      </w:r>
    </w:p>
    <w:p>
      <w:pPr>
        <w:pStyle w:val="BodyText"/>
      </w:pPr>
      <w:r>
        <w:t xml:space="preserve">As camadas em azul-escuro são efetivamente codificadas neste exercício</w:t>
      </w:r>
      <w:r>
        <w:t xml:space="preserve"> </w:t>
      </w:r>
      <w:r>
        <w:t xml:space="preserve">(Estágio C); as em azul-claro são parcialmente codificadas (ver</w:t>
      </w:r>
      <w:r>
        <w:t xml:space="preserve"> </w:t>
      </w:r>
      <w:r>
        <w:rPr>
          <w:rStyle w:val="VerbatimChar"/>
        </w:rPr>
        <w:t xml:space="preserve">DATA_DICTIONARY_v3.md</w:t>
      </w:r>
      <w:r>
        <w:t xml:space="preserve"> </w:t>
      </w:r>
      <w:r>
        <w:t xml:space="preserve">para o que está e o que não está preenchido); as</w:t>
      </w:r>
      <w:r>
        <w:t xml:space="preserve"> </w:t>
      </w:r>
      <w:r>
        <w:t xml:space="preserve">camadas tracejadas abaixo da linha pontilhada são explicitamente</w:t>
      </w:r>
      <w:r>
        <w:t xml:space="preserve"> </w:t>
      </w:r>
      <w:r>
        <w:rPr>
          <w:b/>
          <w:bCs/>
        </w:rPr>
        <w:t xml:space="preserve">fora do</w:t>
      </w:r>
      <w:r>
        <w:rPr>
          <w:b/>
          <w:bCs/>
        </w:rPr>
        <w:t xml:space="preserve"> </w:t>
      </w:r>
      <w:r>
        <w:rPr>
          <w:b/>
          <w:bCs/>
        </w:rPr>
        <w:t xml:space="preserve">escopo</w:t>
      </w:r>
      <w:r>
        <w:t xml:space="preserve"> </w:t>
      </w:r>
      <w:r>
        <w:t xml:space="preserve">desta camada de codificação — não são medidas, nem aproximadas, a</w:t>
      </w:r>
      <w:r>
        <w:t xml:space="preserve"> </w:t>
      </w:r>
      <w:r>
        <w:t xml:space="preserve">partir do texto legal.</w:t>
      </w:r>
    </w:p>
    <w:bookmarkEnd w:id="15"/>
    <w:bookmarkStart w:id="22" w:name="Xebe03fd16cd23bd6abaa55b0f7889947b271c39"/>
    <w:p>
      <w:pPr>
        <w:pStyle w:val="Heading2"/>
      </w:pPr>
      <w:r>
        <w:t xml:space="preserve">5 Arquitetura operacional: pipeline de três estágios</w:t>
      </w:r>
    </w:p>
    <w:p>
      <w:pPr>
        <w:pStyle w:val="FirstParagraph"/>
      </w:pPr>
      <w:r>
        <w:t xml:space="preserve">O pipeline responde a três perguntas distintas, em três unidades de</w:t>
      </w:r>
      <w:r>
        <w:t xml:space="preserve"> </w:t>
      </w:r>
      <w:r>
        <w:t xml:space="preserve">análise distintas, com três datasets fisicamente separados — a separação</w:t>
      </w:r>
      <w:r>
        <w:t xml:space="preserve"> </w:t>
      </w:r>
      <w:r>
        <w:t xml:space="preserve">física existe precisamente para impedir que o resultado de um estágio seja</w:t>
      </w:r>
      <w:r>
        <w:t xml:space="preserve"> </w:t>
      </w:r>
      <w:r>
        <w:t xml:space="preserve">lido como se fosse o resultado de outro.</w:t>
      </w:r>
    </w:p>
    <w:p>
      <w:pPr>
        <w:pStyle w:val="CaptionedFigure"/>
      </w:pPr>
      <w:r>
        <w:drawing>
          <wp:inline>
            <wp:extent cx="5067300" cy="2369701"/>
            <wp:effectExtent b="0" l="0" r="0" t="0"/>
            <wp:docPr descr="Pipeline de três estágios: a triagem não substitui a codificação substantiva" title="" id="17" name="Picture"/>
            <a:graphic>
              <a:graphicData uri="http://schemas.openxmlformats.org/drawingml/2006/picture">
                <pic:pic>
                  <pic:nvPicPr>
                    <pic:cNvPr descr="figures/fig2_three_stage_pipeline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369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Pipeline de três estágios: a triagem não substitui a codificação substantiva</w:t>
      </w:r>
    </w:p>
    <w:bookmarkStart w:id="19" w:name="estágio-a-detecção-de-candidatos"/>
    <w:p>
      <w:pPr>
        <w:pStyle w:val="Heading3"/>
      </w:pPr>
      <w:r>
        <w:t xml:space="preserve">5.1 Estágio A — Detecção de candidatos</w:t>
      </w:r>
    </w:p>
    <w:p>
      <w:pPr>
        <w:pStyle w:val="FirstParagraph"/>
      </w:pPr>
      <w:r>
        <w:t xml:space="preserve">Pergunta:</w:t>
      </w:r>
      <w:r>
        <w:t xml:space="preserve"> </w:t>
      </w:r>
      <w:r>
        <w:rPr>
          <w:i/>
          <w:iCs/>
        </w:rPr>
        <w:t xml:space="preserve">este dispositivo contém evidência textual potencialmente</w:t>
      </w:r>
      <w:r>
        <w:rPr>
          <w:i/>
          <w:iCs/>
        </w:rPr>
        <w:t xml:space="preserve"> </w:t>
      </w:r>
      <w:r>
        <w:rPr>
          <w:i/>
          <w:iCs/>
        </w:rPr>
        <w:t xml:space="preserve">associada à intermediação regulatória?</w:t>
      </w:r>
      <w:r>
        <w:t xml:space="preserve"> </w:t>
      </w:r>
      <w:r>
        <w:t xml:space="preserve">Unidade: dispositivo × sinal</w:t>
      </w:r>
      <w:r>
        <w:t xml:space="preserve"> </w:t>
      </w:r>
      <w:r>
        <w:t xml:space="preserve">lexical. Este estágio não determina se existe um intermediário — apenas</w:t>
      </w:r>
      <w:r>
        <w:t xml:space="preserve"> </w:t>
      </w:r>
      <w:r>
        <w:t xml:space="preserve">localiza onde vale a pena olhar com atenção. Cada padrão de busca (regex)</w:t>
      </w:r>
      <w:r>
        <w:t xml:space="preserve"> </w:t>
      </w:r>
      <w:r>
        <w:t xml:space="preserve">carrega uma etiqueta de</w:t>
      </w:r>
      <w:r>
        <w:t xml:space="preserve"> </w:t>
      </w:r>
      <w:r>
        <w:rPr>
          <w:rStyle w:val="VerbatimChar"/>
        </w:rPr>
        <w:t xml:space="preserve">semantic_role</w:t>
      </w:r>
      <w:r>
        <w:t xml:space="preserve"> </w:t>
      </w:r>
      <w:r>
        <w:t xml:space="preserve">(ator, mecanismo ou instrumento):</w:t>
      </w:r>
      <w:r>
        <w:t xml:space="preserve"> </w:t>
      </w:r>
      <w:r>
        <w:t xml:space="preserve">só padrões do tipo</w:t>
      </w:r>
      <w:r>
        <w:t xml:space="preserve"> </w:t>
      </w:r>
      <w:r>
        <w:rPr>
          <w:b/>
          <w:bCs/>
        </w:rPr>
        <w:t xml:space="preserve">ator</w:t>
      </w:r>
      <w:r>
        <w:t xml:space="preserve"> </w:t>
      </w:r>
      <w:r>
        <w:t xml:space="preserve">apontam diretamente para um candidato do</w:t>
      </w:r>
      <w:r>
        <w:t xml:space="preserve"> </w:t>
      </w:r>
      <w:r>
        <w:t xml:space="preserve">Estágio B.</w:t>
      </w:r>
    </w:p>
    <w:bookmarkEnd w:id="19"/>
    <w:bookmarkStart w:id="20" w:name="estágio-b-adjudicação-relacional"/>
    <w:p>
      <w:pPr>
        <w:pStyle w:val="Heading3"/>
      </w:pPr>
      <w:r>
        <w:t xml:space="preserve">5.2 Estágio B — Adjudicação relacional</w:t>
      </w:r>
    </w:p>
    <w:p>
      <w:pPr>
        <w:pStyle w:val="FirstParagraph"/>
      </w:pPr>
      <w:r>
        <w:t xml:space="preserve">Pergunta:</w:t>
      </w:r>
      <w:r>
        <w:t xml:space="preserve"> </w:t>
      </w:r>
      <w:r>
        <w:rPr>
          <w:i/>
          <w:iCs/>
        </w:rPr>
        <w:t xml:space="preserve">a evidência do candidato sustenta uma relação regulatória</w:t>
      </w:r>
      <w:r>
        <w:rPr>
          <w:i/>
          <w:iCs/>
        </w:rPr>
        <w:t xml:space="preserve"> </w:t>
      </w:r>
      <w:r>
        <w:rPr>
          <w:i/>
          <w:iCs/>
        </w:rPr>
        <w:t xml:space="preserve">distinta, envolvendo um regulador, um intermediário e um alvo?</w:t>
      </w:r>
      <w:r>
        <w:t xml:space="preserve"> </w:t>
      </w:r>
      <w:r>
        <w:t xml:space="preserve">Unidade:</w:t>
      </w:r>
      <w:r>
        <w:t xml:space="preserve"> </w:t>
      </w:r>
      <w:r>
        <w:t xml:space="preserve">candidato. Aplica-se aqui o</w:t>
      </w:r>
      <w:r>
        <w:t xml:space="preserve"> </w:t>
      </w:r>
      <w:r>
        <w:rPr>
          <w:b/>
          <w:bCs/>
        </w:rPr>
        <w:t xml:space="preserve">teste relacional formal</w:t>
      </w:r>
      <w:r>
        <w:t xml:space="preserve">, com cinco</w:t>
      </w:r>
      <w:r>
        <w:t xml:space="preserve"> </w:t>
      </w:r>
      <w:r>
        <w:t xml:space="preserve">condições que precisam ser satisfeitas simultaneamente:</w:t>
      </w:r>
    </w:p>
    <w:p>
      <w:pPr>
        <w:pStyle w:val="Compact"/>
        <w:numPr>
          <w:ilvl w:val="0"/>
          <w:numId w:val="1001"/>
        </w:numPr>
      </w:pPr>
      <w:r>
        <w:t xml:space="preserve">Existe um regulador (R) identificável.</w:t>
      </w:r>
    </w:p>
    <w:p>
      <w:pPr>
        <w:pStyle w:val="Compact"/>
        <w:numPr>
          <w:ilvl w:val="0"/>
          <w:numId w:val="1001"/>
        </w:numPr>
      </w:pPr>
      <w:r>
        <w:t xml:space="preserve">Existe um alvo/regulado (T) identificável.</w:t>
      </w:r>
    </w:p>
    <w:p>
      <w:pPr>
        <w:pStyle w:val="Compact"/>
        <w:numPr>
          <w:ilvl w:val="0"/>
          <w:numId w:val="1001"/>
        </w:numPr>
      </w:pPr>
      <w:r>
        <w:t xml:space="preserve">Existe um terceiro ator, analiticamente distinto de R e de T.</w:t>
      </w:r>
    </w:p>
    <w:p>
      <w:pPr>
        <w:pStyle w:val="Compact"/>
        <w:numPr>
          <w:ilvl w:val="0"/>
          <w:numId w:val="1001"/>
        </w:numPr>
      </w:pPr>
      <w:r>
        <w:t xml:space="preserve">Esse terceiro ator desempenha uma função regulatória que</w:t>
      </w:r>
      <w:r>
        <w:t xml:space="preserve"> </w:t>
      </w:r>
      <w:r>
        <w:rPr>
          <w:b/>
          <w:bCs/>
        </w:rPr>
        <w:t xml:space="preserve">medeia</w:t>
      </w:r>
      <w:r>
        <w:t xml:space="preserve"> </w:t>
      </w:r>
      <w:r>
        <w:t xml:space="preserve">a</w:t>
      </w:r>
      <w:r>
        <w:t xml:space="preserve"> </w:t>
      </w:r>
      <w:r>
        <w:t xml:space="preserve">relação entre R e T (não apenas assessora o regulador, e não apenas</w:t>
      </w:r>
      <w:r>
        <w:t xml:space="preserve"> </w:t>
      </w:r>
      <w:r>
        <w:t xml:space="preserve">recebe a mesma obrigação que o alvo).</w:t>
      </w:r>
    </w:p>
    <w:p>
      <w:pPr>
        <w:pStyle w:val="Compact"/>
        <w:numPr>
          <w:ilvl w:val="0"/>
          <w:numId w:val="1001"/>
        </w:numPr>
      </w:pPr>
      <w:r>
        <w:t xml:space="preserve">A relação pode ser sustentada por texto legal explícito ou por</w:t>
      </w:r>
      <w:r>
        <w:t xml:space="preserve"> </w:t>
      </w:r>
      <w:r>
        <w:t xml:space="preserve">reconstrução institucional claramente documentada.</w:t>
      </w:r>
    </w:p>
    <w:p>
      <w:pPr>
        <w:pStyle w:val="FirstParagraph"/>
      </w:pPr>
      <w:r>
        <w:t xml:space="preserve">O resultado é</w:t>
      </w:r>
      <w:r>
        <w:t xml:space="preserve"> </w:t>
      </w:r>
      <w:r>
        <w:rPr>
          <w:rStyle w:val="VerbatimChar"/>
        </w:rPr>
        <w:t xml:space="preserve">positive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negative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conditional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insufficient_evidence</w:t>
      </w:r>
      <w:r>
        <w:t xml:space="preserve"> </w:t>
      </w:r>
      <w:r>
        <w:t xml:space="preserve">— nunca apenas</w:t>
      </w:r>
      <w:r>
        <w:t xml:space="preserve"> </w:t>
      </w:r>
      <w:r>
        <w:t xml:space="preserve">“sim”</w:t>
      </w:r>
      <w:r>
        <w:t xml:space="preserve"> </w:t>
      </w:r>
      <w:r>
        <w:t xml:space="preserve">ou</w:t>
      </w:r>
      <w:r>
        <w:t xml:space="preserve"> </w:t>
      </w:r>
      <w:r>
        <w:t xml:space="preserve">“não”</w:t>
      </w:r>
      <w:r>
        <w:t xml:space="preserve"> </w:t>
      </w:r>
      <w:r>
        <w:t xml:space="preserve">sem essa distinção</w:t>
      </w:r>
      <w:r>
        <w:t xml:space="preserve"> </w:t>
      </w:r>
      <w:r>
        <w:t xml:space="preserve">intermediária.</w:t>
      </w:r>
    </w:p>
    <w:bookmarkEnd w:id="20"/>
    <w:bookmarkStart w:id="21" w:name="estágio-c-codificação-institucional"/>
    <w:p>
      <w:pPr>
        <w:pStyle w:val="Heading3"/>
      </w:pPr>
      <w:r>
        <w:t xml:space="preserve">5.3 Estágio C — Codificação institucional</w:t>
      </w:r>
    </w:p>
    <w:p>
      <w:pPr>
        <w:pStyle w:val="FirstParagraph"/>
      </w:pPr>
      <w:r>
        <w:t xml:space="preserve">Pergunta:</w:t>
      </w:r>
      <w:r>
        <w:t xml:space="preserve"> </w:t>
      </w:r>
      <w:r>
        <w:rPr>
          <w:i/>
          <w:iCs/>
        </w:rPr>
        <w:t xml:space="preserve">que tipo de intermediação regulatória é esta, e como ela é</w:t>
      </w:r>
      <w:r>
        <w:rPr>
          <w:i/>
          <w:iCs/>
        </w:rPr>
        <w:t xml:space="preserve"> </w:t>
      </w:r>
      <w:r>
        <w:rPr>
          <w:i/>
          <w:iCs/>
        </w:rPr>
        <w:t xml:space="preserve">institucionalmente desenhada?</w:t>
      </w:r>
      <w:r>
        <w:t xml:space="preserve"> </w:t>
      </w:r>
      <w:r>
        <w:t xml:space="preserve">Unidade: relação. Só candidatos</w:t>
      </w:r>
      <w:r>
        <w:t xml:space="preserve"> </w:t>
      </w:r>
      <w:r>
        <w:rPr>
          <w:rStyle w:val="VerbatimChar"/>
        </w:rPr>
        <w:t xml:space="preserve">positive</w:t>
      </w:r>
      <w:r>
        <w:t xml:space="preserve"> </w:t>
      </w:r>
      <w:r>
        <w:t xml:space="preserve">chegam a este estágio. Aqui se registram os atores (via tabela normalizada</w:t>
      </w:r>
      <w:r>
        <w:t xml:space="preserve"> </w:t>
      </w:r>
      <w:r>
        <w:rPr>
          <w:rStyle w:val="VerbatimChar"/>
        </w:rPr>
        <w:t xml:space="preserve">actors_v3.csv</w:t>
      </w:r>
      <w:r>
        <w:t xml:space="preserve">), o mecanismo, e os atributos institucionais que o</w:t>
      </w:r>
      <w:r>
        <w:t xml:space="preserve"> </w:t>
      </w:r>
      <w:r>
        <w:t xml:space="preserve">dispositivo efetivamente sustenta — nunca mais do que o texto permite</w:t>
      </w:r>
      <w:r>
        <w:t xml:space="preserve"> </w:t>
      </w:r>
      <w:r>
        <w:t xml:space="preserve">inferir com responsabilidade.</w:t>
      </w:r>
    </w:p>
    <w:bookmarkEnd w:id="21"/>
    <w:bookmarkEnd w:id="22"/>
    <w:bookmarkStart w:id="33" w:name="X441d51a23f8d4910720e96c7d989ccaebff6228"/>
    <w:p>
      <w:pPr>
        <w:pStyle w:val="Heading2"/>
      </w:pPr>
      <w:r>
        <w:t xml:space="preserve">6 Passo a passo: o que foi efetivamente executado</w:t>
      </w:r>
    </w:p>
    <w:bookmarkStart w:id="23" w:name="passo-1-seleção-e-coleta-dos-atos"/>
    <w:p>
      <w:pPr>
        <w:pStyle w:val="Heading3"/>
      </w:pPr>
      <w:r>
        <w:t xml:space="preserve">6.1 Passo 1 — Seleção e coleta dos atos</w:t>
      </w:r>
    </w:p>
    <w:p>
      <w:pPr>
        <w:pStyle w:val="FirstParagraph"/>
      </w:pPr>
      <w:r>
        <w:t xml:space="preserve">Foram selecionados 4 atos da União Europeia, um por mecanismo-âncora,</w:t>
      </w:r>
      <w:r>
        <w:t xml:space="preserve"> </w:t>
      </w:r>
      <w:r>
        <w:t xml:space="preserve">escolhidos por já serem casos conhecidos de cada mecanismo (amostra de</w:t>
      </w:r>
      <w:r>
        <w:t xml:space="preserve"> </w:t>
      </w:r>
      <w:r>
        <w:t xml:space="preserve">conveniência para calibrar o método, não amostra representativa da</w:t>
      </w:r>
      <w:r>
        <w:t xml:space="preserve"> </w:t>
      </w:r>
      <w:r>
        <w:t xml:space="preserve">legislação de transição verde como um todo):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Ato</w:t>
            </w:r>
          </w:p>
        </w:tc>
        <w:tc>
          <w:tcPr/>
          <w:p>
            <w:pPr>
              <w:pStyle w:val="Compact"/>
            </w:pPr>
            <w:r>
              <w:t xml:space="preserve">CELEX</w:t>
            </w:r>
          </w:p>
        </w:tc>
        <w:tc>
          <w:tcPr/>
          <w:p>
            <w:pPr>
              <w:pStyle w:val="Compact"/>
            </w:pPr>
            <w:r>
              <w:t xml:space="preserve">Mecanismo-âncora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Corporate Sustainability Reporting Directive (CSRD)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32022L2464</w:t>
            </w:r>
          </w:p>
        </w:tc>
        <w:tc>
          <w:tcPr/>
          <w:p>
            <w:pPr>
              <w:pStyle w:val="Compact"/>
            </w:pPr>
            <w:r>
              <w:t xml:space="preserve">reporting + auditing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Regulamento do Rótulo Ecológico da UE (Ecolabel)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32010R0066</w:t>
            </w:r>
          </w:p>
        </w:tc>
        <w:tc>
          <w:tcPr/>
          <w:p>
            <w:pPr>
              <w:pStyle w:val="Compact"/>
            </w:pPr>
            <w:r>
              <w:t xml:space="preserve">certification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Regulamento de Referenciais Climáticos (Climate Benchmarks)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32019R2089</w:t>
            </w:r>
          </w:p>
        </w:tc>
        <w:tc>
          <w:tcPr/>
          <w:p>
            <w:pPr>
              <w:pStyle w:val="Compact"/>
            </w:pPr>
            <w:r>
              <w:t xml:space="preserve">ranking/rating (condicional — ver seção de achados)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Verificação e Acreditação no EU 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32018R2067</w:t>
            </w:r>
          </w:p>
        </w:tc>
        <w:tc>
          <w:tcPr/>
          <w:p>
            <w:pPr>
              <w:pStyle w:val="Compact"/>
            </w:pPr>
            <w:r>
              <w:t xml:space="preserve">auditing (+ certification)</w:t>
            </w:r>
          </w:p>
        </w:tc>
      </w:tr>
    </w:tbl>
    <w:p>
      <w:pPr>
        <w:pStyle w:val="BodyText"/>
      </w:pPr>
      <w:r>
        <w:t xml:space="preserve">O texto integral de cada ato foi coletado da EUR-Lex por número CELEX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scripts/collect.py</w:t>
      </w:r>
      <w:r>
        <w:t xml:space="preserve">), sem necessidade de nova coleta nas rodadas</w:t>
      </w:r>
      <w:r>
        <w:t xml:space="preserve"> </w:t>
      </w:r>
      <w:r>
        <w:t xml:space="preserve">seguintes — o mesmo HTML bruto serviu às três versões do exercício.</w:t>
      </w:r>
    </w:p>
    <w:bookmarkEnd w:id="23"/>
    <w:bookmarkStart w:id="27" w:name="Xf66f4e56f1566eb69adadced9a65f230ac8291c"/>
    <w:p>
      <w:pPr>
        <w:pStyle w:val="Heading3"/>
      </w:pPr>
      <w:r>
        <w:t xml:space="preserve">6.2 Passo 2 — Execução do Estágio A (triagem lexical)</w:t>
      </w:r>
    </w:p>
    <w:p>
      <w:pPr>
        <w:pStyle w:val="FirstParagraph"/>
      </w:pPr>
      <w:r>
        <w:t xml:space="preserve">O script</w:t>
      </w:r>
      <w:r>
        <w:t xml:space="preserve"> </w:t>
      </w:r>
      <w:r>
        <w:rPr>
          <w:rStyle w:val="VerbatimChar"/>
        </w:rPr>
        <w:t xml:space="preserve">scripts/screening_v3.py</w:t>
      </w:r>
      <w:r>
        <w:t xml:space="preserve"> </w:t>
      </w:r>
      <w:r>
        <w:t xml:space="preserve">processou os quatro atos</w:t>
      </w:r>
      <w:r>
        <w:t xml:space="preserve"> </w:t>
      </w:r>
      <w:r>
        <w:t xml:space="preserve">parágrafo a parágrafo, aplicando regras de três camadas por mecanismo: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Âncora</w:t>
      </w:r>
      <w:r>
        <w:t xml:space="preserve"> </w:t>
      </w:r>
      <w:r>
        <w:t xml:space="preserve">— termos/frases específicos o suficiente para confirmar o</w:t>
      </w:r>
      <w:r>
        <w:t xml:space="preserve"> </w:t>
      </w:r>
      <w:r>
        <w:t xml:space="preserve">mecanismo sozinhos (</w:t>
      </w:r>
      <w:r>
        <w:rPr>
          <w:rStyle w:val="VerbatimChar"/>
        </w:rPr>
        <w:t xml:space="preserve">screening_confidence = high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Fraca</w:t>
      </w:r>
      <w:r>
        <w:t xml:space="preserve"> </w:t>
      </w:r>
      <w:r>
        <w:t xml:space="preserve">— termos genéricos que também ocorrem fora do sentido-alvo</w:t>
      </w:r>
      <w:r>
        <w:t xml:space="preserve"> </w:t>
      </w:r>
      <w:r>
        <w:t xml:space="preserve">(</w:t>
      </w:r>
      <w:r>
        <w:rPr>
          <w:rStyle w:val="VerbatimChar"/>
        </w:rPr>
        <w:t xml:space="preserve">screening_confidence = low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Exclusão</w:t>
      </w:r>
      <w:r>
        <w:t xml:space="preserve"> </w:t>
      </w:r>
      <w:r>
        <w:t xml:space="preserve">— padrões de contexto que descartam o match mesmo com</w:t>
      </w:r>
      <w:r>
        <w:t xml:space="preserve"> </w:t>
      </w:r>
      <w:r>
        <w:t xml:space="preserve">âncora/fraca presente (ex.:</w:t>
      </w:r>
      <w:r>
        <w:t xml:space="preserve"> </w:t>
      </w:r>
      <w:r>
        <w:t xml:space="preserve">“Court of Auditors”</w:t>
      </w:r>
      <w:r>
        <w:t xml:space="preserve">, instituição da UE, não</w:t>
      </w:r>
      <w:r>
        <w:t xml:space="preserve"> </w:t>
      </w:r>
      <w:r>
        <w:t xml:space="preserve">um intermediário regulatório no sentido da teoria).</w:t>
      </w:r>
    </w:p>
    <w:p>
      <w:pPr>
        <w:pStyle w:val="FirstParagraph"/>
      </w:pPr>
      <w:r>
        <w:t xml:space="preserve">Resultado:</w:t>
      </w:r>
      <w:r>
        <w:t xml:space="preserve"> </w:t>
      </w:r>
      <w:r>
        <w:rPr>
          <w:b/>
          <w:bCs/>
        </w:rPr>
        <w:t xml:space="preserve">1.079 linhas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screening_hits_v3.csv</w:t>
      </w:r>
      <w:r>
        <w:t xml:space="preserve">, 764 (71%) em alta</w:t>
      </w:r>
      <w:r>
        <w:t xml:space="preserve"> </w:t>
      </w:r>
      <w:r>
        <w:t xml:space="preserve">confiança e 315 (29%) em baixa confiança — nunca lido como</w:t>
      </w:r>
      <w:r>
        <w:t xml:space="preserve"> </w:t>
      </w:r>
      <w:r>
        <w:t xml:space="preserve">“confirmado”</w:t>
      </w:r>
      <w:r>
        <w:t xml:space="preserve">, já</w:t>
      </w:r>
      <w:r>
        <w:t xml:space="preserve"> </w:t>
      </w:r>
      <w:r>
        <w:t xml:space="preserve">que confiança lexical não é o mesmo que confirmação substantiva.</w:t>
      </w:r>
    </w:p>
    <w:p>
      <w:pPr>
        <w:pStyle w:val="CaptionedFigure"/>
      </w:pPr>
      <w:r>
        <w:drawing>
          <wp:inline>
            <wp:extent cx="5067300" cy="4058285"/>
            <wp:effectExtent b="0" l="0" r="0" t="0"/>
            <wp:docPr descr="Resultados do pipeline: hits de triagem, distribuição de papel semântico, mecanismo × papel semântico, e desfechos da adjudicação" title="" id="25" name="Picture"/>
            <a:graphic>
              <a:graphicData uri="http://schemas.openxmlformats.org/drawingml/2006/picture">
                <pic:pic>
                  <pic:nvPicPr>
                    <pic:cNvPr descr="figures/fig4_data_summary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058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Resultados do pipeline: hits de triagem, distribuição de papel semântico, mecanismo × papel semântico, e desfechos da adjudicação</w:t>
      </w:r>
    </w:p>
    <w:p>
      <w:pPr>
        <w:pStyle w:val="BodyText"/>
      </w:pPr>
      <w:r>
        <w:t xml:space="preserve">O painel A mostra que cada ato tem um mecanismo dominante coerente com o</w:t>
      </w:r>
      <w:r>
        <w:t xml:space="preserve"> </w:t>
      </w:r>
      <w:r>
        <w:t xml:space="preserve">motivo da escolha. O painel B mostra que, dos 1.079 sinais, apenas 33% têm</w:t>
      </w:r>
      <w:r>
        <w:t xml:space="preserve"> </w:t>
      </w:r>
      <w:r>
        <w:rPr>
          <w:rStyle w:val="VerbatimChar"/>
        </w:rPr>
        <w:t xml:space="preserve">semantic_role = actor</w:t>
      </w:r>
      <w:r>
        <w:t xml:space="preserve"> </w:t>
      </w:r>
      <w:r>
        <w:t xml:space="preserve">— os únicos que apontam diretamente para um</w:t>
      </w:r>
      <w:r>
        <w:t xml:space="preserve"> </w:t>
      </w:r>
      <w:r>
        <w:t xml:space="preserve">candidato a intermediário; os demais 67% localizam contexto (mecanismo ou</w:t>
      </w:r>
      <w:r>
        <w:t xml:space="preserve"> </w:t>
      </w:r>
      <w:r>
        <w:t xml:space="preserve">instrumento), não um ator. O painel C detalha essa distribuição por</w:t>
      </w:r>
      <w:r>
        <w:t xml:space="preserve"> </w:t>
      </w:r>
      <w:r>
        <w:t xml:space="preserve">mecanismo:</w:t>
      </w:r>
      <w:r>
        <w:t xml:space="preserve"> </w:t>
      </w:r>
      <w:r>
        <w:rPr>
          <w:b/>
          <w:bCs/>
        </w:rPr>
        <w:t xml:space="preserve">“reporting”</w:t>
      </w:r>
      <w:r>
        <w:rPr>
          <w:b/>
          <w:bCs/>
        </w:rPr>
        <w:t xml:space="preserve"> </w:t>
      </w:r>
      <w:r>
        <w:rPr>
          <w:b/>
          <w:bCs/>
        </w:rPr>
        <w:t xml:space="preserve">não tem nenhum padrão-âncora do tipo ator</w:t>
      </w:r>
      <w:r>
        <w:t xml:space="preserve"> </w:t>
      </w:r>
      <w:r>
        <w:t xml:space="preserve">—</w:t>
      </w:r>
      <w:r>
        <w:t xml:space="preserve"> </w:t>
      </w:r>
      <w:r>
        <w:t xml:space="preserve">achado consistente com a descoberta, no Estágio B, de que o dever de</w:t>
      </w:r>
      <w:r>
        <w:t xml:space="preserve"> </w:t>
      </w:r>
      <w:r>
        <w:t xml:space="preserve">reportar sozinho raramente produz um intermediário distinto (ver Passo 3).</w:t>
      </w:r>
    </w:p>
    <w:p>
      <w:pPr>
        <w:pStyle w:val="BodyText"/>
      </w:pPr>
      <w:r>
        <w:t xml:space="preserve">Uma correção técnica desta rodada: dois padrões da versão anterior</w:t>
      </w:r>
      <w:r>
        <w:t xml:space="preserve"> </w:t>
      </w:r>
      <w:r>
        <w:t xml:space="preserve">misturavam mais de uma ontologia sob uma única expressão regular</w:t>
      </w:r>
      <w:r>
        <w:t xml:space="preserve"> </w:t>
      </w:r>
      <w:r>
        <w:t xml:space="preserve">(</w:t>
      </w:r>
      <w:r>
        <w:rPr>
          <w:rStyle w:val="VerbatimChar"/>
        </w:rPr>
        <w:t xml:space="preserve">verification (team|report|body)</w:t>
      </w:r>
      <w:r>
        <w:t xml:space="preserve"> </w:t>
      </w:r>
      <w:r>
        <w:t xml:space="preserve">misturava ator com instrumento;</w:t>
      </w:r>
      <w:r>
        <w:t xml:space="preserve"> </w:t>
      </w:r>
      <w:r>
        <w:rPr>
          <w:rStyle w:val="VerbatimChar"/>
        </w:rPr>
        <w:t xml:space="preserve">assurance (engagement|opinion|provider|services)</w:t>
      </w:r>
      <w:r>
        <w:t xml:space="preserve"> </w:t>
      </w:r>
      <w:r>
        <w:t xml:space="preserve">misturava ator com</w:t>
      </w:r>
      <w:r>
        <w:t xml:space="preserve"> </w:t>
      </w:r>
      <w:r>
        <w:t xml:space="preserve">mecanismo). Foram separados em padrões atômicos — a nova execução produziu</w:t>
      </w:r>
      <w:r>
        <w:t xml:space="preserve"> </w:t>
      </w:r>
      <w:r>
        <w:t xml:space="preserve">exatamente os mesmos 1.079 hits totais, confirmando que a correção mudou a</w:t>
      </w:r>
      <w:r>
        <w:t xml:space="preserve"> </w:t>
      </w:r>
      <w:r>
        <w:t xml:space="preserve">metadados, não o comportamento de correspondência.</w:t>
      </w:r>
    </w:p>
    <w:bookmarkEnd w:id="27"/>
    <w:bookmarkStart w:id="28" w:name="X6334964bd5ec4734b8f49b8a4378f600f7a0b65"/>
    <w:p>
      <w:pPr>
        <w:pStyle w:val="Heading3"/>
      </w:pPr>
      <w:r>
        <w:t xml:space="preserve">6.3 Passo 3 — Execução do Estágio B (adjudicação relacional)</w:t>
      </w:r>
    </w:p>
    <w:p>
      <w:pPr>
        <w:pStyle w:val="FirstParagraph"/>
      </w:pPr>
      <w:r>
        <w:t xml:space="preserve">A partir dos parágrafos mais densos em sinal do Estágio A, li o texto</w:t>
      </w:r>
      <w:r>
        <w:t xml:space="preserve"> </w:t>
      </w:r>
      <w:r>
        <w:t xml:space="preserve">completo de um artigo-chave por ato e apliquei o teste relacional de cinco</w:t>
      </w:r>
      <w:r>
        <w:t xml:space="preserve"> </w:t>
      </w:r>
      <w:r>
        <w:t xml:space="preserve">condições a cada candidato. Resultado:</w:t>
      </w:r>
      <w:r>
        <w:t xml:space="preserve"> </w:t>
      </w:r>
      <w:r>
        <w:rPr>
          <w:b/>
          <w:bCs/>
        </w:rPr>
        <w:t xml:space="preserve">10 candidatos adjudicados</w:t>
      </w:r>
      <w:r>
        <w:t xml:space="preserve"> </w:t>
      </w:r>
      <w:r>
        <w:t xml:space="preserve">(painel D da Figura acima) —</w:t>
      </w:r>
      <w:r>
        <w:t xml:space="preserve"> </w:t>
      </w:r>
      <w:r>
        <w:rPr>
          <w:b/>
          <w:bCs/>
        </w:rPr>
        <w:t xml:space="preserve">7 positivos, 2 negativos, 1 condicional.</w:t>
      </w:r>
    </w:p>
    <w:p>
      <w:pPr>
        <w:pStyle w:val="BodyText"/>
      </w:pPr>
      <w:r>
        <w:t xml:space="preserve">Os dois casos negativos foram mantidos deliberadamente, porque demonstram</w:t>
      </w:r>
      <w:r>
        <w:t xml:space="preserve"> </w:t>
      </w:r>
      <w:r>
        <w:t xml:space="preserve">que o teste discrimina, e não apenas confirma: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CSRD, dever direto de reportar</w:t>
      </w:r>
      <w:r>
        <w:t xml:space="preserve"> </w:t>
      </w:r>
      <w:r>
        <w:t xml:space="preserve">(Art. 19a, via Art. 1): a empresa</w:t>
      </w:r>
      <w:r>
        <w:t xml:space="preserve"> </w:t>
      </w:r>
      <w:r>
        <w:t xml:space="preserve">inclui informação de sustentabilidade no relatório de gestão diretamente</w:t>
      </w:r>
      <w:r>
        <w:t xml:space="preserve"> </w:t>
      </w:r>
      <w:r>
        <w:t xml:space="preserve">para o Estado-Membro — sem nenhum terceiro ator mediando. Relação diádica</w:t>
      </w:r>
      <w:r>
        <w:t xml:space="preserve"> </w:t>
      </w:r>
      <w:r>
        <w:t xml:space="preserve">R–T, não R-I-T (</w:t>
      </w:r>
      <w:r>
        <w:rPr>
          <w:rStyle w:val="VerbatimChar"/>
        </w:rPr>
        <w:t xml:space="preserve">reporting_mechanism_present = 1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intermediary_present = 0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Ecolabel, Comitê Europeu do Rótulo Ecológico (EUEB)</w:t>
      </w:r>
      <w:r>
        <w:t xml:space="preserve"> </w:t>
      </w:r>
      <w:r>
        <w:t xml:space="preserve">(Art. 5): assessora</w:t>
      </w:r>
      <w:r>
        <w:t xml:space="preserve"> </w:t>
      </w:r>
      <w:r>
        <w:t xml:space="preserve">a Comissão na definição de critérios — participa da própria formulação da</w:t>
      </w:r>
      <w:r>
        <w:t xml:space="preserve"> </w:t>
      </w:r>
      <w:r>
        <w:t xml:space="preserve">regra, não medeia uma relação regulador–alvo já existente.</w:t>
      </w:r>
    </w:p>
    <w:p>
      <w:pPr>
        <w:pStyle w:val="FirstParagraph"/>
      </w:pPr>
      <w:r>
        <w:t xml:space="preserve">O caso condicional — Climate Benchmarks — é discutido separadamente na</w:t>
      </w:r>
      <w:r>
        <w:t xml:space="preserve"> </w:t>
      </w:r>
      <w:r>
        <w:t xml:space="preserve">seção de achados, por merecer atenção própria.</w:t>
      </w:r>
    </w:p>
    <w:bookmarkEnd w:id="28"/>
    <w:bookmarkStart w:id="32" w:name="Xef530bca983e2474c723e291c27e82c4c257303"/>
    <w:p>
      <w:pPr>
        <w:pStyle w:val="Heading3"/>
      </w:pPr>
      <w:r>
        <w:t xml:space="preserve">6.4 Passo 4 — Execução do Estágio C (codificação institucional)</w:t>
      </w:r>
    </w:p>
    <w:p>
      <w:pPr>
        <w:pStyle w:val="FirstParagraph"/>
      </w:pPr>
      <w:r>
        <w:t xml:space="preserve">Os 7 candidatos positivos foram promovidos a relações plenamente</w:t>
      </w:r>
      <w:r>
        <w:t xml:space="preserve"> </w:t>
      </w:r>
      <w:r>
        <w:t xml:space="preserve">codificadas em</w:t>
      </w:r>
      <w:r>
        <w:t xml:space="preserve"> </w:t>
      </w:r>
      <w:r>
        <w:rPr>
          <w:rStyle w:val="VerbatimChar"/>
        </w:rPr>
        <w:t xml:space="preserve">rit_relationships_v3.csv</w:t>
      </w:r>
      <w:r>
        <w:t xml:space="preserve">, com atores normalizados em</w:t>
      </w:r>
      <w:r>
        <w:t xml:space="preserve"> </w:t>
      </w:r>
      <w:r>
        <w:rPr>
          <w:rStyle w:val="VerbatimChar"/>
        </w:rPr>
        <w:t xml:space="preserve">actors_v3.csv</w:t>
      </w:r>
      <w:r>
        <w:t xml:space="preserve"> </w:t>
      </w:r>
      <w:r>
        <w:t xml:space="preserve">(19 identidades distintas). A regra de normalização</w:t>
      </w:r>
      <w:r>
        <w:t xml:space="preserve"> </w:t>
      </w:r>
      <w:r>
        <w:t xml:space="preserve">central:</w:t>
      </w:r>
      <w:r>
        <w:t xml:space="preserve"> </w:t>
      </w:r>
      <w:r>
        <w:rPr>
          <w:b/>
          <w:bCs/>
        </w:rPr>
        <w:t xml:space="preserve">uma linha, uma relação</w:t>
      </w:r>
      <w:r>
        <w:t xml:space="preserve"> </w:t>
      </w:r>
      <w:r>
        <w:t xml:space="preserve">— nenhuma célula pode conter mais de um</w:t>
      </w:r>
      <w:r>
        <w:t xml:space="preserve"> </w:t>
      </w:r>
      <w:r>
        <w:t xml:space="preserve">ator simultâneo representando relações distintas. Quando o Regulamento do</w:t>
      </w:r>
      <w:r>
        <w:t xml:space="preserve"> </w:t>
      </w:r>
      <w:r>
        <w:t xml:space="preserve">Rótulo Ecológico (Art. 9(7)) menciona dois tipos de organismo acreditado</w:t>
      </w:r>
      <w:r>
        <w:t xml:space="preserve"> </w:t>
      </w:r>
      <w:r>
        <w:t xml:space="preserve">(testes ISO 17025 e verificação EN 45011) como funções distintas, isso</w:t>
      </w:r>
      <w:r>
        <w:t xml:space="preserve"> </w:t>
      </w:r>
      <w:r>
        <w:t xml:space="preserve">gerou</w:t>
      </w:r>
      <w:r>
        <w:t xml:space="preserve"> </w:t>
      </w:r>
      <w:r>
        <w:rPr>
          <w:b/>
          <w:bCs/>
        </w:rPr>
        <w:t xml:space="preserve">duas</w:t>
      </w:r>
      <w:r>
        <w:t xml:space="preserve"> </w:t>
      </w:r>
      <w:r>
        <w:t xml:space="preserve">relações separadas (RIT-004 e RIT-005), não uma célula</w:t>
      </w:r>
      <w:r>
        <w:t xml:space="preserve"> </w:t>
      </w:r>
      <w:r>
        <w:t xml:space="preserve">composta.</w:t>
      </w:r>
    </w:p>
    <w:p>
      <w:pPr>
        <w:pStyle w:val="CaptionedFigure"/>
      </w:pPr>
      <w:r>
        <w:drawing>
          <wp:inline>
            <wp:extent cx="5227320" cy="4321280"/>
            <wp:effectExtent b="0" l="0" r="0" t="0"/>
            <wp:docPr descr="Mapa das relações R-I-T: 7 relações positivas em 3 cadeias, 2 controles negativos, 1 caso condicional" title="" id="30" name="Picture"/>
            <a:graphic>
              <a:graphicData uri="http://schemas.openxmlformats.org/drawingml/2006/picture">
                <pic:pic>
                  <pic:nvPicPr>
                    <pic:cNvPr descr="figures/fig3_rit_relationship_map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4321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Mapa das relações R-I-T: 7 relações positivas em 3 cadeias, 2 controles negativos, 1 caso condicional</w:t>
      </w:r>
    </w:p>
    <w:bookmarkEnd w:id="32"/>
    <w:bookmarkEnd w:id="33"/>
    <w:bookmarkStart w:id="38" w:name="achados-principais"/>
    <w:p>
      <w:pPr>
        <w:pStyle w:val="Heading2"/>
      </w:pPr>
      <w:r>
        <w:t xml:space="preserve">7 Achados principais</w:t>
      </w:r>
    </w:p>
    <w:bookmarkStart w:id="34" w:name="cadeias-de-meta-regulação"/>
    <w:p>
      <w:pPr>
        <w:pStyle w:val="Heading3"/>
      </w:pPr>
      <w:r>
        <w:t xml:space="preserve">7.1 Cadeias de meta-regulação</w:t>
      </w:r>
    </w:p>
    <w:p>
      <w:pPr>
        <w:pStyle w:val="FirstParagraph"/>
      </w:pPr>
      <w:r>
        <w:t xml:space="preserve">Em três dos quatro atos, um intermediário aparece, ele próprio, governado</w:t>
      </w:r>
      <w:r>
        <w:t xml:space="preserve"> </w:t>
      </w:r>
      <w:r>
        <w:t xml:space="preserve">por outro intermediário ou por um regulador de segundo nível — o que a</w:t>
      </w:r>
      <w:r>
        <w:t xml:space="preserve"> </w:t>
      </w:r>
      <w:r>
        <w:t xml:space="preserve">própria proposta do David chamaria de meta-regulação/autorregulação</w:t>
      </w:r>
      <w:r>
        <w:t xml:space="preserve"> </w:t>
      </w:r>
      <w:r>
        <w:t xml:space="preserve">aprimorada: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CSRD</w:t>
      </w:r>
      <w:r>
        <w:t xml:space="preserve">: o</w:t>
      </w:r>
      <w:r>
        <w:t xml:space="preserve"> </w:t>
      </w:r>
      <w:r>
        <w:rPr>
          <w:i/>
          <w:iCs/>
        </w:rPr>
        <w:t xml:space="preserve">group auditor</w:t>
      </w:r>
      <w:r>
        <w:t xml:space="preserve"> </w:t>
      </w:r>
      <w:r>
        <w:t xml:space="preserve">supervisiona um</w:t>
      </w:r>
      <w:r>
        <w:t xml:space="preserve"> </w:t>
      </w:r>
      <w:r>
        <w:rPr>
          <w:i/>
          <w:iCs/>
        </w:rPr>
        <w:t xml:space="preserve">subsidiary-level assurance</w:t>
      </w:r>
      <w:r>
        <w:rPr>
          <w:i/>
          <w:iCs/>
        </w:rPr>
        <w:t xml:space="preserve"> </w:t>
      </w:r>
      <w:r>
        <w:rPr>
          <w:i/>
          <w:iCs/>
        </w:rPr>
        <w:t xml:space="preserve">provider</w:t>
      </w:r>
      <w:r>
        <w:t xml:space="preserve"> </w:t>
      </w:r>
      <w:r>
        <w:t xml:space="preserve">na avaliação de subsidiárias do mesmo grupo (painel A da</w:t>
      </w:r>
      <w:r>
        <w:t xml:space="preserve"> </w:t>
      </w:r>
      <w:r>
        <w:t xml:space="preserve">Figura 3).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Ecolabel</w:t>
      </w:r>
      <w:r>
        <w:t xml:space="preserve">: o</w:t>
      </w:r>
      <w:r>
        <w:t xml:space="preserve"> </w:t>
      </w:r>
      <w:r>
        <w:rPr>
          <w:i/>
          <w:iCs/>
        </w:rPr>
        <w:t xml:space="preserve">competent body</w:t>
      </w:r>
      <w:r>
        <w:t xml:space="preserve"> </w:t>
      </w:r>
      <w:r>
        <w:t xml:space="preserve">se apoia em organismos de teste (ISO</w:t>
      </w:r>
    </w:p>
    <w:p>
      <w:pPr>
        <w:pStyle w:val="Compact"/>
        <w:numPr>
          <w:ilvl w:val="1"/>
          <w:numId w:val="1005"/>
        </w:numPr>
      </w:pPr>
      <w:r>
        <w:t xml:space="preserve">e verificação (EN 45011) separadamente acreditados (painel B).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EU ETS</w:t>
      </w:r>
      <w:r>
        <w:t xml:space="preserve">: o organismo nacional de acreditação — que credencia o</w:t>
      </w:r>
      <w:r>
        <w:t xml:space="preserve"> </w:t>
      </w:r>
      <w:r>
        <w:t xml:space="preserve">verificador — está ele próprio sujeito a avaliação por pares por um órgão</w:t>
      </w:r>
      <w:r>
        <w:t xml:space="preserve"> </w:t>
      </w:r>
      <w:r>
        <w:t xml:space="preserve">reconhecido nos termos do Artigo 14 do Regulamento (CE) n.º 765/2008</w:t>
      </w:r>
      <w:r>
        <w:t xml:space="preserve"> </w:t>
      </w:r>
      <w:r>
        <w:t xml:space="preserve">(painel C).</w:t>
      </w:r>
    </w:p>
    <w:bookmarkEnd w:id="34"/>
    <w:bookmarkStart w:id="35" w:name="multiplicidade-de-papel"/>
    <w:p>
      <w:pPr>
        <w:pStyle w:val="Heading3"/>
      </w:pPr>
      <w:r>
        <w:t xml:space="preserve">7.2 Multiplicidade de papel</w:t>
      </w:r>
    </w:p>
    <w:p>
      <w:pPr>
        <w:pStyle w:val="FirstParagraph"/>
      </w:pPr>
      <w:r>
        <w:t xml:space="preserve">O caso mais rico da amostra: o</w:t>
      </w:r>
      <w:r>
        <w:t xml:space="preserve"> </w:t>
      </w:r>
      <w:r>
        <w:rPr>
          <w:b/>
          <w:bCs/>
        </w:rPr>
        <w:t xml:space="preserve">verificador do EU ETS</w:t>
      </w:r>
      <w:r>
        <w:t xml:space="preserve"> </w:t>
      </w:r>
      <w:r>
        <w:t xml:space="preserve">é o intermediário</w:t>
      </w:r>
      <w:r>
        <w:t xml:space="preserve"> </w:t>
      </w:r>
      <w:r>
        <w:t xml:space="preserve">na relação entre a autoridade competente e o operador (RIT-006), e é</w:t>
      </w:r>
      <w:r>
        <w:t xml:space="preserve"> </w:t>
      </w:r>
      <w:r>
        <w:t xml:space="preserve">simultaneamente o</w:t>
      </w:r>
      <w:r>
        <w:t xml:space="preserve"> </w:t>
      </w:r>
      <w:r>
        <w:rPr>
          <w:b/>
          <w:bCs/>
        </w:rPr>
        <w:t xml:space="preserve">alvo</w:t>
      </w:r>
      <w:r>
        <w:t xml:space="preserve"> </w:t>
      </w:r>
      <w:r>
        <w:t xml:space="preserve">da sua própria relação de acreditação com o</w:t>
      </w:r>
      <w:r>
        <w:t xml:space="preserve"> </w:t>
      </w:r>
      <w:r>
        <w:t xml:space="preserve">organismo nacional de acreditação (RIT-007). A identidade do 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actors_v3.csv</w:t>
      </w:r>
      <w:r>
        <w:t xml:space="preserve">) nunca armazena um papel fixo — o papel é sempre uma</w:t>
      </w:r>
      <w:r>
        <w:t xml:space="preserve"> </w:t>
      </w:r>
      <w:r>
        <w:t xml:space="preserve">propriedade da relação, nunca do ator.</w:t>
      </w:r>
    </w:p>
    <w:bookmarkEnd w:id="35"/>
    <w:bookmarkStart w:id="36" w:name="Xb2e11acae88aec55e0b877ff770f08e255a3331"/>
    <w:p>
      <w:pPr>
        <w:pStyle w:val="Heading3"/>
      </w:pPr>
      <w:r>
        <w:t xml:space="preserve">7.3 Um erro encontrado e corrigido durante o próprio processo</w:t>
      </w:r>
    </w:p>
    <w:p>
      <w:pPr>
        <w:pStyle w:val="FirstParagraph"/>
      </w:pPr>
      <w:r>
        <w:t xml:space="preserve">A primeira leitura da cadeia de acreditação do ETS (o que se tornaria</w:t>
      </w:r>
      <w:r>
        <w:t xml:space="preserve"> </w:t>
      </w:r>
      <w:r>
        <w:t xml:space="preserve">RIT-007) codificou o organismo nacional de acreditação como regulador (R),</w:t>
      </w:r>
      <w:r>
        <w:t xml:space="preserve"> </w:t>
      </w:r>
      <w:r>
        <w:t xml:space="preserve">sem nenhum intermediário distinto — uma leitura diádica que, se mantida,</w:t>
      </w:r>
      <w:r>
        <w:t xml:space="preserve"> </w:t>
      </w:r>
      <w:r>
        <w:t xml:space="preserve">teria comprometido a própria alegação de multiplicidade de papel. Ao reler</w:t>
      </w:r>
      <w:r>
        <w:t xml:space="preserve"> </w:t>
      </w:r>
      <w:r>
        <w:t xml:space="preserve">a evidência já disponível (o texto sobre a avaliação por pares do órgão do</w:t>
      </w:r>
      <w:r>
        <w:t xml:space="preserve"> </w:t>
      </w:r>
      <w:r>
        <w:t xml:space="preserve">Artigo 14), ficou claro que o organismo nacional de acreditação ocupa a</w:t>
      </w:r>
      <w:r>
        <w:t xml:space="preserve"> </w:t>
      </w:r>
      <w:r>
        <w:t xml:space="preserve">posição de</w:t>
      </w:r>
      <w:r>
        <w:t xml:space="preserve"> </w:t>
      </w:r>
      <w:r>
        <w:rPr>
          <w:b/>
          <w:bCs/>
        </w:rPr>
        <w:t xml:space="preserve">intermediário</w:t>
      </w:r>
      <w:r>
        <w:t xml:space="preserve">, não de regulador — o regulador é o órgão de</w:t>
      </w:r>
      <w:r>
        <w:t xml:space="preserve"> </w:t>
      </w:r>
      <w:r>
        <w:t xml:space="preserve">avaliação por pares. Essa correção está documentada, não escondida, na nota</w:t>
      </w:r>
      <w:r>
        <w:t xml:space="preserve"> </w:t>
      </w:r>
      <w:r>
        <w:t xml:space="preserve">de adjudicação do candidato correspondente (</w:t>
      </w:r>
      <w:r>
        <w:rPr>
          <w:rStyle w:val="VerbatimChar"/>
        </w:rPr>
        <w:t xml:space="preserve">CAND-09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candidate_adjudications_v3.csv</w:t>
      </w:r>
      <w:r>
        <w:t xml:space="preserve">) — o processo de encontrar e corrigir esse</w:t>
      </w:r>
      <w:r>
        <w:t xml:space="preserve"> </w:t>
      </w:r>
      <w:r>
        <w:t xml:space="preserve">erro é, em si, evidência de que o teste relacional está fazendo trabalho</w:t>
      </w:r>
      <w:r>
        <w:t xml:space="preserve"> </w:t>
      </w:r>
      <w:r>
        <w:t xml:space="preserve">real, não apenas confirmando uma primeira impressão.</w:t>
      </w:r>
    </w:p>
    <w:bookmarkEnd w:id="36"/>
    <w:bookmarkStart w:id="37" w:name="caso-condicional-climate-benchmarks"/>
    <w:p>
      <w:pPr>
        <w:pStyle w:val="Heading3"/>
      </w:pPr>
      <w:r>
        <w:t xml:space="preserve">7.4 Caso condicional: Climate Benchmarks</w:t>
      </w:r>
    </w:p>
    <w:p>
      <w:pPr>
        <w:pStyle w:val="FirstParagraph"/>
      </w:pPr>
      <w:r>
        <w:t xml:space="preserve">O administrador do referencial climático seleciona, pondera e exclui</w:t>
      </w:r>
      <w:r>
        <w:t xml:space="preserve"> </w:t>
      </w:r>
      <w:r>
        <w:t xml:space="preserve">ativos segundo um padrão pré-definido de trajetória de descarbonização —</w:t>
      </w:r>
      <w:r>
        <w:t xml:space="preserve"> </w:t>
      </w:r>
      <w:r>
        <w:t xml:space="preserve">uma ação que lembra</w:t>
      </w:r>
      <w:r>
        <w:t xml:space="preserve"> </w:t>
      </w:r>
      <w:r>
        <w:t xml:space="preserve">“rating”</w:t>
      </w:r>
      <w:r>
        <w:t xml:space="preserve"> </w:t>
      </w:r>
      <w:r>
        <w:t xml:space="preserve">no sentido da teoria. Mas o regulador não é</w:t>
      </w:r>
      <w:r>
        <w:t xml:space="preserve"> </w:t>
      </w:r>
      <w:r>
        <w:t xml:space="preserve">nomeado no dispositivo lido, e o alvo é duplo e indireto: as empresas cujos</w:t>
      </w:r>
      <w:r>
        <w:t xml:space="preserve"> </w:t>
      </w:r>
      <w:r>
        <w:t xml:space="preserve">ativos são pontuados (alvo primário) e os gestores de ativos que usam o</w:t>
      </w:r>
      <w:r>
        <w:t xml:space="preserve"> </w:t>
      </w:r>
      <w:r>
        <w:t xml:space="preserve">selo do referencial (alvo secundário, indireto). Em vez de forçar o</w:t>
      </w:r>
      <w:r>
        <w:t xml:space="preserve"> </w:t>
      </w:r>
      <w:r>
        <w:t xml:space="preserve">enquadramento, o caso foi mantido em</w:t>
      </w:r>
      <w:r>
        <w:t xml:space="preserve"> </w:t>
      </w:r>
      <w:r>
        <w:rPr>
          <w:b/>
          <w:bCs/>
        </w:rPr>
        <w:t xml:space="preserve">quarentena analítica</w:t>
      </w:r>
      <w:r>
        <w:t xml:space="preserve"> </w:t>
      </w:r>
      <w:r>
        <w:t xml:space="preserve">(</w:t>
      </w:r>
      <w:r>
        <w:rPr>
          <w:rStyle w:val="VerbatimChar"/>
        </w:rPr>
        <w:t xml:space="preserve">construct_validity = conditional</w:t>
      </w:r>
      <w:r>
        <w:t xml:space="preserve">), não promovido a</w:t>
      </w:r>
      <w:r>
        <w:t xml:space="preserve"> </w:t>
      </w:r>
      <w:r>
        <w:rPr>
          <w:rStyle w:val="VerbatimChar"/>
        </w:rPr>
        <w:t xml:space="preserve">rit_relationships_v3.csv</w:t>
      </w:r>
      <w:r>
        <w:t xml:space="preserve">,</w:t>
      </w:r>
      <w:r>
        <w:t xml:space="preserve"> </w:t>
      </w:r>
      <w:r>
        <w:t xml:space="preserve">com a pergunta registrada para discussão direta com o Prof. Levi-Faur: isto</w:t>
      </w:r>
      <w:r>
        <w:t xml:space="preserve"> </w:t>
      </w:r>
      <w:r>
        <w:t xml:space="preserve">é um intermediário regulatório de fato, ou principalmente um provedor de</w:t>
      </w:r>
      <w:r>
        <w:t xml:space="preserve"> </w:t>
      </w:r>
      <w:r>
        <w:t xml:space="preserve">índice regulado pelo próprio regime de referenciais?</w:t>
      </w:r>
    </w:p>
    <w:bookmarkEnd w:id="37"/>
    <w:bookmarkEnd w:id="38"/>
    <w:bookmarkStart w:id="41" w:name="validação"/>
    <w:p>
      <w:pPr>
        <w:pStyle w:val="Heading2"/>
      </w:pPr>
      <w:r>
        <w:t xml:space="preserve">8 Validação</w:t>
      </w:r>
    </w:p>
    <w:bookmarkStart w:id="39" w:name="Xc2d92cfd4b1aa0701a6c7374ebf725e6b0a3839"/>
    <w:p>
      <w:pPr>
        <w:pStyle w:val="Heading3"/>
      </w:pPr>
      <w:r>
        <w:t xml:space="preserve">8.1 Estágio A — amostra de referência (não mais chamada de</w:t>
      </w:r>
      <w:r>
        <w:t xml:space="preserve"> </w:t>
      </w:r>
      <w:r>
        <w:t xml:space="preserve">“padrão-ouro”</w:t>
      </w:r>
      <w:r>
        <w:t xml:space="preserve">)</w:t>
      </w:r>
    </w:p>
    <w:p>
      <w:pPr>
        <w:pStyle w:val="FirstParagraph"/>
      </w:pPr>
      <w:r>
        <w:t xml:space="preserve">Para um artigo por ato, todo o texto foi lido manualmente, sem uso de</w:t>
      </w:r>
      <w:r>
        <w:t xml:space="preserve"> </w:t>
      </w:r>
      <w:r>
        <w:t xml:space="preserve">regex, marcando se cada parágrafo tratava substantivamente de</w:t>
      </w:r>
      <w:r>
        <w:t xml:space="preserve"> </w:t>
      </w:r>
      <w:r>
        <w:t xml:space="preserve">intermediação. Essa leitura foi comparada ao que a triagem automática</w:t>
      </w:r>
      <w:r>
        <w:t xml:space="preserve"> </w:t>
      </w:r>
      <w:r>
        <w:t xml:space="preserve">encontrou nos mesmos parágrafos.</w:t>
      </w:r>
    </w:p>
    <w:p>
      <w:pPr>
        <w:pStyle w:val="BodyText"/>
      </w:pPr>
      <w:r>
        <w:rPr>
          <w:b/>
          <w:bCs/>
        </w:rPr>
        <w:t xml:space="preserve">Resultado (35 unidades julgadas): precisão de 100% (33/33), recall de</w:t>
      </w:r>
      <w:r>
        <w:rPr>
          <w:b/>
          <w:bCs/>
        </w:rPr>
        <w:t xml:space="preserve"> </w:t>
      </w:r>
      <w:r>
        <w:rPr>
          <w:b/>
          <w:bCs/>
        </w:rPr>
        <w:t xml:space="preserve">94,3% (33/35), F1 de 97,1%.</w:t>
      </w:r>
      <w:r>
        <w:t xml:space="preserve"> </w:t>
      </w:r>
      <w:r>
        <w:t xml:space="preserve">Os dois erros de recall compartilham uma</w:t>
      </w:r>
      <w:r>
        <w:t xml:space="preserve"> </w:t>
      </w:r>
      <w:r>
        <w:t xml:space="preserve">causa: o parágrafo descreve a mesma relação pelo lado do regulador ou do</w:t>
      </w:r>
      <w:r>
        <w:t xml:space="preserve"> </w:t>
      </w:r>
      <w:r>
        <w:t xml:space="preserve">alvo, sem repetir o nome do intermediário — um limite conhecido de</w:t>
      </w:r>
      <w:r>
        <w:t xml:space="preserve"> </w:t>
      </w:r>
      <w:r>
        <w:t xml:space="preserve">triagens ancoradas em substantivo, não um problema de amostra.</w:t>
      </w:r>
    </w:p>
    <w:p>
      <w:pPr>
        <w:pStyle w:val="BodyText"/>
      </w:pPr>
      <w:r>
        <w:t xml:space="preserve">O termo</w:t>
      </w:r>
      <w:r>
        <w:t xml:space="preserve"> </w:t>
      </w:r>
      <w:r>
        <w:t xml:space="preserve">“padrão-ouro”</w:t>
      </w:r>
      <w:r>
        <w:t xml:space="preserve"> </w:t>
      </w:r>
      <w:r>
        <w:t xml:space="preserve">foi deliberadamente abandonado em favor de</w:t>
      </w:r>
      <w:r>
        <w:t xml:space="preserve"> </w:t>
      </w:r>
      <w:r>
        <w:t xml:space="preserve">“amostra</w:t>
      </w:r>
      <w:r>
        <w:t xml:space="preserve"> </w:t>
      </w:r>
      <w:r>
        <w:t xml:space="preserve">de referência adjudicada manualmente”</w:t>
      </w:r>
      <w:r>
        <w:t xml:space="preserve"> </w:t>
      </w:r>
      <w:r>
        <w:t xml:space="preserve">— o termo anterior sugeria uma</w:t>
      </w:r>
      <w:r>
        <w:t xml:space="preserve"> </w:t>
      </w:r>
      <w:r>
        <w:t xml:space="preserve">finalidade que uma amostra pequena e não aleatória não sustenta.</w:t>
      </w:r>
    </w:p>
    <w:bookmarkEnd w:id="39"/>
    <w:bookmarkStart w:id="40" w:name="X333186e7d5024ffb9e104270401e7da349b887c"/>
    <w:p>
      <w:pPr>
        <w:pStyle w:val="Heading3"/>
      </w:pPr>
      <w:r>
        <w:t xml:space="preserve">8.2 Estágios B e C — protocolo escrito, ainda não executado</w:t>
      </w:r>
    </w:p>
    <w:p>
      <w:pPr>
        <w:pStyle w:val="FirstParagraph"/>
      </w:pPr>
      <w:r>
        <w:t xml:space="preserve">A validação de confiabilidade entre codificadores (um segundo codificador</w:t>
      </w:r>
      <w:r>
        <w:t xml:space="preserve"> </w:t>
      </w:r>
      <w:r>
        <w:t xml:space="preserve">aplicando o mesmo</w:t>
      </w:r>
      <w:r>
        <w:t xml:space="preserve"> </w:t>
      </w:r>
      <w:r>
        <w:rPr>
          <w:rStyle w:val="VerbatimChar"/>
        </w:rPr>
        <w:t xml:space="preserve">RIT_CODEBOOK_v3.md</w:t>
      </w:r>
      <w:r>
        <w:t xml:space="preserve"> </w:t>
      </w:r>
      <w:r>
        <w:t xml:space="preserve">aos mesmos quatro artigos, às cegas</w:t>
      </w:r>
      <w:r>
        <w:t xml:space="preserve"> </w:t>
      </w:r>
      <w:r>
        <w:t xml:space="preserve">em relação a este resultado) está totalmente protocolada em</w:t>
      </w:r>
      <w:r>
        <w:t xml:space="preserve"> </w:t>
      </w:r>
      <w:r>
        <w:rPr>
          <w:rStyle w:val="VerbatimChar"/>
        </w:rPr>
        <w:t xml:space="preserve">RELATIONSHIP_VALIDATION_PROTOCOL_v3.md</w:t>
      </w:r>
      <w:r>
        <w:t xml:space="preserve">, mas</w:t>
      </w:r>
      <w:r>
        <w:t xml:space="preserve"> </w:t>
      </w:r>
      <w:r>
        <w:rPr>
          <w:b/>
          <w:bCs/>
        </w:rPr>
        <w:t xml:space="preserve">não foi executada</w:t>
      </w:r>
      <w:r>
        <w:t xml:space="preserve"> </w:t>
      </w:r>
      <w:r>
        <w:t xml:space="preserve">— não</w:t>
      </w:r>
      <w:r>
        <w:t xml:space="preserve"> </w:t>
      </w:r>
      <w:r>
        <w:t xml:space="preserve">há, ainda, um segundo codificador disponível. Isso é registrado</w:t>
      </w:r>
      <w:r>
        <w:t xml:space="preserve"> </w:t>
      </w:r>
      <w:r>
        <w:t xml:space="preserve">explicitamente como pendência, não maquiado como concluído: sete relações</w:t>
      </w:r>
      <w:r>
        <w:t xml:space="preserve"> </w:t>
      </w:r>
      <w:r>
        <w:t xml:space="preserve">codificadas por uma única pessoa demonstram que a arquitetura é executável,</w:t>
      </w:r>
      <w:r>
        <w:t xml:space="preserve"> </w:t>
      </w:r>
      <w:r>
        <w:t xml:space="preserve">não que é confiável entre codificadores independentes.</w:t>
      </w:r>
    </w:p>
    <w:bookmarkEnd w:id="40"/>
    <w:bookmarkEnd w:id="41"/>
    <w:bookmarkStart w:id="42" w:name="X4c9ee612322262d6b50b9e76d4f0399024c005c"/>
    <w:p>
      <w:pPr>
        <w:pStyle w:val="Heading2"/>
      </w:pPr>
      <w:r>
        <w:t xml:space="preserve">9 O que esta camada de codificação mede — e o que não mede</w:t>
      </w:r>
    </w:p>
    <w:p>
      <w:pPr>
        <w:pStyle w:val="FirstParagraph"/>
      </w:pPr>
      <w:r>
        <w:rPr>
          <w:b/>
          <w:bCs/>
        </w:rPr>
        <w:t xml:space="preserve">Mede, com responsabilidade:</w:t>
      </w:r>
      <w:r>
        <w:t xml:space="preserve"> </w:t>
      </w:r>
      <w:r>
        <w:t xml:space="preserve">identidade dos atores e atribuição de papel</w:t>
      </w:r>
      <w:r>
        <w:t xml:space="preserve"> </w:t>
      </w:r>
      <w:r>
        <w:t xml:space="preserve">R-I-T; mecanismo primário e secundário; um subconjunto de atributos</w:t>
      </w:r>
      <w:r>
        <w:t xml:space="preserve"> </w:t>
      </w:r>
      <w:r>
        <w:t xml:space="preserve">institucionais (papel formal, voluntarismo, nível, esfera, modo de</w:t>
      </w:r>
      <w:r>
        <w:t xml:space="preserve"> </w:t>
      </w:r>
      <w:r>
        <w:t xml:space="preserve">operação, separação organizacional); dois indicadores de governança</w:t>
      </w:r>
      <w:r>
        <w:t xml:space="preserve"> </w:t>
      </w:r>
      <w:r>
        <w:t xml:space="preserve">(exigência de independência, supervisão presente) — cada um com evidência</w:t>
      </w:r>
      <w:r>
        <w:t xml:space="preserve"> </w:t>
      </w:r>
      <w:r>
        <w:t xml:space="preserve">textual verbatim associada.</w:t>
      </w:r>
    </w:p>
    <w:p>
      <w:pPr>
        <w:pStyle w:val="BodyText"/>
      </w:pPr>
      <w:r>
        <w:rPr>
          <w:b/>
          <w:bCs/>
        </w:rPr>
        <w:t xml:space="preserve">Não mede, e não finge medir:</w:t>
      </w:r>
      <w:r>
        <w:t xml:space="preserve"> </w:t>
      </w:r>
      <w:r>
        <w:t xml:space="preserve">motivação do intermediário (não pode ser</w:t>
      </w:r>
      <w:r>
        <w:t xml:space="preserve"> </w:t>
      </w:r>
      <w:r>
        <w:t xml:space="preserve">inferida com segurança da forma organizacional); centralidade institucional</w:t>
      </w:r>
      <w:r>
        <w:t xml:space="preserve"> </w:t>
      </w:r>
      <w:r>
        <w:t xml:space="preserve">(explicitamente não é frequência de menção lexical); as baterias completas</w:t>
      </w:r>
      <w:r>
        <w:t xml:space="preserve"> </w:t>
      </w:r>
      <w:r>
        <w:t xml:space="preserve">de autonomia e accountability; as estratégias de responsibilization e</w:t>
      </w:r>
      <w:r>
        <w:t xml:space="preserve"> </w:t>
      </w:r>
      <w:r>
        <w:t xml:space="preserve">empowerment (definidas como duas dimensões independentes, não</w:t>
      </w:r>
      <w:r>
        <w:t xml:space="preserve"> </w:t>
      </w:r>
      <w:r>
        <w:t xml:space="preserve">dicotômicas, mas ainda não pontuadas); e, no nível mais alto, efetividade,</w:t>
      </w:r>
      <w:r>
        <w:t xml:space="preserve"> </w:t>
      </w:r>
      <w:r>
        <w:t xml:space="preserve">legitimidade, confiança e o posicionamento monocêntrico/policêntrico do</w:t>
      </w:r>
      <w:r>
        <w:t xml:space="preserve"> </w:t>
      </w:r>
      <w:r>
        <w:t xml:space="preserve">regime — explicitamente reservados para análise empírica e agregada futura,</w:t>
      </w:r>
      <w:r>
        <w:t xml:space="preserve"> </w:t>
      </w:r>
      <w:r>
        <w:t xml:space="preserve">fora do alcance evidencial de uma camada de codificação de texto legal.</w:t>
      </w:r>
    </w:p>
    <w:bookmarkEnd w:id="42"/>
    <w:bookmarkStart w:id="43" w:name="limitações"/>
    <w:p>
      <w:pPr>
        <w:pStyle w:val="Heading2"/>
      </w:pPr>
      <w:r>
        <w:t xml:space="preserve">10 Limitações</w:t>
      </w:r>
    </w:p>
    <w:p>
      <w:pPr>
        <w:pStyle w:val="Compact"/>
        <w:numPr>
          <w:ilvl w:val="0"/>
          <w:numId w:val="1006"/>
        </w:numPr>
      </w:pPr>
      <w:r>
        <w:t xml:space="preserve">A amostra de 10 candidatos/7 relações vem de um artigo por ato, não de</w:t>
      </w:r>
      <w:r>
        <w:t xml:space="preserve"> </w:t>
      </w:r>
      <w:r>
        <w:t xml:space="preserve">leitura exaustiva dos quatro atos inteiros — suficiente para exercitar</w:t>
      </w:r>
      <w:r>
        <w:t xml:space="preserve"> </w:t>
      </w:r>
      <w:r>
        <w:t xml:space="preserve">cada regra do codebook, insuficiente para reivindicar cobertura de</w:t>
      </w:r>
      <w:r>
        <w:t xml:space="preserve"> </w:t>
      </w:r>
      <w:r>
        <w:t xml:space="preserve">corpus.</w:t>
      </w:r>
    </w:p>
    <w:p>
      <w:pPr>
        <w:pStyle w:val="Compact"/>
        <w:numPr>
          <w:ilvl w:val="0"/>
          <w:numId w:val="1006"/>
        </w:numPr>
      </w:pPr>
      <w:r>
        <w:t xml:space="preserve">A validação do Estágio A usa uma amostra pequena e não aleatória (os</w:t>
      </w:r>
      <w:r>
        <w:t xml:space="preserve"> </w:t>
      </w:r>
      <w:r>
        <w:t xml:space="preserve">artigos mais ricos de cada ato) — um teto otimista, não uma estimativa</w:t>
      </w:r>
      <w:r>
        <w:t xml:space="preserve"> </w:t>
      </w:r>
      <w:r>
        <w:t xml:space="preserve">para o restante do corpus.</w:t>
      </w:r>
    </w:p>
    <w:p>
      <w:pPr>
        <w:pStyle w:val="Compact"/>
        <w:numPr>
          <w:ilvl w:val="0"/>
          <w:numId w:val="1006"/>
        </w:numPr>
      </w:pPr>
      <w:r>
        <w:t xml:space="preserve">Os Estágios B e C carecem de validação por segundo codificador.</w:t>
      </w:r>
    </w:p>
    <w:p>
      <w:pPr>
        <w:pStyle w:val="Compact"/>
        <w:numPr>
          <w:ilvl w:val="0"/>
          <w:numId w:val="1006"/>
        </w:numPr>
      </w:pPr>
      <w:r>
        <w:t xml:space="preserve">A população de</w:t>
      </w:r>
      <w:r>
        <w:t xml:space="preserve"> </w:t>
      </w:r>
      <w:r>
        <w:t xml:space="preserve">“legislação da UE sobre transição verde”</w:t>
      </w:r>
      <w:r>
        <w:t xml:space="preserve"> </w:t>
      </w:r>
      <w:r>
        <w:t xml:space="preserve">ainda não foi</w:t>
      </w:r>
      <w:r>
        <w:t xml:space="preserve"> </w:t>
      </w:r>
      <w:r>
        <w:t xml:space="preserve">definida por escrito — passo que precede qualquer expansão via</w:t>
      </w:r>
      <w:r>
        <w:t xml:space="preserve"> </w:t>
      </w:r>
      <w:r>
        <w:t xml:space="preserve">SPARQL/Cellar.</w:t>
      </w:r>
    </w:p>
    <w:bookmarkEnd w:id="43"/>
    <w:bookmarkStart w:id="44" w:name="próximos-passos"/>
    <w:p>
      <w:pPr>
        <w:pStyle w:val="Heading2"/>
      </w:pPr>
      <w:r>
        <w:t xml:space="preserve">11 Próximos passos</w:t>
      </w:r>
    </w:p>
    <w:p>
      <w:pPr>
        <w:pStyle w:val="Compact"/>
        <w:numPr>
          <w:ilvl w:val="0"/>
          <w:numId w:val="1007"/>
        </w:numPr>
      </w:pPr>
      <w:r>
        <w:t xml:space="preserve">Definir a população e o sampling frame por escrito antes de qualquer</w:t>
      </w:r>
      <w:r>
        <w:t xml:space="preserve"> </w:t>
      </w:r>
      <w:r>
        <w:t xml:space="preserve">consulta em escala à API SPARQL/Cellar.</w:t>
      </w:r>
    </w:p>
    <w:p>
      <w:pPr>
        <w:pStyle w:val="Compact"/>
        <w:numPr>
          <w:ilvl w:val="0"/>
          <w:numId w:val="1007"/>
        </w:numPr>
      </w:pPr>
      <w:r>
        <w:t xml:space="preserve">Executar o protocolo de validação entre codificadores para os Estágios</w:t>
      </w:r>
      <w:r>
        <w:t xml:space="preserve"> </w:t>
      </w:r>
      <w:r>
        <w:t xml:space="preserve">B/C.</w:t>
      </w:r>
    </w:p>
    <w:p>
      <w:pPr>
        <w:pStyle w:val="Compact"/>
        <w:numPr>
          <w:ilvl w:val="0"/>
          <w:numId w:val="1007"/>
        </w:numPr>
      </w:pPr>
      <w:r>
        <w:t xml:space="preserve">Resolver com o Prof. Levi-Faur a questão de validade de construto do</w:t>
      </w:r>
      <w:r>
        <w:t xml:space="preserve"> </w:t>
      </w:r>
      <w:r>
        <w:t xml:space="preserve">caso Climate Benchmarks.</w:t>
      </w:r>
    </w:p>
    <w:p>
      <w:pPr>
        <w:pStyle w:val="Compact"/>
        <w:numPr>
          <w:ilvl w:val="0"/>
          <w:numId w:val="1007"/>
        </w:numPr>
      </w:pPr>
      <w:r>
        <w:t xml:space="preserve">Preencher as baterias de autonomia, accountability e estratégias uma vez</w:t>
      </w:r>
      <w:r>
        <w:t xml:space="preserve"> </w:t>
      </w:r>
      <w:r>
        <w:t xml:space="preserve">disponível um segundo codificador.</w:t>
      </w:r>
    </w:p>
    <w:bookmarkEnd w:id="44"/>
    <w:bookmarkStart w:id="45" w:name="conclusão"/>
    <w:p>
      <w:pPr>
        <w:pStyle w:val="Heading2"/>
      </w:pPr>
      <w:r>
        <w:t xml:space="preserve">12 Conclusão</w:t>
      </w:r>
    </w:p>
    <w:p>
      <w:pPr>
        <w:pStyle w:val="FirstParagraph"/>
      </w:pPr>
      <w:r>
        <w:t xml:space="preserve">A intermediação regulatória foi operacionalizada aqui como um construto</w:t>
      </w:r>
      <w:r>
        <w:t xml:space="preserve"> </w:t>
      </w:r>
      <w:r>
        <w:t xml:space="preserve">relacional, não uma categoria lexical. A triagem localiza candidatos; a</w:t>
      </w:r>
      <w:r>
        <w:t xml:space="preserve"> </w:t>
      </w:r>
      <w:r>
        <w:t xml:space="preserve">adjudicação relacional determina se existe, de fato, uma estrutura R-I-T —</w:t>
      </w:r>
      <w:r>
        <w:t xml:space="preserve"> </w:t>
      </w:r>
      <w:r>
        <w:t xml:space="preserve">preservando desfechos negativos e condicionais como evidência de validade</w:t>
      </w:r>
      <w:r>
        <w:t xml:space="preserve"> </w:t>
      </w:r>
      <w:r>
        <w:t xml:space="preserve">discriminante, não descartando-os; a codificação institucional registra</w:t>
      </w:r>
      <w:r>
        <w:t xml:space="preserve"> </w:t>
      </w:r>
      <w:r>
        <w:t xml:space="preserve">mecanismos e os atributos que o texto efetivamente sustenta, mantendo</w:t>
      </w:r>
      <w:r>
        <w:t xml:space="preserve"> </w:t>
      </w:r>
      <w:r>
        <w:t xml:space="preserve">autonomia, accountability e estratégia como indicadores explicitamente</w:t>
      </w:r>
      <w:r>
        <w:t xml:space="preserve"> </w:t>
      </w:r>
      <w:r>
        <w:t xml:space="preserve">pendentes, não índices prematuros. Efetividade, legitimidade, confiança e</w:t>
      </w:r>
      <w:r>
        <w:t xml:space="preserve"> </w:t>
      </w:r>
      <w:r>
        <w:t xml:space="preserve">governança policêntrica permanecem reservadas para uma análise futura que</w:t>
      </w:r>
      <w:r>
        <w:t xml:space="preserve"> </w:t>
      </w:r>
      <w:r>
        <w:t xml:space="preserve">esta camada não foi desenhada para realizar — e o processo de encontrar e</w:t>
      </w:r>
      <w:r>
        <w:t xml:space="preserve"> </w:t>
      </w:r>
      <w:r>
        <w:t xml:space="preserve">corrigir um erro de leitura relacional, documentado nesta versão em vez de</w:t>
      </w:r>
      <w:r>
        <w:t xml:space="preserve"> </w:t>
      </w:r>
      <w:r>
        <w:t xml:space="preserve">escondido, é, na prática, a melhor evidência de que o método está fazendo</w:t>
      </w:r>
      <w:r>
        <w:t xml:space="preserve"> </w:t>
      </w:r>
      <w:r>
        <w:t xml:space="preserve">o trabalho analítico que se propõe a fazer.</w:t>
      </w:r>
    </w:p>
    <w:bookmarkEnd w:id="45"/>
    <w:bookmarkStart w:id="46" w:name="manifesto-de-arquivos"/>
    <w:p>
      <w:pPr>
        <w:pStyle w:val="Heading2"/>
      </w:pPr>
      <w:r>
        <w:t xml:space="preserve">13 Manifesto de arquivos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Arquivo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RESEARCH_NOTE_v3.md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</w:p>
        </w:tc>
        <w:tc>
          <w:tcPr/>
          <w:p>
            <w:pPr>
              <w:pStyle w:val="Compact"/>
            </w:pPr>
            <w:r>
              <w:t xml:space="preserve">Nota curta preparada para o Prof. David Levi-Faur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RIT_CODEBOOK_v3.md</w:t>
            </w:r>
          </w:p>
        </w:tc>
        <w:tc>
          <w:tcPr/>
          <w:p>
            <w:pPr>
              <w:pStyle w:val="Compact"/>
            </w:pPr>
            <w:r>
              <w:t xml:space="preserve">Manual de codificação dos Estágios B e 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SCREENING_CODEBOOK_v3.md</w:t>
            </w:r>
          </w:p>
        </w:tc>
        <w:tc>
          <w:tcPr/>
          <w:p>
            <w:pPr>
              <w:pStyle w:val="Compact"/>
            </w:pPr>
            <w:r>
              <w:t xml:space="preserve">Referência das regras de triagem do Estágio 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DATA_DICTIONARY_v3.md</w:t>
            </w:r>
          </w:p>
        </w:tc>
        <w:tc>
          <w:tcPr/>
          <w:p>
            <w:pPr>
              <w:pStyle w:val="Compact"/>
            </w:pPr>
            <w:r>
              <w:t xml:space="preserve">Dicionário de variáveis, populadas e pendentes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VARIABLE_MAP_v3.md</w:t>
            </w:r>
          </w:p>
        </w:tc>
        <w:tc>
          <w:tcPr/>
          <w:p>
            <w:pPr>
              <w:pStyle w:val="Compact"/>
            </w:pPr>
            <w:r>
              <w:t xml:space="preserve">Tabela construto → dimensão → indicador → variável → evidência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METHODOLOGY_v3.md</w:t>
            </w:r>
          </w:p>
        </w:tc>
        <w:tc>
          <w:tcPr/>
          <w:p>
            <w:pPr>
              <w:pStyle w:val="Compact"/>
            </w:pPr>
            <w:r>
              <w:t xml:space="preserve">Justificativa das escolhas metodológicas desta rodada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SCREENING_VALIDATION_v3.md</w:t>
            </w:r>
          </w:p>
        </w:tc>
        <w:tc>
          <w:tcPr/>
          <w:p>
            <w:pPr>
              <w:pStyle w:val="Compact"/>
            </w:pPr>
            <w:r>
              <w:t xml:space="preserve">Validação do Estágio A (precisão/recall/F1)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RELATIONSHIP_VALIDATION_PROTOCOL_v3.md</w:t>
            </w:r>
          </w:p>
        </w:tc>
        <w:tc>
          <w:tcPr/>
          <w:p>
            <w:pPr>
              <w:pStyle w:val="Compact"/>
            </w:pPr>
            <w:r>
              <w:t xml:space="preserve">Protocolo de validação dos Estágios B/C (não executado)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CHANGELOG_v3.md</w:t>
            </w:r>
          </w:p>
        </w:tc>
        <w:tc>
          <w:tcPr/>
          <w:p>
            <w:pPr>
              <w:pStyle w:val="Compact"/>
            </w:pPr>
            <w:r>
              <w:t xml:space="preserve">O que mudou nesta versão e por quê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data/screening_hits_v3.csv</w:t>
            </w:r>
          </w:p>
        </w:tc>
        <w:tc>
          <w:tcPr/>
          <w:p>
            <w:pPr>
              <w:pStyle w:val="Compact"/>
            </w:pPr>
            <w:r>
              <w:t xml:space="preserve">1.079 linhas — saída do Estágio 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data/candidate_adjudications_v3.csv</w:t>
            </w:r>
          </w:p>
        </w:tc>
        <w:tc>
          <w:tcPr/>
          <w:p>
            <w:pPr>
              <w:pStyle w:val="Compact"/>
            </w:pPr>
            <w:r>
              <w:t xml:space="preserve">10 linhas — saída do Estágio 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data/rit_relationships_v3.csv</w:t>
            </w:r>
          </w:p>
        </w:tc>
        <w:tc>
          <w:tcPr/>
          <w:p>
            <w:pPr>
              <w:pStyle w:val="Compact"/>
            </w:pPr>
            <w:r>
              <w:t xml:space="preserve">7 linhas — saída do Estágio 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data/actors_v3.csv</w:t>
            </w:r>
          </w:p>
        </w:tc>
        <w:tc>
          <w:tcPr/>
          <w:p>
            <w:pPr>
              <w:pStyle w:val="Compact"/>
            </w:pPr>
            <w:r>
              <w:t xml:space="preserve">19 identidades de atores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scripts/collect.py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scripts/screening_v3.py</w:t>
            </w:r>
          </w:p>
        </w:tc>
        <w:tc>
          <w:tcPr/>
          <w:p>
            <w:pPr>
              <w:pStyle w:val="Compact"/>
            </w:pPr>
            <w:r>
              <w:t xml:space="preserve">Código-fonte reprodutível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figures/</w:t>
            </w:r>
          </w:p>
        </w:tc>
        <w:tc>
          <w:tcPr/>
          <w:p>
            <w:pPr>
              <w:pStyle w:val="Compact"/>
            </w:pPr>
            <w:r>
              <w:t xml:space="preserve">As quatro figuras deste relatório</w:t>
            </w:r>
          </w:p>
        </w:tc>
      </w:tr>
    </w:tbl>
    <w:p>
      <w:pPr>
        <w:pStyle w:val="BodyText"/>
      </w:pPr>
      <w:r>
        <w:t xml:space="preserve">Trabalho anterior (versões 1 e 2 do exercício) preservado, sem alterações,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../v1/</w:t>
      </w:r>
      <w:r>
        <w:t xml:space="preserve">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7025">
    <w:nsid w:val="A994217025"/>
    <w:multiLevelType w:val="multilevel"/>
    <w:lvl w:ilvl="0">
      <w:start w:val="17025"/>
      <w:numFmt w:val="decimal"/>
      <w:lvlText w:val="%1)"/>
      <w:lvlJc w:val="left"/>
      <w:pPr>
        <w:ind w:left="720" w:hanging="360"/>
      </w:pPr>
    </w:lvl>
    <w:lvl w:ilvl="1">
      <w:start w:val="17025"/>
      <w:numFmt w:val="decimal"/>
      <w:lvlText w:val="%2)"/>
      <w:lvlJc w:val="left"/>
      <w:pPr>
        <w:ind w:left="1440" w:hanging="360"/>
      </w:pPr>
    </w:lvl>
    <w:lvl w:ilvl="2">
      <w:start w:val="17025"/>
      <w:numFmt w:val="decimal"/>
      <w:lvlText w:val="%3)"/>
      <w:lvlJc w:val="left"/>
      <w:pPr>
        <w:ind w:left="2160" w:hanging="360"/>
      </w:pPr>
    </w:lvl>
    <w:lvl w:ilvl="3">
      <w:start w:val="17025"/>
      <w:numFmt w:val="decimal"/>
      <w:lvlText w:val="%4)"/>
      <w:lvlJc w:val="left"/>
      <w:pPr>
        <w:ind w:left="2880" w:hanging="360"/>
      </w:pPr>
    </w:lvl>
    <w:lvl w:ilvl="4">
      <w:start w:val="17025"/>
      <w:numFmt w:val="decimal"/>
      <w:lvlText w:val="%5)"/>
      <w:lvlJc w:val="left"/>
      <w:pPr>
        <w:ind w:left="3600" w:hanging="360"/>
      </w:pPr>
    </w:lvl>
    <w:lvl w:ilvl="5">
      <w:start w:val="17025"/>
      <w:numFmt w:val="decimal"/>
      <w:lvlText w:val="%6)"/>
      <w:lvlJc w:val="left"/>
      <w:pPr>
        <w:ind w:left="4320" w:hanging="360"/>
      </w:pPr>
    </w:lvl>
    <w:lvl w:ilvl="6">
      <w:start w:val="17025"/>
      <w:numFmt w:val="decimal"/>
      <w:lvlText w:val="%7)"/>
      <w:lvlJc w:val="left"/>
      <w:pPr>
        <w:ind w:left="5040" w:hanging="360"/>
      </w:pPr>
    </w:lvl>
    <w:lvl w:ilvl="7">
      <w:start w:val="17025"/>
      <w:numFmt w:val="decimal"/>
      <w:lvlText w:val="%8)"/>
      <w:lvlJc w:val="left"/>
      <w:pPr>
        <w:ind w:left="5760" w:hanging="360"/>
      </w:pPr>
    </w:lvl>
    <w:lvl w:ilvl="8">
      <w:start w:val="17025"/>
      <w:numFmt w:val="decimal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217025"/>
    <w:lvlOverride w:ilvl="0">
      <w:startOverride w:val="17025"/>
    </w:lvlOverride>
    <w:lvlOverride w:ilvl="1">
      <w:startOverride w:val="17025"/>
    </w:lvlOverride>
    <w:lvlOverride w:ilvl="2">
      <w:startOverride w:val="17025"/>
    </w:lvlOverride>
    <w:lvlOverride w:ilvl="3">
      <w:startOverride w:val="17025"/>
    </w:lvlOverride>
    <w:lvlOverride w:ilvl="4">
      <w:startOverride w:val="17025"/>
    </w:lvlOverride>
    <w:lvlOverride w:ilvl="5">
      <w:startOverride w:val="17025"/>
    </w:lvlOverride>
    <w:lvlOverride w:ilvl="6">
      <w:startOverride w:val="17025"/>
    </w:lvlOverride>
    <w:lvlOverride w:ilvl="7">
      <w:startOverride w:val="17025"/>
    </w:lvlOverride>
    <w:lvlOverride w:ilvl="8">
      <w:startOverride w:val="17025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9" Target="media/rId29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Codificação de Intermediários Regulatórios na Legislação da UE sobre Transição Verde</dc:title>
  <dc:creator>Igor Caires Machado — Postdoctoral Researcher, ENAP · ORCID 0009-0008-9547-5223</dc:creator>
  <dc:language>pt-BR</dc:language>
  <cp:keywords/>
  <dcterms:created xsi:type="dcterms:W3CDTF">2026-09-05T22:32:01Z</dcterms:created>
  <dcterms:modified xsi:type="dcterms:W3CDTF">2026-09-05T22:32:01Z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Invalid Date</vt:lpwstr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Relatório final de apresentação do exercício de codificação</vt:lpwstr>
  </property>
  <property fmtid="{D5CDD505-2E9C-101B-9397-08002B2CF9AE}" pid="12" name="toc-title">
    <vt:lpwstr>Índice</vt:lpwstr>
  </property>
</Properties>
</file>