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Regulatory Intermediaries in EU Green-Transition Legislation (v2)</w:t>
      </w:r>
    </w:p>
    <w:p>
      <w:pPr>
        <w:pStyle w:val="Author"/>
      </w:pPr>
      <w:r>
        <w:t xml:space="preserve">Igor Caires Machado — Postdoctoral Researcher, ENAP · ORCID 0009-0008-9547-5223</w:t>
      </w:r>
    </w:p>
    <w:p>
      <w:pPr>
        <w:pStyle w:val="Date"/>
      </w:pPr>
      <w:r>
        <w:t xml:space="preserve">5 September 2026</w:t>
      </w:r>
    </w:p>
    <w:bookmarkStart w:id="9" w:name="purpose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t xml:space="preserve">Purpose</w:t>
      </w:r>
    </w:p>
    <w:p>
      <w:pPr>
        <w:pStyle w:val="FirstParagraph"/>
      </w:pPr>
      <w:r>
        <w:t xml:space="preserve">This is a revised version of the response to the call for a research</w:t>
      </w:r>
      <w:r>
        <w:t xml:space="preserve"> </w:t>
      </w:r>
      <w:r>
        <w:t xml:space="preserve">assistant/partner to help code intermediaries in EU legislation on the green</w:t>
      </w:r>
      <w:r>
        <w:t xml:space="preserve"> </w:t>
      </w:r>
      <w:r>
        <w:t xml:space="preserve">transition (</w:t>
      </w:r>
      <w:r>
        <w:t xml:space="preserve">“Governance by and of Intermediaries”</w:t>
      </w:r>
      <w:r>
        <w:t xml:space="preserve">). The previous version</w:t>
      </w:r>
      <w:r>
        <w:t xml:space="preserve"> </w:t>
      </w:r>
      <w:r>
        <w:t xml:space="preserve">built a reproducible mechanism-</w:t>
      </w:r>
      <w:r>
        <w:rPr>
          <w:i/>
          <w:iCs/>
        </w:rPr>
        <w:t xml:space="preserve">screening</w:t>
      </w:r>
      <w:r>
        <w:t xml:space="preserve"> </w:t>
      </w:r>
      <w:r>
        <w:t xml:space="preserve">pipeline; this version corrects</w:t>
      </w:r>
      <w:r>
        <w:t xml:space="preserve"> </w:t>
      </w:r>
      <w:r>
        <w:t xml:space="preserve">its central limitation by making the substantive unit of analysis the</w:t>
      </w:r>
      <w:r>
        <w:t xml:space="preserve"> </w:t>
      </w:r>
      <w:r>
        <w:rPr>
          <w:b/>
          <w:bCs/>
        </w:rPr>
        <w:t xml:space="preserve">R-I-T relationship</w:t>
      </w:r>
      <w:r>
        <w:t xml:space="preserve"> </w:t>
      </w:r>
      <w:r>
        <w:t xml:space="preserve">(Regulator–Intermediary–Target) rather than the</w:t>
      </w:r>
      <w:r>
        <w:t xml:space="preserve"> </w:t>
      </w:r>
      <w:r>
        <w:t xml:space="preserve">paragraph. Full technical detail is kept in annexes so this note stays</w:t>
      </w:r>
      <w:r>
        <w:t xml:space="preserve"> </w:t>
      </w:r>
      <w:r>
        <w:t xml:space="preserve">short and focused.</w:t>
      </w:r>
    </w:p>
    <w:bookmarkEnd w:id="9"/>
    <w:bookmarkStart w:id="10" w:name="theoretical-construct"/>
    <w:p>
      <w:pPr>
        <w:pStyle w:val="Heading2"/>
      </w:pPr>
      <w:r>
        <w:rPr>
          <w:rStyle w:val="SectionNumber"/>
        </w:rPr>
        <w:t xml:space="preserve">2</w:t>
      </w:r>
      <w:r>
        <w:tab/>
      </w:r>
      <w:r>
        <w:t xml:space="preserve">Theoretical construct</w:t>
      </w:r>
    </w:p>
    <w:p>
      <w:pPr>
        <w:pStyle w:val="FirstParagraph"/>
      </w:pPr>
      <w:r>
        <w:t xml:space="preserve">The proposal treats regulatory intermediation as an architecture of</w:t>
      </w:r>
      <w:r>
        <w:t xml:space="preserve"> </w:t>
      </w:r>
      <w:r>
        <w:rPr>
          <w:b/>
          <w:bCs/>
        </w:rPr>
        <w:t xml:space="preserve">actors + mechanisms + strategies</w:t>
      </w:r>
      <w:r>
        <w:t xml:space="preserve"> </w:t>
      </w:r>
      <w:r>
        <w:t xml:space="preserve">mediating between rule-makers and</w:t>
      </w:r>
      <w:r>
        <w:t xml:space="preserve"> </w:t>
      </w:r>
      <w:r>
        <w:t xml:space="preserve">rule-takers, structured around four primary mechanisms — reporting</w:t>
      </w:r>
      <w:r>
        <w:t xml:space="preserve"> </w:t>
      </w:r>
      <w:r>
        <w:t xml:space="preserve">(state-led), certification (NGO-led), ranking/rating (business-led), and</w:t>
      </w:r>
      <w:r>
        <w:t xml:space="preserve"> </w:t>
      </w:r>
      <w:r>
        <w:t xml:space="preserve">auditing (profession-led) — and a set of intermediary attributes (formal</w:t>
      </w:r>
      <w:r>
        <w:t xml:space="preserve"> </w:t>
      </w:r>
      <w:r>
        <w:t xml:space="preserve">role, voluntarism, level, sphere, motivation, mode of operation, centrality,</w:t>
      </w:r>
      <w:r>
        <w:t xml:space="preserve"> </w:t>
      </w:r>
      <w:r>
        <w:t xml:space="preserve">degree of separation). This note treats these as</w:t>
      </w:r>
      <w:r>
        <w:t xml:space="preserve"> </w:t>
      </w:r>
      <w:r>
        <w:rPr>
          <w:b/>
          <w:bCs/>
        </w:rPr>
        <w:t xml:space="preserve">theoretical constructs</w:t>
      </w:r>
      <w:r>
        <w:rPr>
          <w:b/>
          <w:bCs/>
        </w:rPr>
        <w:t xml:space="preserve"> </w:t>
      </w:r>
      <w:r>
        <w:rPr>
          <w:b/>
          <w:bCs/>
        </w:rPr>
        <w:t xml:space="preserve">from the proposal</w:t>
      </w:r>
      <w:r>
        <w:t xml:space="preserve">, distinct from the</w:t>
      </w:r>
      <w:r>
        <w:t xml:space="preserve"> </w:t>
      </w:r>
      <w:r>
        <w:rPr>
          <w:b/>
          <w:bCs/>
        </w:rPr>
        <w:t xml:space="preserve">operationalisations proposed for</w:t>
      </w:r>
      <w:r>
        <w:rPr>
          <w:b/>
          <w:bCs/>
        </w:rPr>
        <w:t xml:space="preserve"> </w:t>
      </w:r>
      <w:r>
        <w:rPr>
          <w:b/>
          <w:bCs/>
        </w:rPr>
        <w:t xml:space="preserve">this dataset</w:t>
      </w:r>
      <w:r>
        <w:t xml:space="preserve"> </w:t>
      </w:r>
      <w:r>
        <w:t xml:space="preserve">(defined in the annexes) and from</w:t>
      </w:r>
      <w:r>
        <w:t xml:space="preserve"> </w:t>
      </w:r>
      <w:r>
        <w:rPr>
          <w:b/>
          <w:bCs/>
        </w:rPr>
        <w:t xml:space="preserve">future analytical</w:t>
      </w:r>
      <w:r>
        <w:rPr>
          <w:b/>
          <w:bCs/>
        </w:rPr>
        <w:t xml:space="preserve"> </w:t>
      </w:r>
      <w:r>
        <w:rPr>
          <w:b/>
          <w:bCs/>
        </w:rPr>
        <w:t xml:space="preserve">possibilities</w:t>
      </w:r>
      <w:r>
        <w:t xml:space="preserve"> </w:t>
      </w:r>
      <w:r>
        <w:t xml:space="preserve">not yet operationalised (e.g. an autonomy or accountability</w:t>
      </w:r>
      <w:r>
        <w:t xml:space="preserve"> </w:t>
      </w:r>
      <w:r>
        <w:t xml:space="preserve">index).</w:t>
      </w:r>
    </w:p>
    <w:bookmarkEnd w:id="10"/>
    <w:bookmarkStart w:id="11" w:name="from-legal-text-to-r-i-t-observations"/>
    <w:p>
      <w:pPr>
        <w:pStyle w:val="Heading2"/>
      </w:pPr>
      <w:r>
        <w:rPr>
          <w:rStyle w:val="SectionNumber"/>
        </w:rPr>
        <w:t xml:space="preserve">3</w:t>
      </w:r>
      <w:r>
        <w:tab/>
      </w:r>
      <w:r>
        <w:t xml:space="preserve">From legal text to R-I-T observations</w:t>
      </w:r>
    </w:p>
    <w:p>
      <w:pPr>
        <w:pStyle w:val="FirstParagraph"/>
      </w:pPr>
      <w:r>
        <w:t xml:space="preserve">The pipeline now follows: legal text → regulatory architecture → R-I-T</w:t>
      </w:r>
      <w:r>
        <w:t xml:space="preserve"> </w:t>
      </w:r>
      <w:r>
        <w:t xml:space="preserve">relationship → theoretical construct → observable variables → structured</w:t>
      </w:r>
      <w:r>
        <w:t xml:space="preserve"> </w:t>
      </w:r>
      <w:r>
        <w:t xml:space="preserve">data. A key design principle:</w:t>
      </w:r>
      <w:r>
        <w:t xml:space="preserve"> </w:t>
      </w:r>
      <w:r>
        <w:rPr>
          <w:b/>
          <w:bCs/>
        </w:rPr>
        <w:t xml:space="preserve">actor roles are relational, not intrinsic</w:t>
      </w:r>
      <w:r>
        <w:t xml:space="preserve">.</w:t>
      </w:r>
      <w:r>
        <w:t xml:space="preserve"> </w:t>
      </w:r>
      <w:r>
        <w:t xml:space="preserve">The same actor can be the intermediary in one relationship and the target of</w:t>
      </w:r>
      <w:r>
        <w:t xml:space="preserve"> </w:t>
      </w:r>
      <w:r>
        <w:t xml:space="preserve">a different relationship — found concretely in the EU ETS sample, where the</w:t>
      </w:r>
      <w:r>
        <w:t xml:space="preserve"> </w:t>
      </w:r>
      <w:r>
        <w:t xml:space="preserve">verifier is intermediary between the competent authority and the operator,</w:t>
      </w:r>
      <w:r>
        <w:t xml:space="preserve"> </w:t>
      </w:r>
      <w:r>
        <w:t xml:space="preserve">and simultaneously the target of its own accreditation relationship with the</w:t>
      </w:r>
      <w:r>
        <w:t xml:space="preserve"> </w:t>
      </w:r>
      <w:r>
        <w:t xml:space="preserve">national accreditation body.</w:t>
      </w:r>
    </w:p>
    <w:bookmarkEnd w:id="11"/>
    <w:bookmarkStart w:id="12" w:name="stage-a-screening-candidate-detection"/>
    <w:p>
      <w:pPr>
        <w:pStyle w:val="Heading2"/>
      </w:pPr>
      <w:r>
        <w:rPr>
          <w:rStyle w:val="SectionNumber"/>
        </w:rPr>
        <w:t xml:space="preserve">4</w:t>
      </w:r>
      <w:r>
        <w:tab/>
      </w:r>
      <w:r>
        <w:t xml:space="preserve">Stage A — screening (candidate detection)</w:t>
      </w:r>
    </w:p>
    <w:p>
      <w:pPr>
        <w:pStyle w:val="FirstParagraph"/>
      </w:pPr>
      <w:r>
        <w:t xml:space="preserve">Unchanged in substance from the previous round: four EU acts (CSRD,</w:t>
      </w:r>
      <w:r>
        <w:t xml:space="preserve"> </w:t>
      </w:r>
      <w:r>
        <w:t xml:space="preserve">Ecolabel, Climate Benchmarks, ETS Verification), collected by CELEX,</w:t>
      </w:r>
      <w:r>
        <w:t xml:space="preserve"> </w:t>
      </w:r>
      <w:r>
        <w:t xml:space="preserve">screened paragraph-by-paragraph with anchor/weak/exclusion lexical rules per</w:t>
      </w:r>
      <w:r>
        <w:t xml:space="preserve"> </w:t>
      </w:r>
      <w:r>
        <w:t xml:space="preserve">mechanism. Its role is now explicit:</w:t>
      </w:r>
      <w:r>
        <w:t xml:space="preserve"> </w:t>
      </w:r>
      <w:r>
        <w:rPr>
          <w:b/>
          <w:bCs/>
        </w:rPr>
        <w:t xml:space="preserve">Stage A only detects candidates</w:t>
      </w:r>
      <w:r>
        <w:t xml:space="preserve">; a</w:t>
      </w:r>
      <w:r>
        <w:t xml:space="preserve"> </w:t>
      </w:r>
      <w:r>
        <w:t xml:space="preserve">lexical hit is a</w:t>
      </w:r>
      <w:r>
        <w:t xml:space="preserve"> </w:t>
      </w:r>
      <w:r>
        <w:rPr>
          <w:rStyle w:val="VerbatimChar"/>
        </w:rPr>
        <w:t xml:space="preserve">screening_confidence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low</w:t>
      </w:r>
      <w:r>
        <w:t xml:space="preserve">, never a</w:t>
      </w:r>
      <w:r>
        <w:t xml:space="preserve"> </w:t>
      </w:r>
      <w:r>
        <w:t xml:space="preserve">confirmation that an intermediary exists. Detail:</w:t>
      </w:r>
      <w:r>
        <w:t xml:space="preserve"> </w:t>
      </w:r>
      <w:r>
        <w:rPr>
          <w:rStyle w:val="VerbatimChar"/>
        </w:rPr>
        <w:t xml:space="preserve">SCREENING_CODEBOOK.md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CODEBOOK.md</w:t>
      </w:r>
      <w:r>
        <w:t xml:space="preserve">.</w:t>
      </w:r>
    </w:p>
    <w:bookmarkEnd w:id="12"/>
    <w:bookmarkStart w:id="13" w:name="stage-b-substantive-coding"/>
    <w:p>
      <w:pPr>
        <w:pStyle w:val="Heading2"/>
      </w:pPr>
      <w:r>
        <w:rPr>
          <w:rStyle w:val="SectionNumber"/>
        </w:rPr>
        <w:t xml:space="preserve">5</w:t>
      </w:r>
      <w:r>
        <w:tab/>
      </w:r>
      <w:r>
        <w:t xml:space="preserve">Stage B — substantive coding</w:t>
      </w:r>
    </w:p>
    <w:p>
      <w:pPr>
        <w:pStyle w:val="FirstParagraph"/>
      </w:pPr>
      <w:r>
        <w:t xml:space="preserve">For each candidate provision, I applied a</w:t>
      </w:r>
      <w:r>
        <w:t xml:space="preserve"> </w:t>
      </w:r>
      <w:r>
        <w:rPr>
          <w:b/>
          <w:bCs/>
        </w:rPr>
        <w:t xml:space="preserve">relational test</w:t>
      </w:r>
      <w:r>
        <w:t xml:space="preserve"> </w:t>
      </w:r>
      <w:r>
        <w:t xml:space="preserve">— does this</w:t>
      </w:r>
      <w:r>
        <w:t xml:space="preserve"> </w:t>
      </w:r>
      <w:r>
        <w:t xml:space="preserve">actor perform an analytically distinct function mediating between a</w:t>
      </w:r>
      <w:r>
        <w:t xml:space="preserve"> </w:t>
      </w:r>
      <w:r>
        <w:t xml:space="preserve">regulator and a target? — and coded the result as a structured relationship,</w:t>
      </w:r>
      <w:r>
        <w:t xml:space="preserve"> </w:t>
      </w:r>
      <w:r>
        <w:t xml:space="preserve">never a label. From the same four acts, without adding new source material,</w:t>
      </w:r>
      <w:r>
        <w:t xml:space="preserve"> </w:t>
      </w:r>
      <w:r>
        <w:t xml:space="preserve">this produced</w:t>
      </w:r>
      <w:r>
        <w:t xml:space="preserve"> </w:t>
      </w:r>
      <w:r>
        <w:rPr>
          <w:b/>
          <w:bCs/>
        </w:rPr>
        <w:t xml:space="preserve">nine R-I-T relationships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chains showing meta-regulation</w:t>
      </w:r>
      <w:r>
        <w:t xml:space="preserve"> </w:t>
      </w:r>
      <w:r>
        <w:t xml:space="preserve">(an intermediary itself governed by</w:t>
      </w:r>
      <w:r>
        <w:t xml:space="preserve"> </w:t>
      </w:r>
      <w:r>
        <w:t xml:space="preserve">another intermediary): CSRD (group auditor supervising a subsidiary-level</w:t>
      </w:r>
      <w:r>
        <w:t xml:space="preserve"> </w:t>
      </w:r>
      <w:r>
        <w:t xml:space="preserve">assurance provider) and Ecolabel (a competent body relying on a</w:t>
      </w:r>
      <w:r>
        <w:t xml:space="preserve"> </w:t>
      </w:r>
      <w:r>
        <w:t xml:space="preserve">separately accredited testing/verification body) — in addition to the</w:t>
      </w:r>
      <w:r>
        <w:t xml:space="preserve"> </w:t>
      </w:r>
      <w:r>
        <w:t xml:space="preserve">ETS case already found in the previous round.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case of role multiplicity</w:t>
      </w:r>
      <w:r>
        <w:t xml:space="preserve">: the ETS verifier, intermediary in one</w:t>
      </w:r>
      <w:r>
        <w:t xml:space="preserve"> </w:t>
      </w:r>
      <w:r>
        <w:t xml:space="preserve">relationship and target in the linked accreditation relationship.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deliberate negative cases</w:t>
      </w:r>
      <w:r>
        <w:t xml:space="preserve">: a CSRD provision that is a direct</w:t>
      </w:r>
      <w:r>
        <w:t xml:space="preserve"> </w:t>
      </w:r>
      <w:r>
        <w:t xml:space="preserve">reporting duty with no mediating actor (dyadic R–T, not R-I-T), and an EU</w:t>
      </w:r>
      <w:r>
        <w:t xml:space="preserve"> </w:t>
      </w:r>
      <w:r>
        <w:t xml:space="preserve">Ecolabel advisory board that fails the relational test (it advises the</w:t>
      </w:r>
      <w:r>
        <w:t xml:space="preserve"> </w:t>
      </w:r>
      <w:r>
        <w:t xml:space="preserve">regulator; it does not mediate an existing R–T relationship). Negative</w:t>
      </w:r>
      <w:r>
        <w:t xml:space="preserve"> </w:t>
      </w:r>
      <w:r>
        <w:t xml:space="preserve">cases are evidence the test discriminates, not gaps in coverage.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conditional case</w:t>
      </w:r>
      <w:r>
        <w:t xml:space="preserve"> </w:t>
      </w:r>
      <w:r>
        <w:t xml:space="preserve">(Climate Benchmarks) — see below.</w:t>
      </w:r>
    </w:p>
    <w:p>
      <w:pPr>
        <w:pStyle w:val="FirstParagraph"/>
      </w:pPr>
      <w:r>
        <w:t xml:space="preserve">Nine relationships, not thousands of hits, is a deliberate choice: the</w:t>
      </w:r>
      <w:r>
        <w:t xml:space="preserve"> </w:t>
      </w:r>
      <w:r>
        <w:t xml:space="preserve">priority at this stage is demonstrating that the theory has been correctly</w:t>
      </w:r>
      <w:r>
        <w:t xml:space="preserve"> </w:t>
      </w:r>
      <w:r>
        <w:t xml:space="preserve">turned into data, not corpus coverage. Full table:</w:t>
      </w:r>
      <w:r>
        <w:t xml:space="preserve"> </w:t>
      </w:r>
      <w:r>
        <w:rPr>
          <w:rStyle w:val="VerbatimChar"/>
        </w:rPr>
        <w:t xml:space="preserve">RIT_CODEBOOK.md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data/rit_coded_sample_v2.csv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DATA_DICTIONARY.md</w:t>
      </w:r>
      <w:r>
        <w:t xml:space="preserve">.</w:t>
      </w:r>
    </w:p>
    <w:bookmarkEnd w:id="13"/>
    <w:bookmarkStart w:id="14" w:name="X50d7e8306327d42526415eeaf16c428e9c657e2"/>
    <w:p>
      <w:pPr>
        <w:pStyle w:val="Heading2"/>
      </w:pPr>
      <w:r>
        <w:rPr>
          <w:rStyle w:val="SectionNumber"/>
        </w:rPr>
        <w:t xml:space="preserve">6</w:t>
      </w:r>
      <w:r>
        <w:tab/>
      </w:r>
      <w:r>
        <w:t xml:space="preserve">Construct-validity question — Climate Benchmarks</w:t>
      </w:r>
    </w:p>
    <w:p>
      <w:pPr>
        <w:pStyle w:val="BlockText"/>
      </w:pPr>
      <w:r>
        <w:t xml:space="preserve">Does the benchmark administrator perform regulatory intermediation in the</w:t>
      </w:r>
      <w:r>
        <w:t xml:space="preserve"> </w:t>
      </w:r>
      <w:r>
        <w:t xml:space="preserve">theoretical sense used here, or is it primarily an index provider directly</w:t>
      </w:r>
      <w:r>
        <w:t xml:space="preserve"> </w:t>
      </w:r>
      <w:r>
        <w:t xml:space="preserve">regulated by the benchmark regime? The administrator selects, weights and</w:t>
      </w:r>
      <w:r>
        <w:t xml:space="preserve"> </w:t>
      </w:r>
      <w:r>
        <w:t xml:space="preserve">excludes assets against a predefined decarbonisation standard —</w:t>
      </w:r>
      <w:r>
        <w:t xml:space="preserve"> </w:t>
      </w:r>
      <w:r>
        <w:t xml:space="preserve">rating-like — but the regulator is not named in the specific provision</w:t>
      </w:r>
      <w:r>
        <w:t xml:space="preserve"> </w:t>
      </w:r>
      <w:r>
        <w:t xml:space="preserve">read, and the target is dual and indirect (the scored companies, and</w:t>
      </w:r>
      <w:r>
        <w:t xml:space="preserve"> </w:t>
      </w:r>
      <w:r>
        <w:t xml:space="preserve">separately the asset managers who use the label). I keep the case, coded</w:t>
      </w:r>
      <w:r>
        <w:t xml:space="preserve"> </w:t>
      </w:r>
      <w:r>
        <w:rPr>
          <w:rStyle w:val="VerbatimChar"/>
        </w:rPr>
        <w:t xml:space="preserve">construct_validity = conditional</w:t>
      </w:r>
      <w:r>
        <w:t xml:space="preserve">, and would value discussing directly</w:t>
      </w:r>
      <w:r>
        <w:t xml:space="preserve"> </w:t>
      </w:r>
      <w:r>
        <w:t xml:space="preserve">with David whether it should anchor the ranking/rating mechanism, or</w:t>
      </w:r>
      <w:r>
        <w:t xml:space="preserve"> </w:t>
      </w:r>
      <w:r>
        <w:t xml:space="preserve">whether a more direct case (e.g. credit rating agencies) should replace</w:t>
      </w:r>
      <w:r>
        <w:t xml:space="preserve"> </w:t>
      </w:r>
      <w:r>
        <w:t xml:space="preserve">it.</w:t>
      </w:r>
    </w:p>
    <w:bookmarkEnd w:id="14"/>
    <w:bookmarkStart w:id="15" w:name="validation"/>
    <w:p>
      <w:pPr>
        <w:pStyle w:val="Heading2"/>
      </w:pPr>
      <w:r>
        <w:rPr>
          <w:rStyle w:val="SectionNumber"/>
        </w:rPr>
        <w:t xml:space="preserve">7</w:t>
      </w:r>
      <w:r>
        <w:tab/>
      </w:r>
      <w:r>
        <w:t xml:space="preserve">Validation</w:t>
      </w:r>
    </w:p>
    <w:p>
      <w:pPr>
        <w:pStyle w:val="FirstParagraph"/>
      </w:pPr>
      <w:r>
        <w:t xml:space="preserve">Stage A screening was checked against a manually read</w:t>
      </w:r>
      <w:r>
        <w:t xml:space="preserve"> </w:t>
      </w:r>
      <w:r>
        <w:rPr>
          <w:b/>
          <w:bCs/>
        </w:rPr>
        <w:t xml:space="preserve">pilot reference</w:t>
      </w:r>
      <w:r>
        <w:rPr>
          <w:b/>
          <w:bCs/>
        </w:rP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(not a</w:t>
      </w:r>
      <w:r>
        <w:t xml:space="preserve"> </w:t>
      </w:r>
      <w:r>
        <w:t xml:space="preserve">“gold standard”</w:t>
      </w:r>
      <w:r>
        <w:t xml:space="preserve"> </w:t>
      </w:r>
      <w:r>
        <w:t xml:space="preserve">— the term overstated what a small,</w:t>
      </w:r>
      <w:r>
        <w:t xml:space="preserve"> </w:t>
      </w:r>
      <w:r>
        <w:t xml:space="preserve">non-random sample can support): precision 100%, recall 94.3%, F1 97.1% over</w:t>
      </w:r>
      <w:r>
        <w:t xml:space="preserve"> </w:t>
      </w:r>
      <w:r>
        <w:t xml:space="preserve">35 judged paragraphs. Stage B’s nine relationships have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been</w:t>
      </w:r>
      <w:r>
        <w:t xml:space="preserve"> </w:t>
      </w:r>
      <w:r>
        <w:t xml:space="preserve">checked by a second coder — inter-coder reliability, not precision/recall,</w:t>
      </w:r>
      <w:r>
        <w:t xml:space="preserve"> </w:t>
      </w:r>
      <w:r>
        <w:t xml:space="preserve">is the right instrument for relationship-level coding, and is the next</w:t>
      </w:r>
      <w:r>
        <w:t xml:space="preserve"> </w:t>
      </w:r>
      <w:r>
        <w:t xml:space="preserve">validation step, not something claimed as done. Detail:</w:t>
      </w:r>
      <w:r>
        <w:t xml:space="preserve"> </w:t>
      </w:r>
      <w:r>
        <w:rPr>
          <w:rStyle w:val="VerbatimChar"/>
        </w:rPr>
        <w:t xml:space="preserve">VALIDATION_PROTOCOL.md</w:t>
      </w:r>
      <w:r>
        <w:t xml:space="preserve">.</w:t>
      </w:r>
    </w:p>
    <w:bookmarkEnd w:id="15"/>
    <w:bookmarkStart w:id="16" w:name="limitations"/>
    <w:p>
      <w:pPr>
        <w:pStyle w:val="Heading2"/>
      </w:pPr>
      <w:r>
        <w:rPr>
          <w:rStyle w:val="SectionNumber"/>
        </w:rPr>
        <w:t xml:space="preserve">8</w:t>
      </w:r>
      <w:r>
        <w:tab/>
      </w:r>
      <w:r>
        <w:t xml:space="preserve">Limitations</w:t>
      </w:r>
    </w:p>
    <w:p>
      <w:pPr>
        <w:pStyle w:val="Compact"/>
        <w:numPr>
          <w:ilvl w:val="0"/>
          <w:numId w:val="1002"/>
        </w:numPr>
      </w:pPr>
      <w:r>
        <w:t xml:space="preserve">Nine relationships from four acts demonstrate the architecture; they are</w:t>
      </w:r>
      <w:r>
        <w:t xml:space="preserve"> </w:t>
      </w:r>
      <w:r>
        <w:t xml:space="preserve">not a corpus-scale dataset.</w:t>
      </w:r>
    </w:p>
    <w:p>
      <w:pPr>
        <w:pStyle w:val="Compact"/>
        <w:numPr>
          <w:ilvl w:val="0"/>
          <w:numId w:val="1002"/>
        </w:numPr>
      </w:pPr>
      <w:r>
        <w:t xml:space="preserve">Several theoretically important attributes (autonomy and accountability</w:t>
      </w:r>
      <w:r>
        <w:t xml:space="preserve"> </w:t>
      </w:r>
      <w:r>
        <w:t xml:space="preserve">indicator batteries, motivation, centrality) are defined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DATA_DICTIONARY.md</w:t>
      </w:r>
      <w:r>
        <w:t xml:space="preserve">) but not yet coded — populating them without a</w:t>
      </w:r>
      <w:r>
        <w:t xml:space="preserve"> </w:t>
      </w:r>
      <w:r>
        <w:t xml:space="preserve">second coder to check the harder judgment calls would manufacture false</w:t>
      </w:r>
      <w:r>
        <w:t xml:space="preserve"> </w:t>
      </w:r>
      <w:r>
        <w:t xml:space="preserve">precision.</w:t>
      </w:r>
    </w:p>
    <w:p>
      <w:pPr>
        <w:pStyle w:val="Compact"/>
        <w:numPr>
          <w:ilvl w:val="0"/>
          <w:numId w:val="1002"/>
        </w:numPr>
      </w:pPr>
      <w:r>
        <w:t xml:space="preserve">The population of</w:t>
      </w:r>
      <w:r>
        <w:t xml:space="preserve"> </w:t>
      </w:r>
      <w:r>
        <w:t xml:space="preserve">“EU green-transition legislation”</w:t>
      </w:r>
      <w:r>
        <w:t xml:space="preserve"> </w:t>
      </w:r>
      <w:r>
        <w:t xml:space="preserve">has not been defined;</w:t>
      </w:r>
      <w:r>
        <w:t xml:space="preserve"> </w:t>
      </w:r>
      <w:r>
        <w:t xml:space="preserve">this must happen before any move to query EUR-Lex/Cellar at scale</w:t>
      </w:r>
      <w:r>
        <w:t xml:space="preserve"> </w:t>
      </w:r>
      <w:r>
        <w:t xml:space="preserve">(</w:t>
      </w:r>
      <w:r>
        <w:rPr>
          <w:rStyle w:val="VerbatimChar"/>
        </w:rPr>
        <w:t xml:space="preserve">METHODOLOGY_v2.md</w:t>
      </w:r>
      <w:r>
        <w:t xml:space="preserve">).</w:t>
      </w:r>
    </w:p>
    <w:bookmarkEnd w:id="16"/>
    <w:bookmarkStart w:id="17" w:name="next-steps"/>
    <w:p>
      <w:pPr>
        <w:pStyle w:val="Heading2"/>
      </w:pPr>
      <w:r>
        <w:rPr>
          <w:rStyle w:val="SectionNumber"/>
        </w:rPr>
        <w:t xml:space="preserve">9</w:t>
      </w:r>
      <w:r>
        <w:tab/>
      </w:r>
      <w:r>
        <w:t xml:space="preserve">Next steps</w:t>
      </w:r>
    </w:p>
    <w:p>
      <w:pPr>
        <w:pStyle w:val="Compact"/>
        <w:numPr>
          <w:ilvl w:val="0"/>
          <w:numId w:val="1003"/>
        </w:numPr>
      </w:pPr>
      <w:r>
        <w:t xml:space="preserve">Define the population and sampling frame in writing before any SPARQL</w:t>
      </w:r>
      <w:r>
        <w:t xml:space="preserve"> </w:t>
      </w:r>
      <w:r>
        <w:t xml:space="preserve">query — SPARQL solves retrieval, not population definition.</w:t>
      </w:r>
    </w:p>
    <w:p>
      <w:pPr>
        <w:pStyle w:val="Compact"/>
        <w:numPr>
          <w:ilvl w:val="0"/>
          <w:numId w:val="1003"/>
        </w:numPr>
      </w:pPr>
      <w:r>
        <w:t xml:space="preserve">Independent second-coder pass on the same four articles; measure</w:t>
      </w:r>
      <w:r>
        <w:t xml:space="preserve"> </w:t>
      </w:r>
      <w:r>
        <w:t xml:space="preserve">inter-coder agreement; adjudicate and revise</w:t>
      </w:r>
      <w:r>
        <w:t xml:space="preserve"> </w:t>
      </w:r>
      <w:r>
        <w:rPr>
          <w:rStyle w:val="VerbatimChar"/>
        </w:rPr>
        <w:t xml:space="preserve">RIT_CODEBOOK.md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Resolve the Climate Benchmarks construct-validity question directly with</w:t>
      </w:r>
      <w:r>
        <w:t xml:space="preserve"> </w:t>
      </w:r>
      <w:r>
        <w:t xml:space="preserve">David.</w:t>
      </w:r>
    </w:p>
    <w:p>
      <w:pPr>
        <w:pStyle w:val="Compact"/>
        <w:numPr>
          <w:ilvl w:val="0"/>
          <w:numId w:val="1003"/>
        </w:numPr>
      </w:pPr>
      <w:r>
        <w:t xml:space="preserve">Populate the autonomy and accountability indicator batteries once a</w:t>
      </w:r>
      <w:r>
        <w:t xml:space="preserve"> </w:t>
      </w:r>
      <w:r>
        <w:t xml:space="preserve">second coder is in place.</w:t>
      </w:r>
    </w:p>
    <w:bookmarkEnd w:id="17"/>
    <w:bookmarkStart w:id="18" w:name="conclusion"/>
    <w:p>
      <w:pPr>
        <w:pStyle w:val="Heading2"/>
      </w:pPr>
      <w:r>
        <w:rPr>
          <w:rStyle w:val="SectionNumber"/>
        </w:rPr>
        <w:t xml:space="preserve">10</w:t>
      </w:r>
      <w:r>
        <w:tab/>
      </w:r>
      <w:r>
        <w:t xml:space="preserve">Conclusion</w:t>
      </w:r>
    </w:p>
    <w:p>
      <w:pPr>
        <w:pStyle w:val="FirstParagraph"/>
      </w:pPr>
      <w:r>
        <w:t xml:space="preserve">The pilot demonstrates a reproducible workflow in which lexical screening is</w:t>
      </w:r>
      <w:r>
        <w:t xml:space="preserve"> </w:t>
      </w:r>
      <w:r>
        <w:t xml:space="preserve">used only to locate candidate provisions. Substantive coding then</w:t>
      </w:r>
      <w:r>
        <w:t xml:space="preserve"> </w:t>
      </w:r>
      <w:r>
        <w:t xml:space="preserve">reconstructs R-I-T relationships, identifies the regulatory mechanism,</w:t>
      </w:r>
      <w:r>
        <w:t xml:space="preserve"> </w:t>
      </w:r>
      <w:r>
        <w:t xml:space="preserve">records institutional attributes and preserves verbatim legal evidence. The</w:t>
      </w:r>
      <w:r>
        <w:t xml:space="preserve"> </w:t>
      </w:r>
      <w:r>
        <w:t xml:space="preserve">resulting architecture is designed to support future measurement of</w:t>
      </w:r>
      <w:r>
        <w:t xml:space="preserve"> </w:t>
      </w:r>
      <w:r>
        <w:t xml:space="preserve">intermediary autonomy, accountability and governance structure without</w:t>
      </w:r>
      <w:r>
        <w:t xml:space="preserve"> </w:t>
      </w:r>
      <w:r>
        <w:t xml:space="preserve">prematurely converting theoretical constructs into unvalidated indices.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Annexes</w:t>
      </w:r>
      <w:r>
        <w:t xml:space="preserve"> </w:t>
      </w:r>
      <w:r>
        <w:t xml:space="preserve">(separate files):</w:t>
      </w:r>
      <w:r>
        <w:t xml:space="preserve"> </w:t>
      </w:r>
      <w:r>
        <w:rPr>
          <w:rStyle w:val="VerbatimChar"/>
        </w:rPr>
        <w:t xml:space="preserve">RIT_CODEBOOK.md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data/rit_coded_sample_v2.csv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DATA_DICTIONARY.md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VARIABLE_MAP.md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VALIDATION_PROTOCOL.md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METHODOLOGY_v2.md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SCREENING_CODEBOOK.md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CODEBOOK.md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Regulatory Intermediaries in EU Green-Transition Legislation (v2)</dc:title>
  <dc:creator>Igor Caires Machado — Postdoctoral Researcher, ENAP · ORCID 0009-0008-9547-5223</dc:creator>
  <dc:language>en</dc:language>
  <cp:keywords/>
  <dcterms:created xsi:type="dcterms:W3CDTF">2026-09-05T22:01:12Z</dcterms:created>
  <dcterms:modified xsi:type="dcterms:W3CDTF">2026-09-05T22:01:12Z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5 September 2026</vt:lpwstr>
  </property>
</Properties>
</file>