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40"/>
      </w:pPr>
      <w:r>
        <w:rPr>
          <w:b/>
          <w:color w:val="2F6B8A"/>
          <w:sz w:val="17"/>
        </w:rPr>
        <w:t>NOTA TÉCNICA — VERSÃO PRELIMINAR</w:t>
      </w:r>
    </w:p>
    <w:p>
      <w:pPr>
        <w:pStyle w:val="Title"/>
        <w:widowControl/>
        <w:jc w:val="left"/>
      </w:pPr>
      <w:r>
        <w:t>Identificação de intermediários regulatórios na legislação europeia</w:t>
      </w:r>
    </w:p>
    <w:p>
      <w:pPr>
        <w:pStyle w:val="Subtitle"/>
        <w:widowControl/>
      </w:pPr>
      <w:r>
        <w:t>Exercício piloto de codificação assistida por LLM · Regulatory Intermediation · Transição verde da União Europeia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2098"/>
            <w:tcMar>
              <w:top w:w="95" w:type="dxa"/>
              <w:start w:w="130" w:type="dxa"/>
              <w:bottom w:w="95" w:type="dxa"/>
              <w:end w:w="130" w:type="dxa"/>
            </w:tcMar>
            <w:shd w:fill="18364A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7030"/>
            <w:tcMar>
              <w:top w:w="95" w:type="dxa"/>
              <w:start w:w="130" w:type="dxa"/>
              <w:bottom w:w="95" w:type="dxa"/>
              <w:end w:w="130" w:type="dxa"/>
            </w:tcMar>
            <w:shd w:fill="EAF1F5"/>
          </w:tcPr>
          <w:p>
            <w:pPr>
              <w:spacing w:after="0"/>
            </w:pPr>
            <w:r>
              <w:rPr>
                <w:sz w:val="17"/>
              </w:rPr>
              <w:t>Estrutura conceitual e metodológica estabilizada. Resultados empíricos aguardam dataset adjudicado.</w:t>
            </w:r>
          </w:p>
        </w:tc>
      </w:tr>
    </w:tbl>
    <w:p>
      <w:pPr>
        <w:widowControl/>
      </w:pPr>
      <w:r>
        <w:rPr>
          <w:i w:val="0"/>
        </w:rPr>
        <w:t>Esta nota apresenta a formulação preliminar de um exercício piloto destinado a testar a viabilidade de converter atos normativos da União Europeia em dados estruturados sobre relações regulatórias, com foco em regulatory intermediation. A versão atual consolida o problema analítico, as regras de codificação e o workflow de produção. A seção de resultados foi deliberadamente deixada aberta para incorporação do dataset final, evitando antecipar achados ainda não adjudicados.</w:t>
      </w:r>
    </w:p>
    <w:p>
      <w:pPr>
        <w:pStyle w:val="Heading1"/>
        <w:widowControl/>
      </w:pPr>
      <w:r>
        <w:rPr>
          <w:i w:val="0"/>
        </w:rPr>
        <w:t>1. Objetivo do exercício</w:t>
      </w:r>
    </w:p>
    <w:p>
      <w:pPr>
        <w:widowControl/>
      </w:pPr>
      <w:r>
        <w:rPr>
          <w:i w:val="0"/>
        </w:rPr>
        <w:t>O exercício investiga se é possível reconstruir, de forma sistemática, auditável e posteriormente escalável, relações regulatórias contidas em legislação europeia e convertê-las em observações estruturadas. O foco não recai sobre a simples identificação de organizações citadas no texto normativo, mas sobre a arquitetura relacional Regulator–Intermediary–Target (R–I–T): quem exerce uma função regulatória, por meio de quem, sobre qual target, mediante qual mecanismo e com qual evidência textual.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"/>
        <w:gridCol w:w="9014"/>
      </w:tblGrid>
      <w:tr>
        <w:tc>
          <w:tcPr>
            <w:tcW w:type="dxa" w:w="4986"/>
            <w:shd w:fill="2F6B8A"/>
          </w:tcPr>
          <w:p/>
        </w:tc>
        <w:tc>
          <w:tcPr>
            <w:tcW w:type="dxa" w:w="4986"/>
            <w:shd w:fill="F5F7F8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after="0"/>
            </w:pPr>
            <w:r>
              <w:rPr>
                <w:i/>
                <w:color w:val="1E2529"/>
                <w:sz w:val="18"/>
              </w:rPr>
              <w:t>O propósito não é identificar atores que possam ser classificados genericamente como “intermediários”, mas reconstruir relações regulatórias nas quais um ator desempenha uma função mediadora entre um regulador e um target.</w:t>
            </w:r>
          </w:p>
        </w:tc>
      </w:tr>
    </w:tbl>
    <w:p>
      <w:pPr>
        <w:widowControl/>
      </w:pPr>
      <w:r>
        <w:rPr>
          <w:i w:val="0"/>
        </w:rPr>
        <w:t>O produto imediato é um proof of concept composto por três atos regulatórios associados à transição verde da União Europeia, uma matriz de relações codificadas e uma avaliação inicial da utilidade de LLMs como instrumentos de leitura e codificação substantiva. A ambição, nesta etapa, é metodológica: demonstrar que a passagem de texto jurídico para dados relacionais pode ser executada com regras explícitas, evidência rastreável e adjudicação do pesquisador.</w:t>
      </w:r>
    </w:p>
    <w:p>
      <w:pPr>
        <w:pStyle w:val="Heading1"/>
        <w:widowControl/>
      </w:pPr>
      <w:r>
        <w:rPr>
          <w:i w:val="0"/>
        </w:rPr>
        <w:t>2. Problema conceitual: de atores para relações</w:t>
      </w:r>
    </w:p>
    <w:p>
      <w:pPr>
        <w:widowControl/>
      </w:pPr>
      <w:r>
        <w:rPr>
          <w:i w:val="0"/>
        </w:rPr>
        <w:t>R, I e T são tratados como papéis relacionais, não como atributos permanentes de atores. A mesma organização pode atuar como regulator em uma relação, intermediary em outra e target em uma terceira. Por isso, a unidade analítica não é uma lista de instituições previamente classificadas, mas uma relação regulatória sustentada por evidência documental.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8364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NÃO É SUFICIENTE</w:t>
            </w:r>
          </w:p>
        </w:tc>
        <w:tc>
          <w:tcPr>
            <w:tcW w:type="dxa" w:w="4986"/>
            <w:shd w:fill="18364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É NECESSÁRIO</w:t>
            </w:r>
          </w:p>
        </w:tc>
      </w:tr>
      <w:tr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r>
              <w:t>Palavra-chave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r>
              <w:t>Relação regulatória reconstruída</w:t>
            </w:r>
          </w:p>
        </w:tc>
      </w:tr>
      <w:tr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r>
              <w:t>Menção a um ator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r>
              <w:t>Função regulatória identificável</w:t>
            </w:r>
          </w:p>
        </w:tc>
      </w:tr>
      <w:tr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r>
              <w:t>Presença de um terceiro ator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r>
              <w:t>Função mediadora demonstrável</w:t>
            </w:r>
          </w:p>
        </w:tc>
      </w:tr>
      <w:tr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r>
              <w:t>Relatório ou informação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r>
              <w:t>Papel do fluxo informacional na relação R–T</w:t>
            </w:r>
          </w:p>
        </w:tc>
      </w:tr>
      <w:tr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r>
              <w:t>Advice / assistance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E4EA"/>
            </w:tcBorders>
          </w:tcPr>
          <w:p>
            <w:r>
              <w:t>Contribuição integrada à operação regulatória</w:t>
            </w:r>
          </w:p>
        </w:tc>
      </w:tr>
    </w:tbl>
    <w:p>
      <w:pPr>
        <w:widowControl/>
        <w:spacing w:before="100" w:after="40"/>
      </w:pPr>
      <w:r>
        <w:rPr>
          <w:b/>
          <w:color w:val="2F6B8A"/>
        </w:rPr>
        <w:t>Quatro regras operacionais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"/>
        <w:gridCol w:w="9014"/>
      </w:tblGrid>
      <w:tr>
        <w:tc>
          <w:tcPr>
            <w:tcW w:type="dxa" w:w="4986"/>
            <w:shd w:fill="2F6B8A"/>
          </w:tcPr>
          <w:p/>
        </w:tc>
        <w:tc>
          <w:tcPr>
            <w:tcW w:type="dxa" w:w="4986"/>
            <w:shd w:fill="F5F7F8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after="0"/>
            </w:pPr>
            <w:r>
              <w:rPr>
                <w:i/>
                <w:color w:val="1E2529"/>
                <w:sz w:val="18"/>
              </w:rPr>
              <w:t>Keyword ≠ regulatory relationship   ·   Actor mention ≠ intermediary   ·   Advice/assistance ≠ automatically intermediation   ·   Object ≠ target</w:t>
            </w:r>
          </w:p>
        </w:tc>
      </w:tr>
    </w:tbl>
    <w:p>
      <w:pPr>
        <w:widowControl/>
      </w:pPr>
      <w:r>
        <w:rPr>
          <w:i w:val="0"/>
        </w:rPr>
        <w:t>Essas distinções reduzem dois riscos centrais: overcoding — classificar como intermediação qualquer participação institucional — e role confusion — confundir o objeto material da obrigação com o target regulado. O teste decisivo é funcional: o ator intermediário precisa desempenhar uma função institucionalmente integrada à operação da relação entre R e T.</w:t>
      </w:r>
    </w:p>
    <w:p>
      <w:pPr>
        <w:pStyle w:val="Heading1"/>
        <w:widowControl/>
      </w:pPr>
      <w:r>
        <w:rPr>
          <w:i w:val="0"/>
        </w:rPr>
        <w:t>3. O que o piloto metodológico já ensinou</w:t>
      </w:r>
    </w:p>
    <w:p>
      <w:pPr>
        <w:widowControl/>
      </w:pPr>
      <w:r>
        <w:rPr>
          <w:i w:val="0"/>
        </w:rPr>
        <w:t>A fase inicial foi deliberadamente intensiva em calibração. Foram combinadas codificações independentes, diferentes famílias de LLM, comparação estruturada e adjudicação de divergências. Esse desenho não foi concebido como workflow permanente, mas como mecanismo para revelar onde se concentram os problemas de confiabilidade antes da produção rotineira.</w:t>
      </w:r>
    </w:p>
    <w:p>
      <w:pPr>
        <w:widowControl/>
        <w:spacing w:after="50"/>
        <w:ind w:left="283" w:hanging="198"/>
      </w:pPr>
      <w:r>
        <w:rPr>
          <w:b/>
          <w:color w:val="2F6B8A"/>
        </w:rPr>
        <w:t xml:space="preserve">1. </w:t>
      </w:r>
      <w:r>
        <w:t>Screening lexical é útil para ampliar recall e localizar candidatos, mas não substitui interpretação substantiva da relação regulatória.</w:t>
      </w:r>
    </w:p>
    <w:p>
      <w:pPr>
        <w:widowControl/>
        <w:spacing w:after="50"/>
        <w:ind w:left="283" w:hanging="198"/>
      </w:pPr>
      <w:r>
        <w:rPr>
          <w:b/>
          <w:color w:val="2F6B8A"/>
        </w:rPr>
        <w:t xml:space="preserve">2. </w:t>
      </w:r>
      <w:r>
        <w:t>A unidade jurídica precisa ser contextual: regulator, intermediary e target podem estar distribuídos entre caput, parágrafos, anexos e referências internas.</w:t>
      </w:r>
    </w:p>
    <w:p>
      <w:pPr>
        <w:widowControl/>
        <w:spacing w:after="50"/>
        <w:ind w:left="283" w:hanging="198"/>
      </w:pPr>
      <w:r>
        <w:rPr>
          <w:b/>
          <w:color w:val="2F6B8A"/>
        </w:rPr>
        <w:t xml:space="preserve">3. </w:t>
      </w:r>
      <w:r>
        <w:t>A concordância tende a ser maior nos casos negativos; as divergências relevantes concentram-se justamente nas fronteiras teoricamente interessantes da intermediação.</w:t>
      </w:r>
    </w:p>
    <w:p>
      <w:pPr>
        <w:widowControl/>
        <w:spacing w:after="50"/>
        <w:ind w:left="283" w:hanging="198"/>
      </w:pPr>
      <w:r>
        <w:rPr>
          <w:b/>
          <w:color w:val="2F6B8A"/>
        </w:rPr>
        <w:t xml:space="preserve">4. </w:t>
      </w:r>
      <w:r>
        <w:t>A fronteira entre informação, advice, assistance e regulatory intermediation mostrou-se um dos pontos conceituais mais sensíveis.</w:t>
      </w:r>
    </w:p>
    <w:p>
      <w:pPr>
        <w:widowControl/>
        <w:spacing w:after="50"/>
        <w:ind w:left="283" w:hanging="198"/>
      </w:pPr>
      <w:r>
        <w:rPr>
          <w:b/>
          <w:color w:val="2F6B8A"/>
        </w:rPr>
        <w:t xml:space="preserve">5. </w:t>
      </w:r>
      <w:r>
        <w:t>A arquitetura experimental inicial mostrou-se excessivamente complexa para uso rotineiro, justificando um workflow de produção mais simples sem abandonar os safeguards substantivos.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"/>
        <w:gridCol w:w="9014"/>
      </w:tblGrid>
      <w:tr>
        <w:tc>
          <w:tcPr>
            <w:tcW w:type="dxa" w:w="4986"/>
            <w:shd w:fill="2F6B8A"/>
          </w:tcPr>
          <w:p/>
        </w:tc>
        <w:tc>
          <w:tcPr>
            <w:tcW w:type="dxa" w:w="4986"/>
            <w:shd w:fill="F5F7F8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after="0"/>
            </w:pPr>
            <w:r>
              <w:rPr>
                <w:i/>
                <w:color w:val="1E2529"/>
                <w:sz w:val="18"/>
              </w:rPr>
              <w:t>O piloto cumpriu uma função de calibração. A fase de produção foi simplificada, mas preserva leitura integral, revisão crítica, evidência textual e adjudicação final do pesquisador.</w:t>
            </w:r>
          </w:p>
        </w:tc>
      </w:tr>
    </w:tbl>
    <w:p>
      <w:pPr>
        <w:pStyle w:val="Heading1"/>
        <w:widowControl/>
      </w:pPr>
      <w:r>
        <w:rPr>
          <w:i w:val="0"/>
        </w:rPr>
        <w:t>4. Workflow simplificado de produção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type="dxa" w:w="9972"/>
            <w:shd w:fill="18364A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ATO OFICIAL EUR-LEX</w:t>
            </w:r>
          </w:p>
        </w:tc>
      </w:tr>
      <w:tr>
        <w:tc>
          <w:tcPr>
            <w:tcW w:type="dxa" w:w="9972"/>
            <w:shd w:fill="EAF1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529"/>
                <w:sz w:val="17"/>
              </w:rPr>
              <w:t>↓  Corpus congelado</w:t>
            </w:r>
          </w:p>
        </w:tc>
      </w:tr>
      <w:tr>
        <w:tc>
          <w:tcPr>
            <w:tcW w:type="dxa" w:w="9972"/>
            <w:shd w:fill="D8E4EA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529"/>
                <w:sz w:val="17"/>
              </w:rPr>
              <w:t>CLAUDE  ·  leitura integral + proposta de codificação</w:t>
            </w:r>
          </w:p>
        </w:tc>
      </w:tr>
      <w:tr>
        <w:tc>
          <w:tcPr>
            <w:tcW w:type="dxa" w:w="9972"/>
            <w:shd w:fill="EAF1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529"/>
                <w:sz w:val="17"/>
              </w:rPr>
              <w:t>LUNA  ·  revisão crítica + estruturação do dataset</w:t>
            </w:r>
          </w:p>
        </w:tc>
      </w:tr>
      <w:tr>
        <w:tc>
          <w:tcPr>
            <w:tcW w:type="dxa" w:w="9972"/>
            <w:shd w:fill="D8E4EA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2529"/>
                <w:sz w:val="17"/>
              </w:rPr>
              <w:t>PESQUISADOR  ·  adjudicação final</w:t>
            </w:r>
          </w:p>
        </w:tc>
      </w:tr>
      <w:tr>
        <w:tc>
          <w:tcPr>
            <w:tcW w:type="dxa" w:w="9972"/>
            <w:shd w:fill="18364A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CSV FINAL</w:t>
            </w:r>
          </w:p>
        </w:tc>
      </w:tr>
    </w:tbl>
    <w:p>
      <w:pPr>
        <w:pStyle w:val="Heading2"/>
        <w:widowControl/>
      </w:pPr>
      <w:r>
        <w:rPr>
          <w:i w:val="0"/>
        </w:rPr>
        <w:t>4.1 Claude — codificador substantivo primário</w:t>
      </w:r>
    </w:p>
    <w:p>
      <w:pPr>
        <w:widowControl/>
      </w:pPr>
      <w:r>
        <w:rPr>
          <w:i w:val="0"/>
        </w:rPr>
        <w:t>Claude realiza a leitura integral de cada ato e produz propostas de relações regulatórias em estrutura padronizada. Para cada observação candidata, registra regulator (R), intermediary (I), target (T), ação, objeto, função mediadora, mecanismo, evidência, tipo da relação e nível de confiança. O modelo não recebe autorização para completar lacunas com conhecimento externo quando a relação não estiver sustentada pelo corpus.</w:t>
      </w:r>
    </w:p>
    <w:p>
      <w:pPr>
        <w:pStyle w:val="Heading2"/>
        <w:widowControl/>
      </w:pPr>
      <w:r>
        <w:rPr>
          <w:i w:val="0"/>
        </w:rPr>
        <w:t>4.2 Luna — revisor secundário e estruturador</w:t>
      </w:r>
    </w:p>
    <w:p>
      <w:pPr>
        <w:widowControl/>
      </w:pPr>
      <w:r>
        <w:rPr>
          <w:i w:val="0"/>
        </w:rPr>
        <w:t>Luna relê criticamente as propostas, procurando omissões, overcoding, confusão entre target e object, falsos intermediários, insuficiência de evidência e inconsistências de schema. Seu papel não é ratificar automaticamente a primeira leitura, mas funcionar como uma segunda camada de contestação e normalização do dataset.</w:t>
      </w:r>
    </w:p>
    <w:p>
      <w:pPr>
        <w:pStyle w:val="Heading2"/>
        <w:widowControl/>
      </w:pPr>
      <w:r>
        <w:rPr>
          <w:i w:val="0"/>
        </w:rPr>
        <w:t>4.3 Pesquisador — adjudicação</w:t>
      </w:r>
    </w:p>
    <w:p>
      <w:pPr>
        <w:widowControl/>
      </w:pPr>
      <w:r>
        <w:rPr>
          <w:i w:val="0"/>
        </w:rPr>
        <w:t>A autoridade final permanece humana. O pesquisador decide os casos relevantes, especialmente divergências, baixa confiança e fronteiras conceituais. A formulação operacional é simples: the LLM proposes; the researcher remains responsible for the final coding.</w:t>
      </w:r>
    </w:p>
    <w:p>
      <w:pPr>
        <w:pStyle w:val="Heading1"/>
        <w:widowControl/>
      </w:pPr>
      <w:r>
        <w:rPr>
          <w:i w:val="0"/>
        </w:rPr>
        <w:t>5. Casos selecionados</w:t>
      </w:r>
    </w:p>
    <w:p>
      <w:pPr>
        <w:widowControl/>
      </w:pPr>
      <w:r>
        <w:rPr>
          <w:i w:val="0"/>
        </w:rPr>
        <w:t>Os três casos foram selecionados prospectivamente por relevância para a transição verde, diversidade institucional e viabilidade de leitura integral. A seleção não utilizou resultados R–I–T, quantidade de keywords ou conhecimento prévio da existência de intermediários, evitando selecionar o universo pelo próprio fenômeno que se pretende observar.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8364A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Caso</w:t>
            </w:r>
          </w:p>
        </w:tc>
        <w:tc>
          <w:tcPr>
            <w:tcW w:type="dxa" w:w="2493"/>
            <w:shd w:fill="18364A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CELEX</w:t>
            </w:r>
          </w:p>
        </w:tc>
        <w:tc>
          <w:tcPr>
            <w:tcW w:type="dxa" w:w="2493"/>
            <w:shd w:fill="18364A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Regulação</w:t>
            </w:r>
          </w:p>
        </w:tc>
        <w:tc>
          <w:tcPr>
            <w:tcW w:type="dxa" w:w="2493"/>
            <w:shd w:fill="18364A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Arquitetura regulatória geral</w:t>
            </w:r>
          </w:p>
        </w:tc>
      </w:tr>
      <w:tr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r>
              <w:rPr>
                <w:sz w:val="15"/>
              </w:rPr>
              <w:t>32021R1119</w:t>
            </w:r>
          </w:p>
        </w:tc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r>
              <w:rPr>
                <w:sz w:val="15"/>
              </w:rPr>
              <w:t>European Climate Law</w:t>
            </w:r>
          </w:p>
        </w:tc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r>
              <w:rPr>
                <w:sz w:val="15"/>
              </w:rPr>
              <w:t>Governança climática, assessment, monitoring e scientific inputs.</w:t>
            </w:r>
          </w:p>
        </w:tc>
      </w:tr>
      <w:tr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r>
              <w:rPr>
                <w:sz w:val="15"/>
              </w:rPr>
              <w:t>32023R0956</w:t>
            </w:r>
          </w:p>
        </w:tc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r>
              <w:rPr>
                <w:sz w:val="15"/>
              </w:rPr>
              <w:t>Carbon Border Adjustment Mechanism (CBAM)</w:t>
            </w:r>
          </w:p>
        </w:tc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r>
              <w:rPr>
                <w:sz w:val="15"/>
              </w:rPr>
              <w:t>Importação, emissões, certificados, verification, customs e compliance.</w:t>
            </w:r>
          </w:p>
        </w:tc>
      </w:tr>
      <w:tr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r>
              <w:rPr>
                <w:sz w:val="15"/>
              </w:rPr>
              <w:t>32023R1115</w:t>
            </w:r>
          </w:p>
        </w:tc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r>
              <w:rPr>
                <w:sz w:val="15"/>
              </w:rPr>
              <w:t>Deforestation-Free Products Regulation (EUDR)</w:t>
            </w:r>
          </w:p>
        </w:tc>
        <w:tc>
          <w:tcPr>
            <w:tcW w:type="dxa" w:w="2493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3" w:color="D8E4EA"/>
            </w:tcBorders>
          </w:tcPr>
          <w:p>
            <w:r>
              <w:rPr>
                <w:sz w:val="15"/>
              </w:rPr>
              <w:t>Due diligence, rastreabilidade, informação, checks e supply-chain governance.</w:t>
            </w:r>
          </w:p>
        </w:tc>
      </w:tr>
    </w:tbl>
    <w:p>
      <w:pPr>
        <w:pStyle w:val="Heading1"/>
        <w:widowControl/>
      </w:pPr>
      <w:r>
        <w:rPr>
          <w:i w:val="0"/>
        </w:rPr>
        <w:t>6. Protocolo de codificação</w:t>
      </w:r>
    </w:p>
    <w:p>
      <w:pPr>
        <w:pStyle w:val="Heading2"/>
        <w:widowControl/>
      </w:pPr>
      <w:r>
        <w:rPr>
          <w:i w:val="0"/>
        </w:rPr>
        <w:t>6.1 Unidade de análise</w:t>
      </w:r>
    </w:p>
    <w:p>
      <w:pPr>
        <w:widowControl/>
      </w:pPr>
      <w:r>
        <w:rPr>
          <w:i w:val="0"/>
        </w:rPr>
        <w:t>A unidade é uma relação regulatória apoiada por evidência textual. Uma relação pode exigir leitura contextual de mais de uma disposição, desde que sua reconstrução permaneça vinculada ao corpus e seja auditável.</w:t>
      </w:r>
    </w:p>
    <w:p>
      <w:pPr>
        <w:pStyle w:val="Heading2"/>
        <w:widowControl/>
      </w:pPr>
      <w:r>
        <w:rPr>
          <w:i w:val="0"/>
        </w:rPr>
        <w:t>6.2 Tipos de relação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  <w:t xml:space="preserve">• </w:t>
      </w:r>
      <w:r>
        <w:t>intermediated — relação R–I–T com função mediadora demonstrável;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  <w:t xml:space="preserve">• </w:t>
      </w:r>
      <w:r>
        <w:t>direct — relação R–T sem intermediário identificado;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  <w:t xml:space="preserve">• </w:t>
      </w:r>
      <w:r>
        <w:t>uncertain — arquitetura regulatória plausível, mas um elemento essencial permanece indeterminado;</w:t>
      </w:r>
    </w:p>
    <w:p>
      <w:pPr>
        <w:widowControl/>
        <w:spacing w:after="40"/>
        <w:ind w:left="255" w:hanging="142"/>
      </w:pPr>
      <w:r>
        <w:rPr>
          <w:b/>
          <w:color w:val="2F6B8A"/>
        </w:rPr>
        <w:t xml:space="preserve">• </w:t>
      </w:r>
      <w:r>
        <w:t>not supported — não há relação regulatória sustentada pela evidência disponível.</w:t>
      </w:r>
    </w:p>
    <w:p>
      <w:pPr>
        <w:pStyle w:val="Heading2"/>
        <w:widowControl/>
      </w:pPr>
      <w:r>
        <w:rPr>
          <w:i w:val="0"/>
        </w:rPr>
        <w:t>6.3 Regra de evidência</w:t>
      </w:r>
    </w:p>
    <w:p>
      <w:pPr>
        <w:widowControl/>
      </w:pPr>
      <w:r>
        <w:rPr>
          <w:i w:val="0"/>
        </w:rPr>
        <w:t>A interpretação é source-bounded. São admitidos o texto do ato, seu contexto hierárquico e referências internas reproduzidas no corpus. Informação externa pode ser usada em etapas posteriores de interpretação teórica, mas não é importada silenciosamente para preencher a codificação primária.</w:t>
      </w:r>
    </w:p>
    <w:p>
      <w:pPr>
        <w:pStyle w:val="Heading2"/>
        <w:widowControl/>
      </w:pPr>
      <w:r>
        <w:rPr>
          <w:i w:val="0"/>
        </w:rPr>
        <w:t>6.4 Critério de intermediação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"/>
        <w:gridCol w:w="9014"/>
      </w:tblGrid>
      <w:tr>
        <w:tc>
          <w:tcPr>
            <w:tcW w:type="dxa" w:w="4986"/>
            <w:shd w:fill="2F6B8A"/>
          </w:tcPr>
          <w:p/>
        </w:tc>
        <w:tc>
          <w:tcPr>
            <w:tcW w:type="dxa" w:w="4986"/>
            <w:shd w:fill="F5F7F8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after="0"/>
            </w:pPr>
            <w:r>
              <w:rPr>
                <w:i/>
                <w:color w:val="1E2529"/>
                <w:sz w:val="18"/>
              </w:rPr>
              <w:t>Um ator pode ser intermediary sem possuir autoridade coercitiva própria sobre T, desde que desempenhe uma função institucionalmente integrada à operação da relação regulatória R–T. Mera consulta, aconselhamento, expertise ou fornecimento genérico de informação, por si sós, não bastam.</w:t>
            </w:r>
          </w:p>
        </w:tc>
      </w:tr>
    </w:tbl>
    <w:p>
      <w:pPr>
        <w:pStyle w:val="Heading1"/>
        <w:widowControl/>
      </w:pPr>
      <w:r>
        <w:rPr>
          <w:i w:val="0"/>
        </w:rPr>
        <w:t>7. Resultados preliminares dos três casos</w:t>
      </w:r>
    </w:p>
    <w:p>
      <w:pPr>
        <w:widowControl/>
      </w:pPr>
      <w:r>
        <w:rPr>
          <w:i w:val="0"/>
        </w:rPr>
        <w:t>Esta seção será atualizada somente após a conclusão da leitura primária, revisão secundária e adjudicação do pesquisador. A versão preliminar evita antecipar contagens ou relações antes do fechamento do dataset.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type="dxa" w:w="9972"/>
            <w:shd w:fill="FFF4E9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C56A2B"/>
              </w:rPr>
              <w:t xml:space="preserve">A PREENCHER APÓS CONSOLIDAÇÃO DO DATASET — </w:t>
            </w:r>
            <w:r>
              <w:t>Inserir contagens adjudicadas por caso e principais mecanismos regulatórios identificados.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fill="18364A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color w:val="FFFFFF"/>
                <w:sz w:val="14"/>
              </w:rPr>
              <w:t>Caso</w:t>
            </w:r>
          </w:p>
        </w:tc>
        <w:tc>
          <w:tcPr>
            <w:tcW w:type="dxa" w:w="1662"/>
            <w:shd w:fill="18364A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color w:val="FFFFFF"/>
                <w:sz w:val="14"/>
              </w:rPr>
              <w:t>Relações</w:t>
            </w:r>
          </w:p>
        </w:tc>
        <w:tc>
          <w:tcPr>
            <w:tcW w:type="dxa" w:w="1662"/>
            <w:shd w:fill="18364A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color w:val="FFFFFF"/>
                <w:sz w:val="14"/>
              </w:rPr>
              <w:t>Intermediated</w:t>
            </w:r>
          </w:p>
        </w:tc>
        <w:tc>
          <w:tcPr>
            <w:tcW w:type="dxa" w:w="1662"/>
            <w:shd w:fill="18364A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color w:val="FFFFFF"/>
                <w:sz w:val="14"/>
              </w:rPr>
              <w:t>Direct</w:t>
            </w:r>
          </w:p>
        </w:tc>
        <w:tc>
          <w:tcPr>
            <w:tcW w:type="dxa" w:w="1662"/>
            <w:shd w:fill="18364A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color w:val="FFFFFF"/>
                <w:sz w:val="14"/>
              </w:rPr>
              <w:t>Uncertain</w:t>
            </w:r>
          </w:p>
        </w:tc>
        <w:tc>
          <w:tcPr>
            <w:tcW w:type="dxa" w:w="1662"/>
            <w:shd w:fill="18364A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color w:val="FFFFFF"/>
                <w:sz w:val="14"/>
              </w:rPr>
              <w:t>Principais mecanismos</w:t>
            </w:r>
          </w:p>
        </w:tc>
      </w:tr>
      <w:tr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r>
              <w:rPr>
                <w:sz w:val="14"/>
              </w:rPr>
              <w:t>Climate Law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r>
              <w:rPr>
                <w:sz w:val="14"/>
              </w:rPr>
              <w:t>CBAM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r>
              <w:rPr>
                <w:sz w:val="14"/>
              </w:rPr>
              <w:t>EUDR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662"/>
            <w:tcMar>
              <w:top w:w="55" w:type="dxa"/>
              <w:start w:w="55" w:type="dxa"/>
              <w:bottom w:w="55" w:type="dxa"/>
              <w:end w:w="55" w:type="dxa"/>
            </w:tcMar>
            <w:tcBorders>
              <w:bottom w:val="single" w:sz="3" w:color="D8E4EA"/>
            </w:tcBorders>
          </w:tcPr>
          <w:p>
            <w:r>
              <w:rPr>
                <w:sz w:val="14"/>
              </w:rPr>
              <w:t>—</w:t>
            </w:r>
          </w:p>
        </w:tc>
      </w:tr>
    </w:tbl>
    <w:p>
      <w:pPr>
        <w:pStyle w:val="NoteSmall"/>
        <w:widowControl/>
      </w:pPr>
      <w:r>
        <w:rPr>
          <w:i w:val="0"/>
        </w:rPr>
        <w:t>As contagens não serão tratadas como medidas diretamente comparáveis da “quantidade de intermediação”. Os atos diferem em extensão, densidade normativa e desenho institucional; por isso, a comparação será predominantemente relacional e qualitativa.</w:t>
      </w:r>
    </w:p>
    <w:p>
      <w:pPr>
        <w:pStyle w:val="Heading2"/>
        <w:widowControl/>
      </w:pPr>
      <w:r>
        <w:rPr>
          <w:i w:val="0"/>
        </w:rPr>
        <w:t>7.1 Relações representativas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type="dxa" w:w="9972"/>
            <w:shd w:fill="FFF4E9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C56A2B"/>
              </w:rPr>
              <w:t xml:space="preserve">A PREENCHER APÓS CONSOLIDAÇÃO DO DATASET — </w:t>
            </w:r>
            <w:r>
              <w:t>Selecionar 3–6 relações substantivamente informativas, priorizando casos que esclareçam mecanismos de intermediação ou fronteiras conceituais.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fill="18364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b/>
                <w:color w:val="FFFFFF"/>
                <w:sz w:val="14"/>
              </w:rPr>
              <w:t>Ato</w:t>
            </w:r>
          </w:p>
        </w:tc>
        <w:tc>
          <w:tcPr>
            <w:tcW w:type="dxa" w:w="1662"/>
            <w:shd w:fill="18364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b/>
                <w:color w:val="FFFFFF"/>
                <w:sz w:val="14"/>
              </w:rPr>
              <w:t>R</w:t>
            </w:r>
          </w:p>
        </w:tc>
        <w:tc>
          <w:tcPr>
            <w:tcW w:type="dxa" w:w="1662"/>
            <w:shd w:fill="18364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b/>
                <w:color w:val="FFFFFF"/>
                <w:sz w:val="14"/>
              </w:rPr>
              <w:t>I</w:t>
            </w:r>
          </w:p>
        </w:tc>
        <w:tc>
          <w:tcPr>
            <w:tcW w:type="dxa" w:w="1662"/>
            <w:shd w:fill="18364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b/>
                <w:color w:val="FFFFFF"/>
                <w:sz w:val="14"/>
              </w:rPr>
              <w:t>T</w:t>
            </w:r>
          </w:p>
        </w:tc>
        <w:tc>
          <w:tcPr>
            <w:tcW w:type="dxa" w:w="1662"/>
            <w:shd w:fill="18364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b/>
                <w:color w:val="FFFFFF"/>
                <w:sz w:val="14"/>
              </w:rPr>
              <w:t>Função mediadora</w:t>
            </w:r>
          </w:p>
        </w:tc>
        <w:tc>
          <w:tcPr>
            <w:tcW w:type="dxa" w:w="1662"/>
            <w:shd w:fill="18364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r>
              <w:rPr>
                <w:b/>
                <w:color w:val="FFFFFF"/>
                <w:sz w:val="14"/>
              </w:rPr>
              <w:t>Mecanismo</w:t>
            </w:r>
          </w:p>
        </w:tc>
      </w:tr>
      <w:tr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</w:tr>
      <w:tr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</w:tr>
      <w:tr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</w:tr>
      <w:tr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  <w:tc>
          <w:tcPr>
            <w:tcW w:type="dxa" w:w="1662"/>
            <w:tcMar>
              <w:top w:w="50" w:type="dxa"/>
              <w:start w:w="50" w:type="dxa"/>
              <w:bottom w:w="50" w:type="dxa"/>
              <w:end w:w="50" w:type="dxa"/>
            </w:tcMar>
            <w:tcBorders>
              <w:bottom w:val="single" w:sz="3" w:color="D8E4EA"/>
            </w:tcBorders>
          </w:tcPr>
          <w:p>
            <w:r>
              <w:t>—</w:t>
            </w:r>
          </w:p>
        </w:tc>
      </w:tr>
    </w:tbl>
    <w:p>
      <w:pPr>
        <w:pStyle w:val="Heading1"/>
        <w:widowControl/>
      </w:pPr>
      <w:r>
        <w:rPr>
          <w:i w:val="0"/>
        </w:rPr>
        <w:t>8. Questão substantiva emergente: information and assistance as regulatory intermediation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"/>
        <w:gridCol w:w="9014"/>
      </w:tblGrid>
      <w:tr>
        <w:tc>
          <w:tcPr>
            <w:tcW w:type="dxa" w:w="4986"/>
            <w:shd w:fill="2F6B8A"/>
          </w:tcPr>
          <w:p/>
        </w:tc>
        <w:tc>
          <w:tcPr>
            <w:tcW w:type="dxa" w:w="4986"/>
            <w:shd w:fill="F5F7F8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after="0"/>
            </w:pPr>
            <w:r>
              <w:rPr>
                <w:i/>
                <w:color w:val="1E2529"/>
                <w:sz w:val="18"/>
              </w:rPr>
              <w:t>When does informational, scientific, advisory, verification or implementation assistance become regulatory intermediation?</w:t>
            </w:r>
          </w:p>
        </w:tc>
      </w:tr>
    </w:tbl>
    <w:p>
      <w:pPr>
        <w:widowControl/>
      </w:pPr>
      <w:r>
        <w:rPr>
          <w:i w:val="0"/>
        </w:rPr>
        <w:t>O piloto sugere que uma das fronteiras mais relevantes não é computacional, mas teórica. A legislação regulatória mobiliza inúmeros atores que produzem conhecimento, aconselham, reportam, verificam, certificam, monitoram ou apoiam a implementação. Nem toda participação desse tipo constitui regulatory intermediation. O desafio é identificar quando o fluxo de informação ou assistência deixa de ser apenas input contextual e passa a integrar funcionalmente a relação entre regulator e target.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EAF1F5"/>
            <w:tcMar>
              <w:top w:w="60" w:type="dxa"/>
              <w:start w:w="35" w:type="dxa"/>
              <w:bottom w:w="60" w:type="dxa"/>
              <w:end w:w="35" w:type="dxa"/>
            </w:tcMar>
          </w:tcPr>
          <w:p>
            <w:r>
              <w:rPr>
                <w:b w:val="0"/>
                <w:color w:val="1E2529"/>
                <w:sz w:val="13"/>
              </w:rPr>
              <w:t>background knowledge</w:t>
            </w:r>
          </w:p>
        </w:tc>
        <w:tc>
          <w:tcPr>
            <w:tcW w:type="dxa" w:w="1425"/>
            <w:shd w:fill="EAF1F5"/>
            <w:tcMar>
              <w:top w:w="60" w:type="dxa"/>
              <w:start w:w="35" w:type="dxa"/>
              <w:bottom w:w="60" w:type="dxa"/>
              <w:end w:w="35" w:type="dxa"/>
            </w:tcMar>
          </w:tcPr>
          <w:p>
            <w:r>
              <w:rPr>
                <w:b w:val="0"/>
                <w:color w:val="1E2529"/>
                <w:sz w:val="13"/>
              </w:rPr>
              <w:t>scientific advice</w:t>
            </w:r>
          </w:p>
        </w:tc>
        <w:tc>
          <w:tcPr>
            <w:tcW w:type="dxa" w:w="1425"/>
            <w:shd w:fill="EAF1F5"/>
            <w:tcMar>
              <w:top w:w="60" w:type="dxa"/>
              <w:start w:w="35" w:type="dxa"/>
              <w:bottom w:w="60" w:type="dxa"/>
              <w:end w:w="35" w:type="dxa"/>
            </w:tcMar>
          </w:tcPr>
          <w:p>
            <w:r>
              <w:rPr>
                <w:b w:val="0"/>
                <w:color w:val="1E2529"/>
                <w:sz w:val="13"/>
              </w:rPr>
              <w:t>institutional information input</w:t>
            </w:r>
          </w:p>
        </w:tc>
        <w:tc>
          <w:tcPr>
            <w:tcW w:type="dxa" w:w="1425"/>
            <w:shd w:fill="D8E4EA"/>
            <w:tcMar>
              <w:top w:w="60" w:type="dxa"/>
              <w:start w:w="35" w:type="dxa"/>
              <w:bottom w:w="60" w:type="dxa"/>
              <w:end w:w="35" w:type="dxa"/>
            </w:tcMar>
          </w:tcPr>
          <w:p>
            <w:r>
              <w:rPr>
                <w:b w:val="0"/>
                <w:color w:val="1E2529"/>
                <w:sz w:val="13"/>
              </w:rPr>
              <w:t>mandatory reporting</w:t>
            </w:r>
          </w:p>
        </w:tc>
        <w:tc>
          <w:tcPr>
            <w:tcW w:type="dxa" w:w="1425"/>
            <w:shd w:fill="D8E4EA"/>
            <w:tcMar>
              <w:top w:w="60" w:type="dxa"/>
              <w:start w:w="35" w:type="dxa"/>
              <w:bottom w:w="60" w:type="dxa"/>
              <w:end w:w="35" w:type="dxa"/>
            </w:tcMar>
          </w:tcPr>
          <w:p>
            <w:r>
              <w:rPr>
                <w:b w:val="0"/>
                <w:color w:val="1E2529"/>
                <w:sz w:val="13"/>
              </w:rPr>
              <w:t>verification / certification</w:t>
            </w:r>
          </w:p>
        </w:tc>
        <w:tc>
          <w:tcPr>
            <w:tcW w:type="dxa" w:w="1425"/>
            <w:shd w:fill="D8E4EA"/>
            <w:tcMar>
              <w:top w:w="60" w:type="dxa"/>
              <w:start w:w="35" w:type="dxa"/>
              <w:bottom w:w="60" w:type="dxa"/>
              <w:end w:w="35" w:type="dxa"/>
            </w:tcMar>
          </w:tcPr>
          <w:p>
            <w:r>
              <w:rPr>
                <w:b w:val="0"/>
                <w:color w:val="1E2529"/>
                <w:sz w:val="13"/>
              </w:rPr>
              <w:t>delegated monitoring</w:t>
            </w:r>
          </w:p>
        </w:tc>
        <w:tc>
          <w:tcPr>
            <w:tcW w:type="dxa" w:w="1425"/>
            <w:shd w:fill="18364A"/>
            <w:tcMar>
              <w:top w:w="60" w:type="dxa"/>
              <w:start w:w="35" w:type="dxa"/>
              <w:bottom w:w="60" w:type="dxa"/>
              <w:end w:w="35" w:type="dxa"/>
            </w:tcMar>
          </w:tcPr>
          <w:p>
            <w:r>
              <w:rPr>
                <w:b/>
                <w:color w:val="FFFFFF"/>
                <w:sz w:val="13"/>
              </w:rPr>
              <w:t>regulatory intermediation</w:t>
            </w:r>
          </w:p>
        </w:tc>
      </w:tr>
    </w:tbl>
    <w:p>
      <w:pPr>
        <w:widowControl/>
      </w:pPr>
      <w:r>
        <w:rPr>
          <w:i w:val="0"/>
        </w:rPr>
        <w:t>Esse continuum é apenas heurístico. A codificação não presume que exista uma fronteira lexical automática nem que toda função situada “mais à direita” seja necessariamente intermediação. A decisão depende da inserção institucional da função no mecanismo regulatório específico. Esta questão deverá ser retomada após os casos concretos permitirem observar padrões recorrentes.</w:t>
      </w:r>
    </w:p>
    <w:p>
      <w:pPr>
        <w:pStyle w:val="Heading1"/>
        <w:widowControl/>
      </w:pPr>
      <w:r>
        <w:rPr>
          <w:i w:val="0"/>
        </w:rPr>
        <w:t>9. Produto entregue: dataset relacional</w:t>
      </w:r>
    </w:p>
    <w:p>
      <w:pPr>
        <w:widowControl/>
      </w:pPr>
      <w:r>
        <w:rPr>
          <w:i w:val="0"/>
        </w:rPr>
        <w:t>O CSV é o principal produto empírico do exercício; a nota técnica funciona como documentação sintética de sua lógica. Cada linha do arquivo corresponde a uma relação regulatória proposta e, ao final, adjudicada. O desenho mínimo prevê os seguintes campos: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F5F7F8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r>
              <w:rPr>
                <w:rFonts w:ascii="Aptos Mono" w:hAnsi="Aptos Mono"/>
                <w:color w:val="2F6B8A"/>
                <w:sz w:val="14"/>
              </w:rPr>
              <w:t>case</w:t>
            </w:r>
          </w:p>
        </w:tc>
        <w:tc>
          <w:tcPr>
            <w:tcW w:type="dxa" w:w="1425"/>
            <w:shd w:fill="F5F7F8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r>
              <w:rPr>
                <w:rFonts w:ascii="Aptos Mono" w:hAnsi="Aptos Mono"/>
                <w:color w:val="2F6B8A"/>
                <w:sz w:val="14"/>
              </w:rPr>
              <w:t>CELEX</w:t>
            </w:r>
          </w:p>
        </w:tc>
        <w:tc>
          <w:tcPr>
            <w:tcW w:type="dxa" w:w="1425"/>
            <w:shd w:fill="F5F7F8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r>
              <w:rPr>
                <w:rFonts w:ascii="Aptos Mono" w:hAnsi="Aptos Mono"/>
                <w:color w:val="2F6B8A"/>
                <w:sz w:val="14"/>
              </w:rPr>
              <w:t>location</w:t>
            </w:r>
          </w:p>
        </w:tc>
        <w:tc>
          <w:tcPr>
            <w:tcW w:type="dxa" w:w="1425"/>
            <w:shd w:fill="F5F7F8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r>
              <w:rPr>
                <w:rFonts w:ascii="Aptos Mono" w:hAnsi="Aptos Mono"/>
                <w:color w:val="2F6B8A"/>
                <w:sz w:val="14"/>
              </w:rPr>
              <w:t>evidence</w:t>
            </w:r>
          </w:p>
        </w:tc>
        <w:tc>
          <w:tcPr>
            <w:tcW w:type="dxa" w:w="1425"/>
            <w:shd w:fill="F5F7F8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r>
              <w:rPr>
                <w:rFonts w:ascii="Aptos Mono" w:hAnsi="Aptos Mono"/>
                <w:color w:val="2F6B8A"/>
                <w:sz w:val="14"/>
              </w:rPr>
              <w:t>R</w:t>
            </w:r>
          </w:p>
        </w:tc>
        <w:tc>
          <w:tcPr>
            <w:tcW w:type="dxa" w:w="1425"/>
            <w:shd w:fill="F5F7F8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r>
              <w:rPr>
                <w:rFonts w:ascii="Aptos Mono" w:hAnsi="Aptos Mono"/>
                <w:color w:val="2F6B8A"/>
                <w:sz w:val="14"/>
              </w:rPr>
              <w:t>I</w:t>
            </w:r>
          </w:p>
        </w:tc>
        <w:tc>
          <w:tcPr>
            <w:tcW w:type="dxa" w:w="1425"/>
            <w:shd w:fill="F5F7F8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r>
              <w:rPr>
                <w:rFonts w:ascii="Aptos Mono" w:hAnsi="Aptos Mono"/>
                <w:color w:val="2F6B8A"/>
                <w:sz w:val="14"/>
              </w:rPr>
              <w:t>T</w:t>
            </w:r>
          </w:p>
        </w:tc>
      </w:tr>
      <w:tr>
        <w:tc>
          <w:tcPr>
            <w:tcW w:type="dxa" w:w="1425"/>
            <w:shd w:fill="F5F7F8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r>
              <w:rPr>
                <w:rFonts w:ascii="Aptos Mono" w:hAnsi="Aptos Mono"/>
                <w:color w:val="2F6B8A"/>
                <w:sz w:val="14"/>
              </w:rPr>
              <w:t>action</w:t>
            </w:r>
          </w:p>
        </w:tc>
        <w:tc>
          <w:tcPr>
            <w:tcW w:type="dxa" w:w="1425"/>
            <w:shd w:fill="F5F7F8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r>
              <w:rPr>
                <w:rFonts w:ascii="Aptos Mono" w:hAnsi="Aptos Mono"/>
                <w:color w:val="2F6B8A"/>
                <w:sz w:val="14"/>
              </w:rPr>
              <w:t>object</w:t>
            </w:r>
          </w:p>
        </w:tc>
        <w:tc>
          <w:tcPr>
            <w:tcW w:type="dxa" w:w="1425"/>
            <w:shd w:fill="F5F7F8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r>
              <w:rPr>
                <w:rFonts w:ascii="Aptos Mono" w:hAnsi="Aptos Mono"/>
                <w:color w:val="2F6B8A"/>
                <w:sz w:val="14"/>
              </w:rPr>
              <w:t>mediating_function</w:t>
            </w:r>
          </w:p>
        </w:tc>
        <w:tc>
          <w:tcPr>
            <w:tcW w:type="dxa" w:w="1425"/>
            <w:shd w:fill="F5F7F8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r>
              <w:rPr>
                <w:rFonts w:ascii="Aptos Mono" w:hAnsi="Aptos Mono"/>
                <w:color w:val="2F6B8A"/>
                <w:sz w:val="14"/>
              </w:rPr>
              <w:t>mechanism</w:t>
            </w:r>
          </w:p>
        </w:tc>
        <w:tc>
          <w:tcPr>
            <w:tcW w:type="dxa" w:w="1425"/>
            <w:shd w:fill="F5F7F8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r>
              <w:rPr>
                <w:rFonts w:ascii="Aptos Mono" w:hAnsi="Aptos Mono"/>
                <w:color w:val="2F6B8A"/>
                <w:sz w:val="14"/>
              </w:rPr>
              <w:t>relation_type</w:t>
            </w:r>
          </w:p>
        </w:tc>
        <w:tc>
          <w:tcPr>
            <w:tcW w:type="dxa" w:w="1425"/>
            <w:shd w:fill="F5F7F8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r>
              <w:rPr>
                <w:rFonts w:ascii="Aptos Mono" w:hAnsi="Aptos Mono"/>
                <w:color w:val="2F6B8A"/>
                <w:sz w:val="14"/>
              </w:rPr>
              <w:t>confidence</w:t>
            </w:r>
          </w:p>
        </w:tc>
        <w:tc>
          <w:tcPr>
            <w:tcW w:type="dxa" w:w="1425"/>
            <w:shd w:fill="F5F7F8"/>
            <w:tcMar>
              <w:top w:w="55" w:type="dxa"/>
              <w:start w:w="40" w:type="dxa"/>
              <w:bottom w:w="55" w:type="dxa"/>
              <w:end w:w="40" w:type="dxa"/>
            </w:tcMar>
          </w:tcPr>
          <w:p>
            <w:r>
              <w:rPr>
                <w:rFonts w:ascii="Aptos Mono" w:hAnsi="Aptos Mono"/>
                <w:color w:val="2F6B8A"/>
                <w:sz w:val="14"/>
              </w:rPr>
              <w:t>researcher_decision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"/>
        <w:gridCol w:w="9014"/>
      </w:tblGrid>
      <w:tr>
        <w:tc>
          <w:tcPr>
            <w:tcW w:type="dxa" w:w="4986"/>
            <w:shd w:fill="2F6B8A"/>
          </w:tcPr>
          <w:p/>
        </w:tc>
        <w:tc>
          <w:tcPr>
            <w:tcW w:type="dxa" w:w="4986"/>
            <w:shd w:fill="F5F7F8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after="0"/>
            </w:pPr>
            <w:r>
              <w:rPr>
                <w:i/>
                <w:color w:val="1E2529"/>
                <w:sz w:val="18"/>
              </w:rPr>
              <w:t>CSV = produto principal. Nota técnica = explicação necessária para interpretar o CSV.</w:t>
            </w:r>
          </w:p>
        </w:tc>
      </w:tr>
    </w:tbl>
    <w:p>
      <w:pPr>
        <w:pStyle w:val="Heading1"/>
        <w:widowControl/>
      </w:pPr>
      <w:r>
        <w:rPr>
          <w:i w:val="0"/>
        </w:rPr>
        <w:t>10. Limitações e próximo passo</w:t>
      </w:r>
    </w:p>
    <w:p>
      <w:pPr>
        <w:widowControl/>
      </w:pPr>
      <w:r>
        <w:rPr>
          <w:i w:val="0"/>
        </w:rPr>
        <w:t>O exercício é deliberadamente exploratório. Trabalha com três casos substantivos, não com uma amostra estatística; utiliza codificação assistida por LLM; depende de definições operacionais ainda em estabilização; e mantém revisão humana porque as fronteiras conceituais relevantes não podem ser reduzidas a correspondência lexical. Portanto, os resultados não devem ser apresentados como estimativa universal da prevalência de regulatory intermediation na legislação europeia.</w:t>
      </w:r>
    </w:p>
    <w:p>
      <w:pPr>
        <w:widowControl/>
      </w:pPr>
      <w:r>
        <w:rPr>
          <w:i w:val="0"/>
        </w:rPr>
        <w:t>Se a codificação adjudicada se mostrar teoricamente coerente e operacionalmente manejável, o próximo passo será expandir o universo de atos e testar a estabilidade do protocolo em uma amostra mais ampla da legislação da União Europeia associada à transição verde. Antes da expansão, porém, a principal tarefa não é tecnológica: é estabilizar uma definição operacional de regulatory intermediation suficientemente rigorosa para distinguir mediação regulatória de simples participação, expertise ou apoio administrativo.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type="dxa" w:w="9972"/>
            <w:shd w:fill="FFF4E9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C56A2B"/>
              </w:rPr>
              <w:t xml:space="preserve">A PREENCHER APÓS CONSOLIDAÇÃO DO DATASET — </w:t>
            </w:r>
            <w:r>
              <w:t>Após o dataset: inserir síntese de 2–3 achados substantivos, indicar ajustes ao codebook e substituir este bloco por uma conclusão curta dirigida ao professor David Levi-Faur.</w:t>
            </w:r>
          </w:p>
        </w:tc>
      </w:tr>
    </w:tbl>
    <w:p>
      <w:pPr>
        <w:widowControl/>
        <w:spacing w:before="200" w:after="0"/>
      </w:pPr>
      <w:r>
        <w:rPr>
          <w:b/>
          <w:color w:val="18364A"/>
        </w:rPr>
        <w:t xml:space="preserve">Nota de versão. </w:t>
      </w:r>
      <w:r>
        <w:t>Documento preparado para revisão conceitual antes da incorporação dos resultados empíricos. As seções 7 e 10 são os principais pontos de atualização quando o dataset estiver fechado.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6B"/>
        <w:sz w:val="16"/>
      </w:rPr>
      <w:t>Versão preliminar — 7 de setembro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6B"/>
        <w:sz w:val="16"/>
      </w:rPr>
      <w:t>PRJ — David Levi-Faur  |  Nota técnica preliminar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64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F6B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E252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64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A646B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Small">
    <w:name w:val="Note Small"/>
    <w:pPr>
      <w:spacing w:after="60"/>
    </w:pPr>
    <w:rPr>
      <w:rFonts w:ascii="Aptos" w:hAnsi="Aptos"/>
      <w:color w:val="5A646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