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8.png" ContentType="image/png"/>
  <Override PartName="/word/media/rId28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Codificação de Intermediários Regulatórios na Legislação da UE sobre Transição Verde</w:t>
      </w:r>
    </w:p>
    <w:p>
      <w:pPr>
        <w:pStyle w:val="Subtitle"/>
      </w:pPr>
      <w:r>
        <w:t xml:space="preserve">Uma arquitetura relacional de três estágios — artigo para validação metodológica</w:t>
      </w:r>
    </w:p>
    <w:p>
      <w:pPr>
        <w:pStyle w:val="Author"/>
      </w:pPr>
      <w:r>
        <w:t xml:space="preserve">Igor Caires Machado — Postdoctoral Researcher, ENAP · ORCID 0009-0008-9547-5223</w:t>
      </w:r>
    </w:p>
    <w:p>
      <w:pPr>
        <w:pStyle w:val="Date"/>
      </w:pPr>
      <w:r>
        <w:t xml:space="preserve">Invalid Date</w:t>
      </w:r>
    </w:p>
    <w:bookmarkStart w:id="9" w:name="resumo"/>
    <w:p>
      <w:pPr>
        <w:pStyle w:val="Heading2"/>
      </w:pPr>
      <w:r>
        <w:t xml:space="preserve">1 Resumo</w:t>
      </w:r>
    </w:p>
    <w:p>
      <w:pPr>
        <w:pStyle w:val="FirstParagraph"/>
      </w:pPr>
      <w:r>
        <w:t xml:space="preserve">Este artigo documenta, em formato acadêmico, um exercício de codificação de</w:t>
      </w:r>
      <w:r>
        <w:t xml:space="preserve"> </w:t>
      </w:r>
      <w:r>
        <w:t xml:space="preserve">intermediários regulatórios na legislação da União Europeia sobre transição</w:t>
      </w:r>
      <w:r>
        <w:t xml:space="preserve"> </w:t>
      </w:r>
      <w:r>
        <w:t xml:space="preserve">verde, desenvolvido em resposta à chamada do Prof. David Levi-Faur por um</w:t>
      </w:r>
      <w:r>
        <w:t xml:space="preserve"> </w:t>
      </w:r>
      <w:r>
        <w:t xml:space="preserve">Research Assistant/Partner no projeto</w:t>
      </w:r>
      <w:r>
        <w:t xml:space="preserve"> </w:t>
      </w:r>
      <w:r>
        <w:t xml:space="preserve">“Governance by and of Intermediaries”</w:t>
      </w:r>
      <w:r>
        <w:t xml:space="preserve">.</w:t>
      </w:r>
      <w:r>
        <w:t xml:space="preserve"> </w:t>
      </w:r>
      <w:r>
        <w:t xml:space="preserve">Propomos e testamos uma arquitetura de três estágios — triagem lexical,</w:t>
      </w:r>
      <w:r>
        <w:t xml:space="preserve"> </w:t>
      </w:r>
      <w:r>
        <w:t xml:space="preserve">adjudicação relacional e codificação institucional — que trata a</w:t>
      </w:r>
      <w:r>
        <w:t xml:space="preserve"> </w:t>
      </w:r>
      <w:r>
        <w:t xml:space="preserve">intermediação regulatória como um construto relacional (regulador,</w:t>
      </w:r>
      <w:r>
        <w:t xml:space="preserve"> </w:t>
      </w:r>
      <w:r>
        <w:t xml:space="preserve">intermediário, alvo), não como uma categoria lexical. Aplicada a quatro</w:t>
      </w:r>
      <w:r>
        <w:t xml:space="preserve"> </w:t>
      </w:r>
      <w:r>
        <w:t xml:space="preserve">atos legislativos (1.079 sinais de triagem), a arquitetura produziu 10</w:t>
      </w:r>
      <w:r>
        <w:t xml:space="preserve"> </w:t>
      </w:r>
      <w:r>
        <w:t xml:space="preserve">candidatos adjudicados (7 positivos, 2 negativos, 1 condicional) e 7</w:t>
      </w:r>
      <w:r>
        <w:t xml:space="preserve"> </w:t>
      </w:r>
      <w:r>
        <w:t xml:space="preserve">relações R-I-T plenamente codificadas, organizadas em três cadeias que</w:t>
      </w:r>
      <w:r>
        <w:t xml:space="preserve"> </w:t>
      </w:r>
      <w:r>
        <w:t xml:space="preserve">evidenciam meta-regulação e multiplicidade de papel. A validação da</w:t>
      </w:r>
      <w:r>
        <w:t xml:space="preserve"> </w:t>
      </w:r>
      <w:r>
        <w:t xml:space="preserve">triagem lexical, contra uma amostra de referência lida manualmente,</w:t>
      </w:r>
      <w:r>
        <w:t xml:space="preserve"> </w:t>
      </w:r>
      <w:r>
        <w:t xml:space="preserve">produziu precisão de 100% e recall de 94,3% (F1 = 97,1%). Discutimos um</w:t>
      </w:r>
      <w:r>
        <w:t xml:space="preserve"> </w:t>
      </w:r>
      <w:r>
        <w:t xml:space="preserve">caso de validade de construto condicional (referenciais climáticos), um</w:t>
      </w:r>
      <w:r>
        <w:t xml:space="preserve"> </w:t>
      </w:r>
      <w:r>
        <w:t xml:space="preserve">erro de leitura relacional encontrado e corrigido no próprio processo, e as</w:t>
      </w:r>
      <w:r>
        <w:t xml:space="preserve"> </w:t>
      </w:r>
      <w:r>
        <w:t xml:space="preserve">fronteiras explícitas do que esta camada de codificação pode e não pode</w:t>
      </w:r>
      <w:r>
        <w:t xml:space="preserve"> </w:t>
      </w:r>
      <w:r>
        <w:t xml:space="preserve">medir. O artigo é submetido para validação metodológica antes de qualquer</w:t>
      </w:r>
      <w:r>
        <w:t xml:space="preserve"> </w:t>
      </w:r>
      <w:r>
        <w:t xml:space="preserve">aplicação em escala.</w:t>
      </w:r>
    </w:p>
    <w:p>
      <w:pPr>
        <w:pStyle w:val="BodyText"/>
      </w:pPr>
      <w:r>
        <w:rPr>
          <w:b/>
          <w:bCs/>
        </w:rPr>
        <w:t xml:space="preserve">Palavras-chave:</w:t>
      </w:r>
      <w:r>
        <w:t xml:space="preserve"> </w:t>
      </w:r>
      <w:r>
        <w:t xml:space="preserve">intermediários regulatórios; regulatory intermediation;</w:t>
      </w:r>
      <w:r>
        <w:t xml:space="preserve"> </w:t>
      </w:r>
      <w:r>
        <w:t xml:space="preserve">codificação de texto legal; metodologia relacional; legislação da UE;</w:t>
      </w:r>
      <w:r>
        <w:t xml:space="preserve"> </w:t>
      </w:r>
      <w:r>
        <w:t xml:space="preserve">transição verde.</w:t>
      </w:r>
    </w:p>
    <w:bookmarkEnd w:id="9"/>
    <w:bookmarkStart w:id="10" w:name="introdução"/>
    <w:p>
      <w:pPr>
        <w:pStyle w:val="Heading2"/>
      </w:pPr>
      <w:r>
        <w:t xml:space="preserve">2 Introdução</w:t>
      </w:r>
    </w:p>
    <w:p>
      <w:pPr>
        <w:pStyle w:val="FirstParagraph"/>
      </w:pPr>
      <w:r>
        <w:t xml:space="preserve">A regulação é tradicionalmente teorizada como uma relação bipartite entre</w:t>
      </w:r>
      <w:r>
        <w:t xml:space="preserve"> </w:t>
      </w:r>
      <w:r>
        <w:t xml:space="preserve">quem regula e quem é regulado. Levi-Faur (2026) argumenta que essa</w:t>
      </w:r>
      <w:r>
        <w:t xml:space="preserve"> </w:t>
      </w:r>
      <w:r>
        <w:t xml:space="preserve">simplificação obscurece um terceiro elemento estrutural da governança</w:t>
      </w:r>
      <w:r>
        <w:t xml:space="preserve"> </w:t>
      </w:r>
      <w:r>
        <w:t xml:space="preserve">regulatória contemporânea: os</w:t>
      </w:r>
      <w:r>
        <w:t xml:space="preserve"> </w:t>
      </w:r>
      <w:r>
        <w:rPr>
          <w:b/>
          <w:bCs/>
        </w:rPr>
        <w:t xml:space="preserve">intermediários regulatórios</w:t>
      </w:r>
      <w:r>
        <w:t xml:space="preserve"> </w:t>
      </w:r>
      <w:r>
        <w:t xml:space="preserve">— atores que</w:t>
      </w:r>
      <w:r>
        <w:t xml:space="preserve"> </w:t>
      </w:r>
      <w:r>
        <w:t xml:space="preserve">certificam, auditam, classificam ou reportam em nome de, ou em relação a,</w:t>
      </w:r>
      <w:r>
        <w:t xml:space="preserve"> </w:t>
      </w:r>
      <w:r>
        <w:t xml:space="preserve">um regulador e um regulado. A proposta de pesquisa</w:t>
      </w:r>
      <w:r>
        <w:t xml:space="preserve"> </w:t>
      </w:r>
      <w:r>
        <w:t xml:space="preserve">“Can Intermediaries Save</w:t>
      </w:r>
      <w:r>
        <w:t xml:space="preserve"> </w:t>
      </w:r>
      <w:r>
        <w:t xml:space="preserve">Liberal Governance? Toward Effective and Legitimate Regulatory</w:t>
      </w:r>
      <w:r>
        <w:t xml:space="preserve"> </w:t>
      </w:r>
      <w:r>
        <w:t xml:space="preserve">Intermediation”</w:t>
      </w:r>
      <w:r>
        <w:t xml:space="preserve"> </w:t>
      </w:r>
      <w:r>
        <w:t xml:space="preserve">organiza a intermediação como uma arquitetura de</w:t>
      </w:r>
      <w:r>
        <w:t xml:space="preserve"> </w:t>
      </w:r>
      <w:r>
        <w:rPr>
          <w:b/>
          <w:bCs/>
        </w:rPr>
        <w:t xml:space="preserve">atores +</w:t>
      </w:r>
      <w:r>
        <w:rPr>
          <w:b/>
          <w:bCs/>
        </w:rPr>
        <w:t xml:space="preserve"> </w:t>
      </w:r>
      <w:r>
        <w:rPr>
          <w:b/>
          <w:bCs/>
        </w:rPr>
        <w:t xml:space="preserve">mecanismos + estratégias</w:t>
      </w:r>
      <w:r>
        <w:t xml:space="preserve">, com quatro mecanismos primários —</w:t>
      </w:r>
      <w:r>
        <w:t xml:space="preserve"> </w:t>
      </w:r>
      <w:r>
        <w:rPr>
          <w:i/>
          <w:iCs/>
        </w:rPr>
        <w:t xml:space="preserve">reporting</w:t>
      </w:r>
      <w:r>
        <w:t xml:space="preserve"> </w:t>
      </w:r>
      <w:r>
        <w:t xml:space="preserve">(liderado pelo Estado),</w:t>
      </w:r>
      <w:r>
        <w:t xml:space="preserve"> </w:t>
      </w:r>
      <w:r>
        <w:rPr>
          <w:i/>
          <w:iCs/>
        </w:rPr>
        <w:t xml:space="preserve">certification</w:t>
      </w:r>
      <w:r>
        <w:t xml:space="preserve"> </w:t>
      </w:r>
      <w:r>
        <w:t xml:space="preserve">(liderado por ONGs),</w:t>
      </w:r>
      <w:r>
        <w:t xml:space="preserve"> </w:t>
      </w:r>
      <w:r>
        <w:rPr>
          <w:i/>
          <w:iCs/>
        </w:rPr>
        <w:t xml:space="preserve">ranking/</w:t>
      </w:r>
      <w:r>
        <w:rPr>
          <w:i/>
          <w:iCs/>
        </w:rPr>
        <w:t xml:space="preserve"> </w:t>
      </w:r>
      <w:r>
        <w:rPr>
          <w:i/>
          <w:iCs/>
        </w:rPr>
        <w:t xml:space="preserve">rating</w:t>
      </w:r>
      <w:r>
        <w:t xml:space="preserve"> </w:t>
      </w:r>
      <w:r>
        <w:t xml:space="preserve">(liderado por empresas) e</w:t>
      </w:r>
      <w:r>
        <w:t xml:space="preserve"> </w:t>
      </w:r>
      <w:r>
        <w:rPr>
          <w:i/>
          <w:iCs/>
        </w:rPr>
        <w:t xml:space="preserve">auditing</w:t>
      </w:r>
      <w:r>
        <w:t xml:space="preserve"> </w:t>
      </w:r>
      <w:r>
        <w:t xml:space="preserve">(liderado pela profissão) — e</w:t>
      </w:r>
      <w:r>
        <w:t xml:space="preserve"> </w:t>
      </w:r>
      <w:r>
        <w:t xml:space="preserve">um conjunto de atributos institucionais dos intermediários.</w:t>
      </w:r>
    </w:p>
    <w:p>
      <w:pPr>
        <w:pStyle w:val="BodyText"/>
      </w:pPr>
      <w:r>
        <w:t xml:space="preserve">Este artigo relata um exercício empírico de operacionalização desse</w:t>
      </w:r>
      <w:r>
        <w:t xml:space="preserve"> </w:t>
      </w:r>
      <w:r>
        <w:t xml:space="preserve">construto sobre legislação real da União Europeia relacionada à transição</w:t>
      </w:r>
      <w:r>
        <w:t xml:space="preserve"> </w:t>
      </w:r>
      <w:r>
        <w:t xml:space="preserve">verde. O problema metodológico central, identificado e corrigido ao longo</w:t>
      </w:r>
      <w:r>
        <w:t xml:space="preserve"> </w:t>
      </w:r>
      <w:r>
        <w:t xml:space="preserve">de sucessivas rodadas deste exercício, é que</w:t>
      </w:r>
      <w:r>
        <w:t xml:space="preserve"> </w:t>
      </w:r>
      <w:r>
        <w:rPr>
          <w:b/>
          <w:bCs/>
        </w:rPr>
        <w:t xml:space="preserve">triagem lexical de</w:t>
      </w:r>
      <w:r>
        <w:rPr>
          <w:b/>
          <w:bCs/>
        </w:rPr>
        <w:t xml:space="preserve"> </w:t>
      </w:r>
      <w:r>
        <w:rPr>
          <w:b/>
          <w:bCs/>
        </w:rPr>
        <w:t xml:space="preserve">mecanismos não é o mesmo que codificação de intermediários</w:t>
      </w:r>
      <w:r>
        <w:t xml:space="preserve">: a presença</w:t>
      </w:r>
      <w:r>
        <w:t xml:space="preserve"> </w:t>
      </w:r>
      <w:r>
        <w:t xml:space="preserve">da palavra</w:t>
      </w:r>
      <w:r>
        <w:t xml:space="preserve"> </w:t>
      </w:r>
      <w:r>
        <w:t xml:space="preserve">“auditor”</w:t>
      </w:r>
      <w:r>
        <w:t xml:space="preserve"> </w:t>
      </w:r>
      <w:r>
        <w:t xml:space="preserve">num dispositivo legal não implica, por si só, a</w:t>
      </w:r>
      <w:r>
        <w:t xml:space="preserve"> </w:t>
      </w:r>
      <w:r>
        <w:t xml:space="preserve">existência de uma relação regulatória identificável entre um regulador, um</w:t>
      </w:r>
      <w:r>
        <w:t xml:space="preserve"> </w:t>
      </w:r>
      <w:r>
        <w:t xml:space="preserve">intermediário e um alvo. O artigo documenta como essa distinção foi</w:t>
      </w:r>
      <w:r>
        <w:t xml:space="preserve"> </w:t>
      </w:r>
      <w:r>
        <w:t xml:space="preserve">formalizada numa arquitetura de três estágios, aplicada a um corpus</w:t>
      </w:r>
      <w:r>
        <w:t xml:space="preserve"> </w:t>
      </w:r>
      <w:r>
        <w:t xml:space="preserve">piloto, e valida os resultados obtidos.</w:t>
      </w:r>
    </w:p>
    <w:bookmarkEnd w:id="10"/>
    <w:bookmarkStart w:id="14" w:name="referencial-teórico"/>
    <w:p>
      <w:pPr>
        <w:pStyle w:val="Heading2"/>
      </w:pPr>
      <w:r>
        <w:t xml:space="preserve">3 Referencial teórico</w:t>
      </w:r>
    </w:p>
    <w:p>
      <w:pPr>
        <w:pStyle w:val="FirstParagraph"/>
      </w:pPr>
      <w:r>
        <w:t xml:space="preserve">Adotamos o modelo relacional</w:t>
      </w:r>
      <w:r>
        <w:t xml:space="preserve"> </w:t>
      </w:r>
      <w:r>
        <w:rPr>
          <w:b/>
          <w:bCs/>
        </w:rPr>
        <w:t xml:space="preserve">R-I-T</w:t>
      </w:r>
      <w:r>
        <w:t xml:space="preserve"> </w:t>
      </w:r>
      <w:r>
        <w:t xml:space="preserve">(Regulator–Intermediary–Target)</w:t>
      </w:r>
      <w:r>
        <w:t xml:space="preserve"> </w:t>
      </w:r>
      <w:r>
        <w:t xml:space="preserve">como unidade analítica central, no qual: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</w:t>
      </w:r>
      <w:r>
        <w:t xml:space="preserve"> </w:t>
      </w:r>
      <w:r>
        <w:t xml:space="preserve">— o regulador/criador de regras (</w:t>
      </w:r>
      <w:r>
        <w:rPr>
          <w:i/>
          <w:iCs/>
        </w:rPr>
        <w:t xml:space="preserve">rule-maker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</w:t>
      </w:r>
      <w:r>
        <w:t xml:space="preserve"> </w:t>
      </w:r>
      <w:r>
        <w:t xml:space="preserve">— o intermediário, um ator analiticamente distinto que medeia a</w:t>
      </w:r>
      <w:r>
        <w:t xml:space="preserve"> </w:t>
      </w:r>
      <w:r>
        <w:t xml:space="preserve">relação entre R e T;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</w:t>
      </w:r>
      <w:r>
        <w:t xml:space="preserve"> </w:t>
      </w:r>
      <w:r>
        <w:t xml:space="preserve">— o alvo/regulado (</w:t>
      </w:r>
      <w:r>
        <w:rPr>
          <w:i/>
          <w:iCs/>
        </w:rPr>
        <w:t xml:space="preserve">rule-taker</w:t>
      </w:r>
      <w:r>
        <w:t xml:space="preserve">).</w:t>
      </w:r>
    </w:p>
    <w:p>
      <w:pPr>
        <w:pStyle w:val="FirstParagraph"/>
      </w:pPr>
      <w:r>
        <w:t xml:space="preserve">Um princípio teórico central, testado empiricamente neste artigo, é que</w:t>
      </w:r>
      <w:r>
        <w:t xml:space="preserve"> </w:t>
      </w:r>
      <w:r>
        <w:rPr>
          <w:b/>
          <w:bCs/>
        </w:rPr>
        <w:t xml:space="preserve">os papéis são relacionais, não intrínsecos</w:t>
      </w:r>
      <w:r>
        <w:t xml:space="preserve">: um mesmo ator pode ocupar a</w:t>
      </w:r>
      <w:r>
        <w:t xml:space="preserve"> </w:t>
      </w:r>
      <w:r>
        <w:t xml:space="preserve">posição de intermediário numa relação e de alvo em outra — por exemplo, um</w:t>
      </w:r>
      <w:r>
        <w:t xml:space="preserve"> </w:t>
      </w:r>
      <w:r>
        <w:t xml:space="preserve">verificador credenciado pode mediar a relação entre uma autoridade</w:t>
      </w:r>
      <w:r>
        <w:t xml:space="preserve"> </w:t>
      </w:r>
      <w:r>
        <w:t xml:space="preserve">competente e um operador regulado, e simultaneamente ser o alvo da sua</w:t>
      </w:r>
      <w:r>
        <w:t xml:space="preserve"> </w:t>
      </w:r>
      <w:r>
        <w:t xml:space="preserve">própria relação de acreditação com um organismo credenciador.</w:t>
      </w:r>
    </w:p>
    <w:p>
      <w:pPr>
        <w:pStyle w:val="CaptionedFigure"/>
      </w:pPr>
      <w:r>
        <w:drawing>
          <wp:inline>
            <wp:extent cx="5334000" cy="7157651"/>
            <wp:effectExtent b="0" l="0" r="0" t="0"/>
            <wp:docPr descr="Quadro conceitual: do contexto regulatório à análise futura. As camadas em azul-escuro são efetivamente codificadas neste exercício; as tracejadas, abaixo da linha de fronteira, são explicitamente fora de escopo para esta camada de codificação." title="" id="12" name="Picture"/>
            <a:graphic>
              <a:graphicData uri="http://schemas.openxmlformats.org/drawingml/2006/picture">
                <pic:pic>
                  <pic:nvPicPr>
                    <pic:cNvPr descr="figures/fig1_conceptual_framework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57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Quadro conceitual: do contexto regulatório à análise futura. As camadas em azul-escuro são efetivamente codificadas neste exercício; as tracejadas, abaixo da linha de fronteira, são explicitamente fora de escopo para esta camada de codificação.</w:t>
      </w:r>
    </w:p>
    <w:p>
      <w:pPr>
        <w:pStyle w:val="BodyText"/>
      </w:pPr>
      <w:r>
        <w:t xml:space="preserve">A Figura 1 situa o escopo deste artigo dentro de uma cadeia conceitual mais</w:t>
      </w:r>
      <w:r>
        <w:t xml:space="preserve"> </w:t>
      </w:r>
      <w:r>
        <w:t xml:space="preserve">ampla: da arquitetura regulatória até a análise futura de efetividade,</w:t>
      </w:r>
      <w:r>
        <w:t xml:space="preserve"> </w:t>
      </w:r>
      <w:r>
        <w:t xml:space="preserve">legitimidade e governança policêntrica — camadas explicitamente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medidas por esta codificação de texto legal, por decisão de desenho, não</w:t>
      </w:r>
      <w:r>
        <w:t xml:space="preserve"> </w:t>
      </w:r>
      <w:r>
        <w:t xml:space="preserve">por omissão.</w:t>
      </w:r>
    </w:p>
    <w:bookmarkEnd w:id="14"/>
    <w:bookmarkStart w:id="22" w:name="método"/>
    <w:p>
      <w:pPr>
        <w:pStyle w:val="Heading2"/>
      </w:pPr>
      <w:r>
        <w:t xml:space="preserve">4 Método</w:t>
      </w:r>
    </w:p>
    <w:bookmarkStart w:id="15" w:name="corpus-e-coleta"/>
    <w:p>
      <w:pPr>
        <w:pStyle w:val="Heading3"/>
      </w:pPr>
      <w:r>
        <w:t xml:space="preserve">4.1 Corpus e coleta</w:t>
      </w:r>
    </w:p>
    <w:p>
      <w:pPr>
        <w:pStyle w:val="FirstParagraph"/>
      </w:pPr>
      <w:r>
        <w:t xml:space="preserve">Quatro atos legislativos da União Europeia foram selecionados como</w:t>
      </w:r>
      <w:r>
        <w:t xml:space="preserve"> </w:t>
      </w:r>
      <w:r>
        <w:t xml:space="preserve">âncoras de conveniência, um por mecanismo primário, escolhidos por já</w:t>
      </w:r>
      <w:r>
        <w:t xml:space="preserve"> </w:t>
      </w:r>
      <w:r>
        <w:t xml:space="preserve">serem casos conhecidos de cada mecanismo (Tabela 1). O texto integral foi</w:t>
      </w:r>
      <w:r>
        <w:t xml:space="preserve"> </w:t>
      </w:r>
      <w:r>
        <w:t xml:space="preserve">coletado da EUR-Lex por número CELEX e processado computacionalmente</w:t>
      </w:r>
      <w:r>
        <w:t xml:space="preserve"> </w:t>
      </w:r>
      <w:r>
        <w:t xml:space="preserve">parágrafo a parágrafo.</w:t>
      </w:r>
    </w:p>
    <w:p>
      <w:pPr>
        <w:pStyle w:val="TableCaption"/>
      </w:pPr>
      <w:r>
        <w:t xml:space="preserve">Tabela 1 — Atos legislativos analisados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ela 1 — Atos legislativos analisados"/>
      </w:tblPr>
      <w:tblGrid>
        <w:gridCol w:w="4476"/>
        <w:gridCol w:w="946"/>
        <w:gridCol w:w="24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Mecanismo-âncora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Corporate Sustainability Reporting Directive (CSRD)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32022L2464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+ auditing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Regulamento do Rótulo Ecológico da UE (Ecolabel)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32010R0066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Regulamento de Referenciais Climáticos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32019R2089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ranking/rating (condicional)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Verificação e Acreditação no EU 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32018R2067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auditing (+ certification)</w:t>
            </w:r>
          </w:p>
        </w:tc>
      </w:tr>
    </w:tbl>
    <w:bookmarkEnd w:id="15"/>
    <w:bookmarkStart w:id="16" w:name="X932eb699fb0f0f86783ecd375d6394386ab8eb2"/>
    <w:p>
      <w:pPr>
        <w:pStyle w:val="Heading3"/>
      </w:pPr>
      <w:r>
        <w:t xml:space="preserve">4.2 Estágio A — Triagem lexical (detecção de candidatos)</w:t>
      </w:r>
    </w:p>
    <w:p>
      <w:pPr>
        <w:pStyle w:val="FirstParagraph"/>
      </w:pPr>
      <w:r>
        <w:t xml:space="preserve">Cada parágrafo foi avaliado por um conjunto de regras lexicais em três</w:t>
      </w:r>
      <w:r>
        <w:t xml:space="preserve"> </w:t>
      </w:r>
      <w:r>
        <w:t xml:space="preserve">camadas por mecanismo:</w:t>
      </w:r>
      <w:r>
        <w:t xml:space="preserve"> </w:t>
      </w:r>
      <w:r>
        <w:rPr>
          <w:b/>
          <w:bCs/>
        </w:rPr>
        <w:t xml:space="preserve">âncora</w:t>
      </w:r>
      <w:r>
        <w:t xml:space="preserve"> </w:t>
      </w:r>
      <w:r>
        <w:t xml:space="preserve">(confirma o mecanismo sozinha,</w:t>
      </w:r>
      <w:r>
        <w:t xml:space="preserve"> </w:t>
      </w:r>
      <w:r>
        <w:rPr>
          <w:rStyle w:val="VerbatimChar"/>
        </w:rPr>
        <w:t xml:space="preserve">screening_confidence = high</w:t>
      </w:r>
      <w:r>
        <w:t xml:space="preserve">),</w:t>
      </w:r>
      <w:r>
        <w:t xml:space="preserve"> </w:t>
      </w:r>
      <w:r>
        <w:rPr>
          <w:b/>
          <w:bCs/>
        </w:rPr>
        <w:t xml:space="preserve">fraca</w:t>
      </w:r>
      <w:r>
        <w:t xml:space="preserve"> </w:t>
      </w:r>
      <w:r>
        <w:t xml:space="preserve">(sinal genérico, exige revisão,</w:t>
      </w:r>
      <w:r>
        <w:t xml:space="preserve"> </w:t>
      </w:r>
      <w:r>
        <w:rPr>
          <w:rStyle w:val="VerbatimChar"/>
        </w:rPr>
        <w:t xml:space="preserve">screening_confidence = low</w:t>
      </w:r>
      <w:r>
        <w:t xml:space="preserve">) e</w:t>
      </w:r>
      <w:r>
        <w:t xml:space="preserve"> </w:t>
      </w:r>
      <w:r>
        <w:rPr>
          <w:b/>
          <w:bCs/>
        </w:rPr>
        <w:t xml:space="preserve">exclusão</w:t>
      </w:r>
      <w:r>
        <w:t xml:space="preserve"> </w:t>
      </w:r>
      <w:r>
        <w:t xml:space="preserve">(descarta falsos positivos</w:t>
      </w:r>
      <w:r>
        <w:t xml:space="preserve"> </w:t>
      </w:r>
      <w:r>
        <w:t xml:space="preserve">conhecidos). Cada padrão carrega uma etiqueta de papel semântico —</w:t>
      </w:r>
      <w:r>
        <w:t xml:space="preserve"> </w:t>
      </w:r>
      <w:r>
        <w:rPr>
          <w:b/>
          <w:bCs/>
        </w:rPr>
        <w:t xml:space="preserve">ator</w:t>
      </w:r>
      <w:r>
        <w:t xml:space="preserve">,</w:t>
      </w:r>
      <w:r>
        <w:t xml:space="preserve"> </w:t>
      </w:r>
      <w:r>
        <w:rPr>
          <w:b/>
          <w:bCs/>
        </w:rPr>
        <w:t xml:space="preserve">mecanismo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instrumento</w:t>
      </w:r>
      <w:r>
        <w:t xml:space="preserve"> </w:t>
      </w:r>
      <w:r>
        <w:t xml:space="preserve">— de modo que apenas padrões do tipo ator</w:t>
      </w:r>
      <w:r>
        <w:t xml:space="preserve"> </w:t>
      </w:r>
      <w:r>
        <w:t xml:space="preserve">apontam diretamente para um candidato do estágio seguinte. Este estágio</w:t>
      </w:r>
      <w:r>
        <w:t xml:space="preserve"> </w:t>
      </w:r>
      <w:r>
        <w:rPr>
          <w:b/>
          <w:bCs/>
        </w:rPr>
        <w:t xml:space="preserve">não determina</w:t>
      </w:r>
      <w:r>
        <w:t xml:space="preserve"> </w:t>
      </w:r>
      <w:r>
        <w:t xml:space="preserve">se existe um intermediário; apenas localiza onde vale a</w:t>
      </w:r>
      <w:r>
        <w:t xml:space="preserve"> </w:t>
      </w:r>
      <w:r>
        <w:t xml:space="preserve">pena olhar com atenção.</w:t>
      </w:r>
    </w:p>
    <w:bookmarkEnd w:id="16"/>
    <w:bookmarkStart w:id="17" w:name="estágio-b-adjudicação-relacional"/>
    <w:p>
      <w:pPr>
        <w:pStyle w:val="Heading3"/>
      </w:pPr>
      <w:r>
        <w:t xml:space="preserve">4.3 Estágio B — Adjudicação relacional</w:t>
      </w:r>
    </w:p>
    <w:p>
      <w:pPr>
        <w:pStyle w:val="FirstParagraph"/>
      </w:pPr>
      <w:r>
        <w:t xml:space="preserve">Para cada candidato, aplicamos um teste relacional formal de cinco</w:t>
      </w:r>
      <w:r>
        <w:t xml:space="preserve"> </w:t>
      </w:r>
      <w:r>
        <w:t xml:space="preserve">condições, todas exigidas simultaneamente para um veredito positivo:</w:t>
      </w:r>
    </w:p>
    <w:p>
      <w:pPr>
        <w:pStyle w:val="Compact"/>
        <w:numPr>
          <w:ilvl w:val="0"/>
          <w:numId w:val="1002"/>
        </w:numPr>
      </w:pPr>
      <w:r>
        <w:t xml:space="preserve">existe um regulador identificável;</w:t>
      </w:r>
    </w:p>
    <w:p>
      <w:pPr>
        <w:pStyle w:val="Compact"/>
        <w:numPr>
          <w:ilvl w:val="0"/>
          <w:numId w:val="1002"/>
        </w:numPr>
      </w:pPr>
      <w:r>
        <w:t xml:space="preserve">existe um alvo identificável;</w:t>
      </w:r>
    </w:p>
    <w:p>
      <w:pPr>
        <w:pStyle w:val="Compact"/>
        <w:numPr>
          <w:ilvl w:val="0"/>
          <w:numId w:val="1002"/>
        </w:numPr>
      </w:pPr>
      <w:r>
        <w:t xml:space="preserve">existe um terceiro ator, distinto de R e T;</w:t>
      </w:r>
    </w:p>
    <w:p>
      <w:pPr>
        <w:pStyle w:val="Compact"/>
        <w:numPr>
          <w:ilvl w:val="0"/>
          <w:numId w:val="1002"/>
        </w:numPr>
      </w:pPr>
      <w:r>
        <w:t xml:space="preserve">esse terceiro ator medeia a relação R–T (não apenas assessora o</w:t>
      </w:r>
      <w:r>
        <w:t xml:space="preserve"> </w:t>
      </w:r>
      <w:r>
        <w:t xml:space="preserve">regulador, nem apenas recebe a mesma obrigação que o alvo);</w:t>
      </w:r>
    </w:p>
    <w:p>
      <w:pPr>
        <w:pStyle w:val="Compact"/>
        <w:numPr>
          <w:ilvl w:val="0"/>
          <w:numId w:val="1002"/>
        </w:numPr>
      </w:pPr>
      <w:r>
        <w:t xml:space="preserve">a relação é sustentada por texto legal explícito ou por reconstrução</w:t>
      </w:r>
      <w:r>
        <w:t xml:space="preserve"> </w:t>
      </w:r>
      <w:r>
        <w:t xml:space="preserve">institucional documentada.</w:t>
      </w:r>
    </w:p>
    <w:p>
      <w:pPr>
        <w:pStyle w:val="FirstParagraph"/>
      </w:pPr>
      <w:r>
        <w:t xml:space="preserve">O veredito é</w:t>
      </w:r>
      <w:r>
        <w:t xml:space="preserve"> </w:t>
      </w:r>
      <w:r>
        <w:rPr>
          <w:rStyle w:val="VerbatimChar"/>
        </w:rPr>
        <w:t xml:space="preserve">positive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negative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conditional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insufficient_evidence</w:t>
      </w:r>
      <w:r>
        <w:t xml:space="preserve"> </w:t>
      </w:r>
      <w:r>
        <w:t xml:space="preserve">— nunca uma resposta binária simples.</w:t>
      </w:r>
    </w:p>
    <w:bookmarkEnd w:id="17"/>
    <w:bookmarkStart w:id="21" w:name="estágio-c-codificação-institucional"/>
    <w:p>
      <w:pPr>
        <w:pStyle w:val="Heading3"/>
      </w:pPr>
      <w:r>
        <w:t xml:space="preserve">4.4 Estágio C — Codificação institucional</w:t>
      </w:r>
    </w:p>
    <w:p>
      <w:pPr>
        <w:pStyle w:val="FirstParagraph"/>
      </w:pPr>
      <w:r>
        <w:t xml:space="preserve">Candidatos positivos foram codificados nos atributos institucionais que o</w:t>
      </w:r>
      <w:r>
        <w:t xml:space="preserve"> </w:t>
      </w:r>
      <w:r>
        <w:t xml:space="preserve">texto efetivamente sustenta (papel formal, voluntarismo, nível, esfera,</w:t>
      </w:r>
      <w:r>
        <w:t xml:space="preserve"> </w:t>
      </w:r>
      <w:r>
        <w:t xml:space="preserve">modo de operação, separação organizacional, exigência de independência,</w:t>
      </w:r>
      <w:r>
        <w:t xml:space="preserve"> </w:t>
      </w:r>
      <w:r>
        <w:t xml:space="preserve">supervisão), com a regra de normalização de que</w:t>
      </w:r>
      <w:r>
        <w:t xml:space="preserve"> </w:t>
      </w:r>
      <w:r>
        <w:rPr>
          <w:b/>
          <w:bCs/>
        </w:rPr>
        <w:t xml:space="preserve">uma linha representa uma</w:t>
      </w:r>
      <w:r>
        <w:rPr>
          <w:b/>
          <w:bCs/>
        </w:rPr>
        <w:t xml:space="preserve"> </w:t>
      </w:r>
      <w:r>
        <w:rPr>
          <w:b/>
          <w:bCs/>
        </w:rPr>
        <w:t xml:space="preserve">relação</w:t>
      </w:r>
      <w:r>
        <w:t xml:space="preserve"> </w:t>
      </w:r>
      <w:r>
        <w:t xml:space="preserve">— nunca uma célula com múltiplos atores simultâneos.</w:t>
      </w:r>
    </w:p>
    <w:p>
      <w:pPr>
        <w:pStyle w:val="CaptionedFigure"/>
      </w:pPr>
      <w:r>
        <w:drawing>
          <wp:inline>
            <wp:extent cx="5334000" cy="2494422"/>
            <wp:effectExtent b="0" l="0" r="0" t="0"/>
            <wp:docPr descr="Pipeline de três estágios: a triagem não substitui a codificação substantiva." title="" id="19" name="Picture"/>
            <a:graphic>
              <a:graphicData uri="http://schemas.openxmlformats.org/drawingml/2006/picture">
                <pic:pic>
                  <pic:nvPicPr>
                    <pic:cNvPr descr="figures/fig2_three_stage_pipelin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4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Pipeline de três estágios: a triagem não substitui a codificação substantiva.</w:t>
      </w:r>
    </w:p>
    <w:bookmarkEnd w:id="21"/>
    <w:bookmarkEnd w:id="22"/>
    <w:bookmarkStart w:id="32" w:name="resultados"/>
    <w:p>
      <w:pPr>
        <w:pStyle w:val="Heading2"/>
      </w:pPr>
      <w:r>
        <w:t xml:space="preserve">5 Resultados</w:t>
      </w:r>
    </w:p>
    <w:bookmarkStart w:id="26" w:name="triagem-estágio-a"/>
    <w:p>
      <w:pPr>
        <w:pStyle w:val="Heading3"/>
      </w:pPr>
      <w:r>
        <w:t xml:space="preserve">5.1 Triagem (Estágio A)</w:t>
      </w:r>
    </w:p>
    <w:p>
      <w:pPr>
        <w:pStyle w:val="FirstParagraph"/>
      </w:pPr>
      <w:r>
        <w:t xml:space="preserve">A triagem produziu 1.079 sinais textuais sobre os quatro atos, 71% em alta</w:t>
      </w:r>
      <w:r>
        <w:t xml:space="preserve"> </w:t>
      </w:r>
      <w:r>
        <w:t xml:space="preserve">confiança e 29% em baixa confiança.</w:t>
      </w:r>
    </w:p>
    <w:p>
      <w:pPr>
        <w:pStyle w:val="CaptionedFigure"/>
      </w:pPr>
      <w:r>
        <w:drawing>
          <wp:inline>
            <wp:extent cx="5334000" cy="4271878"/>
            <wp:effectExtent b="0" l="0" r="0" t="0"/>
            <wp:docPr descr="Resultados do pipeline: hits de triagem por ato e confiança, distribuição de papel semântico, mecanismo × papel semântico, e desfechos da adjudicação (Estágio B)." title="" id="24" name="Picture"/>
            <a:graphic>
              <a:graphicData uri="http://schemas.openxmlformats.org/drawingml/2006/picture">
                <pic:pic>
                  <pic:nvPicPr>
                    <pic:cNvPr descr="figures/fig4_data_summary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1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Resultados do pipeline: hits de triagem por ato e confiança, distribuição de papel semântico, mecanismo × papel semântico, e desfechos da adjudicação (Estágio B).</w:t>
      </w:r>
    </w:p>
    <w:bookmarkEnd w:id="26"/>
    <w:bookmarkStart w:id="27" w:name="adjudicação-relacional-estágio-b"/>
    <w:p>
      <w:pPr>
        <w:pStyle w:val="Heading3"/>
      </w:pPr>
      <w:r>
        <w:t xml:space="preserve">5.2 Adjudicação relacional (Estágio B)</w:t>
      </w:r>
    </w:p>
    <w:p>
      <w:pPr>
        <w:pStyle w:val="FirstParagraph"/>
      </w:pPr>
      <w:r>
        <w:t xml:space="preserve">Dos 1.079 sinais, 10 candidatos foram adjudicados pelo teste relacional</w:t>
      </w:r>
      <w:r>
        <w:t xml:space="preserve"> </w:t>
      </w:r>
      <w:r>
        <w:t xml:space="preserve">completo (Tabela 2): 7 positivos, 2 negativos e 1 condicional.</w:t>
      </w:r>
    </w:p>
    <w:p>
      <w:pPr>
        <w:pStyle w:val="TableCaption"/>
      </w:pPr>
      <w:r>
        <w:t xml:space="preserve">Tabela 2 — Os 10 candidatos adjudicados no Estágio 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ela 2 — Os 10 candidatos adjudicados no Estágio B"/>
      </w:tblPr>
      <w:tblGrid>
        <w:gridCol w:w="1028"/>
        <w:gridCol w:w="3702"/>
        <w:gridCol w:w="1234"/>
        <w:gridCol w:w="19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Candidato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Ator_candidato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Veredito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Relação resultante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RIT-001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subsidiary-level assurance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RIT-002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 (dever direto de reportar)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competent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RIT-003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CAND-05a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17025 testing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RIT-004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CAND-05b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45011 verification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RIT-005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Union Ecolabelling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quarentena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RIT-006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accreditation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RIT-007</w:t>
            </w:r>
          </w:p>
        </w:tc>
      </w:tr>
    </w:tbl>
    <w:p>
      <w:pPr>
        <w:pStyle w:val="BodyText"/>
      </w:pPr>
      <w:r>
        <w:t xml:space="preserve">Os dois casos negativos (CAND-03, CAND-06) foram mantidos deliberadamente:</w:t>
      </w:r>
      <w:r>
        <w:t xml:space="preserve"> </w:t>
      </w:r>
      <w:r>
        <w:t xml:space="preserve">demonstram que o teste relacional discrimina, não apenas confirma. O caso</w:t>
      </w:r>
      <w:r>
        <w:t xml:space="preserve"> </w:t>
      </w:r>
      <w:r>
        <w:t xml:space="preserve">condicional (CAND-07) foi mantido em quarentena analítica, não promovido a</w:t>
      </w:r>
      <w:r>
        <w:t xml:space="preserve"> </w:t>
      </w:r>
      <w:r>
        <w:t xml:space="preserve">relação codificada — ver discussão.</w:t>
      </w:r>
    </w:p>
    <w:bookmarkEnd w:id="27"/>
    <w:bookmarkStart w:id="31" w:name="codificação-institucional-estágio-c"/>
    <w:p>
      <w:pPr>
        <w:pStyle w:val="Heading3"/>
      </w:pPr>
      <w:r>
        <w:t xml:space="preserve">5.3 Codificação institucional (Estágio C)</w:t>
      </w:r>
    </w:p>
    <w:p>
      <w:pPr>
        <w:pStyle w:val="FirstParagraph"/>
      </w:pPr>
      <w:r>
        <w:t xml:space="preserve">Os 7 candidatos positivos tornaram-se 7 relações R-I-T plenamente</w:t>
      </w:r>
      <w:r>
        <w:t xml:space="preserve"> </w:t>
      </w:r>
      <w:r>
        <w:t xml:space="preserve">codificadas (Tabela 3), organizadas em três cadeias que evidenciam</w:t>
      </w:r>
      <w:r>
        <w:t xml:space="preserve"> </w:t>
      </w:r>
      <w:r>
        <w:t xml:space="preserve">meta-regulação (um intermediário governado por outro) e um caso de</w:t>
      </w:r>
      <w:r>
        <w:t xml:space="preserve"> </w:t>
      </w:r>
      <w:r>
        <w:t xml:space="preserve">multiplicidade de papel.</w:t>
      </w:r>
    </w:p>
    <w:p>
      <w:pPr>
        <w:pStyle w:val="TableCaption"/>
      </w:pPr>
      <w:r>
        <w:t xml:space="preserve">Tabela 3 — As 7 relações R-I-T codificadas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ela 3 — As 7 relações R-I-T codificadas"/>
      </w:tblPr>
      <w:tblGrid>
        <w:gridCol w:w="425"/>
        <w:gridCol w:w="956"/>
        <w:gridCol w:w="2019"/>
        <w:gridCol w:w="1913"/>
        <w:gridCol w:w="1860"/>
        <w:gridCol w:w="7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Relação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Mecanismo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CHAIN-CSRD-1 (L1)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Autoridade competente (Estado-Membro)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undertaking/group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CHAIN-CSRD-1 (L2)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subsidiary-level assurance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subsidiary undertaking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CHAIN-ECO-1 (L1)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Comissão Europeia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competent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operador/aplicante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CHAIN-ECO-1 (L2)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competent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17025 testing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operador/aplicante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CHAIN-ECO-1 (L2)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competent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45011 verification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operador/aplicante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RIT-006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CHAIN-ETS-1 (L1)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Autoridade competente (ETS)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operador/aircraft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RIT-007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CHAIN-ETS-1 (L2)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Órgão do Art. 14, Reg. 765/2008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accreditation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verifier (multiplicidade de papel)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certification</w:t>
            </w:r>
          </w:p>
        </w:tc>
      </w:tr>
    </w:tbl>
    <w:p>
      <w:pPr>
        <w:pStyle w:val="CaptionedFigure"/>
      </w:pPr>
      <w:r>
        <w:drawing>
          <wp:inline>
            <wp:extent cx="5334000" cy="4409469"/>
            <wp:effectExtent b="0" l="0" r="0" t="0"/>
            <wp:docPr descr="Mapa das relações R-I-T: 7 relações positivas em 3 cadeias, 2 controles negativos, 1 caso condicional." title="" id="29" name="Picture"/>
            <a:graphic>
              <a:graphicData uri="http://schemas.openxmlformats.org/drawingml/2006/picture">
                <pic:pic>
                  <pic:nvPicPr>
                    <pic:cNvPr descr="figures/fig3_rit_relationship_map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9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Mapa das relações R-I-T: 7 relações positivas em 3 cadeias, 2 controles negativos, 1 caso condicional.</w:t>
      </w:r>
    </w:p>
    <w:p>
      <w:pPr>
        <w:pStyle w:val="BodyText"/>
      </w:pPr>
      <w:r>
        <w:t xml:space="preserve">O caso mais rico da amostra é a cadeia do EU ETS (RIT-006/RIT-007): o</w:t>
      </w:r>
      <w:r>
        <w:t xml:space="preserve"> </w:t>
      </w:r>
      <w:r>
        <w:t xml:space="preserve">verificador é o intermediário na relação entre a autoridade competente e o</w:t>
      </w:r>
      <w:r>
        <w:t xml:space="preserve"> </w:t>
      </w:r>
      <w:r>
        <w:t xml:space="preserve">operador, e é simultaneamente o</w:t>
      </w:r>
      <w:r>
        <w:t xml:space="preserve"> </w:t>
      </w:r>
      <w:r>
        <w:rPr>
          <w:b/>
          <w:bCs/>
        </w:rPr>
        <w:t xml:space="preserve">alvo</w:t>
      </w:r>
      <w:r>
        <w:t xml:space="preserve"> </w:t>
      </w:r>
      <w:r>
        <w:t xml:space="preserve">da sua própria relação de</w:t>
      </w:r>
      <w:r>
        <w:t xml:space="preserve"> </w:t>
      </w:r>
      <w:r>
        <w:t xml:space="preserve">acreditação com o organismo nacional de acreditação — evidência direta do</w:t>
      </w:r>
      <w:r>
        <w:t xml:space="preserve"> </w:t>
      </w:r>
      <w:r>
        <w:t xml:space="preserve">princípio de que papéis são relacionais, não intrínsecos ao ator.</w:t>
      </w:r>
    </w:p>
    <w:bookmarkEnd w:id="31"/>
    <w:bookmarkEnd w:id="32"/>
    <w:bookmarkStart w:id="35" w:name="validação"/>
    <w:p>
      <w:pPr>
        <w:pStyle w:val="Heading2"/>
      </w:pPr>
      <w:r>
        <w:t xml:space="preserve">6 Validação</w:t>
      </w:r>
    </w:p>
    <w:bookmarkStart w:id="33" w:name="estágio-a-amostra-de-referência"/>
    <w:p>
      <w:pPr>
        <w:pStyle w:val="Heading3"/>
      </w:pPr>
      <w:r>
        <w:t xml:space="preserve">6.1 Estágio A — amostra de referência</w:t>
      </w:r>
    </w:p>
    <w:p>
      <w:pPr>
        <w:pStyle w:val="FirstParagraph"/>
      </w:pPr>
      <w:r>
        <w:t xml:space="preserve">Para um artigo por ato, todo o texto foi lido manualmente, sem uso de</w:t>
      </w:r>
      <w:r>
        <w:t xml:space="preserve"> </w:t>
      </w:r>
      <w:r>
        <w:t xml:space="preserve">regras lexicais, e comparado ao que a triagem automática encontrou nos</w:t>
      </w:r>
      <w:r>
        <w:t xml:space="preserve"> </w:t>
      </w:r>
      <w:r>
        <w:t xml:space="preserve">mesmos parágrafos.</w:t>
      </w:r>
    </w:p>
    <w:p>
      <w:pPr>
        <w:pStyle w:val="TableCaption"/>
      </w:pPr>
      <w:r>
        <w:t xml:space="preserve">Tabela 4 — Validação do Estágio A (35 unidades julgadas)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4 — Validação do Estágio A (35 unidades julgadas)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Verdadeiros positivos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Falsos negativos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Falsos positivos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94,3%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97,1%</w:t>
            </w:r>
          </w:p>
        </w:tc>
      </w:tr>
    </w:tbl>
    <w:p>
      <w:pPr>
        <w:pStyle w:val="BodyText"/>
      </w:pPr>
      <w:r>
        <w:t xml:space="preserve">Os dois erros de recall compartilham uma causa: o parágrafo descreve a</w:t>
      </w:r>
      <w:r>
        <w:t xml:space="preserve"> </w:t>
      </w:r>
      <w:r>
        <w:t xml:space="preserve">relação pelo lado do regulador ou do alvo, sem repetir o nome do</w:t>
      </w:r>
      <w:r>
        <w:t xml:space="preserve"> </w:t>
      </w:r>
      <w:r>
        <w:t xml:space="preserve">intermediário — limite conhecido de uma triagem ancorada em substantivo,</w:t>
      </w:r>
      <w:r>
        <w:t xml:space="preserve"> </w:t>
      </w:r>
      <w:r>
        <w:t xml:space="preserve">não um problema de amostra.</w:t>
      </w:r>
    </w:p>
    <w:bookmarkEnd w:id="33"/>
    <w:bookmarkStart w:id="34" w:name="X21038109ca4c7650f9ff0071b6256e6bfb69ff5"/>
    <w:p>
      <w:pPr>
        <w:pStyle w:val="Heading3"/>
      </w:pPr>
      <w:r>
        <w:t xml:space="preserve">6.2 Estágios B e C — protocolo escrito, não executado</w:t>
      </w:r>
    </w:p>
    <w:p>
      <w:pPr>
        <w:pStyle w:val="FirstParagraph"/>
      </w:pPr>
      <w:r>
        <w:t xml:space="preserve">A validação de confiabilidade entre codificadores (segundo codificador,</w:t>
      </w:r>
      <w:r>
        <w:t xml:space="preserve"> </w:t>
      </w:r>
      <w:r>
        <w:t xml:space="preserve">mesmos critérios, às cegas) está protocolada, mas</w:t>
      </w:r>
      <w:r>
        <w:t xml:space="preserve"> </w:t>
      </w:r>
      <w:r>
        <w:rPr>
          <w:b/>
          <w:bCs/>
        </w:rPr>
        <w:t xml:space="preserve">não foi executada</w:t>
      </w:r>
      <w:r>
        <w:t xml:space="preserve"> </w:t>
      </w:r>
      <w:r>
        <w:t xml:space="preserve">—</w:t>
      </w:r>
      <w:r>
        <w:t xml:space="preserve"> </w:t>
      </w:r>
      <w:r>
        <w:t xml:space="preserve">não há, ainda, um segundo codificador disponível. Isso é registrado como</w:t>
      </w:r>
      <w:r>
        <w:t xml:space="preserve"> </w:t>
      </w:r>
      <w:r>
        <w:t xml:space="preserve">pendência explícita: sete relações codificadas por uma única pessoa</w:t>
      </w:r>
      <w:r>
        <w:t xml:space="preserve"> </w:t>
      </w:r>
      <w:r>
        <w:t xml:space="preserve">demonstram que a arquitetura é executável, não que é confiável entre</w:t>
      </w:r>
      <w:r>
        <w:t xml:space="preserve"> </w:t>
      </w:r>
      <w:r>
        <w:t xml:space="preserve">codificadores independentes.</w:t>
      </w:r>
    </w:p>
    <w:bookmarkEnd w:id="34"/>
    <w:bookmarkEnd w:id="35"/>
    <w:bookmarkStart w:id="39" w:name="discussão"/>
    <w:p>
      <w:pPr>
        <w:pStyle w:val="Heading2"/>
      </w:pPr>
      <w:r>
        <w:t xml:space="preserve">7 Discussão</w:t>
      </w:r>
    </w:p>
    <w:bookmarkStart w:id="36" w:name="Xb2e11acae88aec55e0b877ff770f08e255a3331"/>
    <w:p>
      <w:pPr>
        <w:pStyle w:val="Heading3"/>
      </w:pPr>
      <w:r>
        <w:t xml:space="preserve">7.1 Um erro encontrado e corrigido durante o próprio processo</w:t>
      </w:r>
    </w:p>
    <w:p>
      <w:pPr>
        <w:pStyle w:val="FirstParagraph"/>
      </w:pPr>
      <w:r>
        <w:t xml:space="preserve">A primeira leitura da cadeia de acreditação do EU ETS (RIT-007) atribuiu o</w:t>
      </w:r>
      <w:r>
        <w:t xml:space="preserve"> </w:t>
      </w:r>
      <w:r>
        <w:t xml:space="preserve">organismo nacional de acreditação como regulador, sem identificar um</w:t>
      </w:r>
      <w:r>
        <w:t xml:space="preserve"> </w:t>
      </w:r>
      <w:r>
        <w:t xml:space="preserve">intermediário distinto — uma leitura diádica que, mantida, teria</w:t>
      </w:r>
      <w:r>
        <w:t xml:space="preserve"> </w:t>
      </w:r>
      <w:r>
        <w:t xml:space="preserve">comprometido a própria alegação de multiplicidade de papel. Reler a</w:t>
      </w:r>
      <w:r>
        <w:t xml:space="preserve"> </w:t>
      </w:r>
      <w:r>
        <w:t xml:space="preserve">evidência já disponível (a avaliação por pares do organismo do Artigo 14</w:t>
      </w:r>
      <w:r>
        <w:t xml:space="preserve"> </w:t>
      </w:r>
      <w:r>
        <w:t xml:space="preserve">do Regulamento (CE) n.º 765/2008) corrigiu a atribuição: o organismo</w:t>
      </w:r>
      <w:r>
        <w:t xml:space="preserve"> </w:t>
      </w:r>
      <w:r>
        <w:t xml:space="preserve">nacional de acreditação ocupa a posição de intermediário, não de</w:t>
      </w:r>
      <w:r>
        <w:t xml:space="preserve"> </w:t>
      </w:r>
      <w:r>
        <w:t xml:space="preserve">regulador. A correção está documentada, não escondida — o processo de</w:t>
      </w:r>
      <w:r>
        <w:t xml:space="preserve"> </w:t>
      </w:r>
      <w:r>
        <w:t xml:space="preserve">encontrar e corrigir esse erro é, em si, evidência de que o teste</w:t>
      </w:r>
      <w:r>
        <w:t xml:space="preserve"> </w:t>
      </w:r>
      <w:r>
        <w:t xml:space="preserve">relacional está fazendo trabalho analítico real.</w:t>
      </w:r>
    </w:p>
    <w:bookmarkEnd w:id="36"/>
    <w:bookmarkStart w:id="37" w:name="Xb219980f8ac996771efc9fa8485853f6a085aee"/>
    <w:p>
      <w:pPr>
        <w:pStyle w:val="Heading3"/>
      </w:pPr>
      <w:r>
        <w:t xml:space="preserve">7.2 Validade de construto condicional: referenciais climáticos</w:t>
      </w:r>
    </w:p>
    <w:p>
      <w:pPr>
        <w:pStyle w:val="FirstParagraph"/>
      </w:pPr>
      <w:r>
        <w:t xml:space="preserve">O administrador do referencial climático seleciona e pondera ativos</w:t>
      </w:r>
      <w:r>
        <w:t xml:space="preserve"> </w:t>
      </w:r>
      <w:r>
        <w:t xml:space="preserve">segundo um padrão pré-definido — uma ação que lembra</w:t>
      </w:r>
      <w:r>
        <w:t xml:space="preserve"> </w:t>
      </w:r>
      <w:r>
        <w:t xml:space="preserve">“rating”</w:t>
      </w:r>
      <w:r>
        <w:t xml:space="preserve"> </w:t>
      </w:r>
      <w:r>
        <w:t xml:space="preserve">no sentido</w:t>
      </w:r>
      <w:r>
        <w:t xml:space="preserve"> </w:t>
      </w:r>
      <w:r>
        <w:t xml:space="preserve">da teoria. Mas o regulador não é nomeado no dispositivo lido, e o alvo é</w:t>
      </w:r>
      <w:r>
        <w:t xml:space="preserve"> </w:t>
      </w:r>
      <w:r>
        <w:t xml:space="preserve">duplo e indireto (empresas pontuadas; gestores de ativos que usam o selo).</w:t>
      </w:r>
      <w:r>
        <w:t xml:space="preserve"> </w:t>
      </w:r>
      <w:r>
        <w:t xml:space="preserve">Em vez de forçar o enquadramento, o caso foi mantido em quarentena</w:t>
      </w:r>
      <w:r>
        <w:t xml:space="preserve"> </w:t>
      </w:r>
      <w:r>
        <w:t xml:space="preserve">analítica, com a pergunta registrada para discussão direta com o Prof.</w:t>
      </w:r>
      <w:r>
        <w:t xml:space="preserve"> </w:t>
      </w:r>
      <w:r>
        <w:t xml:space="preserve">Levi-Faur.</w:t>
      </w:r>
    </w:p>
    <w:bookmarkEnd w:id="37"/>
    <w:bookmarkStart w:id="38" w:name="X4c9ee612322262d6b50b9e76d4f0399024c005c"/>
    <w:p>
      <w:pPr>
        <w:pStyle w:val="Heading3"/>
      </w:pPr>
      <w:r>
        <w:t xml:space="preserve">7.3 O que esta camada de codificação mede — e o que não mede</w:t>
      </w:r>
    </w:p>
    <w:p>
      <w:pPr>
        <w:pStyle w:val="FirstParagraph"/>
      </w:pPr>
      <w:r>
        <w:t xml:space="preserve">Mede, com responsabilidade: identidade dos atores e papéis R-I-T,</w:t>
      </w:r>
      <w:r>
        <w:t xml:space="preserve"> </w:t>
      </w:r>
      <w:r>
        <w:t xml:space="preserve">mecanismo primário e secundário, um subconjunto de atributos</w:t>
      </w:r>
      <w:r>
        <w:t xml:space="preserve"> </w:t>
      </w:r>
      <w:r>
        <w:t xml:space="preserve">institucionais e dois indicadores de governança, cada um com evidência</w:t>
      </w:r>
      <w:r>
        <w:t xml:space="preserve"> </w:t>
      </w:r>
      <w:r>
        <w:t xml:space="preserve">textual verbatim. Não mede, e não finge medir: motivação do intermediário,</w:t>
      </w:r>
      <w:r>
        <w:t xml:space="preserve"> </w:t>
      </w:r>
      <w:r>
        <w:t xml:space="preserve">centralidade institucional, as baterias completas de autonomia e</w:t>
      </w:r>
      <w:r>
        <w:t xml:space="preserve"> </w:t>
      </w:r>
      <w:r>
        <w:t xml:space="preserve">accountability, as estratégias de responsibilization/empowerment, e,</w:t>
      </w:r>
      <w:r>
        <w:t xml:space="preserve"> </w:t>
      </w:r>
      <w:r>
        <w:t xml:space="preserve">sobretudo, efetividade, legitimidade, confiança e o posicionamento</w:t>
      </w:r>
      <w:r>
        <w:t xml:space="preserve"> </w:t>
      </w:r>
      <w:r>
        <w:t xml:space="preserve">monocêntrico/policêntrico do regime — reservados para análise empírica e</w:t>
      </w:r>
      <w:r>
        <w:t xml:space="preserve"> </w:t>
      </w:r>
      <w:r>
        <w:t xml:space="preserve">agregada futura (Figura 1).</w:t>
      </w:r>
    </w:p>
    <w:bookmarkEnd w:id="38"/>
    <w:bookmarkEnd w:id="39"/>
    <w:bookmarkStart w:id="40" w:name="limitações"/>
    <w:p>
      <w:pPr>
        <w:pStyle w:val="Heading2"/>
      </w:pPr>
      <w:r>
        <w:t xml:space="preserve">8 Limitações</w:t>
      </w:r>
    </w:p>
    <w:p>
      <w:pPr>
        <w:pStyle w:val="Compact"/>
        <w:numPr>
          <w:ilvl w:val="0"/>
          <w:numId w:val="1003"/>
        </w:numPr>
      </w:pPr>
      <w:r>
        <w:t xml:space="preserve">A amostra (10 candidatos, 7 relações) vem de um artigo por ato, não de</w:t>
      </w:r>
      <w:r>
        <w:t xml:space="preserve"> </w:t>
      </w:r>
      <w:r>
        <w:t xml:space="preserve">leitura exaustiva dos quatro atos inteiros.</w:t>
      </w:r>
    </w:p>
    <w:p>
      <w:pPr>
        <w:pStyle w:val="Compact"/>
        <w:numPr>
          <w:ilvl w:val="0"/>
          <w:numId w:val="1003"/>
        </w:numPr>
      </w:pPr>
      <w:r>
        <w:t xml:space="preserve">A validação do Estágio A usa amostra pequena e não aleatória — um teto</w:t>
      </w:r>
      <w:r>
        <w:t xml:space="preserve"> </w:t>
      </w:r>
      <w:r>
        <w:t xml:space="preserve">otimista, não uma estimativa para o corpus inteiro.</w:t>
      </w:r>
    </w:p>
    <w:p>
      <w:pPr>
        <w:pStyle w:val="Compact"/>
        <w:numPr>
          <w:ilvl w:val="0"/>
          <w:numId w:val="1003"/>
        </w:numPr>
      </w:pPr>
      <w:r>
        <w:t xml:space="preserve">Os Estágios B e C carecem de validação por segundo codificador.</w:t>
      </w:r>
    </w:p>
    <w:p>
      <w:pPr>
        <w:pStyle w:val="Compact"/>
        <w:numPr>
          <w:ilvl w:val="0"/>
          <w:numId w:val="1003"/>
        </w:numPr>
      </w:pPr>
      <w:r>
        <w:t xml:space="preserve">A população de</w:t>
      </w:r>
      <w:r>
        <w:t xml:space="preserve"> </w:t>
      </w:r>
      <w:r>
        <w:t xml:space="preserve">“legislação da UE sobre transição verde”</w:t>
      </w:r>
      <w:r>
        <w:t xml:space="preserve"> </w:t>
      </w:r>
      <w:r>
        <w:t xml:space="preserve">ainda não foi</w:t>
      </w:r>
      <w:r>
        <w:t xml:space="preserve"> </w:t>
      </w:r>
      <w:r>
        <w:t xml:space="preserve">definida por escrito — passo que precede qualquer expansão em escala.</w:t>
      </w:r>
    </w:p>
    <w:bookmarkEnd w:id="40"/>
    <w:bookmarkStart w:id="41" w:name="conclusão"/>
    <w:p>
      <w:pPr>
        <w:pStyle w:val="Heading2"/>
      </w:pPr>
      <w:r>
        <w:t xml:space="preserve">9 Conclusão</w:t>
      </w:r>
    </w:p>
    <w:p>
      <w:pPr>
        <w:pStyle w:val="FirstParagraph"/>
      </w:pPr>
      <w:r>
        <w:t xml:space="preserve">Este artigo demonstra que a intermediação regulatória pode ser</w:t>
      </w:r>
      <w:r>
        <w:t xml:space="preserve"> </w:t>
      </w:r>
      <w:r>
        <w:t xml:space="preserve">operacionalizada como um construto relacional, não uma categoria lexical,</w:t>
      </w:r>
      <w:r>
        <w:t xml:space="preserve"> </w:t>
      </w:r>
      <w:r>
        <w:t xml:space="preserve">mantendo rastreabilidade completa entre cada código e o texto legal que o</w:t>
      </w:r>
      <w:r>
        <w:t xml:space="preserve"> </w:t>
      </w:r>
      <w:r>
        <w:t xml:space="preserve">sustenta. A separação física entre triagem, adjudicação e codificação</w:t>
      </w:r>
      <w:r>
        <w:t xml:space="preserve"> </w:t>
      </w:r>
      <w:r>
        <w:t xml:space="preserve">institucional — e a preservação deliberada de casos negativos e</w:t>
      </w:r>
      <w:r>
        <w:t xml:space="preserve"> </w:t>
      </w:r>
      <w:r>
        <w:t xml:space="preserve">condicionais como evidência de validade discriminante — são, em conjunto,</w:t>
      </w:r>
      <w:r>
        <w:t xml:space="preserve"> </w:t>
      </w:r>
      <w:r>
        <w:t xml:space="preserve">a contribuição metodológica central deste exercício, submetida aqui para</w:t>
      </w:r>
      <w:r>
        <w:t xml:space="preserve"> </w:t>
      </w:r>
      <w:r>
        <w:t xml:space="preserve">validação antes de qualquer aplicação em escala.</w:t>
      </w:r>
    </w:p>
    <w:bookmarkEnd w:id="41"/>
    <w:bookmarkStart w:id="42" w:name="referências"/>
    <w:p>
      <w:pPr>
        <w:pStyle w:val="Heading2"/>
      </w:pPr>
      <w:r>
        <w:t xml:space="preserve">10 Referências</w:t>
      </w:r>
    </w:p>
    <w:p>
      <w:pPr>
        <w:pStyle w:val="FirstParagraph"/>
      </w:pPr>
      <w:r>
        <w:t xml:space="preserve">Levi-Faur, D. (2026).</w:t>
      </w:r>
      <w:r>
        <w:t xml:space="preserve"> </w:t>
      </w:r>
      <w:r>
        <w:rPr>
          <w:i/>
          <w:iCs/>
        </w:rPr>
        <w:t xml:space="preserve">Can Intermediaries Save Liberal Governance? Toward</w:t>
      </w:r>
      <w:r>
        <w:rPr>
          <w:i/>
          <w:iCs/>
        </w:rPr>
        <w:t xml:space="preserve"> </w:t>
      </w:r>
      <w:r>
        <w:rPr>
          <w:i/>
          <w:iCs/>
        </w:rPr>
        <w:t xml:space="preserve">Effective and Legitimate Regulatory Intermediation</w:t>
      </w:r>
      <w:r>
        <w:t xml:space="preserve">. Documento de proposta</w:t>
      </w:r>
      <w:r>
        <w:t xml:space="preserve"> </w:t>
      </w:r>
      <w:r>
        <w:t xml:space="preserve">de pesquisa não publicado.</w:t>
      </w:r>
    </w:p>
    <w:p>
      <w:pPr>
        <w:pStyle w:val="BodyText"/>
      </w:pPr>
      <w:r>
        <w:t xml:space="preserve">Diretiva (UE) 2022/2464 (Corporate Sustainability Reporting Directive),</w:t>
      </w:r>
      <w:r>
        <w:t xml:space="preserve"> </w:t>
      </w:r>
      <w:r>
        <w:t xml:space="preserve">CELEX 32022L2464.</w:t>
      </w:r>
    </w:p>
    <w:p>
      <w:pPr>
        <w:pStyle w:val="BodyText"/>
      </w:pPr>
      <w:r>
        <w:t xml:space="preserve">Regulamento (UE) n.º 66/2010 (Rótulo Ecológico da UE), CELEX 32010R0066.</w:t>
      </w:r>
    </w:p>
    <w:p>
      <w:pPr>
        <w:pStyle w:val="BodyText"/>
      </w:pPr>
      <w:r>
        <w:t xml:space="preserve">Regulamento (UE) 2019/2089 (Referenciais Climáticos), CELEX 32019R2089.</w:t>
      </w:r>
    </w:p>
    <w:p>
      <w:pPr>
        <w:pStyle w:val="BodyText"/>
      </w:pPr>
      <w:r>
        <w:t xml:space="preserve">Regulamento de Execução (UE) 2018/2067 (Verificação e Acreditação, EU ETS),</w:t>
      </w:r>
      <w:r>
        <w:t xml:space="preserve"> </w:t>
      </w:r>
      <w:r>
        <w:t xml:space="preserve">CELEX 32018R2067.</w:t>
      </w:r>
    </w:p>
    <w:bookmarkEnd w:id="42"/>
    <w:bookmarkStart w:id="43" w:name="apêndice-manifesto-de-arquivos"/>
    <w:p>
      <w:pPr>
        <w:pStyle w:val="Heading2"/>
      </w:pPr>
      <w:r>
        <w:t xml:space="preserve">11 Apêndice — manifesto de arquivos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Arquivo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RIT_CODEBOOK_v3.md</w:t>
            </w:r>
          </w:p>
        </w:tc>
        <w:tc>
          <w:tcPr/>
          <w:p>
            <w:pPr>
              <w:pStyle w:val="Compact"/>
            </w:pPr>
            <w:r>
              <w:t xml:space="preserve">Manual de codificação dos Estágios B e 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SCREENING_CODEBOOK_v3.md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CODEBOOK.md</w:t>
            </w:r>
          </w:p>
        </w:tc>
        <w:tc>
          <w:tcPr/>
          <w:p>
            <w:pPr>
              <w:pStyle w:val="Compact"/>
            </w:pPr>
            <w:r>
              <w:t xml:space="preserve">Regras de triagem do Estágio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DATA_DICTIONARY_v3.md</w:t>
            </w:r>
          </w:p>
        </w:tc>
        <w:tc>
          <w:tcPr/>
          <w:p>
            <w:pPr>
              <w:pStyle w:val="Compact"/>
            </w:pPr>
            <w:r>
              <w:t xml:space="preserve">Dicionário de variáveis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VARIABLE_MAP_v3.md</w:t>
            </w:r>
          </w:p>
        </w:tc>
        <w:tc>
          <w:tcPr/>
          <w:p>
            <w:pPr>
              <w:pStyle w:val="Compact"/>
            </w:pPr>
            <w:r>
              <w:t xml:space="preserve">Construto → dimensão → indicador → variável → evidência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METHODOLOGY_v3.md</w:t>
            </w:r>
          </w:p>
        </w:tc>
        <w:tc>
          <w:tcPr/>
          <w:p>
            <w:pPr>
              <w:pStyle w:val="Compact"/>
            </w:pPr>
            <w:r>
              <w:t xml:space="preserve">Justificativa metodológica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SCREENING_VALIDATION_v3.md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GOLD_STANDARD_VALIDATION.md</w:t>
            </w:r>
          </w:p>
        </w:tc>
        <w:tc>
          <w:tcPr/>
          <w:p>
            <w:pPr>
              <w:pStyle w:val="Compact"/>
            </w:pPr>
            <w:r>
              <w:t xml:space="preserve">Validação do Estágio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RELATIONSHIP_VALIDATION_PROTOCOL_v3.md</w:t>
            </w:r>
          </w:p>
        </w:tc>
        <w:tc>
          <w:tcPr/>
          <w:p>
            <w:pPr>
              <w:pStyle w:val="Compact"/>
            </w:pPr>
            <w:r>
              <w:t xml:space="preserve">Protocolo de validação B/C (não executado)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data/screening_hits_v3.csv</w:t>
            </w:r>
          </w:p>
        </w:tc>
        <w:tc>
          <w:tcPr/>
          <w:p>
            <w:pPr>
              <w:pStyle w:val="Compact"/>
            </w:pPr>
            <w:r>
              <w:t xml:space="preserve">1.079 linhas — saída do Estágio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data/candidate_adjudications_v3.csv</w:t>
            </w:r>
          </w:p>
        </w:tc>
        <w:tc>
          <w:tcPr/>
          <w:p>
            <w:pPr>
              <w:pStyle w:val="Compact"/>
            </w:pPr>
            <w:r>
              <w:t xml:space="preserve">10 linhas — saída do Estágio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data/rit_relationships_v3.csv</w:t>
            </w:r>
          </w:p>
        </w:tc>
        <w:tc>
          <w:tcPr/>
          <w:p>
            <w:pPr>
              <w:pStyle w:val="Compact"/>
            </w:pPr>
            <w:r>
              <w:t xml:space="preserve">7 linhas — saída do Estágio 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data/actors_v3.csv</w:t>
            </w:r>
          </w:p>
        </w:tc>
        <w:tc>
          <w:tcPr/>
          <w:p>
            <w:pPr>
              <w:pStyle w:val="Compact"/>
            </w:pPr>
            <w:r>
              <w:t xml:space="preserve">19 identidades de atores</w:t>
            </w:r>
          </w:p>
        </w:tc>
      </w:tr>
    </w:tbl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8" Target="media/rId18.png" /><Relationship Type="http://schemas.openxmlformats.org/officeDocument/2006/relationships/image" Id="rId28" Target="media/rId28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Codificação de Intermediários Regulatórios na Legislação da UE sobre Transição Verde</dc:title>
  <dc:creator>Igor Caires Machado — Postdoctoral Researcher, ENAP · ORCID 0009-0008-9547-5223</dc:creator>
  <dc:language>pt-BR</dc:language>
  <cp:keywords/>
  <dcterms:created xsi:type="dcterms:W3CDTF">2026-09-06T18:25:31Z</dcterms:created>
  <dcterms:modified xsi:type="dcterms:W3CDTF">2026-09-06T18:25:31Z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Invalid Date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Uma arquitetura relacional de três estágios — artigo para validação metodológica</vt:lpwstr>
  </property>
  <property fmtid="{D5CDD505-2E9C-101B-9397-08002B2CF9AE}" pid="12" name="toc-title">
    <vt:lpwstr>Índice</vt:lpwstr>
  </property>
</Properties>
</file>