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8.png" ContentType="image/png"/>
  <Override PartName="/word/media/rId37.png" ContentType="image/png"/>
  <Override PartName="/word/media/rId44.png" ContentType="image/png"/>
  <Override PartName="/word/media/rId62.png" ContentType="image/png"/>
  <Override PartName="/word/media/rId66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Complete Report on Regulatory Intermediaries in Five EU Green-Transition Acts</w:t>
      </w:r>
    </w:p>
    <w:p>
      <w:pPr>
        <w:pStyle w:val="Subtitle"/>
      </w:pPr>
      <w:r>
        <w:t xml:space="preserve">Theory, CELEX corpus, R-I-T reconstruction, AI-assisted protocol and human audit</w:t>
      </w:r>
    </w:p>
    <w:p>
      <w:pPr>
        <w:pStyle w:val="Author"/>
      </w:pPr>
      <w:r>
        <w:t xml:space="preserve">Igor Caires Machado</w:t>
      </w:r>
    </w:p>
    <w:p>
      <w:pPr>
        <w:pStyle w:val="Date"/>
      </w:pPr>
      <w:r>
        <w:t xml:space="preserve">2026-09-06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report documents the fourth, five-act round of PoC 01 on regulatory</w:t>
      </w:r>
      <w:r>
        <w:t xml:space="preserve"> </w:t>
      </w:r>
      <w:r>
        <w:t xml:space="preserve">intermediaries. It is prepared for Prof. David Levi-Faur and is designed to</w:t>
      </w:r>
      <w:r>
        <w:t xml:space="preserve"> </w:t>
      </w:r>
      <w:r>
        <w:t xml:space="preserve">make the whole path auditable: conceptual reading, CELEX selection, legal-text</w:t>
      </w:r>
      <w:r>
        <w:t xml:space="preserve"> </w:t>
      </w:r>
      <w:r>
        <w:t xml:space="preserve">collection, lexical screening, R-I-T reconstruction, AI-assisted coding and</w:t>
      </w:r>
      <w:r>
        <w:t xml:space="preserve"> </w:t>
      </w:r>
      <w:r>
        <w:t xml:space="preserve">human adjudication.</w:t>
      </w:r>
    </w:p>
    <w:p>
      <w:pPr>
        <w:pStyle w:val="BodyText"/>
      </w:pPr>
      <w:r>
        <w:t xml:space="preserve">The governing instruction is:</w:t>
      </w:r>
      <w:r>
        <w:t xml:space="preserve"> </w:t>
      </w:r>
      <w:r>
        <w:rPr>
          <w:b/>
          <w:bCs/>
        </w:rPr>
        <w:t xml:space="preserve">Do not code labels; code regulatory</w:t>
      </w:r>
      <w:r>
        <w:rPr>
          <w:b/>
          <w:bCs/>
        </w:rPr>
        <w:t xml:space="preserve"> </w:t>
      </w:r>
      <w:r>
        <w:rPr>
          <w:b/>
          <w:bCs/>
        </w:rPr>
        <w:t xml:space="preserve">relationships.</w:t>
      </w:r>
      <w:r>
        <w:t xml:space="preserve"> </w:t>
      </w:r>
      <w:r>
        <w:t xml:space="preserve">A word such as “auditor”, “benchmark” or “competent body” is</w:t>
      </w:r>
      <w:r>
        <w:t xml:space="preserve"> </w:t>
      </w:r>
      <w:r>
        <w:t xml:space="preserve">only a screening signal. The unit of interpretation is a supported</w:t>
      </w:r>
      <w:r>
        <w:t xml:space="preserve"> </w:t>
      </w:r>
      <w:r>
        <w:t xml:space="preserve">relationship between a rule-maker/regulator, an analytically distinct</w:t>
      </w:r>
      <w:r>
        <w:t xml:space="preserve"> </w:t>
      </w:r>
      <w:r>
        <w:t xml:space="preserve">intermediary and a rule-taker/target.</w:t>
      </w:r>
    </w:p>
    <w:p>
      <w:pPr>
        <w:pStyle w:val="BodyText"/>
      </w:pPr>
      <w:r>
        <w:t xml:space="preserve">The corpus contains five known EUR-Lex acts: the Corporate Sustainability</w:t>
      </w:r>
      <w:r>
        <w:t xml:space="preserve"> </w:t>
      </w:r>
      <w:r>
        <w:t xml:space="preserve">Reporting Directive (CSRD), the EU Ecolabel Regulation, the Climate Benchmarks</w:t>
      </w:r>
      <w:r>
        <w:t xml:space="preserve"> </w:t>
      </w:r>
      <w:r>
        <w:t xml:space="preserve">Regulation, the ETS Verification Regulation and the Taxonomy Regulation. The</w:t>
      </w:r>
      <w:r>
        <w:t xml:space="preserve"> </w:t>
      </w:r>
      <w:r>
        <w:t xml:space="preserve">five preserved HTML files are non-empty, hash-linked to the manifest and</w:t>
      </w:r>
      <w:r>
        <w:t xml:space="preserve"> </w:t>
      </w:r>
      <w:r>
        <w:t xml:space="preserve">screened with one versioned pipeline. The four historical acts reproduce the</w:t>
      </w:r>
      <w:r>
        <w:t xml:space="preserve"> </w:t>
      </w:r>
      <w:r>
        <w:t xml:space="preserve">v3 total of 1,079 screening hits; the Taxonomy Regulation adds 13, for 1,092</w:t>
      </w:r>
      <w:r>
        <w:t xml:space="preserve"> </w:t>
      </w:r>
      <w:r>
        <w:t xml:space="preserve">hits in all.</w:t>
      </w:r>
    </w:p>
    <w:p>
      <w:pPr>
        <w:pStyle w:val="BodyText"/>
      </w:pPr>
      <w:r>
        <w:t xml:space="preserve">The current authoritative R-I-T table deliberately preserves the seven</w:t>
      </w:r>
      <w:r>
        <w:t xml:space="preserve"> </w:t>
      </w:r>
      <w:r>
        <w:t xml:space="preserve">human-validated v3 relationships. Twenty new units, four per act, were sampled</w:t>
      </w:r>
      <w:r>
        <w:t xml:space="preserve"> </w:t>
      </w:r>
      <w:r>
        <w:t xml:space="preserve">with a reproducible seed and remain pending independent human adjudication.</w:t>
      </w:r>
      <w:r>
        <w:t xml:space="preserve"> </w:t>
      </w:r>
      <w:r>
        <w:t xml:space="preserve">No Taxonomy R-I-T relationship is asserted from a lexical hit alone.</w:t>
      </w:r>
    </w:p>
    <w:p>
      <w:pPr>
        <w:pStyle w:val="BodyText"/>
      </w:pPr>
      <w:r>
        <w:t xml:space="preserve">The live OpenAI integration was implemented and tested against the account’s</w:t>
      </w:r>
      <w:r>
        <w:t xml:space="preserve"> </w:t>
      </w:r>
      <w:r>
        <w:t xml:space="preserve">model list, with</w:t>
      </w:r>
      <w:r>
        <w:t xml:space="preserve"> </w:t>
      </w:r>
      <w:r>
        <w:rPr>
          <w:rStyle w:val="VerbatimChar"/>
        </w:rPr>
        <w:t xml:space="preserve">gpt-5.6-terra</w:t>
      </w:r>
      <w:r>
        <w:t xml:space="preserve"> </w:t>
      </w:r>
      <w:r>
        <w:t xml:space="preserve">fixed as the operational model id. The first</w:t>
      </w:r>
      <w:r>
        <w:t xml:space="preserve"> </w:t>
      </w:r>
      <w:r>
        <w:t xml:space="preserve">generation request returned</w:t>
      </w:r>
      <w:r>
        <w:t xml:space="preserve"> </w:t>
      </w:r>
      <w:r>
        <w:rPr>
          <w:rStyle w:val="VerbatimChar"/>
        </w:rPr>
        <w:t xml:space="preserve">credit_balance_exhausted</w:t>
      </w:r>
      <w:r>
        <w:t xml:space="preserve">; therefore, this</w:t>
      </w:r>
      <w:r>
        <w:t xml:space="preserve"> </w:t>
      </w:r>
      <w:r>
        <w:t xml:space="preserve">delivery contains no substantive LLM finding. A 201-call local dry-run</w:t>
      </w:r>
      <w:r>
        <w:t xml:space="preserve"> </w:t>
      </w:r>
      <w:r>
        <w:t xml:space="preserve">(A2/B1/B2 for 20 units and C for seven inherited relationships, each repeated</w:t>
      </w:r>
      <w:r>
        <w:t xml:space="preserve"> </w:t>
      </w:r>
      <w:r>
        <w:t xml:space="preserve">three times) passed schema and orchestration checks, but its placeholders are</w:t>
      </w:r>
      <w:r>
        <w:t xml:space="preserve"> </w:t>
      </w:r>
      <w:r>
        <w:t xml:space="preserve">not results and are not used in the datasets or conclusions.</w:t>
      </w:r>
    </w:p>
    <w:p>
      <w:pPr>
        <w:pStyle w:val="BodyText"/>
      </w:pPr>
      <w:r>
        <w:t xml:space="preserve">The prompt-based estimate for those 201 live calls is approximately US$2.2027</w:t>
      </w:r>
      <w:r>
        <w:t xml:space="preserve"> </w:t>
      </w:r>
      <w:r>
        <w:t xml:space="preserve">at the published</w:t>
      </w:r>
      <w:r>
        <w:t xml:space="preserve"> </w:t>
      </w:r>
      <w:r>
        <w:rPr>
          <w:rStyle w:val="VerbatimChar"/>
        </w:rPr>
        <w:t xml:space="preserve">gpt-5.6-terra</w:t>
      </w:r>
      <w:r>
        <w:t xml:space="preserve"> </w:t>
      </w:r>
      <w:r>
        <w:t xml:space="preserve">rates. This is a planning proxy, not an</w:t>
      </w:r>
      <w:r>
        <w:t xml:space="preserve"> </w:t>
      </w:r>
      <w:r>
        <w:t xml:space="preserve">invoice; the account dashboard is authoritative.</w:t>
      </w:r>
    </w:p>
    <w:bookmarkEnd w:id="9"/>
    <w:bookmarkStart w:id="10" w:name="research-context-and-task"/>
    <w:p>
      <w:pPr>
        <w:pStyle w:val="Heading1"/>
      </w:pPr>
      <w:r>
        <w:t xml:space="preserve">Research context and task</w:t>
      </w:r>
    </w:p>
    <w:p>
      <w:pPr>
        <w:pStyle w:val="FirstParagraph"/>
      </w:pPr>
      <w:r>
        <w:t xml:space="preserve">The task is a methodological proof of concept for a larger study of</w:t>
      </w:r>
      <w:r>
        <w:t xml:space="preserve"> </w:t>
      </w:r>
      <w:r>
        <w:t xml:space="preserve">regulatory intermediation. It asks how legal and institutional arrangements</w:t>
      </w:r>
      <w:r>
        <w:t xml:space="preserve"> </w:t>
      </w:r>
      <w:r>
        <w:t xml:space="preserve">place actors between regulators and targets, which mechanisms they use, and</w:t>
      </w:r>
      <w:r>
        <w:t xml:space="preserve"> </w:t>
      </w:r>
      <w:r>
        <w:t xml:space="preserve">which design features may support autonomy and accountability. The present</w:t>
      </w:r>
      <w:r>
        <w:t xml:space="preserve"> </w:t>
      </w:r>
      <w:r>
        <w:t xml:space="preserve">delivery is addressed to David as a transparent hand-off: it records what the</w:t>
      </w:r>
      <w:r>
        <w:t xml:space="preserve"> </w:t>
      </w:r>
      <w:r>
        <w:t xml:space="preserve">legal corpus can support, what the workflow has tested, and what still needs</w:t>
      </w:r>
      <w:r>
        <w:t xml:space="preserve"> </w:t>
      </w:r>
      <w:r>
        <w:t xml:space="preserve">human or external evidence.</w:t>
      </w:r>
    </w:p>
    <w:p>
      <w:pPr>
        <w:pStyle w:val="BodyText"/>
      </w:pPr>
      <w:r>
        <w:t xml:space="preserve">The core analytical distinction is relational. Actor roles are not intrinsic</w:t>
      </w:r>
      <w:r>
        <w:t xml:space="preserve"> </w:t>
      </w:r>
      <w:r>
        <w:t xml:space="preserve">properties:</w:t>
      </w:r>
      <w:r>
        <w:t xml:space="preserve"> </w:t>
      </w:r>
      <w:r>
        <w:rPr>
          <w:rStyle w:val="VerbatimChar"/>
        </w:rPr>
        <w:t xml:space="preserve">Role(actor) != intrinsic property</w:t>
      </w:r>
      <w:r>
        <w:t xml:space="preserve">; the relevant coding unit is</w:t>
      </w:r>
      <w:r>
        <w:t xml:space="preserve"> </w:t>
      </w:r>
      <w:r>
        <w:rPr>
          <w:rStyle w:val="VerbatimChar"/>
        </w:rPr>
        <w:t xml:space="preserve">Role(actor, relationship)</w:t>
      </w:r>
      <w:r>
        <w:t xml:space="preserve">. The same organisation may be R, I or T in</w:t>
      </w:r>
      <w:r>
        <w:t xml:space="preserve"> </w:t>
      </w:r>
      <w:r>
        <w:t xml:space="preserve">different relationships. For this reason, the dataset distinguishes</w:t>
      </w:r>
      <w:r>
        <w:t xml:space="preserve"> </w:t>
      </w:r>
      <w:r>
        <w:rPr>
          <w:rStyle w:val="VerbatimChar"/>
        </w:rPr>
        <w:t xml:space="preserve">rule_source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standard_setter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direct_regulator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oversight_authority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enforcement_authority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intermediary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;</w:t>
      </w:r>
      <w:r>
        <w:t xml:space="preserve"> </w:t>
      </w:r>
      <w:r>
        <w:rPr>
          <w:rStyle w:val="VerbatimChar"/>
        </w:rPr>
        <w:t xml:space="preserve">R_actor_id</w:t>
      </w:r>
      <w:r>
        <w:t xml:space="preserve"> </w:t>
      </w:r>
      <w:r>
        <w:t xml:space="preserve">is the</w:t>
      </w:r>
      <w:r>
        <w:t xml:space="preserve"> </w:t>
      </w:r>
      <w:r>
        <w:t xml:space="preserve">focal role in one reconstructed relationship, not a permanent actor type.</w:t>
      </w:r>
    </w:p>
    <w:bookmarkEnd w:id="10"/>
    <w:bookmarkStart w:id="18" w:name="conceptual-starting-point"/>
    <w:p>
      <w:pPr>
        <w:pStyle w:val="Heading1"/>
      </w:pPr>
      <w:r>
        <w:t xml:space="preserve">1. Conceptual starting point</w:t>
      </w:r>
    </w:p>
    <w:bookmarkStart w:id="11" w:name="the-construct-proposed-by-levi-faur"/>
    <w:p>
      <w:pPr>
        <w:pStyle w:val="Heading2"/>
      </w:pPr>
      <w:r>
        <w:t xml:space="preserve">1.1 The construct proposed by Levi-Faur</w:t>
      </w:r>
    </w:p>
    <w:p>
      <w:pPr>
        <w:pStyle w:val="FirstParagraph"/>
      </w:pPr>
      <w:r>
        <w:t xml:space="preserve">The theoretical construct is regulatory intermediation: an analytically</w:t>
      </w:r>
      <w:r>
        <w:t xml:space="preserve"> </w:t>
      </w:r>
      <w:r>
        <w:t xml:space="preserve">distinct actor operates between a rule-maker or regulator and a rule-taker or</w:t>
      </w:r>
      <w:r>
        <w:t xml:space="preserve"> </w:t>
      </w:r>
      <w:r>
        <w:t xml:space="preserve">target. The central move is from a dyadic regulator-target picture to a</w:t>
      </w:r>
      <w:r>
        <w:t xml:space="preserve"> </w:t>
      </w:r>
      <w:r>
        <w:t xml:space="preserve">relationship in which someone certifies, audits, ranks, rates, labels or</w:t>
      </w:r>
      <w:r>
        <w:t xml:space="preserve"> </w:t>
      </w:r>
      <w:r>
        <w:t xml:space="preserve">reports on behalf of a regulatory arrangement.</w:t>
      </w:r>
    </w:p>
    <w:p>
      <w:pPr>
        <w:pStyle w:val="BodyText"/>
      </w:pPr>
      <w:r>
        <w:t xml:space="preserve">The proposal organises this field around a triad of actors, mechanisms and</w:t>
      </w:r>
      <w:r>
        <w:t xml:space="preserve"> </w:t>
      </w:r>
      <w:r>
        <w:t xml:space="preserve">strategies. It also asks how intermediary design connects to autonomy,</w:t>
      </w:r>
      <w:r>
        <w:t xml:space="preserve"> </w:t>
      </w:r>
      <w:r>
        <w:t xml:space="preserve">accountability, governance modes and, in future work, democratic outcomes.</w:t>
      </w:r>
    </w:p>
    <w:bookmarkEnd w:id="11"/>
    <w:bookmarkStart w:id="12" w:name="this-pocs-operational-proposal"/>
    <w:p>
      <w:pPr>
        <w:pStyle w:val="Heading2"/>
      </w:pPr>
      <w:r>
        <w:t xml:space="preserve">1.2 This PoC’s operational proposal</w:t>
      </w:r>
    </w:p>
    <w:p>
      <w:pPr>
        <w:pStyle w:val="FirstParagraph"/>
      </w:pPr>
      <w:r>
        <w:t xml:space="preserve">This exercise separates three analytical levels: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Theoretical construct:</w:t>
      </w:r>
      <w:r>
        <w:t xml:space="preserve"> </w:t>
      </w:r>
      <w:r>
        <w:t xml:space="preserve">regulatory intermediation.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Operationalisation used here:</w:t>
      </w:r>
      <w:r>
        <w:t xml:space="preserve"> </w:t>
      </w:r>
      <w:r>
        <w:t xml:space="preserve">a five-condition R-I-T test, four</w:t>
      </w:r>
      <w:r>
        <w:t xml:space="preserve"> </w:t>
      </w:r>
      <w:r>
        <w:t xml:space="preserve">mechanism families and individual institutional attributes.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Future analytical possibilities:</w:t>
      </w:r>
      <w:r>
        <w:t xml:space="preserve"> </w:t>
      </w:r>
      <w:r>
        <w:t xml:space="preserve">diffusion, regime-level structure,</w:t>
      </w:r>
      <w:r>
        <w:t xml:space="preserve"> </w:t>
      </w:r>
      <w:r>
        <w:t xml:space="preserve">effectiveness, legitimacy, trust and index construction.</w:t>
      </w:r>
    </w:p>
    <w:p>
      <w:pPr>
        <w:pStyle w:val="FirstParagraph"/>
      </w:pPr>
      <w:r>
        <w:t xml:space="preserve">The third level is not silently coded in this report. In particular, the</w:t>
      </w:r>
      <w:r>
        <w:t xml:space="preserve"> </w:t>
      </w:r>
      <w:r>
        <w:t xml:space="preserve">dataset contains no autonomy index, accountability index, effectiveness,</w:t>
      </w:r>
      <w:r>
        <w:t xml:space="preserve"> </w:t>
      </w:r>
      <w:r>
        <w:t xml:space="preserve">legitimacy, trust or polycentricity score.</w:t>
      </w:r>
    </w:p>
    <w:bookmarkEnd w:id="12"/>
    <w:bookmarkStart w:id="13" w:name="mechanisms-and-strategies"/>
    <w:p>
      <w:pPr>
        <w:pStyle w:val="Heading2"/>
      </w:pPr>
      <w:r>
        <w:t xml:space="preserve">1.3 Mechanisms and strategies</w:t>
      </w:r>
    </w:p>
    <w:p>
      <w:pPr>
        <w:pStyle w:val="FirstParagraph"/>
      </w:pPr>
      <w:r>
        <w:t xml:space="preserve">The four mechanism families are the proposal’s own empirical scaffold: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Typical governance mode in the proposal</w:t>
            </w:r>
          </w:p>
        </w:tc>
        <w:tc>
          <w:tcPr/>
          <w:p>
            <w:pPr>
              <w:pStyle w:val="Compact"/>
            </w:pPr>
            <w:r>
              <w:t xml:space="preserve">Operational signal in this 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State-led</w:t>
            </w:r>
          </w:p>
        </w:tc>
        <w:tc>
          <w:tcPr/>
          <w:p>
            <w:pPr>
              <w:pStyle w:val="Compact"/>
            </w:pPr>
            <w:r>
              <w:t xml:space="preserve">disclosure, report, sustainability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NGO-led / scheme-led</w:t>
            </w:r>
          </w:p>
        </w:tc>
        <w:tc>
          <w:tcPr/>
          <w:p>
            <w:pPr>
              <w:pStyle w:val="Compact"/>
            </w:pPr>
            <w:r>
              <w:t xml:space="preserve">certification, competent body, accreditation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Ranking/rating</w:t>
            </w:r>
          </w:p>
        </w:tc>
        <w:tc>
          <w:tcPr/>
          <w:p>
            <w:pPr>
              <w:pStyle w:val="Compact"/>
            </w:pPr>
            <w:r>
              <w:t xml:space="preserve">Business-led</w:t>
            </w:r>
          </w:p>
        </w:tc>
        <w:tc>
          <w:tcPr/>
          <w:p>
            <w:pPr>
              <w:pStyle w:val="Compact"/>
            </w:pPr>
            <w:r>
              <w:t xml:space="preserve">benchmark administrator, rating, ranking,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Auditing</w:t>
            </w:r>
          </w:p>
        </w:tc>
        <w:tc>
          <w:tcPr/>
          <w:p>
            <w:pPr>
              <w:pStyle w:val="Compact"/>
            </w:pPr>
            <w:r>
              <w:t xml:space="preserve">Profession-led</w:t>
            </w:r>
          </w:p>
        </w:tc>
        <w:tc>
          <w:tcPr/>
          <w:p>
            <w:pPr>
              <w:pStyle w:val="Compact"/>
            </w:pPr>
            <w:r>
              <w:t xml:space="preserve">auditor, assurance, verification, audit firm</w:t>
            </w:r>
          </w:p>
        </w:tc>
      </w:tr>
    </w:tbl>
    <w:p>
      <w:pPr>
        <w:pStyle w:val="BodyText"/>
      </w:pPr>
      <w:r>
        <w:t xml:space="preserve">The mechanisms are not mutually exclusive. The ETS case, for example, can</w:t>
      </w:r>
      <w:r>
        <w:t xml:space="preserve"> </w:t>
      </w:r>
      <w:r>
        <w:t xml:space="preserve">place auditing and accreditation in a chain.</w:t>
      </w:r>
      <w:r>
        <w:t xml:space="preserve"> </w:t>
      </w:r>
      <w:r>
        <w:rPr>
          <w:rStyle w:val="VerbatimChar"/>
        </w:rPr>
        <w:t xml:space="preserve">responsibilization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empowerment</w:t>
      </w:r>
      <w:r>
        <w:t xml:space="preserve"> </w:t>
      </w:r>
      <w:r>
        <w:t xml:space="preserve">remain independent strategy batteries rather than a forced</w:t>
      </w:r>
      <w:r>
        <w:t xml:space="preserve"> </w:t>
      </w:r>
      <w:r>
        <w:t xml:space="preserve">either/or variable; they are not scored here.</w:t>
      </w:r>
    </w:p>
    <w:bookmarkEnd w:id="13"/>
    <w:bookmarkStart w:id="17" w:name="why-the-eu-green-transition"/>
    <w:p>
      <w:pPr>
        <w:pStyle w:val="Heading2"/>
      </w:pPr>
      <w:r>
        <w:t xml:space="preserve">1.4 Why the EU green transition?</w:t>
      </w:r>
    </w:p>
    <w:p>
      <w:pPr>
        <w:pStyle w:val="FirstParagraph"/>
      </w:pPr>
      <w:r>
        <w:t xml:space="preserve">The five acts span reporting, environmental labelling, climate benchmarks,</w:t>
      </w:r>
      <w:r>
        <w:t xml:space="preserve"> </w:t>
      </w:r>
      <w:r>
        <w:t xml:space="preserve">emissions verification and sustainable-finance classification. Together they</w:t>
      </w:r>
      <w:r>
        <w:t xml:space="preserve"> </w:t>
      </w:r>
      <w:r>
        <w:t xml:space="preserve">offer variation in public authority, professional assurance, private scheme</w:t>
      </w:r>
      <w:r>
        <w:t xml:space="preserve"> </w:t>
      </w:r>
      <w:r>
        <w:t xml:space="preserve">administration and technical classification. This is a purposeful</w:t>
      </w:r>
      <w:r>
        <w:t xml:space="preserve"> </w:t>
      </w:r>
      <w:r>
        <w:t xml:space="preserve">methodological sample, not a claim to represent all EU green-transition law.</w:t>
      </w:r>
      <w:r>
        <w:t xml:space="preserve"> </w:t>
      </w:r>
      <w:r>
        <w:t xml:space="preserve">The Taxonomy Regulation is included as an exploratory discriminant case: its</w:t>
      </w:r>
      <w:r>
        <w:t xml:space="preserve"> </w:t>
      </w:r>
      <w:r>
        <w:t xml:space="preserve">signals may illuminate where classification and disclosure do not amount to</w:t>
      </w:r>
      <w:r>
        <w:t xml:space="preserve"> </w:t>
      </w:r>
      <w:r>
        <w:t xml:space="preserve">intermediation.</w:t>
      </w:r>
    </w:p>
    <w:p>
      <w:pPr>
        <w:pStyle w:val="CaptionedFigure"/>
      </w:pPr>
      <w:r>
        <w:drawing>
          <wp:inline>
            <wp:extent cx="5334000" cy="6541857"/>
            <wp:effectExtent b="0" l="0" r="0" t="0"/>
            <wp:docPr descr="Figure 1. Conceptual framework from regulatory context to future empirical and aggregate analysis." title="" id="15" name="Picture"/>
            <a:graphic>
              <a:graphicData uri="http://schemas.openxmlformats.org/drawingml/2006/picture">
                <pic:pic>
                  <pic:nvPicPr>
                    <pic:cNvPr descr="figures/fig1_conceptual_framework_v4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4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Conceptual framework from regulatory context to future empirical and aggregate analysis.</w:t>
      </w:r>
    </w:p>
    <w:bookmarkEnd w:id="17"/>
    <w:bookmarkEnd w:id="18"/>
    <w:bookmarkStart w:id="26" w:name="corpus-and-celex-rationale"/>
    <w:p>
      <w:pPr>
        <w:pStyle w:val="Heading1"/>
      </w:pPr>
      <w:r>
        <w:t xml:space="preserve">2. Corpus and CELEX rationale</w:t>
      </w:r>
    </w:p>
    <w:bookmarkStart w:id="24" w:name="why-celexeur-lex"/>
    <w:p>
      <w:pPr>
        <w:pStyle w:val="Heading2"/>
      </w:pPr>
      <w:r>
        <w:t xml:space="preserve">2.1 Why CELEX/EUR-Lex</w:t>
      </w:r>
    </w:p>
    <w:p>
      <w:pPr>
        <w:pStyle w:val="FirstParagraph"/>
      </w:pPr>
      <w:r>
        <w:t xml:space="preserve">CELEX identifiers make the corpus selection explicit and reproducible. The</w:t>
      </w:r>
      <w:r>
        <w:t xml:space="preserve"> </w:t>
      </w:r>
      <w:r>
        <w:t xml:space="preserve">pipeline requests a known English HTML record by identifier rather than using</w:t>
      </w:r>
      <w:r>
        <w:t xml:space="preserve"> </w:t>
      </w:r>
      <w:r>
        <w:t xml:space="preserve">an unconstrained keyword search. Each response is preserved as received,</w:t>
      </w:r>
      <w:r>
        <w:t xml:space="preserve"> </w:t>
      </w:r>
      <w:r>
        <w:t xml:space="preserve">normalised only for screening text extraction, and linked by SHA-256 hash.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CELEX</w:t>
            </w:r>
          </w:p>
        </w:tc>
        <w:tc>
          <w:tcPr/>
          <w:p>
            <w:pPr>
              <w:pStyle w:val="Compact"/>
            </w:pPr>
            <w:r>
              <w:t xml:space="preserve">Role in the design</w:t>
            </w:r>
          </w:p>
        </w:tc>
        <w:tc>
          <w:tcPr/>
          <w:p>
            <w:pPr>
              <w:pStyle w:val="Compact"/>
            </w:pPr>
            <w:r>
              <w:t xml:space="preserve">Collected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Directive (EU) 2022/2464 — CSRD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32022L2464</w:t>
            </w:r>
          </w:p>
        </w:tc>
        <w:tc>
          <w:tcPr/>
          <w:p>
            <w:pPr>
              <w:pStyle w:val="Compact"/>
            </w:pPr>
            <w:r>
              <w:t xml:space="preserve">reporting and assurance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csrd_raw.html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Regulation (EC) No 66/2010 — EU Ecolabel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32010R0066</w:t>
            </w:r>
          </w:p>
        </w:tc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ecolabel_raw.html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Regulation (EU) 2019/2089 — Climate Benchmarks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32019R2089</w:t>
            </w:r>
          </w:p>
        </w:tc>
        <w:tc>
          <w:tcPr/>
          <w:p>
            <w:pPr>
              <w:pStyle w:val="Compact"/>
            </w:pPr>
            <w:r>
              <w:t xml:space="preserve">ranking/rating, conditional validity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climate_benchmarks_raw.html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Implementing Regulation (EU) 2018/2067 — ETS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32018R2067</w:t>
            </w:r>
          </w:p>
        </w:tc>
        <w:tc>
          <w:tcPr/>
          <w:p>
            <w:pPr>
              <w:pStyle w:val="Compact"/>
            </w:pPr>
            <w:r>
              <w:t xml:space="preserve">auditing and accreditation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ets_verification_raw.html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Regulation (EU) 2020/852 — Taxonomy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32020R0852</w:t>
            </w:r>
          </w:p>
        </w:tc>
        <w:tc>
          <w:tcPr/>
          <w:p>
            <w:pPr>
              <w:pStyle w:val="Compact"/>
            </w:pPr>
            <w:r>
              <w:t xml:space="preserve">exploratory sustainability/finance 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taxonomy_raw.html</w:t>
            </w:r>
          </w:p>
        </w:tc>
      </w:tr>
    </w:tbl>
    <w:p>
      <w:pPr>
        <w:pStyle w:val="BodyText"/>
      </w:pPr>
      <w:r>
        <w:t xml:space="preserve">The source links are the EUR-Lex records for</w:t>
      </w:r>
      <w:r>
        <w:t xml:space="preserve"> </w:t>
      </w:r>
      <w:hyperlink r:id="rId19">
        <w:r>
          <w:rPr>
            <w:rStyle w:val="Hyperlink"/>
          </w:rPr>
          <w:t xml:space="preserve">CSRD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EU Ecolabel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Climate Benchmarks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ETS Verification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Taxonomy</w:t>
        </w:r>
      </w:hyperlink>
      <w:r>
        <w:t xml:space="preserve">.</w:t>
      </w:r>
    </w:p>
    <w:bookmarkEnd w:id="24"/>
    <w:bookmarkStart w:id="25" w:name="manifest-and-preservation"/>
    <w:p>
      <w:pPr>
        <w:pStyle w:val="Heading2"/>
      </w:pPr>
      <w:r>
        <w:t xml:space="preserve">2.2 Manifest and preservation</w:t>
      </w:r>
    </w:p>
    <w:p>
      <w:pPr>
        <w:pStyle w:val="FirstParagraph"/>
      </w:pPr>
      <w:r>
        <w:rPr>
          <w:rStyle w:val="VerbatimChar"/>
        </w:rPr>
        <w:t xml:space="preserve">data/CELEX_MANIFEST_v4.csv</w:t>
      </w:r>
      <w:r>
        <w:t xml:space="preserve"> </w:t>
      </w:r>
      <w:r>
        <w:t xml:space="preserve">records the base and version CELEX, ELI, title,</w:t>
      </w:r>
      <w:r>
        <w:t xml:space="preserve"> </w:t>
      </w:r>
      <w:r>
        <w:t xml:space="preserve">act type, legal-status/version placeholders, URL, collection</w:t>
      </w:r>
      <w:r>
        <w:t xml:space="preserve"> </w:t>
      </w:r>
      <w:r>
        <w:t xml:space="preserve">timestamp, response version description, byte count, relative path and hash.</w:t>
      </w:r>
      <w:r>
        <w:t xml:space="preserve"> </w:t>
      </w:r>
      <w:r>
        <w:t xml:space="preserve">The JSON mirror supports machine reading. A base act and a consolidated or</w:t>
      </w:r>
      <w:r>
        <w:t xml:space="preserve"> </w:t>
      </w:r>
      <w:r>
        <w:t xml:space="preserve">versioned record are not counted as separate acts.</w:t>
      </w:r>
      <w:r>
        <w:t xml:space="preserve"> </w:t>
      </w:r>
      <w:r>
        <w:rPr>
          <w:rStyle w:val="VerbatimChar"/>
        </w:rPr>
        <w:t xml:space="preserve">scripts/validate_v4.py</w:t>
      </w:r>
      <w:r>
        <w:t xml:space="preserve"> </w:t>
      </w:r>
      <w:r>
        <w:t xml:space="preserve">checks that</w:t>
      </w:r>
      <w:r>
        <w:t xml:space="preserve"> </w:t>
      </w:r>
      <w:r>
        <w:t xml:space="preserve">all five files exist, are non-empty and reproduce their manifest hash.</w:t>
      </w:r>
    </w:p>
    <w:bookmarkEnd w:id="25"/>
    <w:bookmarkEnd w:id="26"/>
    <w:bookmarkStart w:id="27" w:name="Xa0d6048cf2f173f5dc1d374948630f8d5b8c7d9"/>
    <w:p>
      <w:pPr>
        <w:pStyle w:val="Heading1"/>
      </w:pPr>
      <w:r>
        <w:t xml:space="preserve">From the PoC corpus to the target population</w:t>
      </w:r>
    </w:p>
    <w:p>
      <w:pPr>
        <w:pStyle w:val="FirstParagraph"/>
      </w:pPr>
      <w:r>
        <w:t xml:space="preserve">This PoC corpus is not the target population. A population-scale study first</w:t>
      </w:r>
      <w:r>
        <w:t xml:space="preserve"> </w:t>
      </w:r>
      <w:r>
        <w:t xml:space="preserve">needs a substantive definition of “EU green-transition act” (for example,</w:t>
      </w:r>
      <w:r>
        <w:t xml:space="preserve"> </w:t>
      </w:r>
      <w:r>
        <w:t xml:space="preserve">legal instrument types, policy domains, dates, and inclusion/exclusion of</w:t>
      </w:r>
      <w:r>
        <w:t xml:space="preserve"> </w:t>
      </w:r>
      <w:r>
        <w:t xml:space="preserve">amending and consolidated texts), followed by a frozen retrieval query and a</w:t>
      </w:r>
      <w:r>
        <w:t xml:space="preserve"> </w:t>
      </w:r>
      <w:r>
        <w:t xml:space="preserve">version-handling rule. SPARQL/Cellar solves retrieval, not population</w:t>
      </w:r>
      <w:r>
        <w:t xml:space="preserve"> </w:t>
      </w:r>
      <w:r>
        <w:t xml:space="preserve">definition. The manifest therefore makes the five-act choice inspectable</w:t>
      </w:r>
      <w:r>
        <w:t xml:space="preserve"> </w:t>
      </w:r>
      <w:r>
        <w:t xml:space="preserve">without pretending that the five acts are a prevalence denominator.</w:t>
      </w:r>
    </w:p>
    <w:bookmarkEnd w:id="27"/>
    <w:bookmarkStart w:id="31" w:name="operational-framework-and-pipeline"/>
    <w:p>
      <w:pPr>
        <w:pStyle w:val="Heading1"/>
      </w:pPr>
      <w:r>
        <w:t xml:space="preserve">Operational framework and pipeline</w:t>
      </w:r>
    </w:p>
    <w:p>
      <w:pPr>
        <w:pStyle w:val="FirstParagraph"/>
      </w:pPr>
      <w:r>
        <w:t xml:space="preserve">The implemented sequence is:</w:t>
      </w:r>
    </w:p>
    <w:p>
      <w:pPr>
        <w:pStyle w:val="BodyText"/>
      </w:pPr>
      <w:r>
        <w:rPr>
          <w:rStyle w:val="VerbatimChar"/>
        </w:rPr>
        <w:t xml:space="preserve">EUR-Lex -&gt; A1 + A2 -&gt; candidate pool -&gt; B1 -&gt; B2 -&gt; human adjudication -&gt; C -&gt; D validation/error analysis -&gt; authoritative data</w:t>
      </w:r>
      <w:r>
        <w:t xml:space="preserve">.</w:t>
      </w:r>
    </w:p>
    <w:p>
      <w:pPr>
        <w:pStyle w:val="BodyText"/>
      </w:pPr>
      <w:r>
        <w:t xml:space="preserve">A1 writes one row per provision and lexical signal. A2 is a complementary</w:t>
      </w:r>
      <w:r>
        <w:t xml:space="preserve"> </w:t>
      </w:r>
      <w:r>
        <w:t xml:space="preserve">semantic pass. B1 reconstructs all actors and relations before assigning</w:t>
      </w:r>
      <w:r>
        <w:t xml:space="preserve"> </w:t>
      </w:r>
      <w:r>
        <w:t xml:space="preserve">roles; B2 applies the five-condition test. Human review is a gate, C codes</w:t>
      </w:r>
      <w:r>
        <w:t xml:space="preserve"> </w:t>
      </w:r>
      <w:r>
        <w:t xml:space="preserve">institutional attributes only for positive relationships, and D checks</w:t>
      </w:r>
      <w:r>
        <w:t xml:space="preserve"> </w:t>
      </w:r>
      <w:r>
        <w:t xml:space="preserve">foreign keys, missingness, evidence and errors. The live AI layer can propose</w:t>
      </w:r>
      <w:r>
        <w:t xml:space="preserve"> </w:t>
      </w:r>
      <w:r>
        <w:t xml:space="preserve">records but cannot write directly to the authoritative CSVs.</w:t>
      </w:r>
    </w:p>
    <w:p>
      <w:pPr>
        <w:pStyle w:val="CaptionedFigure"/>
      </w:pPr>
      <w:r>
        <w:drawing>
          <wp:inline>
            <wp:extent cx="5334000" cy="2351950"/>
            <wp:effectExtent b="0" l="0" r="0" t="0"/>
            <wp:docPr descr="Figure 2. AI-assisted evidence pipeline with human and validation gates." title="" id="29" name="Picture"/>
            <a:graphic>
              <a:graphicData uri="http://schemas.openxmlformats.org/drawingml/2006/picture">
                <pic:pic>
                  <pic:nvPicPr>
                    <pic:cNvPr descr="figures/fig2_ai_pipeline_v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1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AI-assisted evidence pipeline with human and validation gates.</w:t>
      </w:r>
    </w:p>
    <w:bookmarkEnd w:id="31"/>
    <w:bookmarkStart w:id="41" w:name="extraction-and-screening"/>
    <w:p>
      <w:pPr>
        <w:pStyle w:val="Heading1"/>
      </w:pPr>
      <w:r>
        <w:t xml:space="preserve">3. Extraction and screening</w:t>
      </w:r>
    </w:p>
    <w:bookmarkStart w:id="32" w:name="stage-a1-lexical-screening"/>
    <w:p>
      <w:pPr>
        <w:pStyle w:val="Heading2"/>
      </w:pPr>
      <w:r>
        <w:t xml:space="preserve">3.1 Stage A1 lexical screening</w:t>
      </w:r>
    </w:p>
    <w:p>
      <w:pPr>
        <w:pStyle w:val="FirstParagraph"/>
      </w:pPr>
      <w:r>
        <w:t xml:space="preserve">The screening script tracks the carrier article while traversing paragraph</w:t>
      </w:r>
      <w:r>
        <w:t xml:space="preserve"> </w:t>
      </w:r>
      <w:r>
        <w:t xml:space="preserve">nodes. It applies independent rules for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mechanism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instrument</w:t>
      </w:r>
      <w:r>
        <w:t xml:space="preserve">.</w:t>
      </w:r>
      <w:r>
        <w:t xml:space="preserve"> </w:t>
      </w:r>
      <w:r>
        <w:t xml:space="preserve">This prevents a phrase such as “verification report” from being treated as if</w:t>
      </w:r>
      <w:r>
        <w:t xml:space="preserve"> </w:t>
      </w:r>
      <w:r>
        <w:t xml:space="preserve">the report and the verifier were the same ontological object.</w:t>
      </w:r>
    </w:p>
    <w:p>
      <w:pPr>
        <w:pStyle w:val="BodyText"/>
      </w:pPr>
      <w:r>
        <w:t xml:space="preserve">Anchor patterns receive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confidence; generic terms receive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confidence. The</w:t>
      </w:r>
      <w:r>
        <w:t xml:space="preserve"> </w:t>
      </w:r>
      <w:r>
        <w:rPr>
          <w:rStyle w:val="VerbatimChar"/>
        </w:rPr>
        <w:t xml:space="preserve">evidence_text</w:t>
      </w:r>
      <w:r>
        <w:t xml:space="preserve"> </w:t>
      </w:r>
      <w:r>
        <w:t xml:space="preserve">field keeps the exact normalised paragraph</w:t>
      </w:r>
      <w:r>
        <w:t xml:space="preserve"> </w:t>
      </w:r>
      <w:r>
        <w:t xml:space="preserve">used for the hit. This is salience screening, not a decision that a third</w:t>
      </w:r>
      <w:r>
        <w:t xml:space="preserve"> </w:t>
      </w:r>
      <w:r>
        <w:t xml:space="preserve">actor actually mediates a relationship.</w:t>
      </w:r>
    </w:p>
    <w:bookmarkEnd w:id="32"/>
    <w:bookmarkStart w:id="36" w:name="screening-result"/>
    <w:p>
      <w:pPr>
        <w:pStyle w:val="Heading2"/>
      </w:pPr>
      <w:r>
        <w:t xml:space="preserve">3.2 Screening 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32022L2464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Ecolabel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32010R0066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Climate Benchmarks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32019R2089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ETS Verification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32018R2067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Taxonomy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32020R0852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five CELEX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1,092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323</w:t>
            </w:r>
          </w:p>
        </w:tc>
      </w:tr>
    </w:tbl>
    <w:p>
      <w:pPr>
        <w:pStyle w:val="BodyText"/>
      </w:pPr>
      <w:r>
        <w:t xml:space="preserve">The four-act subtotal is exactly 1,079, matching the v3 baseline. The</w:t>
      </w:r>
      <w:r>
        <w:t xml:space="preserve"> </w:t>
      </w:r>
      <w:r>
        <w:t xml:space="preserve">Taxonomy result is small but non-empty. Its 13 hits trigger closer inspection;</w:t>
      </w:r>
      <w:r>
        <w:t xml:space="preserve"> </w:t>
      </w:r>
      <w:r>
        <w:t xml:space="preserve">they do not by themselves show that the Taxonomy Regulation creates an</w:t>
      </w:r>
      <w:r>
        <w:t xml:space="preserve"> </w:t>
      </w:r>
      <w:r>
        <w:t xml:space="preserve">intermediary.</w:t>
      </w:r>
    </w:p>
    <w:p>
      <w:pPr>
        <w:pStyle w:val="CaptionedFigure"/>
      </w:pPr>
      <w:r>
        <w:drawing>
          <wp:inline>
            <wp:extent cx="5334000" cy="2831917"/>
            <wp:effectExtent b="0" l="0" r="0" t="0"/>
            <wp:docPr descr="Distribution of Stage A1 screening hits. The figure is descriptive and does not represent an estimate of intermediary prevalence." title="" id="34" name="Picture"/>
            <a:graphic>
              <a:graphicData uri="http://schemas.openxmlformats.org/drawingml/2006/picture">
                <pic:pic>
                  <pic:nvPicPr>
                    <pic:cNvPr descr="figures/screening_distribution_v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1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Stage A1 screening hits. The figure is descriptive and does</w:t>
      </w:r>
      <w:r>
        <w:t xml:space="preserve"> </w:t>
      </w:r>
      <w:r>
        <w:t xml:space="preserve">not represent an estimate of intermediary prevalence.</w:t>
      </w:r>
    </w:p>
    <w:bookmarkEnd w:id="36"/>
    <w:bookmarkStart w:id="40" w:name="candidate-discovery-channels"/>
    <w:p>
      <w:pPr>
        <w:pStyle w:val="Heading2"/>
      </w:pPr>
      <w:r>
        <w:t xml:space="preserve">3.3 Candidate discovery channels</w:t>
      </w:r>
    </w:p>
    <w:p>
      <w:pPr>
        <w:pStyle w:val="FirstParagraph"/>
      </w:pPr>
      <w:r>
        <w:t xml:space="preserve">Candidate discovery is kept decomposable:</w:t>
      </w:r>
      <w:r>
        <w:t xml:space="preserve"> </w:t>
      </w:r>
      <w:r>
        <w:rPr>
          <w:rStyle w:val="VerbatimChar"/>
        </w:rPr>
        <w:t xml:space="preserve">LEXICAL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SEMANTIC_AI</w:t>
      </w:r>
      <w:r>
        <w:t xml:space="preserve">,</w:t>
      </w:r>
      <w:r>
        <w:t xml:space="preserve"> </w:t>
      </w:r>
      <w:r>
        <w:rPr>
          <w:rStyle w:val="VerbatimChar"/>
        </w:rPr>
        <w:t xml:space="preserve">BOTH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. In this delivery the 20 held-out units are lexical-screen</w:t>
      </w:r>
      <w:r>
        <w:t xml:space="preserve"> </w:t>
      </w:r>
      <w:r>
        <w:t xml:space="preserve">selections and the A2 records are dry-run placeholders. Therefore the</w:t>
      </w:r>
      <w:r>
        <w:t xml:space="preserve"> </w:t>
      </w:r>
      <w:r>
        <w:t xml:space="preserve">lexical/AI intersection, lexical-only population and AI-only discoveries are</w:t>
      </w:r>
      <w:r>
        <w:t xml:space="preserve"> </w:t>
      </w:r>
      <w:r>
        <w:t xml:space="preserve">not substantively measured. The zeros in the status table mean “not measured”,</w:t>
      </w:r>
      <w:r>
        <w:t xml:space="preserve"> </w:t>
      </w:r>
      <w:r>
        <w:t xml:space="preserve">not “no such cases exist”.</w:t>
      </w:r>
    </w:p>
    <w:p>
      <w:pPr>
        <w:pStyle w:val="CaptionedFigure"/>
      </w:pPr>
      <w:r>
        <w:drawing>
          <wp:inline>
            <wp:extent cx="5334000" cy="3023065"/>
            <wp:effectExtent b="0" l="0" r="0" t="0"/>
            <wp:docPr descr="Figure 3. Candidate-discovery channels. AI-only and overlap values are explicitly not measured." title="" id="38" name="Picture"/>
            <a:graphic>
              <a:graphicData uri="http://schemas.openxmlformats.org/drawingml/2006/picture">
                <pic:pic>
                  <pic:nvPicPr>
                    <pic:cNvPr descr="figures/fig3_discovery_overlap_v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3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Candidate-discovery channels. AI-only and overlap values are explicitly not measured.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Discovery category</w:t>
            </w:r>
          </w:p>
        </w:tc>
        <w:tc>
          <w:tcPr/>
          <w:p>
            <w:pPr>
              <w:pStyle w:val="Compact"/>
            </w:pPr>
            <w:r>
              <w:t xml:space="preserve">Current v4 status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LEXICAL_ONLY</w:t>
            </w:r>
          </w:p>
        </w:tc>
        <w:tc>
          <w:tcPr/>
          <w:p>
            <w:pPr>
              <w:pStyle w:val="Compact"/>
            </w:pPr>
            <w:r>
              <w:t xml:space="preserve">20 observed sample selections</w:t>
            </w:r>
          </w:p>
        </w:tc>
        <w:tc>
          <w:tcPr/>
          <w:p>
            <w:pPr>
              <w:pStyle w:val="Compact"/>
            </w:pPr>
            <w:r>
              <w:t xml:space="preserve">selected from A1; A2 was not substantive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  <w:r>
              <w:t xml:space="preserve">requires substantive A2 on the same 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SEMANTIC_AI_ONLY</w:t>
            </w:r>
          </w:p>
        </w:tc>
        <w:tc>
          <w:tcPr/>
          <w:p>
            <w:pPr>
              <w:pStyle w:val="Compac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  <w:r>
              <w:t xml:space="preserve">dry-run placeholders cannot establish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  <w:r>
              <w:t xml:space="preserve">no new human discovery adjudication completed</w:t>
            </w:r>
          </w:p>
        </w:tc>
      </w:tr>
    </w:tbl>
    <w:bookmarkEnd w:id="40"/>
    <w:bookmarkEnd w:id="41"/>
    <w:bookmarkStart w:id="48" w:name="from-r-t-to-r-i-t"/>
    <w:p>
      <w:pPr>
        <w:pStyle w:val="Heading1"/>
      </w:pPr>
      <w:r>
        <w:t xml:space="preserve">4. From R-T to R-I-T</w:t>
      </w:r>
    </w:p>
    <w:bookmarkStart w:id="42" w:name="the-five-condition-test"/>
    <w:p>
      <w:pPr>
        <w:pStyle w:val="Heading2"/>
      </w:pPr>
      <w:r>
        <w:t xml:space="preserve">4.1 The five-condition test</w:t>
      </w:r>
    </w:p>
    <w:p>
      <w:pPr>
        <w:pStyle w:val="FirstParagraph"/>
      </w:pPr>
      <w:r>
        <w:t xml:space="preserve">Each candidate is evaluated in order:</w:t>
      </w:r>
    </w:p>
    <w:p>
      <w:pPr>
        <w:pStyle w:val="Compact"/>
        <w:numPr>
          <w:ilvl w:val="0"/>
          <w:numId w:val="1002"/>
        </w:numPr>
      </w:pPr>
      <w:r>
        <w:t xml:space="preserve">Is an identifiable regulator or rule-maker present?</w:t>
      </w:r>
    </w:p>
    <w:p>
      <w:pPr>
        <w:pStyle w:val="Compact"/>
        <w:numPr>
          <w:ilvl w:val="0"/>
          <w:numId w:val="1002"/>
        </w:numPr>
      </w:pPr>
      <w:r>
        <w:t xml:space="preserve">Is an identifiable target or rule-taker present?</w:t>
      </w:r>
    </w:p>
    <w:p>
      <w:pPr>
        <w:pStyle w:val="Compact"/>
        <w:numPr>
          <w:ilvl w:val="0"/>
          <w:numId w:val="1002"/>
        </w:numPr>
      </w:pPr>
      <w:r>
        <w:t xml:space="preserve">Is a third actor analytically distinct from both?</w:t>
      </w:r>
    </w:p>
    <w:p>
      <w:pPr>
        <w:pStyle w:val="Compact"/>
        <w:numPr>
          <w:ilvl w:val="0"/>
          <w:numId w:val="1002"/>
        </w:numPr>
      </w:pPr>
      <w:r>
        <w:t xml:space="preserve">Does the third actor perform a regulatory function mediating the R-T</w:t>
      </w:r>
      <w:r>
        <w:t xml:space="preserve"> </w:t>
      </w:r>
      <w:r>
        <w:t xml:space="preserve">relationship, rather than merely advising the regulator or sharing the</w:t>
      </w:r>
      <w:r>
        <w:t xml:space="preserve"> </w:t>
      </w:r>
      <w:r>
        <w:t xml:space="preserve">target’s obligation?</w:t>
      </w:r>
    </w:p>
    <w:p>
      <w:pPr>
        <w:pStyle w:val="Compact"/>
        <w:numPr>
          <w:ilvl w:val="0"/>
          <w:numId w:val="1002"/>
        </w:numPr>
      </w:pPr>
      <w:r>
        <w:t xml:space="preserve">Is the relationship supported by explicit legal text or a documented</w:t>
      </w:r>
      <w:r>
        <w:t xml:space="preserve"> </w:t>
      </w:r>
      <w:r>
        <w:t xml:space="preserve">institutional reconstruction?</w:t>
      </w:r>
    </w:p>
    <w:p>
      <w:pPr>
        <w:pStyle w:val="FirstParagraph"/>
      </w:pPr>
      <w:r>
        <w:t xml:space="preserve">Only five YES answers produce</w:t>
      </w:r>
      <w:r>
        <w:t xml:space="preserve"> </w:t>
      </w:r>
      <w:r>
        <w:rPr>
          <w:rStyle w:val="VerbatimChar"/>
        </w:rPr>
        <w:t xml:space="preserve">positive</w:t>
      </w:r>
      <w:r>
        <w:t xml:space="preserve">. A NO produces</w:t>
      </w:r>
      <w:r>
        <w:t xml:space="preserve"> </w:t>
      </w:r>
      <w:r>
        <w:rPr>
          <w:rStyle w:val="VerbatimChar"/>
        </w:rPr>
        <w:t xml:space="preserve">negative</w:t>
      </w:r>
      <w:r>
        <w:t xml:space="preserve">. An</w:t>
      </w:r>
      <w:r>
        <w:t xml:space="preserve"> </w:t>
      </w:r>
      <w:r>
        <w:t xml:space="preserve">UNCLEAR condition produces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insufficient_evidence</w:t>
      </w:r>
      <w:r>
        <w:t xml:space="preserve">. A direct</w:t>
      </w:r>
      <w:r>
        <w:t xml:space="preserve"> </w:t>
      </w:r>
      <w:r>
        <w:t xml:space="preserve">reporting obligation may therefore be a negative R-I-T case, as in the v3</w:t>
      </w:r>
      <w:r>
        <w:t xml:space="preserve"> </w:t>
      </w:r>
      <w:r>
        <w:t xml:space="preserve">negative control CAND-03.</w:t>
      </w:r>
    </w:p>
    <w:bookmarkEnd w:id="42"/>
    <w:bookmarkStart w:id="43" w:name="architecture-before-classification"/>
    <w:p>
      <w:pPr>
        <w:pStyle w:val="Heading2"/>
      </w:pPr>
      <w:r>
        <w:t xml:space="preserve">4.2 Architecture before classification</w:t>
      </w:r>
    </w:p>
    <w:p>
      <w:pPr>
        <w:pStyle w:val="FirstParagraph"/>
      </w:pPr>
      <w:r>
        <w:t xml:space="preserve">Stage B1 reconstructs all named actors and explicit relations before any R/I/T</w:t>
      </w:r>
      <w:r>
        <w:t xml:space="preserve"> </w:t>
      </w:r>
      <w:r>
        <w:t xml:space="preserve">assignment. This guards against prematurely treating an accreditation body as</w:t>
      </w:r>
      <w:r>
        <w:t xml:space="preserve"> </w:t>
      </w:r>
      <w:r>
        <w:t xml:space="preserve">the regulator and missing a peer-evaluation actor above it. Stage B2 then</w:t>
      </w:r>
      <w:r>
        <w:t xml:space="preserve"> </w:t>
      </w:r>
      <w:r>
        <w:t xml:space="preserve">receives the architecture and answers the five conditions separately.</w:t>
      </w:r>
    </w:p>
    <w:p>
      <w:pPr>
        <w:pStyle w:val="BodyText"/>
      </w:pPr>
      <w:r>
        <w:t xml:space="preserve">The ontology remains decomposed: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Ontology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Who is named or directly implied?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What regulatory activity mediates?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What report, methodology, certificate or rating artefact is used?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What sequence of application, review, verification or appeal is specified?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What authority, body, profession or organisation occupies the role?</w:t>
            </w:r>
          </w:p>
        </w:tc>
      </w:tr>
    </w:tbl>
    <w:bookmarkEnd w:id="43"/>
    <w:bookmarkStart w:id="47" w:name="current-relationship-baseline"/>
    <w:p>
      <w:pPr>
        <w:pStyle w:val="Heading2"/>
      </w:pPr>
      <w:r>
        <w:t xml:space="preserve">4.3 Current relationship baseline</w:t>
      </w:r>
    </w:p>
    <w:p>
      <w:pPr>
        <w:pStyle w:val="FirstParagraph"/>
      </w:pPr>
      <w:r>
        <w:t xml:space="preserve">The current v4 relationship file preserves seven human-validated v3 rows. It</w:t>
      </w:r>
      <w:r>
        <w:t xml:space="preserve"> </w:t>
      </w:r>
      <w:r>
        <w:t xml:space="preserve">contains the two-level CSRD assurance chain, the Ecolabel certification and</w:t>
      </w:r>
      <w:r>
        <w:t xml:space="preserve"> </w:t>
      </w:r>
      <w:r>
        <w:t xml:space="preserve">testing relations, and the ETS verification/accreditation chain. Every row has</w:t>
      </w:r>
      <w:r>
        <w:t xml:space="preserve"> </w:t>
      </w:r>
      <w:r>
        <w:t xml:space="preserve">R, I and T foreign keys, pairwise distinct actors and literal legal evidence.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 family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  <w:tc>
          <w:tcPr/>
          <w:p>
            <w:pPr>
              <w:pStyle w:val="Compac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CSRD</w:t>
            </w:r>
          </w:p>
        </w:tc>
        <w:tc>
          <w:tcPr/>
          <w:p>
            <w:pPr>
              <w:pStyle w:val="Compact"/>
            </w:pPr>
            <w:r>
              <w:t xml:space="preserve">RIT-001, RIT-002</w:t>
            </w:r>
          </w:p>
        </w:tc>
        <w:tc>
          <w:tcPr/>
          <w:p>
            <w:pPr>
              <w:pStyle w:val="Compact"/>
            </w:pPr>
            <w:r>
              <w:t xml:space="preserve">auditing, with reporting in the upstream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Ecolabel</w:t>
            </w:r>
          </w:p>
        </w:tc>
        <w:tc>
          <w:tcPr/>
          <w:p>
            <w:pPr>
              <w:pStyle w:val="Compact"/>
            </w:pPr>
            <w:r>
              <w:t xml:space="preserve">RIT-003, RIT-004, RIT-005</w:t>
            </w:r>
          </w:p>
        </w:tc>
        <w:tc>
          <w:tcPr/>
          <w:p>
            <w:pPr>
              <w:pStyle w:val="Compact"/>
            </w:pPr>
            <w:r>
              <w:t xml:space="preserve">certification and testing/accreditation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ETS Verification</w:t>
            </w:r>
          </w:p>
        </w:tc>
        <w:tc>
          <w:tcPr/>
          <w:p>
            <w:pPr>
              <w:pStyle w:val="Compact"/>
            </w:pPr>
            <w:r>
              <w:t xml:space="preserve">RIT-006, RIT-007</w:t>
            </w:r>
          </w:p>
        </w:tc>
        <w:tc>
          <w:tcPr/>
          <w:p>
            <w:pPr>
              <w:pStyle w:val="Compact"/>
            </w:pPr>
            <w:r>
              <w:t xml:space="preserve">verification plus accreditation/meta-regulation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Taxonomy</w:t>
            </w:r>
          </w:p>
        </w:tc>
        <w:tc>
          <w:tcPr/>
          <w:p>
            <w:pPr>
              <w:pStyle w:val="Compact"/>
            </w:pPr>
            <w:r>
              <w:t xml:space="preserve">none asserted</w:t>
            </w:r>
          </w:p>
        </w:tc>
        <w:tc>
          <w:tcPr/>
          <w:p>
            <w:pPr>
              <w:pStyle w:val="Compact"/>
            </w:pPr>
            <w:r>
              <w:t xml:space="preserve">exploratory; new units pending adjudication</w:t>
            </w:r>
          </w:p>
        </w:tc>
      </w:tr>
    </w:tbl>
    <w:p>
      <w:pPr>
        <w:pStyle w:val="BodyText"/>
      </w:pPr>
      <w:r>
        <w:t xml:space="preserve">Negative and conditional cases remain in the candidate layer and are not</w:t>
      </w:r>
      <w:r>
        <w:t xml:space="preserve"> </w:t>
      </w:r>
      <w:r>
        <w:t xml:space="preserve">entered into the positive relationship table.</w:t>
      </w:r>
    </w:p>
    <w:p>
      <w:pPr>
        <w:pStyle w:val="CaptionedFigure"/>
      </w:pPr>
      <w:r>
        <w:drawing>
          <wp:inline>
            <wp:extent cx="5334000" cy="2673794"/>
            <wp:effectExtent b="0" l="0" r="0" t="0"/>
            <wp:docPr descr="Figure 4. Direct and nested R-I-T architecture examples." title="" id="45" name="Picture"/>
            <a:graphic>
              <a:graphicData uri="http://schemas.openxmlformats.org/drawingml/2006/picture">
                <pic:pic>
                  <pic:nvPicPr>
                    <pic:cNvPr descr="figures/fig4_rit_architecture_v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Direct and nested R-I-T architecture examples.</w:t>
      </w:r>
    </w:p>
    <w:bookmarkEnd w:id="47"/>
    <w:bookmarkEnd w:id="48"/>
    <w:bookmarkStart w:id="49" w:name="institutional-attributes"/>
    <w:p>
      <w:pPr>
        <w:pStyle w:val="Heading1"/>
      </w:pPr>
      <w:r>
        <w:t xml:space="preserve">5. Institutional attributes</w:t>
      </w:r>
    </w:p>
    <w:p>
      <w:pPr>
        <w:pStyle w:val="FirstParagraph"/>
      </w:pPr>
      <w:r>
        <w:t xml:space="preserve">For positive relationships, Stage C is restricted to individual attributes:</w:t>
      </w:r>
      <w:r>
        <w:t xml:space="preserve"> </w:t>
      </w:r>
      <w:r>
        <w:t xml:space="preserve">formal role, voluntariness, mandatory use, regulatory level, sphere, mode of</w:t>
      </w:r>
      <w:r>
        <w:t xml:space="preserve"> </w:t>
      </w:r>
      <w:r>
        <w:t xml:space="preserve">operation, centrality, organisational separation and legal independence.</w:t>
      </w:r>
      <w:r>
        <w:t xml:space="preserve"> </w:t>
      </w:r>
      <w:r>
        <w:t xml:space="preserve">The eight attribute families are formal role, voluntarism, level, sphere,</w:t>
      </w:r>
      <w:r>
        <w:t xml:space="preserve"> </w:t>
      </w:r>
      <w:r>
        <w:t xml:space="preserve">motivation, mode, centrality and separation; supervision is retained as a</w:t>
      </w:r>
      <w:r>
        <w:t xml:space="preserve"> </w:t>
      </w:r>
      <w:r>
        <w:t xml:space="preserve">separate accountability-related field. Each value carries evidence,</w:t>
      </w:r>
      <w:r>
        <w:t xml:space="preserve"> </w:t>
      </w:r>
      <w:r>
        <w:t xml:space="preserve">observability class and confidence.</w:t>
      </w:r>
      <w:r>
        <w:t xml:space="preserve"> </w:t>
      </w:r>
      <w:r>
        <w:t xml:space="preserve">autonomy and accountability batteries remain deferred proposals. A conflict</w:t>
      </w:r>
      <w:r>
        <w:t xml:space="preserve"> </w:t>
      </w:r>
      <w:r>
        <w:t xml:space="preserve">of-interest rule would indicate a design response to capture; it would not</w:t>
      </w:r>
      <w:r>
        <w:t xml:space="preserve"> </w:t>
      </w:r>
      <w:r>
        <w:t xml:space="preserve">show that capture occurred.</w:t>
      </w:r>
    </w:p>
    <w:p>
      <w:pPr>
        <w:pStyle w:val="BodyText"/>
      </w:pPr>
      <w:r>
        <w:t xml:space="preserve">The same discipline applies to accountability: a named supervisory function</w:t>
      </w:r>
      <w:r>
        <w:t xml:space="preserve"> </w:t>
      </w:r>
      <w:r>
        <w:t xml:space="preserve">can support</w:t>
      </w:r>
      <w:r>
        <w:t xml:space="preserve"> </w:t>
      </w:r>
      <w:r>
        <w:rPr>
          <w:rStyle w:val="VerbatimChar"/>
        </w:rPr>
        <w:t xml:space="preserve">supervision_present = 1</w:t>
      </w:r>
      <w:r>
        <w:t xml:space="preserve">, but that is not an accountability index</w:t>
      </w:r>
      <w:r>
        <w:t xml:space="preserve"> </w:t>
      </w:r>
      <w:r>
        <w:t xml:space="preserve">and says nothing by itself about effectiveness or legitimacy.</w:t>
      </w:r>
    </w:p>
    <w:bookmarkEnd w:id="49"/>
    <w:bookmarkStart w:id="53" w:name="ai-assisted-coding-protocol"/>
    <w:p>
      <w:pPr>
        <w:pStyle w:val="Heading1"/>
      </w:pPr>
      <w:r>
        <w:t xml:space="preserve">6. AI-assisted coding protocol</w:t>
      </w:r>
    </w:p>
    <w:bookmarkStart w:id="50" w:name="scope-and-safeguards"/>
    <w:p>
      <w:pPr>
        <w:pStyle w:val="Heading2"/>
      </w:pPr>
      <w:r>
        <w:t xml:space="preserve">6.1 Scope and safeguards</w:t>
      </w:r>
    </w:p>
    <w:p>
      <w:pPr>
        <w:pStyle w:val="FirstParagraph"/>
      </w:pPr>
      <w:r>
        <w:t xml:space="preserve">The AI layer is an assisted proposal layer. It does not replace the R-I-T</w:t>
      </w:r>
      <w:r>
        <w:t xml:space="preserve"> </w:t>
      </w:r>
      <w:r>
        <w:t xml:space="preserve">test, and it cannot write directly into the authoritative CSVs. The four</w:t>
      </w:r>
      <w:r>
        <w:t xml:space="preserve"> </w:t>
      </w:r>
      <w:r>
        <w:t xml:space="preserve">stages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A2:</w:t>
      </w:r>
      <w:r>
        <w:t xml:space="preserve"> </w:t>
      </w:r>
      <w:r>
        <w:t xml:space="preserve">semantic candidate detection complementary to A1;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B1:</w:t>
      </w:r>
      <w:r>
        <w:t xml:space="preserve"> </w:t>
      </w:r>
      <w:r>
        <w:t xml:space="preserve">architecture reconstruction;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B2:</w:t>
      </w:r>
      <w:r>
        <w:t xml:space="preserve"> </w:t>
      </w:r>
      <w:r>
        <w:t xml:space="preserve">five-condition R-I-T adjudication;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C:</w:t>
      </w:r>
      <w:r>
        <w:t xml:space="preserve"> </w:t>
      </w:r>
      <w:r>
        <w:t xml:space="preserve">institutional attributes for positive relationships.</w:t>
      </w:r>
    </w:p>
    <w:p>
      <w:pPr>
        <w:pStyle w:val="FirstParagraph"/>
      </w:pPr>
      <w:r>
        <w:t xml:space="preserve">The prompts require evidence before code, reward abstention, constrain the</w:t>
      </w:r>
      <w:r>
        <w:t xml:space="preserve"> </w:t>
      </w:r>
      <w:r>
        <w:t xml:space="preserve">model to the supplied legal package, allow one bounded context request and</w:t>
      </w:r>
      <w:r>
        <w:t xml:space="preserve"> </w:t>
      </w:r>
      <w:r>
        <w:t xml:space="preserve">prohibit outcome/index claims. Strict JSON schemas are validated after every</w:t>
      </w:r>
      <w:r>
        <w:t xml:space="preserve"> </w:t>
      </w:r>
      <w:r>
        <w:t xml:space="preserve">call. Each unit is repeated three times, and substantive disagreement routes</w:t>
      </w:r>
      <w:r>
        <w:t xml:space="preserve"> </w:t>
      </w:r>
      <w:r>
        <w:t xml:space="preserve">to human review rather than being averaged.</w:t>
      </w:r>
    </w:p>
    <w:bookmarkEnd w:id="50"/>
    <w:bookmarkStart w:id="51" w:name="what-was-executed"/>
    <w:p>
      <w:pPr>
        <w:pStyle w:val="Heading2"/>
      </w:pPr>
      <w:r>
        <w:t xml:space="preserve">6.2 What was executed</w:t>
      </w:r>
    </w:p>
    <w:p>
      <w:pPr>
        <w:pStyle w:val="FirstParagraph"/>
      </w:pPr>
      <w:r>
        <w:t xml:space="preserve">The OpenAI adapter was wired to the Responses API with strict JSON Schema</w:t>
      </w:r>
      <w:r>
        <w:t xml:space="preserve"> </w:t>
      </w:r>
      <w:r>
        <w:t xml:space="preserve">output and</w:t>
      </w:r>
      <w:r>
        <w:t xml:space="preserve"> </w:t>
      </w:r>
      <w:r>
        <w:rPr>
          <w:rStyle w:val="VerbatimChar"/>
        </w:rPr>
        <w:t xml:space="preserve">store=false</w:t>
      </w:r>
      <w:r>
        <w:t xml:space="preserve">. The exact model id selected for this implementation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gpt-5.6-terra</w:t>
      </w:r>
      <w:r>
        <w:t xml:space="preserve">, because the account model list exposed it and the current</w:t>
      </w:r>
      <w:r>
        <w:t xml:space="preserve"> </w:t>
      </w:r>
      <w:r>
        <w:t xml:space="preserve">official model documentation lists Structured Outputs support for the family.</w:t>
      </w:r>
      <w:r>
        <w:t xml:space="preserve"> </w:t>
      </w:r>
      <w:r>
        <w:t xml:space="preserve">The first generation call returned the provider error</w:t>
      </w:r>
      <w:r>
        <w:t xml:space="preserve"> </w:t>
      </w:r>
      <w:r>
        <w:rPr>
          <w:rStyle w:val="VerbatimChar"/>
        </w:rPr>
        <w:t xml:space="preserve">credit_balance_exhausted</w:t>
      </w:r>
      <w:r>
        <w:t xml:space="preserve">. No substantive response was accepted or logged.</w:t>
      </w:r>
    </w:p>
    <w:p>
      <w:pPr>
        <w:pStyle w:val="BodyText"/>
      </w:pPr>
      <w:r>
        <w:t xml:space="preserve">To validate the rest of the pipeline without fabricating a finding, the local</w:t>
      </w:r>
      <w:r>
        <w:t xml:space="preserve"> </w:t>
      </w:r>
      <w:r>
        <w:t xml:space="preserve">dry-run adapter was executed on 20 audit units: A2, B1 and B2 three times each,</w:t>
      </w:r>
      <w:r>
        <w:t xml:space="preserve"> </w:t>
      </w:r>
      <w:r>
        <w:t xml:space="preserve">plus Stage C for the seven inherited positive relationships three times each.</w:t>
      </w:r>
      <w:r>
        <w:t xml:space="preserve"> </w:t>
      </w:r>
      <w:r>
        <w:t xml:space="preserve">This yielded 201 schema-valid log records. All repeated placeholders were</w:t>
      </w:r>
      <w:r>
        <w:t xml:space="preserve"> </w:t>
      </w:r>
      <w:r>
        <w:t xml:space="preserve">stable, but stability in a dry-run is only an orchestration result.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Model-selection component</w:t>
            </w:r>
          </w:p>
        </w:tc>
        <w:tc>
          <w:tcPr/>
          <w:p>
            <w:pPr>
              <w:pStyle w:val="Compact"/>
            </w:pPr>
            <w:r>
              <w:t xml:space="preserve">v4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model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gpt-5.6-terra</w:t>
            </w:r>
            <w:r>
              <w:t xml:space="preserve"> </w:t>
            </w:r>
            <w:r>
              <w:t xml:space="preserve">adapter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Challenger model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0 anchor comparison</w:t>
            </w:r>
          </w:p>
        </w:tc>
        <w:tc>
          <w:tcPr/>
          <w:p>
            <w:pPr>
              <w:pStyle w:val="Compact"/>
            </w:pPr>
            <w:r>
              <w:t xml:space="preserve">Not scored: no substantive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 held-out comparison</w:t>
            </w:r>
          </w:p>
        </w:tc>
        <w:tc>
          <w:tcPr/>
          <w:p>
            <w:pPr>
              <w:pStyle w:val="Compact"/>
            </w:pPr>
            <w:r>
              <w:t xml:space="preserve">Deferred: human adjudication and credits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winner / best-model claim</w:t>
            </w:r>
          </w:p>
        </w:tc>
        <w:tc>
          <w:tcPr/>
          <w:p>
            <w:pPr>
              <w:pStyle w:val="Compact"/>
            </w:pPr>
            <w:r>
              <w:t xml:space="preserve">Not reported</w:t>
            </w:r>
          </w:p>
        </w:tc>
      </w:tr>
    </w:tbl>
    <w:bookmarkEnd w:id="51"/>
    <w:bookmarkStart w:id="52" w:name="promotion-path"/>
    <w:p>
      <w:pPr>
        <w:pStyle w:val="Heading2"/>
      </w:pPr>
      <w:r>
        <w:t xml:space="preserve">6.3 Promotion path</w:t>
      </w:r>
    </w:p>
    <w:p>
      <w:pPr>
        <w:pStyle w:val="FirstParagraph"/>
      </w:pPr>
      <w:r>
        <w:t xml:space="preserve">All current AI-related rows are isolated in</w:t>
      </w:r>
      <w:r>
        <w:t xml:space="preserve"> </w:t>
      </w:r>
      <w:r>
        <w:rPr>
          <w:rStyle w:val="VerbatimChar"/>
        </w:rPr>
        <w:t xml:space="preserve">data/ai_runs_v4.jsonl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data/ai_runs_v4.csv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data/human_review_v4.csv</w:t>
      </w:r>
      <w:r>
        <w:t xml:space="preserve">. A future human promotion must inspect</w:t>
      </w:r>
      <w:r>
        <w:t xml:space="preserve"> </w:t>
      </w:r>
      <w:r>
        <w:t xml:space="preserve">each literal quote, re-apply the five-condition test and record</w:t>
      </w:r>
      <w:r>
        <w:t xml:space="preserve"> </w:t>
      </w:r>
      <w:r>
        <w:rPr>
          <w:rStyle w:val="VerbatimChar"/>
        </w:rPr>
        <w:t xml:space="preserve">ai_assisted=1</w:t>
      </w:r>
      <w:r>
        <w:t xml:space="preserve"> </w:t>
      </w:r>
      <w:r>
        <w:t xml:space="preserve">plus an exact</w:t>
      </w:r>
      <w:r>
        <w:t xml:space="preserve"> </w:t>
      </w:r>
      <w:r>
        <w:rPr>
          <w:rStyle w:val="VerbatimChar"/>
        </w:rPr>
        <w:t xml:space="preserve">ai_run_ref</w:t>
      </w:r>
      <w:r>
        <w:t xml:space="preserve">. No such promotion has occurred in</w:t>
      </w:r>
      <w:r>
        <w:t xml:space="preserve"> </w:t>
      </w:r>
      <w:r>
        <w:t xml:space="preserve">this delivery.</w:t>
      </w:r>
    </w:p>
    <w:bookmarkEnd w:id="52"/>
    <w:bookmarkEnd w:id="53"/>
    <w:bookmarkStart w:id="54" w:name="human-audit-and-held-out-sample"/>
    <w:p>
      <w:pPr>
        <w:pStyle w:val="Heading1"/>
      </w:pPr>
      <w:r>
        <w:t xml:space="preserve">7. Human audit and held-out sample</w:t>
      </w:r>
    </w:p>
    <w:p>
      <w:pPr>
        <w:pStyle w:val="FirstParagraph"/>
      </w:pPr>
      <w:r>
        <w:t xml:space="preserve">The audit sample contains 20 new units, four per act, selected with seed</w:t>
      </w:r>
      <w:r>
        <w:t xml:space="preserve"> </w:t>
      </w:r>
      <w:r>
        <w:rPr>
          <w:rStyle w:val="VerbatimChar"/>
        </w:rPr>
        <w:t xml:space="preserve">20260906</w:t>
      </w:r>
      <w:r>
        <w:t xml:space="preserve">. Articles used by the v3 candidate set were excluded. The sample</w:t>
      </w:r>
      <w:r>
        <w:t xml:space="preserve"> </w:t>
      </w:r>
      <w:r>
        <w:t xml:space="preserve">is visible in</w:t>
      </w:r>
      <w:r>
        <w:t xml:space="preserve"> </w:t>
      </w:r>
      <w:r>
        <w:rPr>
          <w:rStyle w:val="VerbatimChar"/>
        </w:rPr>
        <w:t xml:space="preserve">data/audit_sample_v4.csv</w:t>
      </w:r>
      <w:r>
        <w:t xml:space="preserve">; all rows are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BodyText"/>
      </w:pPr>
      <w:r>
        <w:t xml:space="preserve">The required sequence is deliberately strict: human adjudication must be</w:t>
      </w:r>
      <w:r>
        <w:t xml:space="preserve"> </w:t>
      </w:r>
      <w:r>
        <w:t xml:space="preserve">completed before a live Tier 1 run, so that the model cannot anchor the human</w:t>
      </w:r>
      <w:r>
        <w:t xml:space="preserve"> </w:t>
      </w:r>
      <w:r>
        <w:t xml:space="preserve">coder. The human record must identify R, I and T, answer conditions (a)-(e),</w:t>
      </w:r>
      <w:r>
        <w:t xml:space="preserve"> </w:t>
      </w:r>
      <w:r>
        <w:t xml:space="preserve">quote evidence, flag conditional/negative cases and document cross-reference</w:t>
      </w:r>
      <w:r>
        <w:t xml:space="preserve"> </w:t>
      </w:r>
      <w:r>
        <w:t xml:space="preserve">gaps. One adversarial case must omit a load-bearing cross-reference and check</w:t>
      </w:r>
      <w:r>
        <w:t xml:space="preserve"> </w:t>
      </w:r>
      <w:r>
        <w:t xml:space="preserve">whether the model requests it instead of relying on parametric knowledge.</w:t>
      </w:r>
    </w:p>
    <w:p>
      <w:pPr>
        <w:pStyle w:val="BodyText"/>
      </w:pPr>
      <w:r>
        <w:t xml:space="preserve">Because both the independent adjudication and the API credit gate are</w:t>
      </w:r>
      <w:r>
        <w:t xml:space="preserve"> </w:t>
      </w:r>
      <w:r>
        <w:t xml:space="preserve">unfinished, this delivery does not report a Tier 1 score, model-selection</w:t>
      </w:r>
      <w:r>
        <w:t xml:space="preserve"> </w:t>
      </w:r>
      <w:r>
        <w:t xml:space="preserve">winner or AI agreement rate.</w:t>
      </w:r>
    </w:p>
    <w:bookmarkEnd w:id="54"/>
    <w:bookmarkStart w:id="60" w:name="findings-by-act"/>
    <w:p>
      <w:pPr>
        <w:pStyle w:val="Heading1"/>
      </w:pPr>
      <w:r>
        <w:t xml:space="preserve">8. Findings by act</w:t>
      </w:r>
    </w:p>
    <w:bookmarkStart w:id="55" w:name="csrd"/>
    <w:p>
      <w:pPr>
        <w:pStyle w:val="Heading2"/>
      </w:pPr>
      <w:r>
        <w:t xml:space="preserve">CSRD</w:t>
      </w:r>
    </w:p>
    <w:p>
      <w:pPr>
        <w:pStyle w:val="FirstParagraph"/>
      </w:pPr>
      <w:r>
        <w:t xml:space="preserve">The inherited coding identifies a two-level assurance chain around</w:t>
      </w:r>
      <w:r>
        <w:t xml:space="preserve"> </w:t>
      </w:r>
      <w:r>
        <w:t xml:space="preserve">sustainability reporting: a group auditor carries responsibility for the</w:t>
      </w:r>
      <w:r>
        <w:t xml:space="preserve"> </w:t>
      </w:r>
      <w:r>
        <w:t xml:space="preserve">assurance report, and the group auditor evaluates the work of eligible</w:t>
      </w:r>
      <w:r>
        <w:t xml:space="preserve"> </w:t>
      </w:r>
      <w:r>
        <w:t xml:space="preserve">subsidiary-level assurance providers. The separate direct reporting provision</w:t>
      </w:r>
      <w:r>
        <w:t xml:space="preserve"> </w:t>
      </w:r>
      <w:r>
        <w:t xml:space="preserve">is retained as a negative control where the reporting duty itself has no</w:t>
      </w:r>
      <w:r>
        <w:t xml:space="preserve"> </w:t>
      </w:r>
      <w:r>
        <w:t xml:space="preserve">third-party mediator.</w:t>
      </w:r>
    </w:p>
    <w:bookmarkEnd w:id="55"/>
    <w:bookmarkStart w:id="56" w:name="eu-ecolabel"/>
    <w:p>
      <w:pPr>
        <w:pStyle w:val="Heading2"/>
      </w:pPr>
      <w:r>
        <w:t xml:space="preserve">EU Ecolabel</w:t>
      </w:r>
    </w:p>
    <w:p>
      <w:pPr>
        <w:pStyle w:val="FirstParagraph"/>
      </w:pPr>
      <w:r>
        <w:t xml:space="preserve">The inherited coding identifies competent bodies as certification</w:t>
      </w:r>
      <w:r>
        <w:t xml:space="preserve"> </w:t>
      </w:r>
      <w:r>
        <w:t xml:space="preserve">intermediaries and separates testing/verification bodies from the competent</w:t>
      </w:r>
      <w:r>
        <w:t xml:space="preserve"> </w:t>
      </w:r>
      <w:r>
        <w:t xml:space="preserve">body. Voluntary participation in the scheme and mandatory use of the</w:t>
      </w:r>
      <w:r>
        <w:t xml:space="preserve"> </w:t>
      </w:r>
      <w:r>
        <w:t xml:space="preserve">competent body once an operator applies are kept as distinct variables.</w:t>
      </w:r>
    </w:p>
    <w:bookmarkEnd w:id="56"/>
    <w:bookmarkStart w:id="57" w:name="climate-benchmarks"/>
    <w:p>
      <w:pPr>
        <w:pStyle w:val="Heading2"/>
      </w:pPr>
      <w:r>
        <w:t xml:space="preserve">Climate Benchmarks</w:t>
      </w:r>
    </w:p>
    <w:p>
      <w:pPr>
        <w:pStyle w:val="FirstParagraph"/>
      </w:pPr>
      <w:r>
        <w:t xml:space="preserve">The inherited candidate CAND-07 remains conditional. A benchmark administrator</w:t>
      </w:r>
      <w:r>
        <w:t xml:space="preserve"> </w:t>
      </w:r>
      <w:r>
        <w:t xml:space="preserve">may be a relevant intermediary, but the specific R-I-T architecture must be</w:t>
      </w:r>
      <w:r>
        <w:t xml:space="preserve"> </w:t>
      </w:r>
      <w:r>
        <w:t xml:space="preserve">supported by the relevant provision and not inferred from the existence of a</w:t>
      </w:r>
      <w:r>
        <w:t xml:space="preserve"> </w:t>
      </w:r>
      <w:r>
        <w:t xml:space="preserve">benchmark label. Four new units are pending independent adjudication.</w:t>
      </w:r>
    </w:p>
    <w:bookmarkEnd w:id="57"/>
    <w:bookmarkStart w:id="58" w:name="ets-verification"/>
    <w:p>
      <w:pPr>
        <w:pStyle w:val="Heading2"/>
      </w:pPr>
      <w:r>
        <w:t xml:space="preserve">ETS Verification</w:t>
      </w:r>
    </w:p>
    <w:p>
      <w:pPr>
        <w:pStyle w:val="FirstParagraph"/>
      </w:pPr>
      <w:r>
        <w:t xml:space="preserve">The inherited coding distinguishes verification from the accreditation layer.</w:t>
      </w:r>
      <w:r>
        <w:t xml:space="preserve"> </w:t>
      </w:r>
      <w:r>
        <w:t xml:space="preserve">The chain is methodologically important: a verifier mediates emissions</w:t>
      </w:r>
      <w:r>
        <w:t xml:space="preserve"> </w:t>
      </w:r>
      <w:r>
        <w:t xml:space="preserve">reporting/verification for an operator, while accreditation and peer</w:t>
      </w:r>
      <w:r>
        <w:t xml:space="preserve"> </w:t>
      </w:r>
      <w:r>
        <w:t xml:space="preserve">evaluation govern the verifier at another level. This is why the architecture</w:t>
      </w:r>
      <w:r>
        <w:t xml:space="preserve"> </w:t>
      </w:r>
      <w:r>
        <w:t xml:space="preserve">must be reconstructed before roles are assigned.</w:t>
      </w:r>
    </w:p>
    <w:bookmarkEnd w:id="58"/>
    <w:bookmarkStart w:id="59" w:name="taxonomy-regulation"/>
    <w:p>
      <w:pPr>
        <w:pStyle w:val="Heading2"/>
      </w:pPr>
      <w:r>
        <w:t xml:space="preserve">Taxonomy Regulation</w:t>
      </w:r>
    </w:p>
    <w:p>
      <w:pPr>
        <w:pStyle w:val="FirstParagraph"/>
      </w:pPr>
      <w:r>
        <w:t xml:space="preserve">The Taxonomy Regulation is deliberately exploratory. Its classification</w:t>
      </w:r>
      <w:r>
        <w:t xml:space="preserve"> </w:t>
      </w:r>
      <w:r>
        <w:t xml:space="preserve">system, disclosures and technical criteria produce lexical signals, but the</w:t>
      </w:r>
      <w:r>
        <w:t xml:space="preserve"> </w:t>
      </w:r>
      <w:r>
        <w:t xml:space="preserve">current delivery does not presume that a platform, technical screening</w:t>
      </w:r>
      <w:r>
        <w:t xml:space="preserve"> </w:t>
      </w:r>
      <w:r>
        <w:t xml:space="preserve">criterion, authority or reporting obligation is an intermediary. Four sampled</w:t>
      </w:r>
      <w:r>
        <w:t xml:space="preserve"> </w:t>
      </w:r>
      <w:r>
        <w:t xml:space="preserve">units are pending the same five-condition test as the other acts.</w:t>
      </w:r>
    </w:p>
    <w:bookmarkEnd w:id="59"/>
    <w:bookmarkEnd w:id="60"/>
    <w:bookmarkStart w:id="61" w:name="limitations-and-next-steps"/>
    <w:p>
      <w:pPr>
        <w:pStyle w:val="Heading1"/>
      </w:pPr>
      <w:r>
        <w:t xml:space="preserve">9. Limitations and next steps</w:t>
      </w:r>
    </w:p>
    <w:p>
      <w:pPr>
        <w:pStyle w:val="FirstParagraph"/>
      </w:pPr>
      <w:r>
        <w:t xml:space="preserve">The lexical screen is not a prevalence estimate and cannot distinguish every</w:t>
      </w:r>
      <w:r>
        <w:t xml:space="preserve"> </w:t>
      </w:r>
      <w:r>
        <w:t xml:space="preserve">institutional role. EUR-Lex HTML presentation can change, so the manifest and</w:t>
      </w:r>
      <w:r>
        <w:t xml:space="preserve"> </w:t>
      </w:r>
      <w:r>
        <w:t xml:space="preserve">hash are essential. Full legal meaning may depend on cross-referenced acts;</w:t>
      </w:r>
      <w:r>
        <w:t xml:space="preserve"> </w:t>
      </w:r>
      <w:r>
        <w:t xml:space="preserve">the context-request loop is bounded and unresolved gaps go to human review.</w:t>
      </w:r>
    </w:p>
    <w:p>
      <w:pPr>
        <w:pStyle w:val="BodyText"/>
      </w:pPr>
      <w:r>
        <w:t xml:space="preserve">The present AI evidence is procedural, not substantive, because the provider</w:t>
      </w:r>
      <w:r>
        <w:t xml:space="preserve"> </w:t>
      </w:r>
      <w:r>
        <w:t xml:space="preserve">account had no remaining credits. Before claiming a validated AI-assisted</w:t>
      </w:r>
      <w:r>
        <w:t xml:space="preserve"> </w:t>
      </w:r>
      <w:r>
        <w:t xml:space="preserve">coder, the next round must:</w:t>
      </w:r>
    </w:p>
    <w:p>
      <w:pPr>
        <w:pStyle w:val="Compact"/>
        <w:numPr>
          <w:ilvl w:val="0"/>
          <w:numId w:val="1004"/>
        </w:numPr>
      </w:pPr>
      <w:r>
        <w:t xml:space="preserve">complete independent human adjudication of the 20 held-out units;</w:t>
      </w:r>
    </w:p>
    <w:p>
      <w:pPr>
        <w:pStyle w:val="Compact"/>
        <w:numPr>
          <w:ilvl w:val="0"/>
          <w:numId w:val="1004"/>
        </w:numPr>
      </w:pPr>
      <w:r>
        <w:t xml:space="preserve">restore account credits and repeat live three-run A2/B1/B2 calls;</w:t>
      </w:r>
    </w:p>
    <w:p>
      <w:pPr>
        <w:pStyle w:val="Compact"/>
        <w:numPr>
          <w:ilvl w:val="0"/>
          <w:numId w:val="1004"/>
        </w:numPr>
      </w:pPr>
      <w:r>
        <w:t xml:space="preserve">execute the adversarial omitted-context test;</w:t>
      </w:r>
    </w:p>
    <w:p>
      <w:pPr>
        <w:pStyle w:val="Compact"/>
        <w:numPr>
          <w:ilvl w:val="0"/>
          <w:numId w:val="1004"/>
        </w:numPr>
      </w:pPr>
      <w:r>
        <w:t xml:space="preserve">score evidence fidelity and mechanism validity by human review;</w:t>
      </w:r>
    </w:p>
    <w:p>
      <w:pPr>
        <w:pStyle w:val="Compact"/>
        <w:numPr>
          <w:ilvl w:val="0"/>
          <w:numId w:val="1004"/>
        </w:numPr>
      </w:pPr>
      <w:r>
        <w:t xml:space="preserve">update the model-selection results only after Tier 1, never from Tier 0;</w:t>
      </w:r>
    </w:p>
    <w:p>
      <w:pPr>
        <w:pStyle w:val="Compact"/>
        <w:numPr>
          <w:ilvl w:val="0"/>
          <w:numId w:val="1004"/>
        </w:numPr>
      </w:pPr>
      <w:r>
        <w:t xml:space="preserve">decide separately whether any further Stage C battery deserves scale.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Control in this delivery</w:t>
            </w:r>
          </w:p>
        </w:tc>
        <w:tc>
          <w:tcPr/>
          <w:p>
            <w:pPr>
              <w:pStyle w:val="Compact"/>
            </w:pPr>
            <w:r>
              <w:t xml:space="preserve">Remaining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Lexical salience is not intermediation</w:t>
            </w:r>
          </w:p>
        </w:tc>
        <w:tc>
          <w:tcPr/>
          <w:p>
            <w:pPr>
              <w:pStyle w:val="Compact"/>
            </w:pPr>
            <w:r>
              <w:t xml:space="preserve">A1 is separate from B1/B2</w:t>
            </w:r>
          </w:p>
        </w:tc>
        <w:tc>
          <w:tcPr/>
          <w:p>
            <w:pPr>
              <w:pStyle w:val="Compact"/>
            </w:pPr>
            <w:r>
              <w:t xml:space="preserve">substantive adjudication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Cross-referenced law may be missing</w:t>
            </w:r>
          </w:p>
        </w:tc>
        <w:tc>
          <w:tcPr/>
          <w:p>
            <w:pPr>
              <w:pStyle w:val="Compact"/>
            </w:pPr>
            <w:r>
              <w:t xml:space="preserve">bounded context escape hatch</w:t>
            </w:r>
          </w:p>
        </w:tc>
        <w:tc>
          <w:tcPr/>
          <w:p>
            <w:pPr>
              <w:pStyle w:val="Compact"/>
            </w:pPr>
            <w:r>
              <w:t xml:space="preserve">retrieve and review requested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proposal may anchor a coder</w:t>
            </w:r>
          </w:p>
        </w:tc>
        <w:tc>
          <w:tcPr/>
          <w:p>
            <w:pPr>
              <w:pStyle w:val="Compact"/>
            </w:pPr>
            <w:r>
              <w:t xml:space="preserve">human gate precedes Tier 1</w:t>
            </w:r>
          </w:p>
        </w:tc>
        <w:tc>
          <w:tcPr/>
          <w:p>
            <w:pPr>
              <w:pStyle w:val="Compact"/>
            </w:pPr>
            <w:r>
              <w:t xml:space="preserve">complete the 20 independent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provider could not generate</w:t>
            </w:r>
          </w:p>
        </w:tc>
        <w:tc>
          <w:tcPr/>
          <w:p>
            <w:pPr>
              <w:pStyle w:val="Compact"/>
            </w:pPr>
            <w:r>
              <w:t xml:space="preserve">dry-run marked non-substantive</w:t>
            </w:r>
          </w:p>
        </w:tc>
        <w:tc>
          <w:tcPr/>
          <w:p>
            <w:pPr>
              <w:pStyle w:val="Compact"/>
            </w:pPr>
            <w:r>
              <w:t xml:space="preserve">restore credits and repeat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text does not show outcomes</w:t>
            </w:r>
          </w:p>
        </w:tc>
        <w:tc>
          <w:tcPr/>
          <w:p>
            <w:pPr>
              <w:pStyle w:val="Compact"/>
            </w:pPr>
            <w:r>
              <w:t xml:space="preserve">no outcome/index fields</w:t>
            </w:r>
          </w:p>
        </w:tc>
        <w:tc>
          <w:tcPr/>
          <w:p>
            <w:pPr>
              <w:pStyle w:val="Compact"/>
            </w:pPr>
            <w:r>
              <w:t xml:space="preserve">future external empirical study</w:t>
            </w:r>
          </w:p>
        </w:tc>
      </w:tr>
    </w:tbl>
    <w:bookmarkEnd w:id="61"/>
    <w:bookmarkStart w:id="65" w:name="Xe5fd4c5f93a0c4c1c73aafcad7567cb2b6b5f70"/>
    <w:p>
      <w:pPr>
        <w:pStyle w:val="Heading1"/>
      </w:pPr>
      <w:r>
        <w:t xml:space="preserve">10. Nested intermediation and governance of intermediaries</w:t>
      </w:r>
    </w:p>
    <w:p>
      <w:pPr>
        <w:pStyle w:val="FirstParagraph"/>
      </w:pPr>
      <w:r>
        <w:t xml:space="preserve">Nested coding uses</w:t>
      </w:r>
      <w:r>
        <w:t xml:space="preserve"> </w:t>
      </w:r>
      <w:r>
        <w:rPr>
          <w:rStyle w:val="VerbatimChar"/>
        </w:rPr>
        <w:t xml:space="preserve">nested_intermediation_present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chain_id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intermediation_level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parent_relationship_id</w:t>
      </w:r>
      <w:r>
        <w:t xml:space="preserve">. A</w:t>
      </w:r>
      <w:r>
        <w:t xml:space="preserve"> </w:t>
      </w:r>
      <w:r>
        <w:rPr>
          <w:rStyle w:val="VerbatimChar"/>
        </w:rPr>
        <w:t xml:space="preserve">meta_regulatory_relation</w:t>
      </w:r>
      <w:r>
        <w:t xml:space="preserve"> </w:t>
      </w:r>
      <w:r>
        <w:t xml:space="preserve">is recorded only where the documented parent chain</w:t>
      </w:r>
      <w:r>
        <w:t xml:space="preserve"> </w:t>
      </w:r>
      <w:r>
        <w:t xml:space="preserve">and evidence support governance of an intermediary by another arrangement.</w:t>
      </w:r>
      <w:r>
        <w:t xml:space="preserve"> </w:t>
      </w:r>
      <w:r>
        <w:t xml:space="preserve">The ETS accreditation/verifier chain is retained as the stress case; it is not</w:t>
      </w:r>
      <w:r>
        <w:t xml:space="preserve"> </w:t>
      </w:r>
      <w:r>
        <w:t xml:space="preserve">generalised to every multi-actor provision.</w:t>
      </w:r>
    </w:p>
    <w:p>
      <w:pPr>
        <w:pStyle w:val="CaptionedFigure"/>
      </w:pPr>
      <w:r>
        <w:drawing>
          <wp:inline>
            <wp:extent cx="5334000" cy="2681224"/>
            <wp:effectExtent b="0" l="0" r="0" t="0"/>
            <wp:docPr descr="Figure 5. Nested intermediation and the governance chain." title="" id="63" name="Picture"/>
            <a:graphic>
              <a:graphicData uri="http://schemas.openxmlformats.org/drawingml/2006/picture">
                <pic:pic>
                  <pic:nvPicPr>
                    <pic:cNvPr descr="figures/fig5_nested_intermediation_v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1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Nested intermediation and the governance chain.</w:t>
      </w:r>
    </w:p>
    <w:bookmarkEnd w:id="65"/>
    <w:bookmarkStart w:id="69" w:name="Xe51cd9a1fb2e184079854180c930217f6c359cd"/>
    <w:p>
      <w:pPr>
        <w:pStyle w:val="Heading1"/>
      </w:pPr>
      <w:r>
        <w:t xml:space="preserve">11. AI performance, provenance and error analysis</w:t>
      </w:r>
    </w:p>
    <w:p>
      <w:pPr>
        <w:pStyle w:val="FirstParagraph"/>
      </w:pPr>
      <w:r>
        <w:t xml:space="preserve">The current run establishes schema validity, repeat-run orchestration and</w:t>
      </w:r>
      <w:r>
        <w:t xml:space="preserve"> </w:t>
      </w:r>
      <w:r>
        <w:t xml:space="preserve">provenance fields, not AI accuracy. There is no substantive A2/B1/B2 output,</w:t>
      </w:r>
      <w:r>
        <w:t xml:space="preserve"> </w:t>
      </w:r>
      <w:r>
        <w:t xml:space="preserve">no human-agreement rate, no evidence-fidelity score and no Tier 0/Tier 1 model</w:t>
      </w:r>
      <w:r>
        <w:t xml:space="preserve"> </w:t>
      </w:r>
      <w:r>
        <w:t xml:space="preserve">winner.</w:t>
      </w:r>
      <w:r>
        <w:t xml:space="preserve"> </w:t>
      </w:r>
      <w:r>
        <w:rPr>
          <w:rStyle w:val="VerbatimChar"/>
        </w:rPr>
        <w:t xml:space="preserve">ai_runs_v4.csv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ai_runs_v4.jsonl</w:t>
      </w:r>
      <w:r>
        <w:t xml:space="preserve"> </w:t>
      </w:r>
      <w:r>
        <w:t xml:space="preserve">retain provider, model,</w:t>
      </w:r>
      <w:r>
        <w:t xml:space="preserve"> </w:t>
      </w:r>
      <w:r>
        <w:t xml:space="preserve">snapshot, reasoning setting, prompt/schema versions, timestamp, hashes,</w:t>
      </w:r>
      <w:r>
        <w:t xml:space="preserve"> </w:t>
      </w:r>
      <w:r>
        <w:t xml:space="preserve">run_id, usage and cost estimate.</w:t>
      </w:r>
      <w:r>
        <w:t xml:space="preserve"> </w:t>
      </w:r>
      <w:r>
        <w:rPr>
          <w:rStyle w:val="VerbatimChar"/>
        </w:rPr>
        <w:t xml:space="preserve">human_review_v4.csv</w:t>
      </w:r>
      <w:r>
        <w:t xml:space="preserve"> </w:t>
      </w:r>
      <w:r>
        <w:t xml:space="preserve">marks every proposal</w:t>
      </w:r>
      <w:r>
        <w:t xml:space="preserve"> </w:t>
      </w:r>
      <w:r>
        <w:t xml:space="preserve">as pending.</w:t>
      </w:r>
    </w:p>
    <w:p>
      <w:pPr>
        <w:pStyle w:val="BodyText"/>
      </w:pPr>
      <w:r>
        <w:t xml:space="preserve">The error analysis plan compares AI and Human 1 field by field, including</w:t>
      </w:r>
      <w:r>
        <w:t xml:space="preserve"> </w:t>
      </w:r>
      <w:r>
        <w:t xml:space="preserve">evidence fidelity, condition-level errors, mechanism assignment, abstention</w:t>
      </w:r>
      <w:r>
        <w:t xml:space="preserve"> </w:t>
      </w:r>
      <w:r>
        <w:t xml:space="preserve">and context requests. A second coder would be required before making any</w:t>
      </w:r>
      <w:r>
        <w:t xml:space="preserve"> </w:t>
      </w:r>
      <w:r>
        <w:t xml:space="preserve">intercoder reliability claim.</w:t>
      </w:r>
    </w:p>
    <w:p>
      <w:pPr>
        <w:pStyle w:val="CaptionedFigure"/>
      </w:pPr>
      <w:r>
        <w:drawing>
          <wp:inline>
            <wp:extent cx="5334000" cy="2561678"/>
            <wp:effectExtent b="0" l="0" r="0" t="0"/>
            <wp:docPr descr="Figure 6. Human-in-the-loop validation architecture." title="" id="67" name="Picture"/>
            <a:graphic>
              <a:graphicData uri="http://schemas.openxmlformats.org/drawingml/2006/picture">
                <pic:pic>
                  <pic:nvPicPr>
                    <pic:cNvPr descr="figures/fig6_human_validation_v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Human-in-the-loop validation architecture.</w:t>
      </w:r>
    </w:p>
    <w:bookmarkEnd w:id="69"/>
    <w:bookmarkStart w:id="70" w:name="construct-validity-and-hard-cases"/>
    <w:p>
      <w:pPr>
        <w:pStyle w:val="Heading1"/>
      </w:pPr>
      <w:r>
        <w:t xml:space="preserve">12. Construct validity and hard cases</w:t>
      </w:r>
    </w:p>
    <w:p>
      <w:pPr>
        <w:pStyle w:val="FirstParagraph"/>
      </w:pPr>
      <w:r>
        <w:t xml:space="preserve">The direct reporting case CAND-03 remains a negative control: a reporting</w:t>
      </w:r>
      <w:r>
        <w:t xml:space="preserve"> </w:t>
      </w:r>
      <w:r>
        <w:t xml:space="preserve">duty does not itself create an intermediary. Climate Benchmarks CAND-07</w:t>
      </w:r>
      <w:r>
        <w:t xml:space="preserve"> </w:t>
      </w:r>
      <w:r>
        <w:t xml:space="preserve">remains conditional pending the relevant legal architecture. The Taxonomy</w:t>
      </w:r>
      <w:r>
        <w:t xml:space="preserve"> </w:t>
      </w:r>
      <w:r>
        <w:t xml:space="preserve">case is exploratory and discriminant, with no presumption that criteria,</w:t>
      </w:r>
      <w:r>
        <w:t xml:space="preserve"> </w:t>
      </w:r>
      <w:r>
        <w:t xml:space="preserve">classification or disclosure are intermediary mechanisms. The false-</w:t>
      </w:r>
      <w:r>
        <w:t xml:space="preserve"> </w:t>
      </w:r>
      <w:r>
        <w:t xml:space="preserve">intermediary counterfactual is an interpretive aid, not a substitute for</w:t>
      </w:r>
      <w:r>
        <w:t xml:space="preserve"> </w:t>
      </w:r>
      <w:r>
        <w:t xml:space="preserve">legal evidence.</w:t>
      </w:r>
    </w:p>
    <w:bookmarkEnd w:id="70"/>
    <w:bookmarkStart w:id="71" w:name="Xb6f8f292eeca1d4b37b5c25a2169c4a3c527855"/>
    <w:p>
      <w:pPr>
        <w:pStyle w:val="Heading1"/>
      </w:pPr>
      <w:r>
        <w:t xml:space="preserve">13. What legal-text coding can and cannot measure</w:t>
      </w:r>
    </w:p>
    <w:p>
      <w:pPr>
        <w:pStyle w:val="FirstParagraph"/>
      </w:pPr>
      <w:r>
        <w:t xml:space="preserve">Legal text can support named actors, formal duties, procedures, explicit</w:t>
      </w:r>
      <w:r>
        <w:t xml:space="preserve"> </w:t>
      </w:r>
      <w:r>
        <w:t xml:space="preserve">mechanisms, supervision requirements and bounded institutional</w:t>
      </w:r>
      <w:r>
        <w:t xml:space="preserve"> </w:t>
      </w:r>
      <w:r>
        <w:t xml:space="preserve">reconstructions. It cannot by itself establish actual autonomy, capture,</w:t>
      </w:r>
      <w:r>
        <w:t xml:space="preserve"> </w:t>
      </w:r>
      <w:r>
        <w:t xml:space="preserve">effectiveness, legitimacy, trust, compliance outcomes or democratic quality.</w:t>
      </w:r>
      <w:r>
        <w:t xml:space="preserve"> </w:t>
      </w:r>
      <w:r>
        <w:t xml:space="preserve">It cannot turn an absence of wording into proof of absence. Missingness is</w:t>
      </w:r>
      <w:r>
        <w:t xml:space="preserve"> </w:t>
      </w:r>
      <w:r>
        <w:t xml:space="preserve">therefore coded as</w:t>
      </w:r>
      <w:r>
        <w:t xml:space="preserve"> </w:t>
      </w:r>
      <w:r>
        <w:rPr>
          <w:rStyle w:val="VerbatimChar"/>
        </w:rPr>
        <w:t xml:space="preserve">NA</w:t>
      </w:r>
      <w:r>
        <w:t xml:space="preserve">,</w:t>
      </w:r>
      <w:r>
        <w:t xml:space="preserve"> </w:t>
      </w:r>
      <w:r>
        <w:rPr>
          <w:rStyle w:val="VerbatimChar"/>
        </w:rPr>
        <w:t xml:space="preserve">UNK</w:t>
      </w:r>
      <w:r>
        <w:t xml:space="preserve">,</w:t>
      </w:r>
      <w:r>
        <w:t xml:space="preserve"> </w:t>
      </w:r>
      <w:r>
        <w:rPr>
          <w:rStyle w:val="VerbatimChar"/>
        </w:rPr>
        <w:t xml:space="preserve">NOE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</w:t>
      </w:r>
      <w:r>
        <w:t xml:space="preserve"> </w:t>
      </w:r>
      <w:r>
        <w:t xml:space="preserve">as appropriate, and substantive</w:t>
      </w:r>
      <w:r>
        <w:t xml:space="preserve"> </w:t>
      </w:r>
      <w:r>
        <w:t xml:space="preserve">categories are never silently left blank.</w:t>
      </w:r>
    </w:p>
    <w:p>
      <w:pPr>
        <w:pStyle w:val="BodyText"/>
      </w:pPr>
      <w:r>
        <w:t xml:space="preserve">The independent strategy variables</w:t>
      </w:r>
      <w:r>
        <w:t xml:space="preserve"> </w:t>
      </w:r>
      <w:r>
        <w:rPr>
          <w:rStyle w:val="VerbatimChar"/>
        </w:rPr>
        <w:t xml:space="preserve">responsibilization_present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empowerment_present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UNCLEAR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NOE</w:t>
      </w:r>
      <w:r>
        <w:t xml:space="preserve">. They are not combined</w:t>
      </w:r>
      <w:r>
        <w:t xml:space="preserve"> </w:t>
      </w:r>
      <w:r>
        <w:t xml:space="preserve">into a score. Failure fields describe design risks addressed by an</w:t>
      </w:r>
      <w:r>
        <w:t xml:space="preserve"> </w:t>
      </w:r>
      <w:r>
        <w:t xml:space="preserve">arrangement; they do not show that capture or failure occurred.</w:t>
      </w:r>
    </w:p>
    <w:bookmarkEnd w:id="71"/>
    <w:bookmarkStart w:id="72" w:name="X50d232f72dddf56082525e8de2c8d34045d4e86"/>
    <w:p>
      <w:pPr>
        <w:pStyle w:val="Heading1"/>
      </w:pPr>
      <w:r>
        <w:t xml:space="preserve">14. Status of measured, deferred and planned elements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State in this delivery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CELEX retrieval, hashes and A1 screen</w:t>
            </w:r>
          </w:p>
        </w:tc>
        <w:tc>
          <w:tcPr/>
          <w:p>
            <w:pPr>
              <w:pStyle w:val="Compact"/>
            </w:pPr>
            <w:r>
              <w:t xml:space="preserve">Implemented and tested</w:t>
            </w:r>
          </w:p>
        </w:tc>
        <w:tc>
          <w:tcPr/>
          <w:p>
            <w:pPr>
              <w:pStyle w:val="Compact"/>
            </w:pPr>
            <w:r>
              <w:t xml:space="preserve">five-act PoC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Seven inherited positive R-I-T rows</w:t>
            </w:r>
          </w:p>
        </w:tc>
        <w:tc>
          <w:tcPr/>
          <w:p>
            <w:pPr>
              <w:pStyle w:val="Compact"/>
            </w:pPr>
            <w:r>
              <w:t xml:space="preserve">Preserved and validated in v3</w:t>
            </w:r>
          </w:p>
        </w:tc>
        <w:tc>
          <w:tcPr/>
          <w:p>
            <w:pPr>
              <w:pStyle w:val="Compact"/>
            </w:pPr>
            <w:r>
              <w:t xml:space="preserve">regression baseline, not new AI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Twenty held-out human adjudications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no Tier 1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AI generation</w:t>
            </w:r>
          </w:p>
        </w:tc>
        <w:tc>
          <w:tcPr/>
          <w:p>
            <w:pPr>
              <w:pStyle w:val="Compact"/>
            </w:pPr>
            <w:r>
              <w:t xml:space="preserve">Blocked by account credits</w:t>
            </w:r>
          </w:p>
        </w:tc>
        <w:tc>
          <w:tcPr/>
          <w:p>
            <w:pPr>
              <w:pStyle w:val="Compact"/>
            </w:pPr>
            <w:r>
              <w:t xml:space="preserve">no substantive model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lexical/semantic overlap</w:t>
            </w:r>
          </w:p>
        </w:tc>
        <w:tc>
          <w:tcPr/>
          <w:p>
            <w:pPr>
              <w:pStyle w:val="Compac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  <w:r>
              <w:t xml:space="preserve">requires substantive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Autonomy/accountability indicators</w:t>
            </w:r>
          </w:p>
        </w:tc>
        <w:tc>
          <w:tcPr/>
          <w:p>
            <w:pPr>
              <w:pStyle w:val="Compact"/>
            </w:pPr>
            <w:r>
              <w:t xml:space="preserve">Deferred proposal</w:t>
            </w:r>
          </w:p>
        </w:tc>
        <w:tc>
          <w:tcPr/>
          <w:p>
            <w:pPr>
              <w:pStyle w:val="Compact"/>
            </w:pPr>
            <w:r>
              <w:t xml:space="preserve">no indices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Effectiveness, legitimacy, trust, polycentricity</w:t>
            </w:r>
          </w:p>
        </w:tc>
        <w:tc>
          <w:tcPr/>
          <w:p>
            <w:pPr>
              <w:pStyle w:val="Compact"/>
            </w:pPr>
            <w:r>
              <w:t xml:space="preserve">Future research</w:t>
            </w:r>
          </w:p>
        </w:tc>
        <w:tc>
          <w:tcPr/>
          <w:p>
            <w:pPr>
              <w:pStyle w:val="Compact"/>
            </w:pPr>
            <w:r>
              <w:t xml:space="preserve">not observable from this PoC</w:t>
            </w:r>
          </w:p>
        </w:tc>
      </w:tr>
    </w:tbl>
    <w:bookmarkEnd w:id="72"/>
    <w:bookmarkStart w:id="73" w:name="from-poc-to-population-scale-research"/>
    <w:p>
      <w:pPr>
        <w:pStyle w:val="Heading1"/>
      </w:pPr>
      <w:r>
        <w:t xml:space="preserve">15. From PoC to population-scale research</w:t>
      </w:r>
    </w:p>
    <w:p>
      <w:pPr>
        <w:pStyle w:val="FirstParagraph"/>
      </w:pPr>
      <w:r>
        <w:t xml:space="preserve">The next round should freeze the population definition, retrieve base and</w:t>
      </w:r>
      <w:r>
        <w:t xml:space="preserve"> </w:t>
      </w:r>
      <w:r>
        <w:t xml:space="preserve">consolidated records with explicit deduplication, adjudicate the held-out</w:t>
      </w:r>
      <w:r>
        <w:t xml:space="preserve"> </w:t>
      </w:r>
      <w:r>
        <w:t xml:space="preserve">sample, restore API credits, run a primary/challenger comparison where</w:t>
      </w:r>
      <w:r>
        <w:t xml:space="preserve"> </w:t>
      </w:r>
      <w:r>
        <w:t xml:space="preserve">feasible, and publish the error taxonomy. CBAM is the proposed next stress</w:t>
      </w:r>
      <w:r>
        <w:t xml:space="preserve"> </w:t>
      </w:r>
      <w:r>
        <w:t xml:space="preserve">test because it can probe another carbon-regulatory architecture; it is not</w:t>
      </w:r>
      <w:r>
        <w:t xml:space="preserve"> </w:t>
      </w:r>
      <w:r>
        <w:t xml:space="preserve">part of this corpus and is not used to enlarge the present findings.</w:t>
      </w:r>
    </w:p>
    <w:bookmarkEnd w:id="73"/>
    <w:bookmarkStart w:id="74" w:name="conclusion"/>
    <w:p>
      <w:pPr>
        <w:pStyle w:val="Heading1"/>
      </w:pPr>
      <w:r>
        <w:t xml:space="preserve">16. Conclusion</w:t>
      </w:r>
    </w:p>
    <w:p>
      <w:pPr>
        <w:pStyle w:val="FirstParagraph"/>
      </w:pPr>
      <w:r>
        <w:t xml:space="preserve">The delivery demonstrates the intended chain from theory to operationalisation,</w:t>
      </w:r>
      <w:r>
        <w:t xml:space="preserve"> </w:t>
      </w:r>
      <w:r>
        <w:t xml:space="preserve">legal evidence, interpretation, structured data, validation and a scalable</w:t>
      </w:r>
      <w:r>
        <w:t xml:space="preserve"> </w:t>
      </w:r>
      <w:r>
        <w:t xml:space="preserve">execution plan. Its substantive conclusion is deliberately narrow: seven</w:t>
      </w:r>
      <w:r>
        <w:t xml:space="preserve"> </w:t>
      </w:r>
      <w:r>
        <w:t xml:space="preserve">human-validated inherited relationships are preserved; the five-act lexical</w:t>
      </w:r>
      <w:r>
        <w:t xml:space="preserve"> </w:t>
      </w:r>
      <w:r>
        <w:t xml:space="preserve">screen is complete; new relationships, AI performance and population claims</w:t>
      </w:r>
      <w:r>
        <w:t xml:space="preserve"> </w:t>
      </w:r>
      <w:r>
        <w:t xml:space="preserve">remain open until the specified human and account gates are completed.</w:t>
      </w:r>
    </w:p>
    <w:bookmarkEnd w:id="74"/>
    <w:bookmarkStart w:id="78" w:name="references-and-primary-sources"/>
    <w:p>
      <w:pPr>
        <w:pStyle w:val="Heading1"/>
      </w:pPr>
      <w:r>
        <w:t xml:space="preserve">References and primary sources</w:t>
      </w:r>
    </w:p>
    <w:p>
      <w:pPr>
        <w:pStyle w:val="Compact"/>
        <w:numPr>
          <w:ilvl w:val="0"/>
          <w:numId w:val="1005"/>
        </w:numPr>
      </w:pPr>
      <w:r>
        <w:t xml:space="preserve">The Levi-Faur proposal supplied for PoC 01 is the theoretical starting</w:t>
      </w:r>
      <w:r>
        <w:t xml:space="preserve"> </w:t>
      </w:r>
      <w:r>
        <w:t xml:space="preserve">point and source of the mechanism vocabulary used here.</w:t>
      </w:r>
    </w:p>
    <w:p>
      <w:pPr>
        <w:pStyle w:val="Compact"/>
        <w:numPr>
          <w:ilvl w:val="0"/>
          <w:numId w:val="1005"/>
        </w:numPr>
      </w:pPr>
      <w:hyperlink r:id="rId75">
        <w:r>
          <w:rPr>
            <w:rStyle w:val="Hyperlink"/>
          </w:rPr>
          <w:t xml:space="preserve">EUR-Lex legal records</w:t>
        </w:r>
      </w:hyperlink>
      <w:r>
        <w:t xml:space="preserve"> </w:t>
      </w:r>
      <w:r>
        <w:t xml:space="preserve">provide the five CELEX</w:t>
      </w:r>
      <w:r>
        <w:t xml:space="preserve"> </w:t>
      </w:r>
      <w:r>
        <w:t xml:space="preserve">sources listed in the corpus table.</w:t>
      </w:r>
    </w:p>
    <w:p>
      <w:pPr>
        <w:pStyle w:val="Compact"/>
        <w:numPr>
          <w:ilvl w:val="0"/>
          <w:numId w:val="1005"/>
        </w:numPr>
      </w:pPr>
      <w:hyperlink r:id="rId76">
        <w:r>
          <w:rPr>
            <w:rStyle w:val="Hyperlink"/>
          </w:rPr>
          <w:t xml:space="preserve">OpenAI model comparison</w:t>
        </w:r>
      </w:hyperlink>
      <w:r>
        <w:t xml:space="preserve"> </w:t>
      </w:r>
      <w:r>
        <w:t xml:space="preserve">and</w:t>
      </w:r>
      <w:r>
        <w:t xml:space="preserve"> </w:t>
      </w:r>
      <w:hyperlink r:id="rId77">
        <w:r>
          <w:rPr>
            <w:rStyle w:val="Hyperlink"/>
          </w:rPr>
          <w:t xml:space="preserve">Responses API reference</w:t>
        </w:r>
      </w:hyperlink>
      <w:r>
        <w:t xml:space="preserve"> </w:t>
      </w:r>
      <w:r>
        <w:t xml:space="preserve">document the API features used by the adapter.</w:t>
      </w:r>
    </w:p>
    <w:bookmarkEnd w:id="78"/>
    <w:bookmarkStart w:id="79" w:name="appendix-a-reproduction-commands"/>
    <w:p>
      <w:pPr>
        <w:pStyle w:val="Heading1"/>
      </w:pPr>
      <w:r>
        <w:t xml:space="preserve">Appendix A — Reproduction commands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rStyle w:val="VerbatimChar"/>
        </w:rPr>
        <w:t xml:space="preserve">Entrega-04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python scripts/collect_v4.py</w:t>
      </w:r>
      <w:r>
        <w:br/>
      </w:r>
      <w:r>
        <w:rPr>
          <w:rStyle w:val="VerbatimChar"/>
        </w:rPr>
        <w:t xml:space="preserve">python scripts/screening_v4.py</w:t>
      </w:r>
      <w:r>
        <w:br/>
      </w:r>
      <w:r>
        <w:rPr>
          <w:rStyle w:val="VerbatimChar"/>
        </w:rPr>
        <w:t xml:space="preserve">python scripts/prepare_samples_v4.py</w:t>
      </w:r>
      <w:r>
        <w:br/>
      </w:r>
      <w:r>
        <w:rPr>
          <w:rStyle w:val="VerbatimChar"/>
        </w:rPr>
        <w:t xml:space="preserve">python scripts/build_datasets_v4.py</w:t>
      </w:r>
      <w:r>
        <w:br/>
      </w:r>
      <w:r>
        <w:rPr>
          <w:rStyle w:val="VerbatimChar"/>
        </w:rPr>
        <w:t xml:space="preserve">python scripts/run_ai_v4.py --provider dry_run --model dry-run-v4 --include-c</w:t>
      </w:r>
      <w:r>
        <w:br/>
      </w:r>
      <w:r>
        <w:rPr>
          <w:rStyle w:val="VerbatimChar"/>
        </w:rPr>
        <w:t xml:space="preserve">python scripts/build_auxiliary_outputs_v4.py</w:t>
      </w:r>
      <w:r>
        <w:br/>
      </w:r>
      <w:r>
        <w:rPr>
          <w:rStyle w:val="VerbatimChar"/>
        </w:rPr>
        <w:t xml:space="preserve">python scripts/make_figure_v4.py</w:t>
      </w:r>
      <w:r>
        <w:br/>
      </w:r>
      <w:r>
        <w:rPr>
          <w:rStyle w:val="VerbatimChar"/>
        </w:rPr>
        <w:t xml:space="preserve">python scripts/make_figures_v4.py</w:t>
      </w:r>
      <w:r>
        <w:br/>
      </w:r>
      <w:r>
        <w:rPr>
          <w:rStyle w:val="VerbatimChar"/>
        </w:rPr>
        <w:t xml:space="preserve">python scripts/validate_v4.py</w:t>
      </w:r>
      <w:r>
        <w:br/>
      </w:r>
      <w:r>
        <w:rPr>
          <w:rStyle w:val="VerbatimChar"/>
        </w:rPr>
        <w:t xml:space="preserve">quarto render RELATORIO_COMPLETO_INTERMEDIARIES_EN.qmd --to docx</w:t>
      </w:r>
    </w:p>
    <w:p>
      <w:pPr>
        <w:pStyle w:val="FirstParagraph"/>
      </w:pPr>
      <w:r>
        <w:t xml:space="preserve">The live invocation is intentionally separate:</w:t>
      </w:r>
    </w:p>
    <w:p>
      <w:pPr>
        <w:pStyle w:val="SourceCode"/>
      </w:pPr>
      <w:r>
        <w:rPr>
          <w:rStyle w:val="VerbatimChar"/>
        </w:rPr>
        <w:t xml:space="preserve">python scripts/run_ai_v4.py --provider openai --model gpt-5.6-terra</w:t>
      </w:r>
    </w:p>
    <w:p>
      <w:pPr>
        <w:pStyle w:val="FirstParagraph"/>
      </w:pPr>
      <w:r>
        <w:t xml:space="preserve">It requires account credits and completed independent adjudication of the</w:t>
      </w:r>
      <w:r>
        <w:t xml:space="preserve"> </w:t>
      </w:r>
      <w:r>
        <w:t xml:space="preserve">held-out sample. It never writes to the authoritative CSVs.</w:t>
      </w:r>
    </w:p>
    <w:bookmarkEnd w:id="79"/>
    <w:bookmarkStart w:id="80" w:name="appendix-b-delivery-inventory"/>
    <w:p>
      <w:pPr>
        <w:pStyle w:val="Heading1"/>
      </w:pPr>
      <w:r>
        <w:t xml:space="preserve">Appendix B — Delivery inventory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data/CELEX_MANIFEST_v4.csv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: source manifest and hashes.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data/raw_html/</w:t>
      </w:r>
      <w:r>
        <w:t xml:space="preserve">: five preserved EUR-Lex HTML responses.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data/screening_hits_v4.csv</w:t>
      </w:r>
      <w:r>
        <w:t xml:space="preserve">: 1,092 Stage A1 rows.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data/candidate_adjudications_v4.csv</w:t>
      </w:r>
      <w:r>
        <w:t xml:space="preserve">: 10 inherited rows plus 20 pending rows.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data/rit_relationships_v4.csv</w:t>
      </w:r>
      <w:r>
        <w:t xml:space="preserve">: seven inherited positive relationships.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data/actors_v4.csv</w:t>
      </w:r>
      <w:r>
        <w:t xml:space="preserve">: 19 inherited actor records.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data/audit_sample_v4.csv</w:t>
      </w:r>
      <w:r>
        <w:t xml:space="preserve">: four held-out units per act.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data/ai_runs_v4.jsonl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: 201 dry-run schema records with provenance.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data/api_cost_estimate_v4.json</w:t>
      </w:r>
      <w:r>
        <w:t xml:space="preserve">: prompt-based estimate for the planned live run.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data/api_attempt_v4.json</w:t>
      </w:r>
      <w:r>
        <w:t xml:space="preserve">: provider response metadata from the unsuccessful live attempt.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MODEL_SELECTION_RESULTS_v4.md</w:t>
      </w:r>
      <w:r>
        <w:t xml:space="preserve">: model-selection status and blocking condition.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figures/</w:t>
      </w:r>
      <w:r>
        <w:t xml:space="preserve">: screening distribution plus Figures 1–6.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data/human_review_v4.csv</w:t>
      </w:r>
      <w:r>
        <w:t xml:space="preserve">: units awaiting full review.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data/semantic_candidates_v4.csv</w:t>
      </w:r>
      <w:r>
        <w:t xml:space="preserve">: A2 view with explicit dry-run status.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data/relationship_mechanisms_v4.csv</w:t>
      </w:r>
      <w:r>
        <w:t xml:space="preserve">: relationship-level mechanism view.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data/validation_sample_v4.csv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data/challenge_sample_v4.csv</w:t>
      </w:r>
      <w:r>
        <w:t xml:space="preserve">: human</w:t>
      </w:r>
      <w:r>
        <w:t xml:space="preserve"> </w:t>
      </w:r>
      <w:r>
        <w:t xml:space="preserve">validation and stress-test samples.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EVIDENCE_TABLE_v4.md</w:t>
      </w:r>
      <w:r>
        <w:t xml:space="preserve">: complete literal-evidence table for the inherited relationships.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schemas/</w:t>
      </w:r>
      <w:r>
        <w:t xml:space="preserve">: four Structured Outputs contracts.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prompts/</w:t>
      </w:r>
      <w:r>
        <w:t xml:space="preserve">: stage prompts and shared guardrails.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SCREENING_CODEBOOK_v4.md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MODEL_SELECTION_PROTOCOL.md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AI_CODING_PROTOCOL.md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VALIDATION_PROTOCOL_v4.md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CHANGELOG_FINAL.md</w:t>
      </w:r>
      <w:r>
        <w:t xml:space="preserve">: canonical v4 controls.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*_v4.md</w:t>
      </w:r>
      <w:r>
        <w:t xml:space="preserve">: codebooks, data dictionary, variable map, methodology, AI and audit protocols.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image" Id="rId44" Target="media/rId44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33" Target="media/rId33.png" /><Relationship Type="http://schemas.openxmlformats.org/officeDocument/2006/relationships/hyperlink" Id="rId76" Target="https://developers.openai.com/api/docs/models/compare" TargetMode="External" /><Relationship Type="http://schemas.openxmlformats.org/officeDocument/2006/relationships/hyperlink" Id="rId77" Target="https://developers.openai.com/api/reference/cli/resources/responses/methods/create" TargetMode="External" /><Relationship Type="http://schemas.openxmlformats.org/officeDocument/2006/relationships/hyperlink" Id="rId75" Target="https://eur-lex.europa.eu/" TargetMode="External" /><Relationship Type="http://schemas.openxmlformats.org/officeDocument/2006/relationships/hyperlink" Id="rId20" Target="https://eur-lex.europa.eu/legal-content/EN/TXT/?uri=CELEX:32010R0066" TargetMode="External" /><Relationship Type="http://schemas.openxmlformats.org/officeDocument/2006/relationships/hyperlink" Id="rId22" Target="https://eur-lex.europa.eu/legal-content/EN/TXT/?uri=CELEX:32018R2067" TargetMode="External" /><Relationship Type="http://schemas.openxmlformats.org/officeDocument/2006/relationships/hyperlink" Id="rId21" Target="https://eur-lex.europa.eu/legal-content/EN/TXT/?uri=CELEX:32019R2089" TargetMode="External" /><Relationship Type="http://schemas.openxmlformats.org/officeDocument/2006/relationships/hyperlink" Id="rId23" Target="https://eur-lex.europa.eu/legal-content/EN/TXT/?uri=CELEX:32020R0852" TargetMode="External" /><Relationship Type="http://schemas.openxmlformats.org/officeDocument/2006/relationships/hyperlink" Id="rId19" Target="https://eur-lex.europa.eu/legal-content/EN/TXT/?uri=CELEX:32022L246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developers.openai.com/api/docs/models/compare" TargetMode="External" /><Relationship Type="http://schemas.openxmlformats.org/officeDocument/2006/relationships/hyperlink" Id="rId77" Target="https://developers.openai.com/api/reference/cli/resources/responses/methods/create" TargetMode="External" /><Relationship Type="http://schemas.openxmlformats.org/officeDocument/2006/relationships/hyperlink" Id="rId75" Target="https://eur-lex.europa.eu/" TargetMode="External" /><Relationship Type="http://schemas.openxmlformats.org/officeDocument/2006/relationships/hyperlink" Id="rId20" Target="https://eur-lex.europa.eu/legal-content/EN/TXT/?uri=CELEX:32010R0066" TargetMode="External" /><Relationship Type="http://schemas.openxmlformats.org/officeDocument/2006/relationships/hyperlink" Id="rId22" Target="https://eur-lex.europa.eu/legal-content/EN/TXT/?uri=CELEX:32018R2067" TargetMode="External" /><Relationship Type="http://schemas.openxmlformats.org/officeDocument/2006/relationships/hyperlink" Id="rId21" Target="https://eur-lex.europa.eu/legal-content/EN/TXT/?uri=CELEX:32019R2089" TargetMode="External" /><Relationship Type="http://schemas.openxmlformats.org/officeDocument/2006/relationships/hyperlink" Id="rId23" Target="https://eur-lex.europa.eu/legal-content/EN/TXT/?uri=CELEX:32020R0852" TargetMode="External" /><Relationship Type="http://schemas.openxmlformats.org/officeDocument/2006/relationships/hyperlink" Id="rId19" Target="https://eur-lex.europa.eu/legal-content/EN/TXT/?uri=CELEX:32022L246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Complete Report on Regulatory Intermediaries in Five EU Green-Transition Acts</dc:title>
  <dc:creator>Igor Caires Machado</dc:creator>
  <dc:language>en-GB</dc:language>
  <cp:keywords/>
  <dcterms:created xsi:type="dcterms:W3CDTF">2026-09-06T20:01:58Z</dcterms:created>
  <dcterms:modified xsi:type="dcterms:W3CDTF">2026-09-06T20:01:58Z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2026-09-06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Theory, CELEX corpus, R-I-T reconstruction, AI-assisted protocol and human audit</vt:lpwstr>
  </property>
  <property fmtid="{D5CDD505-2E9C-101B-9397-08002B2CF9AE}" pid="11" name="toc-title">
    <vt:lpwstr>Table of contents</vt:lpwstr>
  </property>
</Properties>
</file>