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/>
      </w:pPr>
      <w:r>
        <w:rPr>
          <w:b/>
          <w:color w:val="2F6B8A"/>
          <w:sz w:val="17"/>
        </w:rPr>
        <w:t>NOTA TÉCNICA — VERSÃO PRELIMINAR</w:t>
      </w:r>
    </w:p>
    <w:p>
      <w:pPr>
        <w:pStyle w:val="Title"/>
        <w:widowControl/>
        <w:jc w:val="left"/>
      </w:pPr>
      <w:r>
        <w:t>Identificação de intermediários regulatórios na legislação europeia</w:t>
      </w:r>
    </w:p>
    <w:p>
      <w:pPr>
        <w:pStyle w:val="Subtitle"/>
        <w:widowControl/>
      </w:pPr>
      <w:r>
        <w:t>Exercício piloto de codificação assistida por LLM · Regulatory Intermediation · Transição verde da União Europeia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2098"/>
            <w:tcMar>
              <w:top w:w="95" w:type="dxa"/>
              <w:start w:w="130" w:type="dxa"/>
              <w:bottom w:w="95" w:type="dxa"/>
              <w:end w:w="130" w:type="dxa"/>
            </w:tcMar>
            <w:shd w:fill="18364A"/>
          </w:tcPr>
          <w:p>
            <w:pPr>
              <w:widowControl/>
              <w:spacing w:after="0" w:before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030"/>
            <w:tcMar>
              <w:top w:w="95" w:type="dxa"/>
              <w:start w:w="130" w:type="dxa"/>
              <w:bottom w:w="95" w:type="dxa"/>
              <w:end w:w="130" w:type="dxa"/>
            </w:tcMar>
            <w:shd w:fill="EAF1F5"/>
          </w:tcPr>
          <w:p>
            <w:pPr>
              <w:widowControl/>
              <w:spacing w:before="0" w:after="0"/>
            </w:pPr>
            <w:r>
              <w:rPr>
                <w:sz w:val="17"/>
              </w:rPr>
              <w:t>Codificação primária por Claude e revisão independente por Luna concluídas. Universo de revisão: 43 relações. Adjudicação final do pesquisador pendente.</w:t>
            </w:r>
          </w:p>
        </w:tc>
      </w:tr>
    </w:tbl>
    <w:p>
      <w:pPr>
        <w:widowControl/>
      </w:pPr>
      <w:r>
        <w:rPr>
          <w:i w:val="0"/>
        </w:rPr>
      </w:r>
      <w:r>
        <w:rPr>
          <w:i w:val="0"/>
        </w:rPr>
      </w:r>
      <w:r>
        <w:t>Esta nota apresenta a formulação preliminar de um exercício destinado a testar a viabilidade de converter atos normativos da União Europeia em dados estruturados sobre relações regulatórias, com foco em regulatory intermediation. A versão atual incorpora duas etapas concluídas: a codificação substantiva primária por Claude e a revisão crítica independente por Luna. Claude propôs 39 relações; Luna revisou integralmente essas propostas, acrescentou quatro relações omitidas e produziu um universo de revisão com 43 linhas. Os resultados permanecem provisórios até a adjudicação do pesquisador.</w:t>
      </w:r>
    </w:p>
    <w:p>
      <w:pPr>
        <w:pStyle w:val="Heading1"/>
        <w:widowControl/>
      </w:pPr>
      <w:r>
        <w:rPr>
          <w:i w:val="0"/>
        </w:rPr>
        <w:t>1. Objetivo do exercício</w:t>
      </w:r>
    </w:p>
    <w:p>
      <w:pPr>
        <w:widowControl/>
      </w:pPr>
      <w:r>
        <w:rPr>
          <w:i w:val="0"/>
        </w:rPr>
        <w:t>O exercício investiga se é possível reconstruir, de forma sistemática, auditável e posteriormente escalável, relações regulatórias contidas em legislação europeia e convertê-las em observações estruturadas. O foco não recai sobre a simples identificação de organizações citadas no texto normativo, mas sobre a arquitetura relacional Regulator–Intermediary–Target (R–I–T): quem exerce uma função regulatória, por meio de quem, sobre qual target, mediante qual mecanismo e com qual evidência 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O propósito não é identificar atores que possam ser classificados genericamente como “intermediários”, mas reconstruir relações regulatórias nas quais um ator desempenha uma função mediadora entre um regulador e um target.</w:t>
            </w:r>
          </w:p>
        </w:tc>
      </w:tr>
    </w:tbl>
    <w:p>
      <w:pPr>
        <w:widowControl/>
      </w:pPr>
      <w:r>
        <w:rPr>
          <w:i w:val="0"/>
        </w:rPr>
        <w:t>O produto imediato é um proof of concept composto por três atos regulatórios associados à transição verde da União Europeia, uma matriz de relações codificadas e uma avaliação inicial da utilidade de LLMs como instrumentos de leitura e codificação substantiva. A ambição, nesta etapa, é metodológica: demonstrar que a passagem de texto jurídico para dados relacionais pode ser executada com regras explícitas, evidência rastreável e adjudicação do pesquisador.</w:t>
      </w:r>
    </w:p>
    <w:p>
      <w:pPr>
        <w:pStyle w:val="Heading1"/>
        <w:widowControl/>
      </w:pPr>
      <w:r>
        <w:rPr>
          <w:i w:val="0"/>
        </w:rPr>
        <w:t>2. Problema conceitual: de atores para relações</w:t>
      </w:r>
    </w:p>
    <w:p>
      <w:pPr>
        <w:widowControl/>
      </w:pPr>
      <w:r>
        <w:rPr>
          <w:i w:val="0"/>
        </w:rPr>
        <w:t>R, I e T são tratados como papéis relacionais, não como atributos permanentes de atores. A mesma organização pode atuar como regulator em uma relação, intermediary em outra e target em uma terceira. Por isso, a unidade analítica não é uma lista de instituições previamente classificadas, mas uma relação regulatória sustentada por evidência documental.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8364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7"/>
              </w:rPr>
              <w:t>NÃO É SUFICIENTE</w:t>
            </w:r>
          </w:p>
        </w:tc>
        <w:tc>
          <w:tcPr>
            <w:tcW w:type="dxa" w:w="4986"/>
            <w:shd w:fill="18364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7"/>
              </w:rPr>
              <w:t>É NECESSÁRIO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Palavra-chave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Relação regulatória reconstruída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Menção a um ator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Função regulatória identificável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Presença de um terceiro ator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Função mediadora demonstrável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Relatório ou informação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Papel do fluxo informacional na relação R–T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Advice / assistance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t>Contribuição integrada à operação regulatória</w:t>
            </w:r>
          </w:p>
        </w:tc>
      </w:tr>
    </w:tbl>
    <w:p>
      <w:pPr>
        <w:widowControl/>
        <w:spacing w:before="100" w:after="40"/>
      </w:pPr>
      <w:r>
        <w:rPr>
          <w:b/>
          <w:color w:val="2F6B8A"/>
        </w:rPr>
        <w:t>Quatro regras operacionais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Keyword ≠ regulatory relationship   ·   Actor mention ≠ intermediary   ·   Advice/assistance ≠ automatically intermediation   ·   Object ≠ target</w:t>
            </w:r>
          </w:p>
        </w:tc>
      </w:tr>
    </w:tbl>
    <w:p>
      <w:pPr>
        <w:widowControl/>
      </w:pPr>
      <w:r>
        <w:rPr>
          <w:i w:val="0"/>
        </w:rPr>
        <w:t>Essas distinções reduzem dois riscos centrais: overcoding — classificar como intermediação qualquer participação institucional — e role confusion — confundir o objeto material da obrigação com o target regulado. O teste decisivo é funcional: o ator intermediário precisa desempenhar uma função institucionalmente integrada à operação da relação entre R e T.</w:t>
      </w:r>
    </w:p>
    <w:p>
      <w:pPr>
        <w:pStyle w:val="Heading1"/>
        <w:widowControl/>
      </w:pPr>
      <w:r>
        <w:rPr>
          <w:i w:val="0"/>
        </w:rPr>
        <w:t>3. O que o piloto metodológico já ensinou</w:t>
      </w:r>
    </w:p>
    <w:p>
      <w:pPr>
        <w:widowControl/>
      </w:pPr>
      <w:r>
        <w:rPr>
          <w:i w:val="0"/>
        </w:rPr>
        <w:t>A fase inicial foi deliberadamente intensiva em calibração. Foram combinadas codificações independentes, diferentes famílias de LLM, comparação estruturada e adjudicação de divergências. Esse desenho não foi concebido como workflow permanente, mas como mecanismo para revelar onde se concentram os problemas de confiabilidade antes da produção rotineira.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1. </w:t>
      </w:r>
      <w:r>
        <w:t>Screening lexical é útil para ampliar recall e localizar candidatos, mas não substitui interpretação substantiva da relação regulatória.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2. </w:t>
      </w:r>
      <w:r>
        <w:t>A unidade jurídica precisa ser contextual: regulator, intermediary e target podem estar distribuídos entre caput, parágrafos, anexos e referências internas.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3. </w:t>
      </w:r>
      <w:r>
        <w:t>A concordância tende a ser maior nos casos negativos; as divergências relevantes concentram-se justamente nas fronteiras teoricamente interessantes da intermediação.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4. </w:t>
      </w:r>
      <w:r>
        <w:t>A fronteira entre informação, advice, assistance e regulatory intermediation mostrou-se um dos pontos conceituais mais sensíveis.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5. </w:t>
      </w:r>
      <w:r>
        <w:t>A arquitetura experimental inicial mostrou-se excessivamente complexa para uso rotineiro, justificando um workflow de produção mais simples sem abandonar os safeguards substantivos.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O piloto cumpriu uma função de calibração. A fase de produção foi simplificada, mas preserva leitura integral, revisão crítica, evidência textual e adjudicação final do pesquisador.</w:t>
            </w:r>
          </w:p>
        </w:tc>
      </w:tr>
    </w:tbl>
    <w:p>
      <w:pPr>
        <w:pStyle w:val="Heading1"/>
        <w:widowControl/>
      </w:pPr>
      <w:r>
        <w:rPr>
          <w:i w:val="0"/>
        </w:rPr>
        <w:t>4. Workflow simplificado de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18364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FFFFFF"/>
                <w:sz w:val="17"/>
              </w:rPr>
              <w:t>ATO OFICIAL EUR-LEX</w:t>
            </w:r>
          </w:p>
        </w:tc>
      </w:tr>
      <w:tr>
        <w:tc>
          <w:tcPr>
            <w:tcW w:type="dxa" w:w="9972"/>
            <w:shd w:fill="EAF1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1E2529"/>
                <w:sz w:val="17"/>
              </w:rPr>
              <w:t>↓  Corpus congelado</w:t>
            </w:r>
          </w:p>
        </w:tc>
      </w:tr>
      <w:tr>
        <w:tc>
          <w:tcPr>
            <w:tcW w:type="dxa" w:w="9972"/>
            <w:shd w:fill="D8E4E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1E2529"/>
                <w:sz w:val="17"/>
              </w:rPr>
              <w:t>CLAUDE  ·  leitura integral + proposta de codificação</w:t>
            </w:r>
          </w:p>
        </w:tc>
      </w:tr>
      <w:tr>
        <w:tc>
          <w:tcPr>
            <w:tcW w:type="dxa" w:w="9972"/>
            <w:shd w:fill="EAF1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1E2529"/>
                <w:sz w:val="17"/>
              </w:rPr>
              <w:t>LUNA  ·  revisão crítica + estruturação do dataset</w:t>
            </w:r>
          </w:p>
        </w:tc>
      </w:tr>
      <w:tr>
        <w:tc>
          <w:tcPr>
            <w:tcW w:type="dxa" w:w="9972"/>
            <w:shd w:fill="D8E4E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1E2529"/>
                <w:sz w:val="17"/>
              </w:rPr>
              <w:t>PESQUISADOR  ·  adjudicação final</w:t>
            </w:r>
          </w:p>
        </w:tc>
      </w:tr>
      <w:tr>
        <w:tc>
          <w:tcPr>
            <w:tcW w:type="dxa" w:w="9972"/>
            <w:shd w:fill="18364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widowControl/>
              <w:spacing w:after="0" w:before="0"/>
              <w:jc w:val="center"/>
            </w:pPr>
            <w:r>
              <w:rPr>
                <w:b/>
                <w:color w:val="FFFFFF"/>
                <w:sz w:val="17"/>
              </w:rPr>
              <w:t>CSV FINAL</w:t>
            </w:r>
          </w:p>
        </w:tc>
      </w:tr>
    </w:tbl>
    <w:p>
      <w:pPr>
        <w:pStyle w:val="Heading2"/>
        <w:widowControl/>
      </w:pPr>
      <w:r>
        <w:rPr>
          <w:i w:val="0"/>
        </w:rPr>
        <w:t>4.1 Claude — codificador substantivo primário</w:t>
      </w:r>
    </w:p>
    <w:p>
      <w:pPr>
        <w:widowControl/>
      </w:pPr>
      <w:r>
        <w:rPr>
          <w:i w:val="0"/>
        </w:rPr>
      </w:r>
      <w:r>
        <w:rPr>
          <w:i w:val="0"/>
        </w:rPr>
        <w:t>A etapa de codificação substantiva primária foi concluída. Claude realizou a leitura integral dos três corpora congelados e produziu propostas estruturadas de relações regulatórias, registrando regulator (R), intermediary (I), target (T), ação, objeto, função mediadora, mecanismo, evidência, tipo da relação e nível de confiança. O resultado consolidado contém 39 relações propostas: 7 na European Climate Law, 22 no CBAM e 10 no EUDR.</w:t>
      </w:r>
    </w:p>
    <w:p>
      <w:pPr>
        <w:pStyle w:val="Heading2"/>
        <w:widowControl/>
      </w:pPr>
      <w:r>
        <w:t>4.1.1 Resultado da codificação primária</w:t>
      </w:r>
    </w:p>
    <w:p>
      <w:pPr>
        <w:widowControl/>
      </w:pPr>
      <w:r>
        <w:t>A classificação primária de Claude distribuiu as 39 relações entre 9 propostas intermediated, 25 direct e 5 uncertain. A distribuição abaixo descreve apenas a primeira codificação e não substitui a revisão independente nem a decisão do pesquisador.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836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1994"/>
            <w:shd w:fill="1836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Total</w:t>
            </w:r>
          </w:p>
        </w:tc>
        <w:tc>
          <w:tcPr>
            <w:tcW w:type="dxa" w:w="1994"/>
            <w:shd w:fill="1836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Intermediated</w:t>
            </w:r>
          </w:p>
        </w:tc>
        <w:tc>
          <w:tcPr>
            <w:tcW w:type="dxa" w:w="1994"/>
            <w:shd w:fill="1836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Direct</w:t>
            </w:r>
          </w:p>
        </w:tc>
        <w:tc>
          <w:tcPr>
            <w:tcW w:type="dxa" w:w="1994"/>
            <w:shd w:fill="18364A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Uncertain</w:t>
            </w:r>
          </w:p>
        </w:tc>
      </w:tr>
      <w:tr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Climate Law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CBAM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EUDR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39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1994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5</w:t>
            </w:r>
          </w:p>
        </w:tc>
      </w:tr>
    </w:tbl>
    <w:p>
      <w:pPr>
        <w:pStyle w:val="Heading2"/>
        <w:widowControl/>
      </w:pPr>
      <w:r>
        <w:t>4.1.2 Salvaguarda de independência e proveniência</w:t>
      </w:r>
    </w:p>
    <w:p>
      <w:pPr>
        <w:widowControl/>
      </w:pPr>
      <w:r>
        <w:t>A avaliação da etapa identificou uma ressalva de proveniência no Case 01. Os subagentes responsáveis pela codificação foram executados sem memória do piloto anterior, o que preserva a autonomia dos outputs primários. Entretanto, o resumo da sessão orquestradora registrou que a relação case_01-rel-003 estava em “desacordo aberto” com uma adjudicação anterior. Isso indica uso de conhecimento histórico na camada de consolidação, ainda que não demonstre contaminação da codificação dos subagentes.</w:t>
      </w:r>
    </w:p>
    <w:p>
      <w:pPr>
        <w:widowControl/>
      </w:pPr>
      <w:r>
        <w:t>Como salvaguarda, os JSONs produzidos pelos três subagentes devem ser preservados como outputs primários. Comentários da sessão orquestradora que comparem as novas propostas com o piloto anterior serão tratados apenas como metadados de revisão e não como fundamento da classificação. A revisão por Luna deverá decidir exclusivamente a partir do corpus congelado e do codebook vigente.</w:t>
      </w:r>
    </w:p>
    <w:p>
      <w:pPr>
        <w:pStyle w:val="Heading2"/>
        <w:widowControl/>
      </w:pPr>
      <w:r>
        <w:rPr>
          <w:i w:val="0"/>
        </w:rPr>
        <w:t>4.2 Luna — revisor secundário e estruturador</w:t>
      </w:r>
    </w:p>
    <w:p>
      <w:pPr>
        <w:widowControl/>
      </w:pPr>
      <w:r>
        <w:rPr>
          <w:i w:val="0"/>
        </w:rPr>
      </w:r>
      <w:r>
        <w:rPr>
          <w:i w:val="0"/>
        </w:rPr>
      </w:r>
      <w:r>
        <w:t>A revisão secundária independente por Luna foi concluída. O revisor releu os três corpora, auditou as 39 propostas de Claude e realizou uma busca dirigida por omissões. O resultado demonstra revisão substantiva, e não mera normalização: 27 propostas foram ACCEPT, 6 REVISE, 5 QUESTION e 1 REJECT; Luna acrescentou ainda 4 ADD_MISSING_RELATION. O universo de revisão passou, assim, de 39 para 43 linhas. O piloto anterior não foi tratado como ground truth para decidir as classificações atuais.</w:t>
      </w:r>
    </w:p>
    <w:p>
      <w:pPr>
        <w:pStyle w:val="Heading2"/>
        <w:widowControl/>
      </w:pPr>
      <w:r>
        <w:t>4.2.1 Resultado da revisão secundária</w:t>
      </w:r>
    </w:p>
    <w:p>
      <w:pPr>
        <w:widowControl/>
      </w:pPr>
      <w:r>
        <w:t>A distribuição substantiva provisória após a revisão de Luna é de 8 relações intermediated, 27 direct, 7 uncertain e 1 not_supported. Entre os 39 registros originalmente propostos por Claude, os dois modelos mantiveram o mesmo relation_type em 32 casos (aproximadamente 82%). Seis relações foram classificadas como intermediated por ambos. Esses números são indicadores descritivos de concordância substantiva; não constituem, por si, estimativa de confiabilidade ou validação do construto.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8364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Status de revisão Luna</w:t>
            </w:r>
          </w:p>
        </w:tc>
        <w:tc>
          <w:tcPr>
            <w:tcW w:type="dxa" w:w="4986"/>
            <w:shd w:fill="18364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N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ACCEPT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27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REVISE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6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QUESTION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REJECT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ADD_MISSING_RELATION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Total no universo de revisão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43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8364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Relation type provisório após Luna</w:t>
            </w:r>
          </w:p>
        </w:tc>
        <w:tc>
          <w:tcPr>
            <w:tcW w:type="dxa" w:w="4986"/>
            <w:shd w:fill="18364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N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Intermediated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Direct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27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Uncertain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7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Not supported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type="dxa" w:w="4986"/>
            <w:tcMar>
              <w:top w:w="50" w:type="dxa"/>
              <w:start w:w="60" w:type="dxa"/>
              <w:bottom w:w="50" w:type="dxa"/>
              <w:end w:w="60" w:type="dxa"/>
            </w:tcMar>
            <w:tcBorders>
              <w:bottom w:val="single" w:sz="3" w:color="D8E4EA"/>
            </w:tcBorders>
            <w:shd w:fill="EAF1F5"/>
          </w:tcPr>
          <w:p>
            <w:pPr>
              <w:widowControl/>
              <w:spacing w:before="0" w:after="0"/>
            </w:pPr>
            <w:r>
              <w:rPr>
                <w:b/>
                <w:sz w:val="15"/>
              </w:rPr>
              <w:t>43</w:t>
            </w:r>
          </w:p>
        </w:tc>
      </w:tr>
    </w:tbl>
    <w:p>
      <w:pPr>
        <w:widowControl/>
      </w:pPr>
      <w:r>
        <w:t>O padrão de concordância é substantivamente informativo porque há um núcleo de casos positivos mantido por duas leituras e, simultaneamente, divergências concentradas em fronteiras teóricas relevantes. A revisão, portanto, reduziu a incerteza em parte do corpus sem eliminá-la artificialmente.</w:t>
      </w:r>
    </w:p>
    <w:p>
      <w:pPr>
        <w:pStyle w:val="Heading2"/>
        <w:widowControl/>
      </w:pPr>
      <w:r>
        <w:rPr>
          <w:i w:val="0"/>
        </w:rPr>
        <w:t>4.3 Pesquisador — adjudicação</w:t>
      </w:r>
    </w:p>
    <w:p>
      <w:pPr>
        <w:widowControl/>
      </w:pPr>
      <w:r>
        <w:rPr>
          <w:i w:val="0"/>
        </w:rPr>
      </w:r>
      <w:r>
        <w:t>A autoridade final permanece humana. Nenhuma camada adicional de agentes é prevista antes da adjudicação. O pesquisador deverá concentrar a revisão integral nos 8 casos classificados por Luna como intermediated e nos 7 uncertain; em seguida, revisar rapidamente os 4 ADD_MISSING_RELATION, o único REJECT e as REVISE que alteraram R, I, T ou relation_type. Registros ACCEPT + direct + high confidence podem ser aprovados em bloco após auditoria amostral. A formulação operacional permanece: the LLM proposes; the researcher remains responsible for the final coding.</w:t>
      </w:r>
    </w:p>
    <w:p>
      <w:pPr>
        <w:pStyle w:val="Heading1"/>
        <w:widowControl/>
      </w:pPr>
      <w:r>
        <w:rPr>
          <w:i w:val="0"/>
        </w:rPr>
        <w:t>5. Casos selecionados</w:t>
      </w:r>
    </w:p>
    <w:p>
      <w:pPr>
        <w:widowControl/>
      </w:pPr>
      <w:r>
        <w:rPr>
          <w:i w:val="0"/>
        </w:rPr>
        <w:t>Os três casos foram selecionados prospectivamente por relevância para a transição verde, diversidade institucional e viabilidade de leitura integral. A seleção não utilizou resultados R–I–T, quantidade de keywords ou conhecimento prévio da existência de intermediários, evitando selecionar o universo pelo próprio fenômeno que se pretende observar.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CELEX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Regulação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5"/>
              </w:rPr>
              <w:t>Arquitetura regulatória geral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32021R1119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European Climate Law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Governança climática, assessment, monitoring e scientific inputs.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32023R0956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Carbon Border Adjustment Mechanism (CBAM)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Importação, emissões, certificados, verification, customs e compliance.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32023R1115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Deforestation-Free Products Regulation (EUDR)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sz w:val="15"/>
              </w:rPr>
              <w:t>Due diligence, rastreabilidade, informação, checks e supply-chain governance.</w:t>
            </w:r>
          </w:p>
        </w:tc>
      </w:tr>
    </w:tbl>
    <w:p>
      <w:pPr>
        <w:pStyle w:val="Heading1"/>
        <w:widowControl/>
      </w:pPr>
      <w:r>
        <w:rPr>
          <w:i w:val="0"/>
        </w:rPr>
        <w:t>6. Protocolo de codificação</w:t>
      </w:r>
    </w:p>
    <w:p>
      <w:pPr>
        <w:pStyle w:val="Heading2"/>
        <w:widowControl/>
      </w:pPr>
      <w:r>
        <w:rPr>
          <w:i w:val="0"/>
        </w:rPr>
        <w:t>6.1 Unidade de análise</w:t>
      </w:r>
    </w:p>
    <w:p>
      <w:pPr>
        <w:widowControl/>
      </w:pPr>
      <w:r>
        <w:rPr>
          <w:i w:val="0"/>
        </w:rPr>
        <w:t>A unidade é uma relação regulatória apoiada por evidência textual. Uma relação pode exigir leitura contextual de mais de uma disposição, desde que sua reconstrução permaneça vinculada ao corpus e seja auditável.</w:t>
      </w:r>
    </w:p>
    <w:p>
      <w:pPr>
        <w:pStyle w:val="Heading2"/>
        <w:widowControl/>
      </w:pPr>
      <w:r>
        <w:rPr>
          <w:i w:val="0"/>
        </w:rPr>
        <w:t>6.2 Tipos de relação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intermediated — relação R–I–T com função mediadora demonstrável;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direct — relação R–T sem intermediário identificado;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uncertain — arquitetura regulatória plausível, mas um elemento essencial permanece indeterminado;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not supported — não há relação regulatória sustentada pela evidência disponível.</w:t>
      </w:r>
    </w:p>
    <w:p>
      <w:pPr>
        <w:pStyle w:val="Heading2"/>
        <w:widowControl/>
      </w:pPr>
      <w:r>
        <w:rPr>
          <w:i w:val="0"/>
        </w:rPr>
        <w:t>6.3 Regra de evidência</w:t>
      </w:r>
    </w:p>
    <w:p>
      <w:pPr>
        <w:widowControl/>
      </w:pPr>
      <w:r>
        <w:rPr>
          <w:i w:val="0"/>
        </w:rPr>
        <w:t>A interpretação é source-bounded. São admitidos o texto do ato, seu contexto hierárquico e referências internas reproduzidas no corpus. Informação externa pode ser usada em etapas posteriores de interpretação teórica, mas não é importada silenciosamente para preencher a codificação primária.</w:t>
      </w:r>
    </w:p>
    <w:p>
      <w:pPr>
        <w:pStyle w:val="Heading2"/>
        <w:widowControl/>
      </w:pPr>
      <w:r>
        <w:rPr>
          <w:i w:val="0"/>
        </w:rPr>
        <w:t>6.4 Critério de intermediação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Um ator pode ser intermediary sem possuir autoridade coercitiva própria sobre T, desde que desempenhe uma função institucionalmente integrada à operação da relação regulatória R–T. Mera consulta, aconselhamento, expertise ou fornecimento genérico de informação, por si sós, não bastam.</w:t>
            </w:r>
          </w:p>
        </w:tc>
      </w:tr>
    </w:tbl>
    <w:p>
      <w:pPr>
        <w:pStyle w:val="Heading1"/>
        <w:widowControl/>
      </w:pPr>
      <w:r>
        <w:rPr>
          <w:i w:val="0"/>
        </w:rPr>
        <w:t>7. Resultados preliminares dos três casos</w:t>
      </w:r>
    </w:p>
    <w:p>
      <w:pPr>
        <w:widowControl/>
      </w:pPr>
      <w:r>
        <w:rPr>
          <w:i w:val="0"/>
        </w:rPr>
      </w:r>
      <w:r>
        <w:rPr>
          <w:i w:val="0"/>
        </w:rPr>
      </w:r>
      <w:r>
        <w:t>Com a revisão secundária concluída, o exercício passa de uma lista primária de 39 relações para um universo de revisão de 43 linhas. Luna acrescentou quatro relações omitidas e alterou a interpretação substantiva de parte dos registros, demonstrando que a segunda leitura funcionou como instância crítica efetiva. As categorias abaixo continuam provisórias: apenas a adjudicação do pesquisador produzirá o dataset empírico final.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FF4E9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C56A2B"/>
                <w:sz w:val="16"/>
              </w:rPr>
              <w:t>STATUS DOS RESULTADOS — revisão Luna concluída; 43 relações no universo de revisão. Contagens ainda não adjudicadas pelo pesquisador.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Caso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Claude: relações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Claude: intermediated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Claude: direct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Claude: uncertain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4"/>
              </w:rPr>
              <w:t>Etapa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Climate Law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Revisto por Luna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CBAM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Revisto por Luna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EUDR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 w:val="0"/>
                <w:sz w:val="14"/>
              </w:rPr>
              <w:t>Revisto por Luna</w:t>
            </w:r>
          </w:p>
        </w:tc>
      </w:tr>
      <w:tr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39</w:t>
            </w:r>
          </w:p>
        </w:tc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25</w:t>
            </w:r>
          </w:p>
        </w:tc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662"/>
            <w:shd w:fill="EAF1F5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pPr>
              <w:widowControl/>
              <w:spacing w:before="0" w:after="0"/>
            </w:pPr>
            <w:r>
              <w:rPr>
                <w:b/>
                <w:sz w:val="14"/>
              </w:rPr>
              <w:t>+4 relações Luna</w:t>
            </w:r>
          </w:p>
        </w:tc>
      </w:tr>
    </w:tbl>
    <w:p>
      <w:pPr>
        <w:pStyle w:val="NoteSmall"/>
        <w:widowControl/>
      </w:pPr>
      <w:r/>
      <w:r>
        <w:t>A revisão de Luna elevou o universo para 43 relações e produziu a distribuição provisória 8 intermediated, 27 direct, 7 uncertain e 1 not_supported. O dado mais relevante não é a contagem bruta, mas a existência de um núcleo de seis relações classificadas como intermediated por ambos os codificadores, cercado por fronteiras conceituais específicas. A maior densidade de relações no CBAM não deve ser interpretada como medida diretamente comparável de “quantidade de intermediação”, pois os atos diferem em extensão e desenho institucional.</w:t>
      </w:r>
    </w:p>
    <w:p>
      <w:pPr>
        <w:pStyle w:val="NoteSmall"/>
        <w:widowControl/>
      </w:pPr>
      <w:r>
        <w:rPr>
          <w:i w:val="0"/>
        </w:rPr>
      </w:r>
      <w:r>
        <w:t>As contagens não serão tratadas como medidas diretamente comparáveis da “quantidade de intermediação”. Os atos diferem em extensão, densidade normativa e desenho institucional. Além disso, a concordância Claude–Luna é um sinal útil de estabilidade local, mas não substitui a adjudicação conceitual nem deve ser apresentada como coeficiente formal de confiabilidade.</w:t>
      </w:r>
    </w:p>
    <w:p>
      <w:pPr>
        <w:pStyle w:val="Heading2"/>
        <w:widowControl/>
      </w:pPr>
      <w:r>
        <w:rPr>
          <w:i w:val="0"/>
        </w:rPr>
        <w:t>7.1 Relações representativas</w:t>
      </w:r>
    </w:p>
    <w:p>
      <w:pPr>
        <w:widowControl/>
      </w:pPr>
      <w:r>
        <w:t>A revisão identificou um núcleo de seis relações classificadas como intermediated por Claude e Luna. Elas constituem os primeiros candidatos a exemplos representativos, mas permanecem sujeitas à decisão do pesquisador: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Climate Law, Article 8(4): Commission → EEA → Member States. Luna entendeu que a EEA possui dever jurídico específico de assistência na preparação das avaliações usadas pela Commission para supervisionar Member States.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CBAM: duas relações envolvendo accredited verifier, incluindo verificação de authorised CBAM declarant e de third-country installation operator. Ambos os modelos as trataram como casos fortes de verification integrada ao compliance.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CBAM, Article 9(2): independent certifier. Claude e Luna mantiveram a classificação intermediated, embora Luna tenha revisado a descrição da ação.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EUDR, Article 26: competent authorities → customs authorities → operators/traders. Ambos mantiveram intermediated; a função envolve implementação de consequências de fronteira ligadas à avaliação de compliance.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EUDR: persons submitting substantiated concerns. Ambos mantiveram intermediated, mas este permanece conceitualmente delicado porque exige decidir se o acionamento institucionalizado do enforcement é suficiente para configurar intermediação.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AF4EE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2E6F4E"/>
                <w:sz w:val="16"/>
              </w:rPr>
              <w:t>A PREENCHER APÓS ADJUDICAÇÃO — substituir esta síntese por 3–6 relações finais com R, I, T, função mediadora, mecanismo, localização e evidência textual extraídos do dataset adjudicado.</w:t>
            </w:r>
          </w:p>
        </w:tc>
      </w:tr>
    </w:tbl>
    <w:p>
      <w:pPr>
        <w:pStyle w:val="Heading2"/>
        <w:widowControl/>
      </w:pPr>
      <w:r>
        <w:t>7.2 Divergências substantivas que exigem adjudicação</w:t>
      </w:r>
    </w:p>
    <w:p>
      <w:pPr>
        <w:widowControl/>
      </w:pPr>
      <w:r>
        <w:t>A segunda leitura tornou visíveis quatro fronteiras particularmente importantes. Elas não devem ser resolvidas por maioria entre modelos, pois implicam decisões ontológicas sobre o próprio construto de regulatory intermediation.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CBAM — customs information chains: duas propostas que Claude classificou como intermediated foram rebaixadas por Luna para uncertain. A questão é distinguir intermediary de data conduit ou co-regulator paralelo.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EUDR — Commission information system, Article 33: Claude classificou como intermediated; Luna rebaixou para uncertain. O caso expõe o problema de tratar infraestrutura tecnológica como ator intermediário. Mantido o critério atual de que I deve ser ator ou classe de atores, a tendência é excluir o sistema como I.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CBAM — Articles 15 e 35: Luna elevou duas relações originalmente direct para intermediated, interpretando a competent authority como elo de um enforcement handoff sequencial entre Commission e target. A decisão exige distinguir intermediary de divisão vertical de competências entre co-regulators.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EUDR — substantiated concerns: a classificação positiva depende de decidir se um terceiro que formalmente aciona assessment e follow-up de enforcement desempenha função mediadora ou apenas exerce um canal episódico de participação/denúncia.</w:t>
      </w:r>
    </w:p>
    <w:p>
      <w:pPr>
        <w:pStyle w:val="Heading1"/>
        <w:widowControl/>
      </w:pPr>
      <w:r>
        <w:rPr>
          <w:i w:val="0"/>
        </w:rPr>
        <w:t>8. Questão substantiva emergente: information and assistance as regulatory intermediation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When does informational, scientific, advisory, verification or implementation assistance become regulatory intermediation?</w:t>
            </w:r>
          </w:p>
        </w:tc>
      </w:tr>
    </w:tbl>
    <w:p>
      <w:pPr>
        <w:widowControl/>
      </w:pPr>
      <w:r>
        <w:rPr>
          <w:i w:val="0"/>
        </w:rPr>
        <w:t>O piloto sugere que uma das fronteiras mais relevantes não é computacional, mas teórica. A legislação regulatória mobiliza inúmeros atores que produzem conhecimento, aconselham, reportam, verificam, certificam, monitoram ou apoiam a implementação. Nem toda participação desse tipo constitui regulatory intermediation. O desafio é identificar quando o fluxo de informação ou assistência deixa de ser apenas input contextual e passa a integrar funcionalmente a relação entre regulator e target.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background knowledge</w:t>
            </w:r>
          </w:p>
        </w:tc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scientific advice</w:t>
            </w:r>
          </w:p>
        </w:tc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institutional information input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mandatory reporting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verification / certification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 w:val="0"/>
                <w:color w:val="1E2529"/>
                <w:sz w:val="13"/>
              </w:rPr>
              <w:t>delegated monitoring</w:t>
            </w:r>
          </w:p>
        </w:tc>
        <w:tc>
          <w:tcPr>
            <w:tcW w:type="dxa" w:w="1425"/>
            <w:shd w:fill="18364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FFFFFF"/>
                <w:sz w:val="13"/>
              </w:rPr>
              <w:t>regulatory intermediation</w:t>
            </w:r>
          </w:p>
        </w:tc>
      </w:tr>
    </w:tbl>
    <w:p>
      <w:pPr>
        <w:widowControl/>
      </w:pPr>
      <w:r>
        <w:rPr>
          <w:i w:val="0"/>
        </w:rPr>
        <w:t>Esse continuum é apenas heurístico. A codificação não presume que exista uma fronteira lexical automática nem que toda função situada “mais à direita” seja necessariamente intermediação. A decisão depende da inserção institucional da função no mecanismo regulatório específico. Esta questão deverá ser retomada após os casos concretos permitirem observar padrões recorrentes.</w:t>
      </w:r>
    </w:p>
    <w:p>
      <w:pPr>
        <w:pStyle w:val="Heading2"/>
        <w:widowControl/>
      </w:pPr>
      <w:r/>
      <w:r>
        <w:t>8.1 Fronteiras prioritárias para a adjudicação</w:t>
      </w:r>
    </w:p>
    <w:p>
      <w:pPr>
        <w:widowControl/>
      </w:pPr>
      <w:r/>
      <w:r>
        <w:t>A revisão secundária confirmou que as fronteiras mais informativas do exercício não se concentram em termos lexicais, mas na arquitetura institucional. Três famílias devem orientar a adjudicação e eventual refinamento do codebook: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</w:r>
      <w:r/>
      <w:r>
        <w:t>• verifiers e certifiers no CBAM, que formam o conjunto empiricamente mais forte de candidatos a intermediários, com função de verification/certification juridicamente integrada ao compliance;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</w:r>
      <w:r/>
      <w:r>
        <w:t>• customs authorities e competent authorities no CBAM, cuja posição pode oscilar entre intermediary, implementador delegado e co-regulator conforme a estrutura de competências e o encadeamento do enforcement;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</w:r>
      <w:r/>
      <w:r>
        <w:t>• information systems, fluxos informacionais e substantiated concerns no EUDR, onde a ontologia do ator e o limiar entre informação institucionalizada e mediação regulatória precisam ser definidos com especial cuidado.</w:t>
      </w:r>
    </w:p>
    <w:p>
      <w:pPr>
        <w:pStyle w:val="Heading1"/>
        <w:widowControl/>
      </w:pPr>
      <w:r>
        <w:rPr>
          <w:i w:val="0"/>
        </w:rPr>
        <w:t>9. Produto entregue: dataset relacional</w:t>
      </w:r>
    </w:p>
    <w:p>
      <w:pPr>
        <w:widowControl/>
      </w:pPr>
      <w:r>
        <w:rPr>
          <w:i w:val="0"/>
        </w:rPr>
      </w:r>
      <w:r>
        <w:t>O CSV continua sendo o principal produto empírico do exercício; a nota técnica funciona como documentação sintética de sua lógica. Após a revisão Luna, o arquivo de trabalho contém 43 linhas e deve preservar, lado a lado, a proposta de Claude, a revisão de Luna e os campos ainda vazios de decisão do pesquisador. Somente a versão pós-adjudicação poderá ser denominada dataset final.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widowControl/>
              <w:spacing w:after="0" w:before="0"/>
            </w:pPr>
            <w:r>
              <w:rPr>
                <w:rFonts w:ascii="Aptos Mono" w:hAnsi="Aptos Mono"/>
                <w:color w:val="2F6B8A"/>
                <w:sz w:val="15"/>
              </w:rPr>
              <w:t>case · CELEX · location · evidence · R · I · T · action · object · mediating_function · mechanism · relation_type · confidence · researcher_decision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>
            <w:pPr>
              <w:widowControl/>
              <w:spacing w:before="0" w:after="0"/>
            </w:pPr>
          </w:p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widowControl/>
              <w:spacing w:after="0" w:before="0"/>
            </w:pPr>
            <w:r>
              <w:rPr>
                <w:i/>
                <w:color w:val="1E2529"/>
                <w:sz w:val="18"/>
              </w:rPr>
              <w:t>CSV = produto principal. Nota técnica = explicação necessária para interpretar o CSV.</w:t>
            </w:r>
          </w:p>
        </w:tc>
      </w:tr>
    </w:tbl>
    <w:p>
      <w:pPr>
        <w:pStyle w:val="Heading1"/>
        <w:widowControl/>
      </w:pPr>
      <w:r>
        <w:rPr>
          <w:i w:val="0"/>
        </w:rPr>
        <w:t>10. Limitações e próximo passo</w:t>
      </w:r>
    </w:p>
    <w:p>
      <w:pPr>
        <w:widowControl/>
      </w:pPr>
      <w:r>
        <w:rPr>
          <w:i w:val="0"/>
        </w:rPr>
      </w:r>
      <w:r>
        <w:rPr>
          <w:i w:val="0"/>
        </w:rPr>
      </w:r>
      <w:r>
        <w:t>O exercício é deliberadamente exploratório. Trabalha com três casos substantivos, não com uma amostra estatística; utiliza codificação assistida por LLM; e depende de definições operacionais ainda em estabilização. A revisão secundária aumentou a robustez do processo ao contestar classificações e recuperar omissões, mas a concordância entre modelos não equivale a verdade substantiva. A ressalva de proveniência identificada na consolidação do Case 01 continua relevante e reforça a necessidade de preservar outputs primários, revisão secundária e decisão humana como camadas separadas e auditáveis.</w:t>
      </w:r>
    </w:p>
    <w:p>
      <w:pPr>
        <w:widowControl/>
      </w:pPr>
      <w:r>
        <w:rPr>
          <w:i w:val="0"/>
        </w:rPr>
      </w:r>
      <w:r>
        <w:rPr>
          <w:i w:val="0"/>
        </w:rPr>
      </w:r>
      <w:r>
        <w:t>O próximo passo imediato é a adjudicação do pesquisador. A revisão pode ser hierarquizada: Tier 1 — revisão integral dos 8 intermediated e 7 uncertain; Tier 2 — revisão rápida dos 4 ADD_MISSING_RELATION, do único REJECT e das REVISE que alteraram R/I/T ou relation_type; Tier 3 — aprovação em bloco dos ACCEPT + direct + high confidence após pequena auditoria amostral. Concluída essa etapa, serão produzidos o REGULATORY_INTERMEDIARIES_3_CASES_FINAL.csv e a nota técnica final, com contagens adjudicadas, relações representativas e 2–3 achados substantivos.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AF4EE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widowControl/>
              <w:spacing w:before="0" w:after="0"/>
            </w:pPr>
            <w:r>
              <w:rPr>
                <w:b/>
                <w:color w:val="2E6F4E"/>
                <w:sz w:val="16"/>
              </w:rPr>
              <w:t>A PREENCHER APÓS ADJUDICAÇÃO DO PESQUISADOR — inserir contagens finais, 3–6 relações representativas com evidência, 2–3 achados substantivos e eventual ajuste do codebook. Esta será a última atualização antes da versão destinada ao professor David Levi-Faur.</w:t>
            </w:r>
          </w:p>
        </w:tc>
      </w:tr>
    </w:tbl>
    <w:p>
      <w:pPr>
        <w:widowControl/>
        <w:spacing w:before="200" w:after="0"/>
      </w:pPr>
      <w:r>
        <w:rPr>
          <w:b/>
          <w:color w:val="18364A"/>
        </w:rPr>
      </w:r>
      <w:r/>
      <w:r>
        <w:rPr>
          <w:b/>
          <w:color w:val="18364A"/>
        </w:rPr>
      </w:r>
      <w:r/>
      <w:r>
        <w:rPr>
          <w:b/>
          <w:color w:val="18364A"/>
        </w:rPr>
        <w:t xml:space="preserve">Nota de versão. </w:t>
      </w:r>
      <w:r>
        <w:t>Versão atualizada após conclusão e avaliação da revisão Luna. Registra o universo de 43 relações, os padrões de concordância e divergência Claude–Luna e a fila conceitual para adjudicação, mantendo explícita a distinção entre revisão secundária e dataset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B"/>
        <w:sz w:val="16"/>
      </w:rPr>
    </w:r>
    <w:r>
      <w:rPr>
        <w:color w:val="5A646B"/>
        <w:sz w:val="16"/>
      </w:rPr>
    </w:r>
    <w:r>
      <w:rPr>
        <w:color w:val="5A646B"/>
        <w:sz w:val="16"/>
      </w:rPr>
      <w:t>Versão preliminar v3 — revisão Luna concluída — 7 de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B"/>
        <w:sz w:val="16"/>
      </w:rPr>
      <w:t>PRJ — David Levi-Faur  |  Nota técnica preliminar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6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E25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A646B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mall">
    <w:name w:val="Note Small"/>
    <w:pPr>
      <w:spacing w:after="60"/>
    </w:pPr>
    <w:rPr>
      <w:rFonts w:ascii="Aptos" w:hAnsi="Aptos"/>
      <w:color w:val="5A64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Identificação de intermediários regulatórios na legislação europeia — versão preliminar v3</dc:title>
  <dc:subject>Atualização após revisão secundária Luna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