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76989" w14:textId="50F69FC3" w:rsidR="003902C2" w:rsidRPr="00BB24A5" w:rsidRDefault="00BB24A5" w:rsidP="00BB24A5">
      <w:pPr>
        <w:rPr>
          <w:rFonts w:asciiTheme="majorBidi" w:hAnsiTheme="majorBidi" w:cstheme="majorBidi"/>
          <w:b/>
          <w:bCs/>
          <w:sz w:val="28"/>
          <w:szCs w:val="28"/>
        </w:rPr>
      </w:pPr>
      <w:r w:rsidRPr="00BB24A5">
        <w:rPr>
          <w:rFonts w:asciiTheme="majorBidi" w:hAnsiTheme="majorBidi" w:cstheme="majorBidi"/>
          <w:b/>
          <w:bCs/>
          <w:sz w:val="28"/>
          <w:szCs w:val="28"/>
        </w:rPr>
        <w:t>Law and the Architectures of Governance</w:t>
      </w:r>
      <w:r w:rsidR="000D3435">
        <w:rPr>
          <w:rFonts w:asciiTheme="majorBidi" w:hAnsiTheme="majorBidi" w:cstheme="majorBidi"/>
          <w:b/>
          <w:bCs/>
          <w:sz w:val="28"/>
          <w:szCs w:val="28"/>
        </w:rPr>
        <w:t>:</w:t>
      </w:r>
    </w:p>
    <w:p w14:paraId="46D8A840" w14:textId="7A16BE8A" w:rsidR="003902C2" w:rsidRPr="000D3435" w:rsidRDefault="000D3435" w:rsidP="00BB24A5">
      <w:pPr>
        <w:rPr>
          <w:rFonts w:asciiTheme="majorBidi" w:hAnsiTheme="majorBidi" w:cstheme="majorBidi"/>
          <w:sz w:val="24"/>
          <w:szCs w:val="24"/>
        </w:rPr>
      </w:pPr>
      <w:r w:rsidRPr="000D3435">
        <w:rPr>
          <w:rFonts w:asciiTheme="majorBidi" w:hAnsiTheme="majorBidi" w:cstheme="majorBidi"/>
          <w:sz w:val="24"/>
          <w:szCs w:val="24"/>
        </w:rPr>
        <w:t>Towards Relational Leximetrics</w:t>
      </w:r>
      <w:r>
        <w:rPr>
          <w:rFonts w:asciiTheme="majorBidi" w:hAnsiTheme="majorBidi" w:cstheme="majorBidi"/>
          <w:sz w:val="24"/>
          <w:szCs w:val="24"/>
        </w:rPr>
        <w:t xml:space="preserve"> Approach</w:t>
      </w:r>
    </w:p>
    <w:p w14:paraId="3D70171C" w14:textId="77777777" w:rsidR="00E56F0F" w:rsidRDefault="00E56F0F" w:rsidP="00BB24A5">
      <w:pPr>
        <w:rPr>
          <w:rFonts w:asciiTheme="majorBidi" w:hAnsiTheme="majorBidi" w:cstheme="majorBidi"/>
          <w:sz w:val="24"/>
          <w:szCs w:val="24"/>
        </w:rPr>
      </w:pPr>
    </w:p>
    <w:p w14:paraId="00BB8648" w14:textId="7925F7A7" w:rsidR="003902C2" w:rsidRPr="00BB24A5" w:rsidRDefault="00BB24A5" w:rsidP="00BB24A5">
      <w:pPr>
        <w:rPr>
          <w:rFonts w:asciiTheme="majorBidi" w:hAnsiTheme="majorBidi" w:cstheme="majorBidi"/>
          <w:b/>
          <w:bCs/>
          <w:sz w:val="24"/>
          <w:szCs w:val="24"/>
        </w:rPr>
      </w:pPr>
      <w:r w:rsidRPr="00BB24A5">
        <w:rPr>
          <w:rFonts w:asciiTheme="majorBidi" w:hAnsiTheme="majorBidi" w:cstheme="majorBidi"/>
          <w:b/>
          <w:bCs/>
          <w:sz w:val="24"/>
          <w:szCs w:val="24"/>
        </w:rPr>
        <w:t>Abstract</w:t>
      </w:r>
    </w:p>
    <w:p w14:paraId="351B2244" w14:textId="365DBFDF" w:rsidR="003902C2" w:rsidRDefault="00BB24A5" w:rsidP="005219AB">
      <w:pPr>
        <w:spacing w:before="100" w:beforeAutospacing="1" w:afterAutospacing="1" w:line="276" w:lineRule="auto"/>
        <w:jc w:val="both"/>
        <w:rPr>
          <w:rFonts w:asciiTheme="majorBidi" w:hAnsiTheme="majorBidi" w:cstheme="majorBidi"/>
          <w:sz w:val="24"/>
          <w:szCs w:val="24"/>
        </w:rPr>
      </w:pPr>
      <w:r w:rsidRPr="00BB24A5">
        <w:rPr>
          <w:rFonts w:asciiTheme="majorBidi" w:hAnsiTheme="majorBidi" w:cstheme="majorBidi"/>
          <w:sz w:val="24"/>
          <w:szCs w:val="24"/>
        </w:rPr>
        <w:t xml:space="preserve">Law does more than prescribe, prohibit or permit conduct. It constitutes governance: defining objects of intervention, creating and recognizing actors, allocating functions and authority, structuring relationships, locating discretion, and establishing mechanisms of accountability. Yet comparative research has developed much stronger tools for measuring the content, stringency and scope of law than for identifying the governance architectures that laws construct. This paper develops </w:t>
      </w:r>
      <w:r w:rsidR="00E56F0F">
        <w:rPr>
          <w:rFonts w:asciiTheme="majorBidi" w:hAnsiTheme="majorBidi" w:cstheme="majorBidi"/>
          <w:sz w:val="24"/>
          <w:szCs w:val="24"/>
        </w:rPr>
        <w:t>a theory-oriented</w:t>
      </w:r>
      <w:r w:rsidRPr="00BB24A5">
        <w:rPr>
          <w:rFonts w:asciiTheme="majorBidi" w:hAnsiTheme="majorBidi" w:cstheme="majorBidi"/>
          <w:sz w:val="24"/>
          <w:szCs w:val="24"/>
        </w:rPr>
        <w:t xml:space="preserve"> framework for doing so. Drawing </w:t>
      </w:r>
      <w:r w:rsidR="00E56F0F">
        <w:rPr>
          <w:rFonts w:asciiTheme="majorBidi" w:hAnsiTheme="majorBidi" w:cstheme="majorBidi"/>
          <w:sz w:val="24"/>
          <w:szCs w:val="24"/>
        </w:rPr>
        <w:t xml:space="preserve">social sciences and the law </w:t>
      </w:r>
      <w:r w:rsidR="00E56F0F" w:rsidRPr="00BB24A5">
        <w:rPr>
          <w:rFonts w:asciiTheme="majorBidi" w:hAnsiTheme="majorBidi" w:cstheme="majorBidi"/>
          <w:sz w:val="24"/>
          <w:szCs w:val="24"/>
        </w:rPr>
        <w:t>scholarship</w:t>
      </w:r>
      <w:r w:rsidR="00E56F0F">
        <w:rPr>
          <w:rFonts w:asciiTheme="majorBidi" w:hAnsiTheme="majorBidi" w:cstheme="majorBidi"/>
          <w:sz w:val="24"/>
          <w:szCs w:val="24"/>
        </w:rPr>
        <w:t xml:space="preserve"> as well as on previous and ongoing efforts to code law</w:t>
      </w:r>
      <w:r w:rsidRPr="00BB24A5">
        <w:rPr>
          <w:rFonts w:asciiTheme="majorBidi" w:hAnsiTheme="majorBidi" w:cstheme="majorBidi"/>
          <w:sz w:val="24"/>
          <w:szCs w:val="24"/>
        </w:rPr>
        <w:t>, it identifies</w:t>
      </w:r>
      <w:r w:rsidR="00E56F0F">
        <w:rPr>
          <w:rFonts w:asciiTheme="majorBidi" w:hAnsiTheme="majorBidi" w:cstheme="majorBidi"/>
          <w:sz w:val="24"/>
          <w:szCs w:val="24"/>
        </w:rPr>
        <w:t xml:space="preserve"> </w:t>
      </w:r>
      <w:r w:rsidR="00854980">
        <w:rPr>
          <w:rFonts w:asciiTheme="majorBidi" w:hAnsiTheme="majorBidi" w:cstheme="majorBidi"/>
          <w:sz w:val="24"/>
          <w:szCs w:val="24"/>
        </w:rPr>
        <w:t>eight</w:t>
      </w:r>
      <w:r w:rsidRPr="00BB24A5">
        <w:rPr>
          <w:rFonts w:asciiTheme="majorBidi" w:hAnsiTheme="majorBidi" w:cstheme="majorBidi"/>
          <w:sz w:val="24"/>
          <w:szCs w:val="24"/>
        </w:rPr>
        <w:t xml:space="preserve"> foundational dimensions</w:t>
      </w:r>
      <w:r w:rsidR="00E56F0F">
        <w:rPr>
          <w:rFonts w:asciiTheme="majorBidi" w:hAnsiTheme="majorBidi" w:cstheme="majorBidi"/>
          <w:sz w:val="24"/>
          <w:szCs w:val="24"/>
        </w:rPr>
        <w:t xml:space="preserve">: </w:t>
      </w:r>
      <w:r w:rsidR="005219AB" w:rsidRPr="000D3435">
        <w:rPr>
          <w:rFonts w:ascii="Times New Roman" w:eastAsia="Times New Roman" w:hAnsi="Times New Roman" w:cs="Times New Roman"/>
          <w:b/>
          <w:bCs/>
          <w:sz w:val="24"/>
          <w:szCs w:val="24"/>
          <w:lang w:bidi="he-IL"/>
        </w:rPr>
        <w:t>Objects</w:t>
      </w:r>
      <w:r w:rsidR="005219AB" w:rsidRPr="000D3435">
        <w:rPr>
          <w:rFonts w:ascii="Times New Roman" w:eastAsia="Times New Roman" w:hAnsi="Times New Roman" w:cs="Times New Roman"/>
          <w:sz w:val="24"/>
          <w:szCs w:val="24"/>
          <w:lang w:bidi="he-IL"/>
        </w:rPr>
        <w:t xml:space="preserve"> as the entities, behaviors, processes, relationships,</w:t>
      </w:r>
      <w:r w:rsidR="005219AB">
        <w:rPr>
          <w:rFonts w:ascii="Times New Roman" w:eastAsia="Times New Roman" w:hAnsi="Times New Roman" w:cs="Times New Roman"/>
          <w:sz w:val="24"/>
          <w:szCs w:val="24"/>
          <w:lang w:bidi="he-IL"/>
        </w:rPr>
        <w:t xml:space="preserve"> content</w:t>
      </w:r>
      <w:r w:rsidR="005219AB" w:rsidRPr="000D3435">
        <w:rPr>
          <w:rFonts w:ascii="Times New Roman" w:eastAsia="Times New Roman" w:hAnsi="Times New Roman" w:cs="Times New Roman"/>
          <w:sz w:val="24"/>
          <w:szCs w:val="24"/>
          <w:lang w:bidi="he-IL"/>
        </w:rPr>
        <w:t xml:space="preserve"> or conditions being governed; </w:t>
      </w:r>
      <w:r w:rsidR="005219AB" w:rsidRPr="000D3435">
        <w:rPr>
          <w:rFonts w:ascii="Times New Roman" w:eastAsia="Times New Roman" w:hAnsi="Times New Roman" w:cs="Times New Roman"/>
          <w:b/>
          <w:bCs/>
          <w:sz w:val="24"/>
          <w:szCs w:val="24"/>
          <w:lang w:bidi="he-IL"/>
        </w:rPr>
        <w:t>Actors</w:t>
      </w:r>
      <w:r w:rsidR="005219AB" w:rsidRPr="000D3435">
        <w:rPr>
          <w:rFonts w:ascii="Times New Roman" w:eastAsia="Times New Roman" w:hAnsi="Times New Roman" w:cs="Times New Roman"/>
          <w:sz w:val="24"/>
          <w:szCs w:val="24"/>
          <w:lang w:bidi="he-IL"/>
        </w:rPr>
        <w:t xml:space="preserve"> as the entities occupying roles in governance; </w:t>
      </w:r>
      <w:r w:rsidR="005219AB" w:rsidRPr="000D3435">
        <w:rPr>
          <w:rFonts w:ascii="Times New Roman" w:eastAsia="Times New Roman" w:hAnsi="Times New Roman" w:cs="Times New Roman"/>
          <w:b/>
          <w:bCs/>
          <w:sz w:val="24"/>
          <w:szCs w:val="24"/>
          <w:lang w:bidi="he-IL"/>
        </w:rPr>
        <w:t>Mechanisms</w:t>
      </w:r>
      <w:r w:rsidR="005219AB" w:rsidRPr="000D3435">
        <w:rPr>
          <w:rFonts w:ascii="Times New Roman" w:eastAsia="Times New Roman" w:hAnsi="Times New Roman" w:cs="Times New Roman"/>
          <w:sz w:val="24"/>
          <w:szCs w:val="24"/>
          <w:lang w:bidi="he-IL"/>
        </w:rPr>
        <w:t xml:space="preserve"> as elementary means of governing; </w:t>
      </w:r>
      <w:r w:rsidR="005219AB" w:rsidRPr="000D3435">
        <w:rPr>
          <w:rFonts w:ascii="Times New Roman" w:eastAsia="Times New Roman" w:hAnsi="Times New Roman" w:cs="Times New Roman"/>
          <w:b/>
          <w:bCs/>
          <w:sz w:val="24"/>
          <w:szCs w:val="24"/>
          <w:lang w:bidi="he-IL"/>
        </w:rPr>
        <w:t>Functions</w:t>
      </w:r>
      <w:r w:rsidR="005219AB" w:rsidRPr="000D3435">
        <w:rPr>
          <w:rFonts w:ascii="Times New Roman" w:eastAsia="Times New Roman" w:hAnsi="Times New Roman" w:cs="Times New Roman"/>
          <w:sz w:val="24"/>
          <w:szCs w:val="24"/>
          <w:lang w:bidi="he-IL"/>
        </w:rPr>
        <w:t xml:space="preserve"> as the governance tasks performed; </w:t>
      </w:r>
      <w:r w:rsidR="005219AB" w:rsidRPr="000D3435">
        <w:rPr>
          <w:rFonts w:ascii="Times New Roman" w:eastAsia="Times New Roman" w:hAnsi="Times New Roman" w:cs="Times New Roman"/>
          <w:b/>
          <w:bCs/>
          <w:sz w:val="24"/>
          <w:szCs w:val="24"/>
          <w:lang w:bidi="he-IL"/>
        </w:rPr>
        <w:t>Strategies</w:t>
      </w:r>
      <w:r w:rsidR="005219AB" w:rsidRPr="000D3435">
        <w:rPr>
          <w:rFonts w:ascii="Times New Roman" w:eastAsia="Times New Roman" w:hAnsi="Times New Roman" w:cs="Times New Roman"/>
          <w:sz w:val="24"/>
          <w:szCs w:val="24"/>
          <w:lang w:bidi="he-IL"/>
        </w:rPr>
        <w:t xml:space="preserve"> as patterned combinations of mechanisms; </w:t>
      </w:r>
      <w:r w:rsidR="005219AB" w:rsidRPr="000D3435">
        <w:rPr>
          <w:rFonts w:ascii="Times New Roman" w:eastAsia="Times New Roman" w:hAnsi="Times New Roman" w:cs="Times New Roman"/>
          <w:b/>
          <w:bCs/>
          <w:sz w:val="24"/>
          <w:szCs w:val="24"/>
          <w:lang w:bidi="he-IL"/>
        </w:rPr>
        <w:t>Relationships</w:t>
      </w:r>
      <w:r w:rsidR="005219AB" w:rsidRPr="000D3435">
        <w:rPr>
          <w:rFonts w:ascii="Times New Roman" w:eastAsia="Times New Roman" w:hAnsi="Times New Roman" w:cs="Times New Roman"/>
          <w:sz w:val="24"/>
          <w:szCs w:val="24"/>
          <w:lang w:bidi="he-IL"/>
        </w:rPr>
        <w:t xml:space="preserve"> as the structured connections through which actors exercise, receive, or contest governance.</w:t>
      </w:r>
      <w:r w:rsidR="005219AB" w:rsidRPr="000D3435">
        <w:rPr>
          <w:rFonts w:ascii="Times New Roman" w:eastAsia="Times New Roman" w:hAnsi="Times New Roman" w:cs="Times New Roman"/>
          <w:b/>
          <w:bCs/>
          <w:sz w:val="24"/>
          <w:szCs w:val="24"/>
          <w:lang w:bidi="he-IL"/>
        </w:rPr>
        <w:t xml:space="preserve"> Architectures</w:t>
      </w:r>
      <w:r w:rsidR="005219AB" w:rsidRPr="000D3435">
        <w:rPr>
          <w:rFonts w:ascii="Times New Roman" w:eastAsia="Times New Roman" w:hAnsi="Times New Roman" w:cs="Times New Roman"/>
          <w:sz w:val="24"/>
          <w:szCs w:val="24"/>
          <w:lang w:bidi="he-IL"/>
        </w:rPr>
        <w:t xml:space="preserve"> as configurations of actors</w:t>
      </w:r>
      <w:r w:rsidR="005219AB">
        <w:rPr>
          <w:rFonts w:ascii="Times New Roman" w:eastAsia="Times New Roman" w:hAnsi="Times New Roman" w:cs="Times New Roman"/>
          <w:sz w:val="24"/>
          <w:szCs w:val="24"/>
          <w:lang w:bidi="he-IL"/>
        </w:rPr>
        <w:t xml:space="preserve"> </w:t>
      </w:r>
      <w:r w:rsidR="005219AB" w:rsidRPr="000D3435">
        <w:rPr>
          <w:rFonts w:ascii="Times New Roman" w:eastAsia="Times New Roman" w:hAnsi="Times New Roman" w:cs="Times New Roman"/>
          <w:sz w:val="24"/>
          <w:szCs w:val="24"/>
          <w:lang w:bidi="he-IL"/>
        </w:rPr>
        <w:t>and relationships;</w:t>
      </w:r>
      <w:r w:rsidR="005219AB">
        <w:rPr>
          <w:rFonts w:ascii="Times New Roman" w:eastAsia="Times New Roman" w:hAnsi="Times New Roman" w:cs="Times New Roman"/>
          <w:sz w:val="24"/>
          <w:szCs w:val="24"/>
          <w:lang w:bidi="he-IL"/>
        </w:rPr>
        <w:t xml:space="preserve"> </w:t>
      </w:r>
      <w:r w:rsidRPr="00BB24A5">
        <w:rPr>
          <w:rFonts w:asciiTheme="majorBidi" w:hAnsiTheme="majorBidi" w:cstheme="majorBidi"/>
          <w:sz w:val="24"/>
          <w:szCs w:val="24"/>
        </w:rPr>
        <w:t xml:space="preserve">and </w:t>
      </w:r>
      <w:r w:rsidR="00E56F0F" w:rsidRPr="00E56F0F">
        <w:rPr>
          <w:rFonts w:asciiTheme="majorBidi" w:hAnsiTheme="majorBidi" w:cstheme="majorBidi"/>
          <w:b/>
          <w:bCs/>
          <w:sz w:val="24"/>
          <w:szCs w:val="24"/>
        </w:rPr>
        <w:t>G</w:t>
      </w:r>
      <w:r w:rsidRPr="00E56F0F">
        <w:rPr>
          <w:rFonts w:asciiTheme="majorBidi" w:hAnsiTheme="majorBidi" w:cstheme="majorBidi"/>
          <w:b/>
          <w:bCs/>
          <w:sz w:val="24"/>
          <w:szCs w:val="24"/>
        </w:rPr>
        <w:t>overnance</w:t>
      </w:r>
      <w:r w:rsidRPr="00BB24A5">
        <w:rPr>
          <w:rFonts w:asciiTheme="majorBidi" w:hAnsiTheme="majorBidi" w:cstheme="majorBidi"/>
          <w:sz w:val="24"/>
          <w:szCs w:val="24"/>
        </w:rPr>
        <w:t xml:space="preserve"> </w:t>
      </w:r>
      <w:r w:rsidR="005219AB" w:rsidRPr="005219AB">
        <w:rPr>
          <w:rFonts w:asciiTheme="majorBidi" w:hAnsiTheme="majorBidi" w:cstheme="majorBidi"/>
          <w:b/>
          <w:bCs/>
          <w:sz w:val="24"/>
          <w:szCs w:val="24"/>
        </w:rPr>
        <w:t>L</w:t>
      </w:r>
      <w:r w:rsidRPr="005219AB">
        <w:rPr>
          <w:rFonts w:asciiTheme="majorBidi" w:hAnsiTheme="majorBidi" w:cstheme="majorBidi"/>
          <w:b/>
          <w:bCs/>
          <w:sz w:val="24"/>
          <w:szCs w:val="24"/>
        </w:rPr>
        <w:t>ogics</w:t>
      </w:r>
      <w:r w:rsidRPr="00BB24A5">
        <w:rPr>
          <w:rFonts w:asciiTheme="majorBidi" w:hAnsiTheme="majorBidi" w:cstheme="majorBidi"/>
          <w:sz w:val="24"/>
          <w:szCs w:val="24"/>
        </w:rPr>
        <w:t xml:space="preserve"> as broader principles through which authority and coordination are organized</w:t>
      </w:r>
      <w:r w:rsidR="00854980">
        <w:rPr>
          <w:rFonts w:asciiTheme="majorBidi" w:hAnsiTheme="majorBidi" w:cstheme="majorBidi"/>
          <w:sz w:val="24"/>
          <w:szCs w:val="24"/>
        </w:rPr>
        <w:t xml:space="preserve">. </w:t>
      </w:r>
      <w:r w:rsidRPr="00BB24A5">
        <w:rPr>
          <w:rFonts w:asciiTheme="majorBidi" w:hAnsiTheme="majorBidi" w:cstheme="majorBidi"/>
          <w:sz w:val="24"/>
          <w:szCs w:val="24"/>
        </w:rPr>
        <w:t xml:space="preserve">The paper translates the framework into a relational approach to legal coding in which the basic observation links a legal provision to </w:t>
      </w:r>
      <w:r w:rsidR="000D3435">
        <w:rPr>
          <w:rFonts w:asciiTheme="majorBidi" w:hAnsiTheme="majorBidi" w:cstheme="majorBidi"/>
          <w:sz w:val="24"/>
          <w:szCs w:val="24"/>
        </w:rPr>
        <w:t>the various dimensions and the dimensions to each other</w:t>
      </w:r>
      <w:r w:rsidRPr="00BB24A5">
        <w:rPr>
          <w:rFonts w:asciiTheme="majorBidi" w:hAnsiTheme="majorBidi" w:cstheme="majorBidi"/>
          <w:sz w:val="24"/>
          <w:szCs w:val="24"/>
        </w:rPr>
        <w:t>. Aggregating these observations makes it possible to reconstruct and compare governance architectures across laws, countries, sectors and time. The resulting approach</w:t>
      </w:r>
      <w:r w:rsidR="000D3435">
        <w:rPr>
          <w:rFonts w:asciiTheme="majorBidi" w:hAnsiTheme="majorBidi" w:cstheme="majorBidi"/>
          <w:sz w:val="24"/>
          <w:szCs w:val="24"/>
        </w:rPr>
        <w:t xml:space="preserve">, which we call </w:t>
      </w:r>
      <w:r w:rsidRPr="00BB24A5">
        <w:rPr>
          <w:rFonts w:asciiTheme="majorBidi" w:hAnsiTheme="majorBidi" w:cstheme="majorBidi"/>
          <w:sz w:val="24"/>
          <w:szCs w:val="24"/>
        </w:rPr>
        <w:t>relational leximetrics</w:t>
      </w:r>
      <w:r w:rsidR="000D3435">
        <w:rPr>
          <w:rFonts w:asciiTheme="majorBidi" w:hAnsiTheme="majorBidi" w:cstheme="majorBidi"/>
          <w:sz w:val="24"/>
          <w:szCs w:val="24"/>
        </w:rPr>
        <w:t xml:space="preserve">, </w:t>
      </w:r>
      <w:r w:rsidRPr="00BB24A5">
        <w:rPr>
          <w:rFonts w:asciiTheme="majorBidi" w:hAnsiTheme="majorBidi" w:cstheme="majorBidi"/>
          <w:sz w:val="24"/>
          <w:szCs w:val="24"/>
        </w:rPr>
        <w:t>shifts comparative legal analysis from measuring what law requires toward analysing the systems of governance that law creates.</w:t>
      </w:r>
    </w:p>
    <w:p w14:paraId="49E6AE73" w14:textId="77777777" w:rsidR="000D3435" w:rsidRDefault="000D3435" w:rsidP="00BB24A5">
      <w:pPr>
        <w:rPr>
          <w:rFonts w:asciiTheme="majorBidi" w:hAnsiTheme="majorBidi" w:cstheme="majorBidi"/>
          <w:sz w:val="24"/>
          <w:szCs w:val="24"/>
        </w:rPr>
      </w:pPr>
    </w:p>
    <w:p w14:paraId="34E00620" w14:textId="77777777" w:rsidR="000D3435" w:rsidRDefault="000D3435">
      <w:pPr>
        <w:spacing w:after="200" w:line="276" w:lineRule="auto"/>
        <w:rPr>
          <w:rFonts w:asciiTheme="majorBidi" w:hAnsiTheme="majorBidi" w:cstheme="majorBidi"/>
          <w:b/>
          <w:bCs/>
          <w:sz w:val="24"/>
          <w:szCs w:val="24"/>
        </w:rPr>
      </w:pPr>
      <w:r>
        <w:rPr>
          <w:rFonts w:asciiTheme="majorBidi" w:hAnsiTheme="majorBidi" w:cstheme="majorBidi"/>
          <w:b/>
          <w:bCs/>
          <w:sz w:val="24"/>
          <w:szCs w:val="24"/>
        </w:rPr>
        <w:br w:type="page"/>
      </w:r>
    </w:p>
    <w:p w14:paraId="6CFE67B0" w14:textId="6076491F" w:rsidR="003902C2" w:rsidRPr="00BB24A5" w:rsidRDefault="00BB24A5" w:rsidP="00BB24A5">
      <w:pPr>
        <w:rPr>
          <w:rFonts w:asciiTheme="majorBidi" w:hAnsiTheme="majorBidi" w:cstheme="majorBidi"/>
          <w:b/>
          <w:bCs/>
          <w:sz w:val="24"/>
          <w:szCs w:val="24"/>
        </w:rPr>
      </w:pPr>
      <w:r w:rsidRPr="00BB24A5">
        <w:rPr>
          <w:rFonts w:asciiTheme="majorBidi" w:hAnsiTheme="majorBidi" w:cstheme="majorBidi"/>
          <w:b/>
          <w:bCs/>
          <w:sz w:val="24"/>
          <w:szCs w:val="24"/>
        </w:rPr>
        <w:lastRenderedPageBreak/>
        <w:t>1. Introduction: What Kind of Governance Does a Law Build?</w:t>
      </w:r>
    </w:p>
    <w:p w14:paraId="7C2E5F0E" w14:textId="77777777" w:rsidR="005219AB" w:rsidRDefault="005219AB" w:rsidP="00BB24A5">
      <w:pPr>
        <w:jc w:val="both"/>
        <w:rPr>
          <w:rFonts w:asciiTheme="majorBidi" w:hAnsiTheme="majorBidi" w:cstheme="majorBidi"/>
          <w:sz w:val="24"/>
          <w:szCs w:val="24"/>
        </w:rPr>
      </w:pPr>
    </w:p>
    <w:p w14:paraId="76DCC03C" w14:textId="46B1154F" w:rsidR="003902C2" w:rsidRDefault="00BB24A5" w:rsidP="005219AB">
      <w:pPr>
        <w:spacing w:after="0" w:line="276" w:lineRule="auto"/>
        <w:jc w:val="both"/>
        <w:rPr>
          <w:rFonts w:asciiTheme="majorBidi" w:hAnsiTheme="majorBidi" w:cstheme="majorBidi"/>
          <w:sz w:val="24"/>
          <w:szCs w:val="24"/>
        </w:rPr>
      </w:pPr>
      <w:r w:rsidRPr="00BB24A5">
        <w:rPr>
          <w:rFonts w:asciiTheme="majorBidi" w:hAnsiTheme="majorBidi" w:cstheme="majorBidi"/>
          <w:sz w:val="24"/>
          <w:szCs w:val="24"/>
        </w:rPr>
        <w:t>What does a law create? The conventional answer begins with rules. Laws prohibit conduct, establish obligations, confer rights, authorize action and impose sanctions. Comparative research consequently tends to characterize laws according to their substantive content, coverage, stringency or effects. Yet legislation does something equally important that is harder to observe through these categories: it organizes governance. A statute may create an agency, recognize a professional body, authorize private certifiers, require firms to establish internal compliance systems, assign verification to auditors, enlist citizens through disclosure, establish reporting relationships, distribute discretion and create mechanisms for review. Law therefore regulates conduct partly by constructing the institutional arrangements through which conduct is governed.</w:t>
      </w:r>
    </w:p>
    <w:p w14:paraId="128B487A" w14:textId="77777777" w:rsidR="005219AB" w:rsidRPr="00BB24A5" w:rsidRDefault="005219AB" w:rsidP="005219AB">
      <w:pPr>
        <w:spacing w:after="0" w:line="276" w:lineRule="auto"/>
        <w:jc w:val="both"/>
        <w:rPr>
          <w:rFonts w:asciiTheme="majorBidi" w:hAnsiTheme="majorBidi" w:cstheme="majorBidi"/>
          <w:sz w:val="24"/>
          <w:szCs w:val="24"/>
        </w:rPr>
      </w:pPr>
    </w:p>
    <w:p w14:paraId="0DC7B89C" w14:textId="77777777" w:rsidR="003902C2" w:rsidRPr="00BB24A5" w:rsidRDefault="00BB24A5" w:rsidP="005219AB">
      <w:pPr>
        <w:spacing w:after="0" w:line="276" w:lineRule="auto"/>
        <w:jc w:val="both"/>
        <w:rPr>
          <w:rFonts w:asciiTheme="majorBidi" w:hAnsiTheme="majorBidi" w:cstheme="majorBidi"/>
          <w:sz w:val="24"/>
          <w:szCs w:val="24"/>
        </w:rPr>
      </w:pPr>
      <w:r w:rsidRPr="00BB24A5">
        <w:rPr>
          <w:rFonts w:asciiTheme="majorBidi" w:hAnsiTheme="majorBidi" w:cstheme="majorBidi"/>
          <w:sz w:val="24"/>
          <w:szCs w:val="24"/>
        </w:rPr>
        <w:t>This constitutive dimension becomes particularly visible when two laws addressing similar substantive problems are compared. Both may require firms to meet the same environmental, financial or digital standard while organizing implementation very differently. One may rely on direct inspection by a public regulator; another on corporate self-monitoring; another on accredited private verifiers; and another on combinations of public agencies, standard setters, professional bodies, firms and civil-society monitors. Similar substantive obligations can therefore be embedded in very different governance systems. Conversely, similar governance arrangements may be deployed across quite different policy domains. The important comparative question is consequently not only what does the law require, but also what kind of governance does the law build?</w:t>
      </w:r>
    </w:p>
    <w:p w14:paraId="29186775" w14:textId="77777777" w:rsidR="005219AB" w:rsidRDefault="005219AB" w:rsidP="005219AB">
      <w:pPr>
        <w:spacing w:after="0" w:line="276" w:lineRule="auto"/>
        <w:jc w:val="both"/>
        <w:rPr>
          <w:rFonts w:asciiTheme="majorBidi" w:hAnsiTheme="majorBidi" w:cstheme="majorBidi"/>
          <w:sz w:val="24"/>
          <w:szCs w:val="24"/>
        </w:rPr>
      </w:pPr>
    </w:p>
    <w:p w14:paraId="4201E10F" w14:textId="04681C75" w:rsidR="003902C2" w:rsidRPr="00BB24A5" w:rsidRDefault="00BB24A5" w:rsidP="005219AB">
      <w:pPr>
        <w:spacing w:after="0" w:line="276" w:lineRule="auto"/>
        <w:jc w:val="both"/>
        <w:rPr>
          <w:rFonts w:asciiTheme="majorBidi" w:hAnsiTheme="majorBidi" w:cstheme="majorBidi"/>
          <w:sz w:val="24"/>
          <w:szCs w:val="24"/>
        </w:rPr>
      </w:pPr>
      <w:r w:rsidRPr="00BB24A5">
        <w:rPr>
          <w:rFonts w:asciiTheme="majorBidi" w:hAnsiTheme="majorBidi" w:cstheme="majorBidi"/>
          <w:sz w:val="24"/>
          <w:szCs w:val="24"/>
        </w:rPr>
        <w:t>A substantial interdisciplinary literature provides elements of an answer, although it rarely treats the problem in these terms. Public administration examines delegation, jurisdiction, discretion and administrative control. Policy-instrument research studies the means through which governments influence behaviour and emphasizes that instruments embody particular relations between governors and governed (Lascoumes and Le Galès 2007). Regulatory scholarship has moved beyond the image of bilateral state command toward responsive regulation, self-regulation, meta-regulation and combinations of public and private authority (Ayres and Braithwaite 1992; Gunningham, Grabosky and Sinclair 1998; Black 2001). Research on regulatory intermediaries makes the relational structure still more explicit by examining how regulators govern targets through third parties (Abbott, Levi-Faur and Snidal 2017). International-relations scholarship distinguishes delegation from orchestration and other forms of indirect governance (Abbott et al. 2015, 2020), while experimentalist and polycentric approaches examine arrangements in which authority, information and discretion are distributed across multiple centres (Ostrom 2005; Sabel and Zeitlin 2008, 2012).</w:t>
      </w:r>
    </w:p>
    <w:p w14:paraId="161A9AB7" w14:textId="77777777" w:rsidR="005219AB" w:rsidRDefault="005219AB" w:rsidP="005219AB">
      <w:pPr>
        <w:spacing w:after="0" w:line="276" w:lineRule="auto"/>
        <w:jc w:val="both"/>
        <w:rPr>
          <w:rFonts w:asciiTheme="majorBidi" w:hAnsiTheme="majorBidi" w:cstheme="majorBidi"/>
          <w:sz w:val="24"/>
          <w:szCs w:val="24"/>
        </w:rPr>
      </w:pPr>
    </w:p>
    <w:p w14:paraId="5D23D29E" w14:textId="2845BAC3" w:rsidR="003902C2" w:rsidRPr="00BB24A5" w:rsidRDefault="00BB24A5" w:rsidP="005219AB">
      <w:pPr>
        <w:spacing w:after="0" w:line="276" w:lineRule="auto"/>
        <w:jc w:val="both"/>
        <w:rPr>
          <w:rFonts w:asciiTheme="majorBidi" w:hAnsiTheme="majorBidi" w:cstheme="majorBidi"/>
          <w:sz w:val="24"/>
          <w:szCs w:val="24"/>
        </w:rPr>
      </w:pPr>
      <w:r w:rsidRPr="00BB24A5">
        <w:rPr>
          <w:rFonts w:asciiTheme="majorBidi" w:hAnsiTheme="majorBidi" w:cstheme="majorBidi"/>
          <w:sz w:val="24"/>
          <w:szCs w:val="24"/>
        </w:rPr>
        <w:t xml:space="preserve">What remains comparatively underdeveloped is a common analytical grammar capable of recovering these configurations systematically from legal texts. Existing large-scale legal datasets overwhelmingly code rights, obligations, procedures, institutional powers or textual restrictions. They have generated extraordinary comparative knowledge, but their typical observation remains a characteristic of a rule or institution. The relationships through which governance is organized - who governs whom, through </w:t>
      </w:r>
      <w:r w:rsidRPr="00BB24A5">
        <w:rPr>
          <w:rFonts w:asciiTheme="majorBidi" w:hAnsiTheme="majorBidi" w:cstheme="majorBidi"/>
          <w:sz w:val="24"/>
          <w:szCs w:val="24"/>
        </w:rPr>
        <w:lastRenderedPageBreak/>
        <w:t>whom, performing which function and subject to whose control - are much less systematically represented.</w:t>
      </w:r>
    </w:p>
    <w:p w14:paraId="55914C08" w14:textId="77777777" w:rsidR="005219AB" w:rsidRDefault="005219AB" w:rsidP="005219AB">
      <w:pPr>
        <w:spacing w:after="0" w:line="276" w:lineRule="auto"/>
        <w:jc w:val="both"/>
        <w:rPr>
          <w:rFonts w:asciiTheme="majorBidi" w:hAnsiTheme="majorBidi" w:cstheme="majorBidi"/>
          <w:sz w:val="24"/>
          <w:szCs w:val="24"/>
        </w:rPr>
      </w:pPr>
    </w:p>
    <w:p w14:paraId="4253CCE4" w14:textId="15AE2A16" w:rsidR="003902C2" w:rsidRDefault="00BB24A5" w:rsidP="005219AB">
      <w:pPr>
        <w:spacing w:after="0" w:line="276" w:lineRule="auto"/>
        <w:jc w:val="both"/>
        <w:rPr>
          <w:rFonts w:asciiTheme="majorBidi" w:hAnsiTheme="majorBidi" w:cstheme="majorBidi"/>
          <w:sz w:val="24"/>
          <w:szCs w:val="24"/>
        </w:rPr>
      </w:pPr>
      <w:r w:rsidRPr="00BB24A5">
        <w:rPr>
          <w:rFonts w:asciiTheme="majorBidi" w:hAnsiTheme="majorBidi" w:cstheme="majorBidi"/>
          <w:sz w:val="24"/>
          <w:szCs w:val="24"/>
        </w:rPr>
        <w:t>This paper develops a framework for analysing that missing dimension. Its starting proposition is that law constitutes governance architectures by defining objects of intervention, constituting and recognizing actors, allocating functions and authority, and structuring relationships of control, information, discretion and accountability. Objects and actors are foundational because no account of governance can begin without specifying what is being governed and who participates in governing. Upon these foundations, the paper distinguishes mechanisms, strategies, architectures and governance logics as different analytical levels.</w:t>
      </w:r>
    </w:p>
    <w:p w14:paraId="4818342F" w14:textId="77777777" w:rsidR="005219AB" w:rsidRDefault="005219AB" w:rsidP="005219AB">
      <w:pPr>
        <w:spacing w:after="0" w:line="276" w:lineRule="auto"/>
        <w:jc w:val="both"/>
        <w:rPr>
          <w:rFonts w:asciiTheme="majorBidi" w:hAnsiTheme="majorBidi" w:cstheme="majorBidi"/>
          <w:sz w:val="24"/>
          <w:szCs w:val="24"/>
        </w:rPr>
      </w:pPr>
    </w:p>
    <w:p w14:paraId="23E82A56" w14:textId="1A018A02" w:rsidR="003902C2" w:rsidRPr="00BB24A5" w:rsidRDefault="00BB24A5" w:rsidP="005219AB">
      <w:pPr>
        <w:spacing w:after="0" w:line="276" w:lineRule="auto"/>
        <w:jc w:val="both"/>
        <w:rPr>
          <w:rFonts w:asciiTheme="majorBidi" w:hAnsiTheme="majorBidi" w:cstheme="majorBidi"/>
          <w:sz w:val="24"/>
          <w:szCs w:val="24"/>
        </w:rPr>
      </w:pPr>
      <w:r w:rsidRPr="00BB24A5">
        <w:rPr>
          <w:rFonts w:asciiTheme="majorBidi" w:hAnsiTheme="majorBidi" w:cstheme="majorBidi"/>
          <w:sz w:val="24"/>
          <w:szCs w:val="24"/>
        </w:rPr>
        <w:t>The argument is relational as well as classificatory. Actors do not possess fixed governance identities. A ministry may be a regulator in one relationship and a regulated body in another; a firm may simultaneously be a target, self-regulator and intermediary; and a professional association may make rules, translate public requirements and monitor its members. What matters therefore is not simply whether an actor appears in a law but the position it occupies in particular legally constituted relationships.</w:t>
      </w:r>
    </w:p>
    <w:p w14:paraId="2CD71176" w14:textId="77777777" w:rsidR="005219AB" w:rsidRDefault="005219AB" w:rsidP="005219AB">
      <w:pPr>
        <w:spacing w:after="0" w:line="276" w:lineRule="auto"/>
        <w:jc w:val="both"/>
        <w:rPr>
          <w:rFonts w:asciiTheme="majorBidi" w:hAnsiTheme="majorBidi" w:cstheme="majorBidi"/>
          <w:sz w:val="24"/>
          <w:szCs w:val="24"/>
        </w:rPr>
      </w:pPr>
    </w:p>
    <w:p w14:paraId="1CACE11D" w14:textId="6396D786" w:rsidR="003902C2" w:rsidRPr="00BB24A5" w:rsidRDefault="00BB24A5" w:rsidP="005219AB">
      <w:pPr>
        <w:spacing w:after="0" w:line="276" w:lineRule="auto"/>
        <w:jc w:val="both"/>
        <w:rPr>
          <w:rFonts w:asciiTheme="majorBidi" w:hAnsiTheme="majorBidi" w:cstheme="majorBidi"/>
          <w:sz w:val="24"/>
          <w:szCs w:val="24"/>
        </w:rPr>
      </w:pPr>
      <w:r w:rsidRPr="00BB24A5">
        <w:rPr>
          <w:rFonts w:asciiTheme="majorBidi" w:hAnsiTheme="majorBidi" w:cstheme="majorBidi"/>
          <w:sz w:val="24"/>
          <w:szCs w:val="24"/>
        </w:rPr>
        <w:t>Methodologically, the paper proposes a relational unit of observation</w:t>
      </w:r>
      <w:r w:rsidRPr="00BB24A5">
        <w:rPr>
          <w:rFonts w:asciiTheme="majorBidi" w:hAnsiTheme="majorBidi" w:cstheme="majorBidi"/>
          <w:i/>
          <w:iCs/>
          <w:sz w:val="24"/>
          <w:szCs w:val="24"/>
        </w:rPr>
        <w:t>: Law x Provision x Object x Actor A x Function x Mechanism x Actor B</w:t>
      </w:r>
      <w:r w:rsidRPr="00BB24A5">
        <w:rPr>
          <w:rFonts w:asciiTheme="majorBidi" w:hAnsiTheme="majorBidi" w:cstheme="majorBidi"/>
          <w:sz w:val="24"/>
          <w:szCs w:val="24"/>
        </w:rPr>
        <w:t>. Additional characteristics - including authority, discretion, accountability, information relations and sanctions - describe the relationship more fully. Lower-level observations can then be aggregated to identify strategies, reconstruct architectures and characterize governance logics. This provides a foundation for relational leximetrics: the systematic coding and comparison of governance relationships constituted through law.</w:t>
      </w:r>
    </w:p>
    <w:p w14:paraId="531F3DDD" w14:textId="777781A0" w:rsidR="00FC6A57" w:rsidRDefault="00FC6A57">
      <w:pPr>
        <w:spacing w:after="200" w:line="276" w:lineRule="auto"/>
        <w:rPr>
          <w:rFonts w:asciiTheme="majorBidi" w:hAnsiTheme="majorBidi" w:cstheme="majorBidi"/>
          <w:b/>
          <w:bCs/>
          <w:sz w:val="24"/>
          <w:szCs w:val="24"/>
        </w:rPr>
      </w:pPr>
    </w:p>
    <w:p w14:paraId="07C415D4" w14:textId="77777777" w:rsidR="00131948" w:rsidRPr="00BB24A5" w:rsidRDefault="00131948" w:rsidP="00131948">
      <w:pPr>
        <w:spacing w:line="276" w:lineRule="auto"/>
        <w:rPr>
          <w:rFonts w:asciiTheme="majorBidi" w:hAnsiTheme="majorBidi" w:cstheme="majorBidi"/>
          <w:sz w:val="24"/>
          <w:szCs w:val="24"/>
        </w:rPr>
      </w:pPr>
      <w:r w:rsidRPr="00BB24A5">
        <w:rPr>
          <w:rFonts w:asciiTheme="majorBidi" w:hAnsiTheme="majorBidi" w:cstheme="majorBidi"/>
          <w:sz w:val="24"/>
          <w:szCs w:val="24"/>
        </w:rPr>
        <w:t>Legal coding reveals formal legal architecture, not necessarily governance in practice. It is therefore useful to distinguish legal architecture - relationships and authority constituted in law; implementation architecture - organizational arrangements through which legal requirements are operationalized; and operational architecture - relationships and practices through which governance actually occurs. Divergence among these levels should be treated as an empirical question rather than silently collapsed.</w:t>
      </w:r>
    </w:p>
    <w:p w14:paraId="4984D3F4" w14:textId="68CC3E14" w:rsidR="00131948" w:rsidRDefault="00131948">
      <w:pPr>
        <w:spacing w:after="200" w:line="276" w:lineRule="auto"/>
        <w:rPr>
          <w:rFonts w:asciiTheme="majorBidi" w:hAnsiTheme="majorBidi" w:cstheme="majorBidi"/>
          <w:b/>
          <w:bCs/>
          <w:sz w:val="24"/>
          <w:szCs w:val="24"/>
        </w:rPr>
      </w:pPr>
    </w:p>
    <w:p w14:paraId="200BDDAD" w14:textId="77777777" w:rsidR="00131948" w:rsidRDefault="00131948">
      <w:pPr>
        <w:spacing w:after="200" w:line="276" w:lineRule="auto"/>
        <w:rPr>
          <w:rFonts w:asciiTheme="majorBidi" w:hAnsiTheme="majorBidi" w:cstheme="majorBidi"/>
          <w:b/>
          <w:bCs/>
          <w:sz w:val="24"/>
          <w:szCs w:val="24"/>
        </w:rPr>
      </w:pPr>
    </w:p>
    <w:p w14:paraId="0E658829" w14:textId="777B6003" w:rsidR="00BB24A5" w:rsidRPr="00036F41" w:rsidRDefault="00BB24A5" w:rsidP="00BB24A5">
      <w:pPr>
        <w:rPr>
          <w:rFonts w:asciiTheme="majorBidi" w:hAnsiTheme="majorBidi" w:cstheme="majorBidi"/>
          <w:b/>
          <w:bCs/>
          <w:sz w:val="24"/>
          <w:szCs w:val="24"/>
        </w:rPr>
      </w:pPr>
      <w:r w:rsidRPr="00036F41">
        <w:rPr>
          <w:rFonts w:asciiTheme="majorBidi" w:hAnsiTheme="majorBidi" w:cstheme="majorBidi"/>
          <w:b/>
          <w:bCs/>
          <w:sz w:val="24"/>
          <w:szCs w:val="24"/>
        </w:rPr>
        <w:t>2. Review: Interdisciplinary Traditions</w:t>
      </w:r>
    </w:p>
    <w:p w14:paraId="6825471D" w14:textId="4EA6996C" w:rsidR="00BB24A5" w:rsidRPr="003509F3" w:rsidRDefault="00BB24A5" w:rsidP="00BB24A5">
      <w:pPr>
        <w:jc w:val="both"/>
        <w:rPr>
          <w:rFonts w:asciiTheme="majorBidi" w:hAnsiTheme="majorBidi" w:cstheme="majorBidi"/>
          <w:sz w:val="24"/>
          <w:szCs w:val="24"/>
        </w:rPr>
      </w:pPr>
      <w:r w:rsidRPr="003509F3">
        <w:rPr>
          <w:rFonts w:asciiTheme="majorBidi" w:hAnsiTheme="majorBidi" w:cstheme="majorBidi"/>
          <w:sz w:val="24"/>
          <w:szCs w:val="24"/>
        </w:rPr>
        <w:t>Public administration directs attention to the vertical architecture of government: jurisdiction, delegation, administrative discretion, inspection, audit and review. Principal–agent models conceptualize governance as chains of delegated authority and monitoring. Work on regulation inside government shows that public bodies themselves are targets of extensive oversight by auditors, inspectorates, ombudsmen and central agencies (Hood et al. 1999). This tradition therefore expands the object of regulation beyond business and citizens to the state itself, while making allocation of discretion and accountability central dimensions of governance architecture.</w:t>
      </w:r>
      <w:r>
        <w:rPr>
          <w:rFonts w:asciiTheme="majorBidi" w:hAnsiTheme="majorBidi" w:cstheme="majorBidi"/>
          <w:sz w:val="24"/>
          <w:szCs w:val="24"/>
        </w:rPr>
        <w:t xml:space="preserve">  </w:t>
      </w:r>
      <w:r w:rsidRPr="003509F3">
        <w:rPr>
          <w:rFonts w:asciiTheme="majorBidi" w:hAnsiTheme="majorBidi" w:cstheme="majorBidi"/>
          <w:sz w:val="24"/>
          <w:szCs w:val="24"/>
        </w:rPr>
        <w:t xml:space="preserve">Policy-instrument scholarship classifies the means through which governments seek to influence </w:t>
      </w:r>
      <w:proofErr w:type="spellStart"/>
      <w:r w:rsidRPr="003509F3">
        <w:rPr>
          <w:rFonts w:asciiTheme="majorBidi" w:hAnsiTheme="majorBidi" w:cstheme="majorBidi"/>
          <w:sz w:val="24"/>
          <w:szCs w:val="24"/>
        </w:rPr>
        <w:t>behaviour</w:t>
      </w:r>
      <w:proofErr w:type="spellEnd"/>
      <w:r w:rsidRPr="003509F3">
        <w:rPr>
          <w:rFonts w:asciiTheme="majorBidi" w:hAnsiTheme="majorBidi" w:cstheme="majorBidi"/>
          <w:sz w:val="24"/>
          <w:szCs w:val="24"/>
        </w:rPr>
        <w:t xml:space="preserve">—rules, taxes, expenditures, contracts, </w:t>
      </w:r>
      <w:r w:rsidRPr="003509F3">
        <w:rPr>
          <w:rFonts w:asciiTheme="majorBidi" w:hAnsiTheme="majorBidi" w:cstheme="majorBidi"/>
          <w:sz w:val="24"/>
          <w:szCs w:val="24"/>
        </w:rPr>
        <w:lastRenderedPageBreak/>
        <w:t>information and organizational devices</w:t>
      </w:r>
      <w:r>
        <w:rPr>
          <w:rFonts w:asciiTheme="majorBidi" w:hAnsiTheme="majorBidi" w:cstheme="majorBidi"/>
          <w:sz w:val="24"/>
          <w:szCs w:val="24"/>
        </w:rPr>
        <w:t xml:space="preserve"> (Howlett, </w:t>
      </w:r>
      <w:r w:rsidR="00ED1D0E">
        <w:rPr>
          <w:rFonts w:asciiTheme="majorBidi" w:hAnsiTheme="majorBidi" w:cstheme="majorBidi"/>
          <w:sz w:val="24"/>
          <w:szCs w:val="24"/>
        </w:rPr>
        <w:t>2015</w:t>
      </w:r>
      <w:r>
        <w:rPr>
          <w:rFonts w:asciiTheme="majorBidi" w:hAnsiTheme="majorBidi" w:cstheme="majorBidi"/>
          <w:sz w:val="24"/>
          <w:szCs w:val="24"/>
        </w:rPr>
        <w:t>)</w:t>
      </w:r>
      <w:r w:rsidRPr="003509F3">
        <w:rPr>
          <w:rFonts w:asciiTheme="majorBidi" w:hAnsiTheme="majorBidi" w:cstheme="majorBidi"/>
          <w:sz w:val="24"/>
          <w:szCs w:val="24"/>
        </w:rPr>
        <w:t xml:space="preserve">. </w:t>
      </w:r>
      <w:proofErr w:type="spellStart"/>
      <w:r w:rsidRPr="003509F3">
        <w:rPr>
          <w:rFonts w:asciiTheme="majorBidi" w:hAnsiTheme="majorBidi" w:cstheme="majorBidi"/>
          <w:sz w:val="24"/>
          <w:szCs w:val="24"/>
        </w:rPr>
        <w:t>Lascoumes</w:t>
      </w:r>
      <w:proofErr w:type="spellEnd"/>
      <w:r w:rsidRPr="003509F3">
        <w:rPr>
          <w:rFonts w:asciiTheme="majorBidi" w:hAnsiTheme="majorBidi" w:cstheme="majorBidi"/>
          <w:sz w:val="24"/>
          <w:szCs w:val="24"/>
        </w:rPr>
        <w:t xml:space="preserve"> and Le </w:t>
      </w:r>
      <w:proofErr w:type="spellStart"/>
      <w:r w:rsidRPr="003509F3">
        <w:rPr>
          <w:rFonts w:asciiTheme="majorBidi" w:hAnsiTheme="majorBidi" w:cstheme="majorBidi"/>
          <w:sz w:val="24"/>
          <w:szCs w:val="24"/>
        </w:rPr>
        <w:t>Galès</w:t>
      </w:r>
      <w:proofErr w:type="spellEnd"/>
      <w:r w:rsidRPr="003509F3">
        <w:rPr>
          <w:rFonts w:asciiTheme="majorBidi" w:hAnsiTheme="majorBidi" w:cstheme="majorBidi"/>
          <w:sz w:val="24"/>
          <w:szCs w:val="24"/>
        </w:rPr>
        <w:t xml:space="preserve"> (2007) make a particularly important move: an instrument is not neutral but embodies a theory of the relationship between governing and governed. This transforms instruments from technical choices into institutionalized governance relations. The implication is that mechanisms should be coded not only by formal instrument type but also by the actor relationship and conception of control they instantiate.</w:t>
      </w:r>
    </w:p>
    <w:p w14:paraId="7926028B" w14:textId="77777777" w:rsidR="00BB24A5" w:rsidRPr="003509F3" w:rsidRDefault="00BB24A5" w:rsidP="00BB24A5">
      <w:pPr>
        <w:jc w:val="both"/>
        <w:rPr>
          <w:rFonts w:asciiTheme="majorBidi" w:hAnsiTheme="majorBidi" w:cstheme="majorBidi"/>
          <w:sz w:val="24"/>
          <w:szCs w:val="24"/>
        </w:rPr>
      </w:pPr>
      <w:r w:rsidRPr="003509F3">
        <w:rPr>
          <w:rFonts w:asciiTheme="majorBidi" w:hAnsiTheme="majorBidi" w:cstheme="majorBidi"/>
          <w:sz w:val="24"/>
          <w:szCs w:val="24"/>
        </w:rPr>
        <w:t xml:space="preserve">Regulation scholarship progressively displaced the image of a sovereign regulator issuing commands to passive targets. Ayres and Braithwaite (1992) combined persuasion, escalating sanctions, tripartism and enforced self-regulation. Gunningham, </w:t>
      </w:r>
      <w:proofErr w:type="spellStart"/>
      <w:r w:rsidRPr="003509F3">
        <w:rPr>
          <w:rFonts w:asciiTheme="majorBidi" w:hAnsiTheme="majorBidi" w:cstheme="majorBidi"/>
          <w:sz w:val="24"/>
          <w:szCs w:val="24"/>
        </w:rPr>
        <w:t>Grabosky</w:t>
      </w:r>
      <w:proofErr w:type="spellEnd"/>
      <w:r w:rsidRPr="003509F3">
        <w:rPr>
          <w:rFonts w:asciiTheme="majorBidi" w:hAnsiTheme="majorBidi" w:cstheme="majorBidi"/>
          <w:sz w:val="24"/>
          <w:szCs w:val="24"/>
        </w:rPr>
        <w:t xml:space="preserve"> and Sinclair (1998) emphasized combinations of instruments and multiple regulatory participants. </w:t>
      </w:r>
      <w:proofErr w:type="spellStart"/>
      <w:r w:rsidRPr="003509F3">
        <w:rPr>
          <w:rFonts w:asciiTheme="majorBidi" w:hAnsiTheme="majorBidi" w:cstheme="majorBidi"/>
          <w:sz w:val="24"/>
          <w:szCs w:val="24"/>
        </w:rPr>
        <w:t>Decentred</w:t>
      </w:r>
      <w:proofErr w:type="spellEnd"/>
      <w:r w:rsidRPr="003509F3">
        <w:rPr>
          <w:rFonts w:asciiTheme="majorBidi" w:hAnsiTheme="majorBidi" w:cstheme="majorBidi"/>
          <w:sz w:val="24"/>
          <w:szCs w:val="24"/>
        </w:rPr>
        <w:t xml:space="preserve"> approaches stressed fragmentation of knowledge, power and regulatory capacity. These works make hybridization a central empirical expectation: a legal regime may simultaneously contain command, incentives, self-regulation, third-party monitoring and disclosure.</w:t>
      </w:r>
      <w:r>
        <w:rPr>
          <w:rFonts w:asciiTheme="majorBidi" w:hAnsiTheme="majorBidi" w:cstheme="majorBidi"/>
          <w:sz w:val="24"/>
          <w:szCs w:val="24"/>
        </w:rPr>
        <w:t xml:space="preserve"> </w:t>
      </w:r>
      <w:r w:rsidRPr="003509F3">
        <w:rPr>
          <w:rFonts w:asciiTheme="majorBidi" w:hAnsiTheme="majorBidi" w:cstheme="majorBidi"/>
          <w:sz w:val="24"/>
          <w:szCs w:val="24"/>
        </w:rPr>
        <w:t>The RIT framework explicitly reconceptualizes regulation as a three-or-more-party relationship among regulator, intermediary and target. Intermediaries supply expertise, translate rules, facilitate implementation, monitor targets and create assurance and trust (Abbott, Levi-Faur and Snidal 2017). Related work on indirect governance distinguishes delegation—indirect governance under comparatively hard control—from orchestration, where governors enlist autonomous intermediaries through softer material and ideational support (Abbott et al. 2015). Competence–control theory adds a central design tension: capable intermediaries enhance governance capacity but may become difficult to control (Abbott et al. 2020). These approaches make actor position, selection, function and control empirically codable properties of legal architecture.</w:t>
      </w:r>
    </w:p>
    <w:p w14:paraId="423C74A0" w14:textId="77777777" w:rsidR="00BB24A5" w:rsidRDefault="00BB24A5" w:rsidP="00BB24A5">
      <w:pPr>
        <w:jc w:val="both"/>
        <w:rPr>
          <w:rFonts w:asciiTheme="majorBidi" w:hAnsiTheme="majorBidi" w:cstheme="majorBidi"/>
          <w:sz w:val="24"/>
          <w:szCs w:val="24"/>
        </w:rPr>
      </w:pPr>
      <w:r w:rsidRPr="003509F3">
        <w:rPr>
          <w:rFonts w:asciiTheme="majorBidi" w:hAnsiTheme="majorBidi" w:cstheme="majorBidi"/>
          <w:sz w:val="24"/>
          <w:szCs w:val="24"/>
        </w:rPr>
        <w:t>Experimentalist governance replaces fixed detailed commands with framework goals, local discretion, reporting, peer comparison and recursive revision (</w:t>
      </w:r>
      <w:proofErr w:type="spellStart"/>
      <w:r w:rsidRPr="003509F3">
        <w:rPr>
          <w:rFonts w:asciiTheme="majorBidi" w:hAnsiTheme="majorBidi" w:cstheme="majorBidi"/>
          <w:sz w:val="24"/>
          <w:szCs w:val="24"/>
        </w:rPr>
        <w:t>Sabel</w:t>
      </w:r>
      <w:proofErr w:type="spellEnd"/>
      <w:r w:rsidRPr="003509F3">
        <w:rPr>
          <w:rFonts w:asciiTheme="majorBidi" w:hAnsiTheme="majorBidi" w:cstheme="majorBidi"/>
          <w:sz w:val="24"/>
          <w:szCs w:val="24"/>
        </w:rPr>
        <w:t xml:space="preserve"> and Zeitlin 2008, 2012). Polycentric governance emphasizes multiple formally independent yet interdependent </w:t>
      </w:r>
      <w:proofErr w:type="spellStart"/>
      <w:r w:rsidRPr="003509F3">
        <w:rPr>
          <w:rFonts w:asciiTheme="majorBidi" w:hAnsiTheme="majorBidi" w:cstheme="majorBidi"/>
          <w:sz w:val="24"/>
          <w:szCs w:val="24"/>
        </w:rPr>
        <w:t>centres</w:t>
      </w:r>
      <w:proofErr w:type="spellEnd"/>
      <w:r w:rsidRPr="003509F3">
        <w:rPr>
          <w:rFonts w:asciiTheme="majorBidi" w:hAnsiTheme="majorBidi" w:cstheme="majorBidi"/>
          <w:sz w:val="24"/>
          <w:szCs w:val="24"/>
        </w:rPr>
        <w:t xml:space="preserve"> of decision-making. Both traditions reject a simple </w:t>
      </w:r>
      <w:proofErr w:type="spellStart"/>
      <w:r w:rsidRPr="003509F3">
        <w:rPr>
          <w:rFonts w:asciiTheme="majorBidi" w:hAnsiTheme="majorBidi" w:cstheme="majorBidi"/>
          <w:sz w:val="24"/>
          <w:szCs w:val="24"/>
        </w:rPr>
        <w:t>centre</w:t>
      </w:r>
      <w:proofErr w:type="spellEnd"/>
      <w:r w:rsidRPr="003509F3">
        <w:rPr>
          <w:rFonts w:asciiTheme="majorBidi" w:hAnsiTheme="majorBidi" w:cstheme="majorBidi"/>
          <w:sz w:val="24"/>
          <w:szCs w:val="24"/>
        </w:rPr>
        <w:t>–periphery model. They identify architectures in which authority is distributed and coordination depends upon feedback, mutual adjustment and overlapping jurisdictions. Law can be crucial to constituting these apparently non-hierarchical arrangements by defining participation, information duties, review cycles and minimum procedural obligations.</w:t>
      </w:r>
    </w:p>
    <w:p w14:paraId="2452E7C8" w14:textId="05A456D0" w:rsidR="00BB24A5" w:rsidRDefault="00BB24A5" w:rsidP="00BB24A5">
      <w:pPr>
        <w:jc w:val="both"/>
        <w:rPr>
          <w:rFonts w:asciiTheme="majorBidi" w:hAnsiTheme="majorBidi" w:cstheme="majorBidi"/>
          <w:sz w:val="24"/>
          <w:szCs w:val="24"/>
        </w:rPr>
      </w:pPr>
      <w:r w:rsidRPr="003509F3">
        <w:rPr>
          <w:rFonts w:asciiTheme="majorBidi" w:hAnsiTheme="majorBidi" w:cstheme="majorBidi"/>
          <w:sz w:val="24"/>
          <w:szCs w:val="24"/>
        </w:rPr>
        <w:t>International-relations scholarship on legalization distinguishes dimensions such as obligation, precision and delegation, while work on soft law and transnational governance shows that governance may be legally consequential without taking the form of centralized command</w:t>
      </w:r>
      <w:r>
        <w:rPr>
          <w:rFonts w:asciiTheme="majorBidi" w:hAnsiTheme="majorBidi" w:cstheme="majorBidi"/>
          <w:sz w:val="24"/>
          <w:szCs w:val="24"/>
        </w:rPr>
        <w:t xml:space="preserve"> (Abbott </w:t>
      </w:r>
      <w:r w:rsidR="00ED1D0E">
        <w:rPr>
          <w:rFonts w:asciiTheme="majorBidi" w:hAnsiTheme="majorBidi" w:cstheme="majorBidi"/>
          <w:sz w:val="24"/>
          <w:szCs w:val="24"/>
        </w:rPr>
        <w:t>et al.</w:t>
      </w:r>
      <w:r>
        <w:rPr>
          <w:rFonts w:asciiTheme="majorBidi" w:hAnsiTheme="majorBidi" w:cstheme="majorBidi"/>
          <w:sz w:val="24"/>
          <w:szCs w:val="24"/>
        </w:rPr>
        <w:t>, 20</w:t>
      </w:r>
      <w:r w:rsidR="00ED1D0E">
        <w:rPr>
          <w:rFonts w:asciiTheme="majorBidi" w:hAnsiTheme="majorBidi" w:cstheme="majorBidi"/>
          <w:sz w:val="24"/>
          <w:szCs w:val="24"/>
        </w:rPr>
        <w:t>15</w:t>
      </w:r>
      <w:r>
        <w:rPr>
          <w:rFonts w:asciiTheme="majorBidi" w:hAnsiTheme="majorBidi" w:cstheme="majorBidi"/>
          <w:sz w:val="24"/>
          <w:szCs w:val="24"/>
        </w:rPr>
        <w:t>)</w:t>
      </w:r>
      <w:r w:rsidRPr="003509F3">
        <w:rPr>
          <w:rFonts w:asciiTheme="majorBidi" w:hAnsiTheme="majorBidi" w:cstheme="majorBidi"/>
          <w:sz w:val="24"/>
          <w:szCs w:val="24"/>
        </w:rPr>
        <w:t xml:space="preserve">. </w:t>
      </w:r>
      <w:r>
        <w:rPr>
          <w:rFonts w:asciiTheme="majorBidi" w:hAnsiTheme="majorBidi" w:cstheme="majorBidi"/>
          <w:sz w:val="24"/>
          <w:szCs w:val="24"/>
        </w:rPr>
        <w:t xml:space="preserve">An </w:t>
      </w:r>
      <w:r w:rsidRPr="003509F3">
        <w:rPr>
          <w:rFonts w:asciiTheme="majorBidi" w:hAnsiTheme="majorBidi" w:cstheme="majorBidi"/>
          <w:sz w:val="24"/>
          <w:szCs w:val="24"/>
        </w:rPr>
        <w:t>important contribution for this review is that the hardness of an obligation and the institutional location of authority are separable. A regime can contain precise obligations with decentralized implementation, or broad goals coupled with elaborate monitoring and review.</w:t>
      </w:r>
    </w:p>
    <w:p w14:paraId="1B92AC57" w14:textId="77777777" w:rsidR="00BB24A5" w:rsidRPr="003509F3" w:rsidRDefault="00BB24A5" w:rsidP="00BB24A5">
      <w:pPr>
        <w:jc w:val="both"/>
        <w:rPr>
          <w:rFonts w:asciiTheme="majorBidi" w:hAnsiTheme="majorBidi" w:cstheme="majorBidi"/>
          <w:sz w:val="24"/>
          <w:szCs w:val="24"/>
        </w:rPr>
      </w:pPr>
      <w:r w:rsidRPr="003509F3">
        <w:rPr>
          <w:rFonts w:asciiTheme="majorBidi" w:hAnsiTheme="majorBidi" w:cstheme="majorBidi"/>
          <w:sz w:val="24"/>
          <w:szCs w:val="24"/>
        </w:rPr>
        <w:t xml:space="preserve">Comparative law has long classified legal orders by sources of law, institutional organization and legal tradition. Legal-origin approaches subsequently connected historically rooted legal institutions with patterns of economic governance. Their unit of comparison is often the country or legal family. For the present project, their enduring contribution is the idea that legal arrangements form patterned institutional configurations. Their limitation is aggregation: a national legal family does not reveal the governance architecture of a particular statute, sector or regulatory </w:t>
      </w:r>
      <w:proofErr w:type="spellStart"/>
      <w:r w:rsidRPr="003509F3">
        <w:rPr>
          <w:rFonts w:asciiTheme="majorBidi" w:hAnsiTheme="majorBidi" w:cstheme="majorBidi"/>
          <w:sz w:val="24"/>
          <w:szCs w:val="24"/>
        </w:rPr>
        <w:t>programme</w:t>
      </w:r>
      <w:proofErr w:type="spellEnd"/>
      <w:r w:rsidRPr="003509F3">
        <w:rPr>
          <w:rFonts w:asciiTheme="majorBidi" w:hAnsiTheme="majorBidi" w:cstheme="majorBidi"/>
          <w:sz w:val="24"/>
          <w:szCs w:val="24"/>
        </w:rPr>
        <w:t>. The proposed approach therefore shifts the comparative lens from legal systems to legally constituted governance relationships.</w:t>
      </w:r>
      <w:r>
        <w:rPr>
          <w:rFonts w:asciiTheme="majorBidi" w:hAnsiTheme="majorBidi" w:cstheme="majorBidi"/>
          <w:sz w:val="24"/>
          <w:szCs w:val="24"/>
        </w:rPr>
        <w:t xml:space="preserve"> </w:t>
      </w:r>
      <w:r w:rsidRPr="003509F3">
        <w:rPr>
          <w:rFonts w:asciiTheme="majorBidi" w:hAnsiTheme="majorBidi" w:cstheme="majorBidi"/>
          <w:sz w:val="24"/>
          <w:szCs w:val="24"/>
        </w:rPr>
        <w:t xml:space="preserve">Comparative political economy asks how actors coordinate under different institutional arrangements. Hall and Soskice (2001) contrast liberal market economies, in which market relations and contracting play a larger coordinating role, with coordinated market economies, where strategic interaction and non-market institutions are more prominent. The approach contributes two ideas: governance mechanisms vary systematically, and institutions work in configurations rather than isolation. For legal analysis, this </w:t>
      </w:r>
      <w:r w:rsidRPr="003509F3">
        <w:rPr>
          <w:rFonts w:asciiTheme="majorBidi" w:hAnsiTheme="majorBidi" w:cstheme="majorBidi"/>
          <w:sz w:val="24"/>
          <w:szCs w:val="24"/>
        </w:rPr>
        <w:lastRenderedPageBreak/>
        <w:t>suggests coding whether law privileges competition, hierarchy, bargaining, association, professional coordination or hybrid combinations, while avoiding the assumption that one national type necessarily characterizes every sector.</w:t>
      </w:r>
    </w:p>
    <w:p w14:paraId="64EA406C" w14:textId="2DF53D57" w:rsidR="00BB24A5" w:rsidRDefault="00BB24A5" w:rsidP="00BB24A5">
      <w:pPr>
        <w:jc w:val="both"/>
        <w:rPr>
          <w:rFonts w:asciiTheme="majorBidi" w:hAnsiTheme="majorBidi" w:cstheme="majorBidi"/>
          <w:sz w:val="24"/>
          <w:szCs w:val="24"/>
        </w:rPr>
      </w:pPr>
      <w:r w:rsidRPr="003509F3">
        <w:rPr>
          <w:rFonts w:asciiTheme="majorBidi" w:hAnsiTheme="majorBidi" w:cstheme="majorBidi"/>
          <w:sz w:val="24"/>
          <w:szCs w:val="24"/>
        </w:rPr>
        <w:t xml:space="preserve">Socio-legal institutionalism demonstrates that formal architecture is not identical to operational architecture. Edelman, </w:t>
      </w:r>
      <w:proofErr w:type="spellStart"/>
      <w:r w:rsidRPr="003509F3">
        <w:rPr>
          <w:rFonts w:asciiTheme="majorBidi" w:hAnsiTheme="majorBidi" w:cstheme="majorBidi"/>
          <w:sz w:val="24"/>
          <w:szCs w:val="24"/>
        </w:rPr>
        <w:t>Uggen</w:t>
      </w:r>
      <w:proofErr w:type="spellEnd"/>
      <w:r w:rsidRPr="003509F3">
        <w:rPr>
          <w:rFonts w:asciiTheme="majorBidi" w:hAnsiTheme="majorBidi" w:cstheme="majorBidi"/>
          <w:sz w:val="24"/>
          <w:szCs w:val="24"/>
        </w:rPr>
        <w:t xml:space="preserve"> and Erlanger (1999) show how organizations and professions construct compliance practices that may subsequently be recognized by courts, creating feedback from organizational practice into legal meaning. This literature introduces recursion and interpretation. A complete research design should therefore distinguish legal architecture as written, implementation architecture as organized, and governance architecture as practiced.</w:t>
      </w:r>
    </w:p>
    <w:p w14:paraId="343EFF55" w14:textId="7D44C20F" w:rsidR="003D4F54" w:rsidRDefault="003D4F54" w:rsidP="00BB24A5">
      <w:pPr>
        <w:jc w:val="both"/>
        <w:rPr>
          <w:rFonts w:asciiTheme="majorBidi" w:hAnsiTheme="majorBidi" w:cstheme="majorBidi"/>
          <w:sz w:val="24"/>
          <w:szCs w:val="24"/>
        </w:rPr>
      </w:pPr>
    </w:p>
    <w:p w14:paraId="70BB29C5" w14:textId="77777777" w:rsidR="003D4F54" w:rsidRPr="003D4F54" w:rsidRDefault="003D4F54" w:rsidP="003D4F54">
      <w:pPr>
        <w:rPr>
          <w:rFonts w:asciiTheme="majorBidi" w:hAnsiTheme="majorBidi" w:cstheme="majorBidi"/>
          <w:b/>
          <w:bCs/>
          <w:sz w:val="24"/>
          <w:szCs w:val="24"/>
        </w:rPr>
      </w:pPr>
      <w:r w:rsidRPr="003D4F54">
        <w:rPr>
          <w:rFonts w:asciiTheme="majorBidi" w:hAnsiTheme="majorBidi" w:cstheme="majorBidi"/>
          <w:b/>
          <w:bCs/>
          <w:sz w:val="24"/>
          <w:szCs w:val="24"/>
        </w:rPr>
        <w:t>Coding Law at Multiple Levels: Sentences, Provisions, and Legal Acts</w:t>
      </w:r>
    </w:p>
    <w:p w14:paraId="573E5C3B" w14:textId="77777777" w:rsidR="003D4F54" w:rsidRPr="00897A61" w:rsidRDefault="003D4F54" w:rsidP="003D4F54">
      <w:pPr>
        <w:autoSpaceDE w:val="0"/>
        <w:autoSpaceDN w:val="0"/>
        <w:adjustRightInd w:val="0"/>
        <w:spacing w:after="180" w:line="240" w:lineRule="auto"/>
        <w:jc w:val="both"/>
        <w:rPr>
          <w:rFonts w:asciiTheme="majorBidi" w:hAnsiTheme="majorBidi" w:cstheme="majorBidi"/>
          <w:sz w:val="24"/>
          <w:szCs w:val="24"/>
        </w:rPr>
      </w:pPr>
      <w:r w:rsidRPr="00897A61">
        <w:rPr>
          <w:rFonts w:asciiTheme="majorBidi" w:hAnsiTheme="majorBidi" w:cstheme="majorBidi"/>
          <w:sz w:val="24"/>
          <w:szCs w:val="24"/>
        </w:rPr>
        <w:t xml:space="preserve">The quantitative study of law has developed along three increasingly complementary levels of analysis: the legal act, the provision, and the institutional statement or sentence. At the </w:t>
      </w:r>
      <w:r w:rsidRPr="003D4F54">
        <w:rPr>
          <w:rFonts w:asciiTheme="majorBidi" w:hAnsiTheme="majorBidi" w:cstheme="majorBidi"/>
          <w:sz w:val="24"/>
          <w:szCs w:val="24"/>
          <w:u w:val="single"/>
        </w:rPr>
        <w:t>law or document level</w:t>
      </w:r>
      <w:r w:rsidRPr="00897A61">
        <w:rPr>
          <w:rFonts w:asciiTheme="majorBidi" w:hAnsiTheme="majorBidi" w:cstheme="majorBidi"/>
          <w:sz w:val="24"/>
          <w:szCs w:val="24"/>
        </w:rPr>
        <w:t>, the most influential projects transform complex bodies of law into comparable attributes or indices. The Comparative Constitutions Project (CCP), for example, codes constitutional texts through a survey containing more than 650 questions, covering governmental structure, rights, federalism, elections, amendment procedures, and regulatory and oversight institutions (Elkins, Ginsburg and Melton 2009). Its design combines independent double coding with reconciliation and records the constitutional article supporting each coded answer.</w:t>
      </w:r>
      <w:r w:rsidRPr="00897A61">
        <w:rPr>
          <w:rStyle w:val="EndnoteReference"/>
          <w:rFonts w:asciiTheme="majorBidi" w:hAnsiTheme="majorBidi" w:cstheme="majorBidi"/>
          <w:sz w:val="24"/>
          <w:szCs w:val="24"/>
        </w:rPr>
        <w:endnoteReference w:id="1"/>
      </w:r>
      <w:r w:rsidRPr="00897A61">
        <w:rPr>
          <w:rFonts w:asciiTheme="majorBidi" w:hAnsiTheme="majorBidi" w:cstheme="majorBidi"/>
          <w:sz w:val="24"/>
          <w:szCs w:val="24"/>
        </w:rPr>
        <w:t xml:space="preserve"> The Cambridge Centre for Business Research (CBR) </w:t>
      </w:r>
      <w:proofErr w:type="spellStart"/>
      <w:r w:rsidRPr="00897A61">
        <w:rPr>
          <w:rFonts w:asciiTheme="majorBidi" w:hAnsiTheme="majorBidi" w:cstheme="majorBidi"/>
          <w:sz w:val="24"/>
          <w:szCs w:val="24"/>
        </w:rPr>
        <w:t>leximetric</w:t>
      </w:r>
      <w:proofErr w:type="spellEnd"/>
      <w:r w:rsidRPr="00897A61">
        <w:rPr>
          <w:rFonts w:asciiTheme="majorBidi" w:hAnsiTheme="majorBidi" w:cstheme="majorBidi"/>
          <w:sz w:val="24"/>
          <w:szCs w:val="24"/>
        </w:rPr>
        <w:t xml:space="preserve"> datasets similarly translate </w:t>
      </w:r>
      <w:proofErr w:type="spellStart"/>
      <w:r w:rsidRPr="00897A61">
        <w:rPr>
          <w:rFonts w:asciiTheme="majorBidi" w:hAnsiTheme="majorBidi" w:cstheme="majorBidi"/>
          <w:sz w:val="24"/>
          <w:szCs w:val="24"/>
        </w:rPr>
        <w:t>labour</w:t>
      </w:r>
      <w:proofErr w:type="spellEnd"/>
      <w:r w:rsidRPr="00897A61">
        <w:rPr>
          <w:rFonts w:asciiTheme="majorBidi" w:hAnsiTheme="majorBidi" w:cstheme="majorBidi"/>
          <w:sz w:val="24"/>
          <w:szCs w:val="24"/>
        </w:rPr>
        <w:t xml:space="preserve">, shareholder, and creditor law into longitudinal indicators; the </w:t>
      </w:r>
      <w:proofErr w:type="spellStart"/>
      <w:r w:rsidRPr="00897A61">
        <w:rPr>
          <w:rFonts w:asciiTheme="majorBidi" w:hAnsiTheme="majorBidi" w:cstheme="majorBidi"/>
          <w:sz w:val="24"/>
          <w:szCs w:val="24"/>
        </w:rPr>
        <w:t>Labour</w:t>
      </w:r>
      <w:proofErr w:type="spellEnd"/>
      <w:r w:rsidRPr="00897A61">
        <w:rPr>
          <w:rFonts w:asciiTheme="majorBidi" w:hAnsiTheme="majorBidi" w:cstheme="majorBidi"/>
          <w:sz w:val="24"/>
          <w:szCs w:val="24"/>
        </w:rPr>
        <w:t xml:space="preserve"> Regulation Index now covers 117 countries from 1970 to 2022 (</w:t>
      </w:r>
      <w:proofErr w:type="spellStart"/>
      <w:r w:rsidRPr="00897A61">
        <w:rPr>
          <w:rFonts w:asciiTheme="majorBidi" w:hAnsiTheme="majorBidi" w:cstheme="majorBidi"/>
          <w:sz w:val="24"/>
          <w:szCs w:val="24"/>
        </w:rPr>
        <w:t>Armour</w:t>
      </w:r>
      <w:proofErr w:type="spellEnd"/>
      <w:r w:rsidRPr="00897A61">
        <w:rPr>
          <w:rFonts w:asciiTheme="majorBidi" w:hAnsiTheme="majorBidi" w:cstheme="majorBidi"/>
          <w:sz w:val="24"/>
          <w:szCs w:val="24"/>
        </w:rPr>
        <w:t xml:space="preserve">, Deakin and </w:t>
      </w:r>
      <w:proofErr w:type="spellStart"/>
      <w:r w:rsidRPr="00897A61">
        <w:rPr>
          <w:rFonts w:asciiTheme="majorBidi" w:hAnsiTheme="majorBidi" w:cstheme="majorBidi"/>
          <w:sz w:val="24"/>
          <w:szCs w:val="24"/>
        </w:rPr>
        <w:t>Siems</w:t>
      </w:r>
      <w:proofErr w:type="spellEnd"/>
      <w:r w:rsidRPr="00897A61">
        <w:rPr>
          <w:rFonts w:asciiTheme="majorBidi" w:hAnsiTheme="majorBidi" w:cstheme="majorBidi"/>
          <w:sz w:val="24"/>
          <w:szCs w:val="24"/>
        </w:rPr>
        <w:t xml:space="preserve"> 2016). Related initiatives such as the World Bank’s </w:t>
      </w:r>
      <w:r w:rsidRPr="00897A61">
        <w:rPr>
          <w:rFonts w:asciiTheme="majorBidi" w:hAnsiTheme="majorBidi" w:cstheme="majorBidi"/>
          <w:i/>
          <w:iCs/>
          <w:sz w:val="24"/>
          <w:szCs w:val="24"/>
        </w:rPr>
        <w:t>Women, Business and the Law</w:t>
      </w:r>
      <w:r w:rsidRPr="00897A61">
        <w:rPr>
          <w:rFonts w:asciiTheme="majorBidi" w:hAnsiTheme="majorBidi" w:cstheme="majorBidi"/>
          <w:sz w:val="24"/>
          <w:szCs w:val="24"/>
        </w:rPr>
        <w:t xml:space="preserve"> and the ILO’s </w:t>
      </w:r>
      <w:proofErr w:type="spellStart"/>
      <w:r w:rsidRPr="00897A61">
        <w:rPr>
          <w:rFonts w:asciiTheme="majorBidi" w:hAnsiTheme="majorBidi" w:cstheme="majorBidi"/>
          <w:sz w:val="24"/>
          <w:szCs w:val="24"/>
        </w:rPr>
        <w:t>EPLex</w:t>
      </w:r>
      <w:proofErr w:type="spellEnd"/>
      <w:r w:rsidRPr="00897A61">
        <w:rPr>
          <w:rFonts w:asciiTheme="majorBidi" w:hAnsiTheme="majorBidi" w:cstheme="majorBidi"/>
          <w:sz w:val="24"/>
          <w:szCs w:val="24"/>
        </w:rPr>
        <w:t xml:space="preserve"> code legally defined rights, protections, and employment rules into standardized comparative indicators. These projects demonstrate the power of act-level coding for cross-national and longitudinal comparison, but their variables normally represent attributes of a legal regime rather than the internal relational structure through which a law organizes governance.</w:t>
      </w:r>
    </w:p>
    <w:p w14:paraId="0E653268" w14:textId="260889E8" w:rsidR="003D4F54" w:rsidRPr="00897A61" w:rsidRDefault="003D4F54" w:rsidP="003D4F54">
      <w:pPr>
        <w:autoSpaceDE w:val="0"/>
        <w:autoSpaceDN w:val="0"/>
        <w:adjustRightInd w:val="0"/>
        <w:spacing w:after="180" w:line="276" w:lineRule="auto"/>
        <w:jc w:val="both"/>
        <w:rPr>
          <w:rFonts w:asciiTheme="majorBidi" w:hAnsiTheme="majorBidi" w:cstheme="majorBidi"/>
          <w:sz w:val="24"/>
          <w:szCs w:val="24"/>
        </w:rPr>
      </w:pPr>
      <w:r w:rsidRPr="00897A61">
        <w:rPr>
          <w:rFonts w:asciiTheme="majorBidi" w:hAnsiTheme="majorBidi" w:cstheme="majorBidi"/>
          <w:sz w:val="24"/>
          <w:szCs w:val="24"/>
        </w:rPr>
        <w:t xml:space="preserve">A second </w:t>
      </w:r>
      <w:r>
        <w:rPr>
          <w:rFonts w:asciiTheme="majorBidi" w:hAnsiTheme="majorBidi" w:cstheme="majorBidi"/>
          <w:sz w:val="24"/>
          <w:szCs w:val="24"/>
        </w:rPr>
        <w:t>strand</w:t>
      </w:r>
      <w:r w:rsidRPr="00897A61">
        <w:rPr>
          <w:rFonts w:asciiTheme="majorBidi" w:hAnsiTheme="majorBidi" w:cstheme="majorBidi"/>
          <w:sz w:val="24"/>
          <w:szCs w:val="24"/>
        </w:rPr>
        <w:t xml:space="preserve"> moves downward to the </w:t>
      </w:r>
      <w:r w:rsidRPr="003D4F54">
        <w:rPr>
          <w:rFonts w:asciiTheme="majorBidi" w:hAnsiTheme="majorBidi" w:cstheme="majorBidi"/>
          <w:sz w:val="24"/>
          <w:szCs w:val="24"/>
          <w:u w:val="single"/>
        </w:rPr>
        <w:t>provision or article level</w:t>
      </w:r>
      <w:r w:rsidRPr="00897A61">
        <w:rPr>
          <w:rFonts w:asciiTheme="majorBidi" w:hAnsiTheme="majorBidi" w:cstheme="majorBidi"/>
          <w:sz w:val="24"/>
          <w:szCs w:val="24"/>
        </w:rPr>
        <w:t xml:space="preserve">. This level is particularly important where a single legal act contains heterogeneous regulatory purposes, actors, and forms of authority. </w:t>
      </w:r>
      <w:proofErr w:type="spellStart"/>
      <w:r w:rsidRPr="00897A61">
        <w:rPr>
          <w:rFonts w:asciiTheme="majorBidi" w:hAnsiTheme="majorBidi" w:cstheme="majorBidi"/>
          <w:sz w:val="24"/>
          <w:szCs w:val="24"/>
        </w:rPr>
        <w:t>Seidl</w:t>
      </w:r>
      <w:proofErr w:type="spellEnd"/>
      <w:r w:rsidRPr="00897A61">
        <w:rPr>
          <w:rFonts w:asciiTheme="majorBidi" w:hAnsiTheme="majorBidi" w:cstheme="majorBidi"/>
          <w:sz w:val="24"/>
          <w:szCs w:val="24"/>
        </w:rPr>
        <w:t xml:space="preserve"> and </w:t>
      </w:r>
      <w:proofErr w:type="spellStart"/>
      <w:r w:rsidRPr="00897A61">
        <w:rPr>
          <w:rFonts w:asciiTheme="majorBidi" w:hAnsiTheme="majorBidi" w:cstheme="majorBidi"/>
          <w:sz w:val="24"/>
          <w:szCs w:val="24"/>
        </w:rPr>
        <w:t>Kosti’s</w:t>
      </w:r>
      <w:proofErr w:type="spellEnd"/>
      <w:r w:rsidRPr="00897A61">
        <w:rPr>
          <w:rFonts w:asciiTheme="majorBidi" w:hAnsiTheme="majorBidi" w:cstheme="majorBidi"/>
          <w:sz w:val="24"/>
          <w:szCs w:val="24"/>
        </w:rPr>
        <w:t xml:space="preserve"> (2026) </w:t>
      </w:r>
      <w:r w:rsidRPr="00897A61">
        <w:rPr>
          <w:rFonts w:asciiTheme="majorBidi" w:hAnsiTheme="majorBidi" w:cstheme="majorBidi"/>
          <w:i/>
          <w:iCs/>
          <w:sz w:val="24"/>
          <w:szCs w:val="24"/>
        </w:rPr>
        <w:t>Mapping Europe’s Digital Acquis</w:t>
      </w:r>
      <w:r w:rsidRPr="00897A61">
        <w:rPr>
          <w:rFonts w:asciiTheme="majorBidi" w:hAnsiTheme="majorBidi" w:cstheme="majorBidi"/>
          <w:sz w:val="24"/>
          <w:szCs w:val="24"/>
        </w:rPr>
        <w:t xml:space="preserve"> provides an unusually ambitious example. They decompose 146,234 EU regulations, directives, and decisions into 1,956,898 recitals and (sub-)article units and classify provisions according to whether they concern digital policy, their deontic tone (obligation, prohibition, permission, or none), the actor regulated, and their rights and market orientation. Their central methodological claim is that the legal act may be too coarse a unit because different paragraphs within the same article can perform different regulatory tasks. Measurements made at provision level can subsequently be aggregated upward to acts, fields, or the corpus as a whole (</w:t>
      </w:r>
      <w:proofErr w:type="spellStart"/>
      <w:r w:rsidRPr="00897A61">
        <w:rPr>
          <w:rFonts w:asciiTheme="majorBidi" w:hAnsiTheme="majorBidi" w:cstheme="majorBidi"/>
          <w:sz w:val="24"/>
          <w:szCs w:val="24"/>
        </w:rPr>
        <w:t>Seidl</w:t>
      </w:r>
      <w:proofErr w:type="spellEnd"/>
      <w:r w:rsidRPr="00897A61">
        <w:rPr>
          <w:rFonts w:asciiTheme="majorBidi" w:hAnsiTheme="majorBidi" w:cstheme="majorBidi"/>
          <w:sz w:val="24"/>
          <w:szCs w:val="24"/>
        </w:rPr>
        <w:t xml:space="preserve"> and </w:t>
      </w:r>
      <w:proofErr w:type="spellStart"/>
      <w:r w:rsidRPr="00897A61">
        <w:rPr>
          <w:rFonts w:asciiTheme="majorBidi" w:hAnsiTheme="majorBidi" w:cstheme="majorBidi"/>
          <w:sz w:val="24"/>
          <w:szCs w:val="24"/>
        </w:rPr>
        <w:t>Kosti</w:t>
      </w:r>
      <w:proofErr w:type="spellEnd"/>
      <w:r w:rsidRPr="00897A61">
        <w:rPr>
          <w:rFonts w:asciiTheme="majorBidi" w:hAnsiTheme="majorBidi" w:cstheme="majorBidi"/>
          <w:sz w:val="24"/>
          <w:szCs w:val="24"/>
        </w:rPr>
        <w:t xml:space="preserve"> 2026).</w:t>
      </w:r>
      <w:r w:rsidRPr="00897A61">
        <w:rPr>
          <w:rStyle w:val="EndnoteReference"/>
          <w:rFonts w:asciiTheme="majorBidi" w:hAnsiTheme="majorBidi" w:cstheme="majorBidi"/>
          <w:sz w:val="24"/>
          <w:szCs w:val="24"/>
        </w:rPr>
        <w:endnoteReference w:id="2"/>
      </w:r>
      <w:r w:rsidRPr="00897A61">
        <w:rPr>
          <w:rFonts w:asciiTheme="majorBidi" w:hAnsiTheme="majorBidi" w:cstheme="majorBidi"/>
          <w:sz w:val="24"/>
          <w:szCs w:val="24"/>
        </w:rPr>
        <w:t xml:space="preserve"> This approach is especially promising for governance research because it preserves the location of regulatory obligations and actors inside a law. At the same time, </w:t>
      </w:r>
      <w:proofErr w:type="spellStart"/>
      <w:r w:rsidRPr="00897A61">
        <w:rPr>
          <w:rFonts w:asciiTheme="majorBidi" w:hAnsiTheme="majorBidi" w:cstheme="majorBidi"/>
          <w:sz w:val="24"/>
          <w:szCs w:val="24"/>
        </w:rPr>
        <w:t>Seidl</w:t>
      </w:r>
      <w:proofErr w:type="spellEnd"/>
      <w:r w:rsidRPr="00897A61">
        <w:rPr>
          <w:rFonts w:asciiTheme="majorBidi" w:hAnsiTheme="majorBidi" w:cstheme="majorBidi"/>
          <w:sz w:val="24"/>
          <w:szCs w:val="24"/>
        </w:rPr>
        <w:t xml:space="preserve"> and </w:t>
      </w:r>
      <w:proofErr w:type="spellStart"/>
      <w:r w:rsidRPr="00897A61">
        <w:rPr>
          <w:rFonts w:asciiTheme="majorBidi" w:hAnsiTheme="majorBidi" w:cstheme="majorBidi"/>
          <w:sz w:val="24"/>
          <w:szCs w:val="24"/>
        </w:rPr>
        <w:t>Kosti</w:t>
      </w:r>
      <w:proofErr w:type="spellEnd"/>
      <w:r w:rsidRPr="00897A61">
        <w:rPr>
          <w:rFonts w:asciiTheme="majorBidi" w:hAnsiTheme="majorBidi" w:cstheme="majorBidi"/>
          <w:sz w:val="24"/>
          <w:szCs w:val="24"/>
        </w:rPr>
        <w:t xml:space="preserve"> explicitly identify a remaining limitation: provisions are treated largely as separate observations, rather than as elements connected through relationships. Provision-level coding therefore supplies granularity without, by itself, reconstructing governance architecture.</w:t>
      </w:r>
    </w:p>
    <w:p w14:paraId="5B4B73A1" w14:textId="77777777" w:rsidR="003D4F54" w:rsidRPr="00897A61" w:rsidRDefault="003D4F54" w:rsidP="003D4F54">
      <w:pPr>
        <w:autoSpaceDE w:val="0"/>
        <w:autoSpaceDN w:val="0"/>
        <w:adjustRightInd w:val="0"/>
        <w:spacing w:after="180" w:line="276" w:lineRule="auto"/>
        <w:jc w:val="both"/>
        <w:rPr>
          <w:rFonts w:asciiTheme="majorBidi" w:hAnsiTheme="majorBidi" w:cstheme="majorBidi"/>
          <w:sz w:val="24"/>
          <w:szCs w:val="24"/>
        </w:rPr>
      </w:pPr>
      <w:r w:rsidRPr="00897A61">
        <w:rPr>
          <w:rFonts w:asciiTheme="majorBidi" w:hAnsiTheme="majorBidi" w:cstheme="majorBidi"/>
          <w:sz w:val="24"/>
          <w:szCs w:val="24"/>
        </w:rPr>
        <w:t xml:space="preserve">The most fine-grained approaches operate at the level of the </w:t>
      </w:r>
      <w:r w:rsidRPr="003D4F54">
        <w:rPr>
          <w:rFonts w:asciiTheme="majorBidi" w:hAnsiTheme="majorBidi" w:cstheme="majorBidi"/>
          <w:sz w:val="24"/>
          <w:szCs w:val="24"/>
          <w:u w:val="single"/>
        </w:rPr>
        <w:t>sentence or institutional statement.</w:t>
      </w:r>
      <w:r w:rsidRPr="00897A61">
        <w:rPr>
          <w:rFonts w:asciiTheme="majorBidi" w:hAnsiTheme="majorBidi" w:cstheme="majorBidi"/>
          <w:sz w:val="24"/>
          <w:szCs w:val="24"/>
        </w:rPr>
        <w:t xml:space="preserve"> Crawford and Ostrom’s (1995) “grammar of institutions” pioneered the decomposition of institutional statements into syntactic components specifying actors, actions, deontic operators, conditions, and sanctions. </w:t>
      </w:r>
      <w:r w:rsidRPr="00897A61">
        <w:rPr>
          <w:rFonts w:asciiTheme="majorBidi" w:hAnsiTheme="majorBidi" w:cstheme="majorBidi"/>
          <w:sz w:val="24"/>
          <w:szCs w:val="24"/>
        </w:rPr>
        <w:lastRenderedPageBreak/>
        <w:t xml:space="preserve">Institutional Grammar 2.0 extends this approach to regulative, constitutive, and hybrid statements and offers different levels of encoding designed to balance conceptual detail and computational tractability (Frantz and </w:t>
      </w:r>
      <w:proofErr w:type="spellStart"/>
      <w:r w:rsidRPr="00897A61">
        <w:rPr>
          <w:rFonts w:asciiTheme="majorBidi" w:hAnsiTheme="majorBidi" w:cstheme="majorBidi"/>
          <w:sz w:val="24"/>
          <w:szCs w:val="24"/>
        </w:rPr>
        <w:t>Siddiki</w:t>
      </w:r>
      <w:proofErr w:type="spellEnd"/>
      <w:r w:rsidRPr="00897A61">
        <w:rPr>
          <w:rFonts w:asciiTheme="majorBidi" w:hAnsiTheme="majorBidi" w:cstheme="majorBidi"/>
          <w:sz w:val="24"/>
          <w:szCs w:val="24"/>
        </w:rPr>
        <w:t xml:space="preserve"> 2021, 2022; </w:t>
      </w:r>
      <w:proofErr w:type="spellStart"/>
      <w:r w:rsidRPr="00897A61">
        <w:rPr>
          <w:rFonts w:asciiTheme="majorBidi" w:hAnsiTheme="majorBidi" w:cstheme="majorBidi"/>
          <w:sz w:val="24"/>
          <w:szCs w:val="24"/>
        </w:rPr>
        <w:t>Siddiki</w:t>
      </w:r>
      <w:proofErr w:type="spellEnd"/>
      <w:r w:rsidRPr="00897A61">
        <w:rPr>
          <w:rFonts w:asciiTheme="majorBidi" w:hAnsiTheme="majorBidi" w:cstheme="majorBidi"/>
          <w:sz w:val="24"/>
          <w:szCs w:val="24"/>
        </w:rPr>
        <w:t xml:space="preserve"> and Frantz 2024). This is important because legal sentences frequently contain relational information that disappears when a whole article receives a single code: who must do what, under which conditions, toward whom, and with what consequences. </w:t>
      </w:r>
      <w:proofErr w:type="spellStart"/>
      <w:r w:rsidRPr="00897A61">
        <w:rPr>
          <w:rFonts w:asciiTheme="majorBidi" w:hAnsiTheme="majorBidi" w:cstheme="majorBidi"/>
          <w:sz w:val="24"/>
          <w:szCs w:val="24"/>
        </w:rPr>
        <w:t>RegData</w:t>
      </w:r>
      <w:proofErr w:type="spellEnd"/>
      <w:r w:rsidRPr="00897A61">
        <w:rPr>
          <w:rFonts w:asciiTheme="majorBidi" w:hAnsiTheme="majorBidi" w:cstheme="majorBidi"/>
          <w:sz w:val="24"/>
          <w:szCs w:val="24"/>
        </w:rPr>
        <w:t xml:space="preserve"> represents a different form of fine-grained textual measurement, identifying legally restrictive terms such as “shall”, “must”, and “prohibited” and using text analysis and machine learning to measure regulatory restrictiveness and industry relevance (Al-</w:t>
      </w:r>
      <w:proofErr w:type="spellStart"/>
      <w:r w:rsidRPr="00897A61">
        <w:rPr>
          <w:rFonts w:asciiTheme="majorBidi" w:hAnsiTheme="majorBidi" w:cstheme="majorBidi"/>
          <w:sz w:val="24"/>
          <w:szCs w:val="24"/>
        </w:rPr>
        <w:t>Ubaydli</w:t>
      </w:r>
      <w:proofErr w:type="spellEnd"/>
      <w:r w:rsidRPr="00897A61">
        <w:rPr>
          <w:rFonts w:asciiTheme="majorBidi" w:hAnsiTheme="majorBidi" w:cstheme="majorBidi"/>
          <w:sz w:val="24"/>
          <w:szCs w:val="24"/>
        </w:rPr>
        <w:t xml:space="preserve"> and McLaughlin 2017). Such approaches show that sentence-level analysis can recover the elementary components of legal direction, although lexical counts alone reveal less about institutional roles and relationships.</w:t>
      </w:r>
    </w:p>
    <w:p w14:paraId="789FDC00" w14:textId="77777777" w:rsidR="003D4F54" w:rsidRPr="00897A61" w:rsidRDefault="003D4F54" w:rsidP="003D4F54">
      <w:pPr>
        <w:autoSpaceDE w:val="0"/>
        <w:autoSpaceDN w:val="0"/>
        <w:adjustRightInd w:val="0"/>
        <w:spacing w:after="180" w:line="276" w:lineRule="auto"/>
        <w:jc w:val="both"/>
        <w:rPr>
          <w:rFonts w:asciiTheme="majorBidi" w:hAnsiTheme="majorBidi" w:cstheme="majorBidi"/>
          <w:sz w:val="24"/>
          <w:szCs w:val="24"/>
        </w:rPr>
      </w:pPr>
      <w:r w:rsidRPr="00897A61">
        <w:rPr>
          <w:rFonts w:asciiTheme="majorBidi" w:hAnsiTheme="majorBidi" w:cstheme="majorBidi"/>
          <w:sz w:val="24"/>
          <w:szCs w:val="24"/>
        </w:rPr>
        <w:t xml:space="preserve">Taken together, these traditions suggest that there is no universally optimal unit of legal coding. Rather, </w:t>
      </w:r>
      <w:r w:rsidRPr="003D4F54">
        <w:rPr>
          <w:rFonts w:asciiTheme="majorBidi" w:hAnsiTheme="majorBidi" w:cstheme="majorBidi"/>
          <w:sz w:val="24"/>
          <w:szCs w:val="24"/>
          <w:u w:val="single"/>
        </w:rPr>
        <w:t>sentence, provision, and law are nested analytical levels</w:t>
      </w:r>
      <w:r w:rsidRPr="00897A61">
        <w:rPr>
          <w:rFonts w:asciiTheme="majorBidi" w:hAnsiTheme="majorBidi" w:cstheme="majorBidi"/>
          <w:sz w:val="24"/>
          <w:szCs w:val="24"/>
        </w:rPr>
        <w:t>. Act-level datasets maximize comparative breadth; provision-level approaches preserve internal legal heterogeneity; and statement-level coding captures the grammar of obligations, permissions, actors, conditions, and consequences. For the study of law as governance, the most promising design is therefore multilevel: preserve the sentence or statement as the lowest traceable observation, locate it within its provision and legal act, and aggregate upward without discarding relational information. This architecture would permit researchers to combine the scale of contemporary computational legal analysis with a richer reconstruction of who governs whom, through which functions and mechanisms, and under what forms of authority and accountability.</w:t>
      </w:r>
      <w:r w:rsidRPr="00897A61">
        <w:rPr>
          <w:rStyle w:val="EndnoteReference"/>
          <w:rFonts w:asciiTheme="majorBidi" w:hAnsiTheme="majorBidi" w:cstheme="majorBidi"/>
          <w:sz w:val="24"/>
          <w:szCs w:val="24"/>
        </w:rPr>
        <w:endnoteReference w:id="3"/>
      </w:r>
    </w:p>
    <w:p w14:paraId="2FD6BBBD" w14:textId="77777777" w:rsidR="003D4F54" w:rsidRDefault="003D4F54" w:rsidP="003D4F54">
      <w:pPr>
        <w:spacing w:line="276" w:lineRule="auto"/>
        <w:jc w:val="both"/>
        <w:rPr>
          <w:rFonts w:asciiTheme="majorBidi" w:hAnsiTheme="majorBidi" w:cstheme="majorBidi"/>
          <w:sz w:val="24"/>
          <w:szCs w:val="24"/>
        </w:rPr>
        <w:sectPr w:rsidR="003D4F54" w:rsidSect="00034616">
          <w:footerReference w:type="default" r:id="rId8"/>
          <w:endnotePr>
            <w:numFmt w:val="decimal"/>
          </w:endnotePr>
          <w:pgSz w:w="12240" w:h="15840"/>
          <w:pgMar w:top="1037" w:right="1123" w:bottom="1037" w:left="1123" w:header="720" w:footer="720" w:gutter="0"/>
          <w:cols w:space="720"/>
          <w:docGrid w:linePitch="360"/>
        </w:sectPr>
      </w:pPr>
    </w:p>
    <w:p w14:paraId="35DA63E3" w14:textId="64196F88" w:rsidR="003902C2" w:rsidRPr="00BB24A5" w:rsidRDefault="00BB24A5" w:rsidP="005219AB">
      <w:pPr>
        <w:pStyle w:val="Heading1"/>
        <w:rPr>
          <w:rFonts w:asciiTheme="majorBidi" w:hAnsiTheme="majorBidi"/>
          <w:color w:val="auto"/>
          <w:sz w:val="24"/>
          <w:szCs w:val="24"/>
        </w:rPr>
      </w:pPr>
      <w:r w:rsidRPr="00BB24A5">
        <w:rPr>
          <w:rFonts w:asciiTheme="majorBidi" w:hAnsiTheme="majorBidi"/>
          <w:color w:val="auto"/>
          <w:sz w:val="24"/>
          <w:szCs w:val="24"/>
        </w:rPr>
        <w:t xml:space="preserve">3. Foundational Dimensions: Objects </w:t>
      </w:r>
    </w:p>
    <w:p w14:paraId="5D17936C" w14:textId="77777777" w:rsidR="00131948" w:rsidRDefault="00131948" w:rsidP="00131948">
      <w:pPr>
        <w:rPr>
          <w:rFonts w:asciiTheme="majorBidi" w:hAnsiTheme="majorBidi" w:cstheme="majorBidi"/>
          <w:sz w:val="24"/>
          <w:szCs w:val="24"/>
        </w:rPr>
      </w:pPr>
    </w:p>
    <w:p w14:paraId="62916C1E" w14:textId="77777777" w:rsidR="00131948" w:rsidRDefault="00131948" w:rsidP="00131948">
      <w:pPr>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9984"/>
      </w:tblGrid>
      <w:tr w:rsidR="00131948" w14:paraId="4AAF69BF" w14:textId="77777777" w:rsidTr="00131948">
        <w:tc>
          <w:tcPr>
            <w:tcW w:w="10210" w:type="dxa"/>
          </w:tcPr>
          <w:p w14:paraId="04CEC996" w14:textId="77777777" w:rsidR="002835F4" w:rsidRPr="002835F4" w:rsidRDefault="002835F4" w:rsidP="002835F4">
            <w:pPr>
              <w:numPr>
                <w:ilvl w:val="0"/>
                <w:numId w:val="12"/>
              </w:numPr>
              <w:rPr>
                <w:rFonts w:asciiTheme="majorBidi" w:eastAsia="Times New Roman" w:hAnsiTheme="majorBidi" w:cstheme="majorBidi"/>
                <w:sz w:val="24"/>
                <w:szCs w:val="24"/>
                <w:lang w:bidi="he-IL"/>
              </w:rPr>
            </w:pPr>
            <w:r>
              <w:t>Objects — what is governed</w:t>
            </w:r>
          </w:p>
          <w:p w14:paraId="2C236A61" w14:textId="77777777" w:rsidR="002835F4" w:rsidRPr="002835F4" w:rsidRDefault="002835F4" w:rsidP="002835F4">
            <w:pPr>
              <w:numPr>
                <w:ilvl w:val="0"/>
                <w:numId w:val="12"/>
              </w:numPr>
              <w:rPr>
                <w:rFonts w:asciiTheme="majorBidi" w:eastAsia="Times New Roman" w:hAnsiTheme="majorBidi" w:cstheme="majorBidi"/>
                <w:sz w:val="24"/>
                <w:szCs w:val="24"/>
                <w:lang w:bidi="he-IL"/>
              </w:rPr>
            </w:pPr>
            <w:r>
              <w:t xml:space="preserve">Actors — who governs and is governed </w:t>
            </w:r>
          </w:p>
          <w:p w14:paraId="4524DC33" w14:textId="77777777" w:rsidR="002835F4" w:rsidRPr="002835F4" w:rsidRDefault="002835F4" w:rsidP="002835F4">
            <w:pPr>
              <w:numPr>
                <w:ilvl w:val="0"/>
                <w:numId w:val="12"/>
              </w:numPr>
              <w:rPr>
                <w:rFonts w:asciiTheme="majorBidi" w:eastAsia="Times New Roman" w:hAnsiTheme="majorBidi" w:cstheme="majorBidi"/>
                <w:sz w:val="24"/>
                <w:szCs w:val="24"/>
                <w:lang w:bidi="he-IL"/>
              </w:rPr>
            </w:pPr>
            <w:r>
              <w:t xml:space="preserve">Functions — what governance work is performed </w:t>
            </w:r>
          </w:p>
          <w:p w14:paraId="1E3EE51C" w14:textId="77777777" w:rsidR="002835F4" w:rsidRPr="002835F4" w:rsidRDefault="002835F4" w:rsidP="002835F4">
            <w:pPr>
              <w:numPr>
                <w:ilvl w:val="0"/>
                <w:numId w:val="12"/>
              </w:numPr>
              <w:rPr>
                <w:rFonts w:asciiTheme="majorBidi" w:eastAsia="Times New Roman" w:hAnsiTheme="majorBidi" w:cstheme="majorBidi"/>
                <w:sz w:val="24"/>
                <w:szCs w:val="24"/>
                <w:lang w:bidi="he-IL"/>
              </w:rPr>
            </w:pPr>
            <w:r>
              <w:t>Mechanisms — how governing is exercised</w:t>
            </w:r>
          </w:p>
          <w:p w14:paraId="6BC574A8" w14:textId="77777777" w:rsidR="002835F4" w:rsidRPr="002835F4" w:rsidRDefault="002835F4" w:rsidP="002835F4">
            <w:pPr>
              <w:numPr>
                <w:ilvl w:val="0"/>
                <w:numId w:val="12"/>
              </w:numPr>
              <w:rPr>
                <w:rFonts w:asciiTheme="majorBidi" w:eastAsia="Times New Roman" w:hAnsiTheme="majorBidi" w:cstheme="majorBidi"/>
                <w:sz w:val="24"/>
                <w:szCs w:val="24"/>
                <w:lang w:bidi="he-IL"/>
              </w:rPr>
            </w:pPr>
            <w:r>
              <w:t>Relationships — how actors are institutionally connected in governing</w:t>
            </w:r>
          </w:p>
          <w:p w14:paraId="71CDF6BD" w14:textId="77777777" w:rsidR="002835F4" w:rsidRPr="002835F4" w:rsidRDefault="002835F4" w:rsidP="002835F4">
            <w:pPr>
              <w:numPr>
                <w:ilvl w:val="0"/>
                <w:numId w:val="12"/>
              </w:numPr>
              <w:rPr>
                <w:rFonts w:asciiTheme="majorBidi" w:eastAsia="Times New Roman" w:hAnsiTheme="majorBidi" w:cstheme="majorBidi"/>
                <w:sz w:val="24"/>
                <w:szCs w:val="24"/>
                <w:lang w:bidi="he-IL"/>
              </w:rPr>
            </w:pPr>
            <w:r>
              <w:t xml:space="preserve">Strategies - the </w:t>
            </w:r>
            <w:r w:rsidRPr="009D1438">
              <w:rPr>
                <w:rFonts w:asciiTheme="majorBidi" w:hAnsiTheme="majorBidi" w:cstheme="majorBidi"/>
                <w:sz w:val="24"/>
                <w:szCs w:val="24"/>
              </w:rPr>
              <w:t>approach</w:t>
            </w:r>
            <w:r>
              <w:rPr>
                <w:rFonts w:asciiTheme="majorBidi" w:hAnsiTheme="majorBidi" w:cstheme="majorBidi"/>
                <w:sz w:val="24"/>
                <w:szCs w:val="24"/>
              </w:rPr>
              <w:t>es</w:t>
            </w:r>
            <w:r w:rsidRPr="009D1438">
              <w:rPr>
                <w:rFonts w:asciiTheme="majorBidi" w:hAnsiTheme="majorBidi" w:cstheme="majorBidi"/>
                <w:sz w:val="24"/>
                <w:szCs w:val="24"/>
              </w:rPr>
              <w:t xml:space="preserve"> through which public authority structures the obligations of regulated actors in order to achieve regulatory goals</w:t>
            </w:r>
            <w:r>
              <w:t xml:space="preserve"> </w:t>
            </w:r>
          </w:p>
          <w:p w14:paraId="0CB1370E" w14:textId="77777777" w:rsidR="002835F4" w:rsidRPr="002835F4" w:rsidRDefault="002835F4" w:rsidP="002835F4">
            <w:pPr>
              <w:numPr>
                <w:ilvl w:val="0"/>
                <w:numId w:val="12"/>
              </w:numPr>
              <w:rPr>
                <w:rFonts w:asciiTheme="majorBidi" w:eastAsia="Times New Roman" w:hAnsiTheme="majorBidi" w:cstheme="majorBidi"/>
                <w:sz w:val="24"/>
                <w:szCs w:val="24"/>
                <w:lang w:bidi="he-IL"/>
              </w:rPr>
            </w:pPr>
            <w:r>
              <w:t>Architectures — how actors and relationships are structurally configured</w:t>
            </w:r>
          </w:p>
          <w:p w14:paraId="57C20E67" w14:textId="0599D2BB" w:rsidR="00131948" w:rsidRPr="00131948" w:rsidRDefault="002835F4" w:rsidP="002835F4">
            <w:pPr>
              <w:numPr>
                <w:ilvl w:val="0"/>
                <w:numId w:val="12"/>
              </w:numPr>
              <w:rPr>
                <w:rFonts w:asciiTheme="majorBidi" w:eastAsia="Times New Roman" w:hAnsiTheme="majorBidi" w:cstheme="majorBidi"/>
                <w:sz w:val="24"/>
                <w:szCs w:val="24"/>
                <w:lang w:bidi="he-IL"/>
              </w:rPr>
            </w:pPr>
            <w:r>
              <w:t>Governance Logic — the underlying principle by which governance is organized and coordinated</w:t>
            </w:r>
          </w:p>
        </w:tc>
      </w:tr>
    </w:tbl>
    <w:p w14:paraId="1A8E386E" w14:textId="77777777" w:rsidR="00131948" w:rsidRDefault="00131948">
      <w:pPr>
        <w:pStyle w:val="Heading2"/>
        <w:rPr>
          <w:rFonts w:asciiTheme="majorBidi" w:hAnsiTheme="majorBidi"/>
          <w:color w:val="auto"/>
          <w:sz w:val="24"/>
          <w:szCs w:val="24"/>
        </w:rPr>
      </w:pPr>
    </w:p>
    <w:p w14:paraId="581F3515" w14:textId="77777777" w:rsidR="00094FA3" w:rsidRDefault="00094FA3">
      <w:pPr>
        <w:spacing w:after="200" w:line="276" w:lineRule="auto"/>
        <w:rPr>
          <w:rFonts w:asciiTheme="majorBidi" w:eastAsiaTheme="majorEastAsia" w:hAnsiTheme="majorBidi" w:cstheme="majorBidi"/>
          <w:b/>
          <w:bCs/>
          <w:sz w:val="24"/>
          <w:szCs w:val="24"/>
        </w:rPr>
      </w:pPr>
      <w:r>
        <w:rPr>
          <w:rFonts w:asciiTheme="majorBidi" w:hAnsiTheme="majorBidi"/>
          <w:sz w:val="24"/>
          <w:szCs w:val="24"/>
        </w:rPr>
        <w:br w:type="page"/>
      </w:r>
    </w:p>
    <w:p w14:paraId="5142DBC4" w14:textId="6549B7DB" w:rsidR="003902C2" w:rsidRPr="00BB24A5" w:rsidRDefault="00BB24A5">
      <w:pPr>
        <w:pStyle w:val="Heading2"/>
        <w:rPr>
          <w:rFonts w:asciiTheme="majorBidi" w:hAnsiTheme="majorBidi"/>
          <w:color w:val="auto"/>
          <w:sz w:val="24"/>
          <w:szCs w:val="24"/>
        </w:rPr>
      </w:pPr>
      <w:r w:rsidRPr="00BB24A5">
        <w:rPr>
          <w:rFonts w:asciiTheme="majorBidi" w:hAnsiTheme="majorBidi"/>
          <w:color w:val="auto"/>
          <w:sz w:val="24"/>
          <w:szCs w:val="24"/>
        </w:rPr>
        <w:lastRenderedPageBreak/>
        <w:t>3.1 Objects: what does law govern?</w:t>
      </w:r>
    </w:p>
    <w:p w14:paraId="0CF5C6FF" w14:textId="1B6878BF" w:rsidR="003902C2" w:rsidRDefault="00BB24A5">
      <w:pPr>
        <w:rPr>
          <w:rFonts w:asciiTheme="majorBidi" w:hAnsiTheme="majorBidi" w:cstheme="majorBidi"/>
          <w:sz w:val="24"/>
          <w:szCs w:val="24"/>
        </w:rPr>
      </w:pPr>
      <w:r w:rsidRPr="00BB24A5">
        <w:rPr>
          <w:rFonts w:asciiTheme="majorBidi" w:hAnsiTheme="majorBidi" w:cstheme="majorBidi"/>
          <w:sz w:val="24"/>
          <w:szCs w:val="24"/>
        </w:rPr>
        <w:t>The object of governance is the behaviour, entity, process, relationship or institutional arrangement toward which governance is directed. Classic regulation governs conduct: emissions, prices, employment practices, disclosure or product safety. Contemporary law, however, increasingly governs organizations, processes, information and governance systems themselves.</w:t>
      </w:r>
    </w:p>
    <w:p w14:paraId="11ED00BF" w14:textId="77777777" w:rsidR="00BB24A5" w:rsidRPr="00BB24A5" w:rsidRDefault="00BB24A5">
      <w:pPr>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3330"/>
        <w:gridCol w:w="3327"/>
        <w:gridCol w:w="3327"/>
      </w:tblGrid>
      <w:tr w:rsidR="003902C2" w:rsidRPr="00BB24A5" w14:paraId="4A8D4583" w14:textId="77777777">
        <w:trPr>
          <w:jc w:val="center"/>
        </w:trPr>
        <w:tc>
          <w:tcPr>
            <w:tcW w:w="3331" w:type="dxa"/>
            <w:vAlign w:val="center"/>
          </w:tcPr>
          <w:p w14:paraId="4BDFE17A"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Object</w:t>
            </w:r>
          </w:p>
        </w:tc>
        <w:tc>
          <w:tcPr>
            <w:tcW w:w="3331" w:type="dxa"/>
            <w:vAlign w:val="center"/>
          </w:tcPr>
          <w:p w14:paraId="66D9F20A"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What is governed?</w:t>
            </w:r>
          </w:p>
        </w:tc>
        <w:tc>
          <w:tcPr>
            <w:tcW w:w="3331" w:type="dxa"/>
            <w:vAlign w:val="center"/>
          </w:tcPr>
          <w:p w14:paraId="522758FA"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Illustrations</w:t>
            </w:r>
          </w:p>
        </w:tc>
      </w:tr>
      <w:tr w:rsidR="003902C2" w:rsidRPr="00BB24A5" w14:paraId="01254A2D" w14:textId="77777777">
        <w:trPr>
          <w:jc w:val="center"/>
        </w:trPr>
        <w:tc>
          <w:tcPr>
            <w:tcW w:w="3331" w:type="dxa"/>
            <w:vAlign w:val="center"/>
          </w:tcPr>
          <w:p w14:paraId="28B09280"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Conduct</w:t>
            </w:r>
          </w:p>
        </w:tc>
        <w:tc>
          <w:tcPr>
            <w:tcW w:w="3331" w:type="dxa"/>
            <w:vAlign w:val="center"/>
          </w:tcPr>
          <w:p w14:paraId="18F0FF29"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Behaviour or decisions of persons and organizations</w:t>
            </w:r>
          </w:p>
        </w:tc>
        <w:tc>
          <w:tcPr>
            <w:tcW w:w="3331" w:type="dxa"/>
            <w:vAlign w:val="center"/>
          </w:tcPr>
          <w:p w14:paraId="70798662"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emissions; pricing; hiring; disclosure</w:t>
            </w:r>
          </w:p>
        </w:tc>
      </w:tr>
      <w:tr w:rsidR="003902C2" w:rsidRPr="00BB24A5" w14:paraId="45BCE7AA" w14:textId="77777777">
        <w:trPr>
          <w:jc w:val="center"/>
        </w:trPr>
        <w:tc>
          <w:tcPr>
            <w:tcW w:w="3331" w:type="dxa"/>
            <w:vAlign w:val="center"/>
          </w:tcPr>
          <w:p w14:paraId="0E9B5B78"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Organizations</w:t>
            </w:r>
          </w:p>
        </w:tc>
        <w:tc>
          <w:tcPr>
            <w:tcW w:w="3331" w:type="dxa"/>
            <w:vAlign w:val="center"/>
          </w:tcPr>
          <w:p w14:paraId="7910CA22"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Internal organizational structures and capacities</w:t>
            </w:r>
          </w:p>
        </w:tc>
        <w:tc>
          <w:tcPr>
            <w:tcW w:w="3331" w:type="dxa"/>
            <w:vAlign w:val="center"/>
          </w:tcPr>
          <w:p w14:paraId="142760E5"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compliance units; boards; risk committees</w:t>
            </w:r>
          </w:p>
        </w:tc>
      </w:tr>
      <w:tr w:rsidR="003902C2" w:rsidRPr="00BB24A5" w14:paraId="0B9051F0" w14:textId="77777777">
        <w:trPr>
          <w:jc w:val="center"/>
        </w:trPr>
        <w:tc>
          <w:tcPr>
            <w:tcW w:w="3331" w:type="dxa"/>
            <w:vAlign w:val="center"/>
          </w:tcPr>
          <w:p w14:paraId="7B10409E"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Processes</w:t>
            </w:r>
          </w:p>
        </w:tc>
        <w:tc>
          <w:tcPr>
            <w:tcW w:w="3331" w:type="dxa"/>
            <w:vAlign w:val="center"/>
          </w:tcPr>
          <w:p w14:paraId="398BE1C3"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Procedures through which decisions are made</w:t>
            </w:r>
          </w:p>
        </w:tc>
        <w:tc>
          <w:tcPr>
            <w:tcW w:w="3331" w:type="dxa"/>
            <w:vAlign w:val="center"/>
          </w:tcPr>
          <w:p w14:paraId="4660D320"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due diligence; consultation; risk assessment</w:t>
            </w:r>
          </w:p>
        </w:tc>
      </w:tr>
      <w:tr w:rsidR="003902C2" w:rsidRPr="00BB24A5" w14:paraId="762406C9" w14:textId="77777777">
        <w:trPr>
          <w:jc w:val="center"/>
        </w:trPr>
        <w:tc>
          <w:tcPr>
            <w:tcW w:w="3331" w:type="dxa"/>
            <w:vAlign w:val="center"/>
          </w:tcPr>
          <w:p w14:paraId="3AA41976" w14:textId="10051955"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Information/knowledge</w:t>
            </w:r>
            <w:r w:rsidR="005219AB">
              <w:rPr>
                <w:rFonts w:asciiTheme="majorBidi" w:hAnsiTheme="majorBidi" w:cstheme="majorBidi"/>
                <w:b/>
                <w:bCs/>
                <w:sz w:val="22"/>
              </w:rPr>
              <w:t>/</w:t>
            </w:r>
            <w:r w:rsidR="00524B8E">
              <w:rPr>
                <w:rFonts w:asciiTheme="majorBidi" w:hAnsiTheme="majorBidi" w:cstheme="majorBidi"/>
                <w:b/>
                <w:bCs/>
                <w:sz w:val="22"/>
              </w:rPr>
              <w:t xml:space="preserve"> content</w:t>
            </w:r>
          </w:p>
        </w:tc>
        <w:tc>
          <w:tcPr>
            <w:tcW w:w="3331" w:type="dxa"/>
            <w:vAlign w:val="center"/>
          </w:tcPr>
          <w:p w14:paraId="4471A353" w14:textId="01380FC3" w:rsidR="003902C2" w:rsidRPr="00BB24A5" w:rsidRDefault="00524B8E">
            <w:pPr>
              <w:spacing w:before="30" w:after="30"/>
              <w:rPr>
                <w:rFonts w:asciiTheme="majorBidi" w:hAnsiTheme="majorBidi" w:cstheme="majorBidi"/>
                <w:sz w:val="22"/>
              </w:rPr>
            </w:pPr>
            <w:r>
              <w:rPr>
                <w:rFonts w:asciiTheme="majorBidi" w:hAnsiTheme="majorBidi" w:cstheme="majorBidi"/>
                <w:sz w:val="22"/>
              </w:rPr>
              <w:t xml:space="preserve">Content and its distribution, </w:t>
            </w:r>
            <w:r w:rsidR="00BB24A5" w:rsidRPr="00BB24A5">
              <w:rPr>
                <w:rFonts w:asciiTheme="majorBidi" w:hAnsiTheme="majorBidi" w:cstheme="majorBidi"/>
                <w:sz w:val="22"/>
              </w:rPr>
              <w:t>Production, classification, reporting or circulation of information</w:t>
            </w:r>
          </w:p>
        </w:tc>
        <w:tc>
          <w:tcPr>
            <w:tcW w:w="3331" w:type="dxa"/>
            <w:vAlign w:val="center"/>
          </w:tcPr>
          <w:p w14:paraId="569390BA" w14:textId="7CD7007E" w:rsidR="003902C2" w:rsidRPr="00BB24A5" w:rsidRDefault="00524B8E">
            <w:pPr>
              <w:spacing w:before="30" w:after="30"/>
              <w:rPr>
                <w:rFonts w:asciiTheme="majorBidi" w:hAnsiTheme="majorBidi" w:cstheme="majorBidi"/>
                <w:sz w:val="22"/>
              </w:rPr>
            </w:pPr>
            <w:r>
              <w:rPr>
                <w:rFonts w:asciiTheme="majorBidi" w:hAnsiTheme="majorBidi" w:cstheme="majorBidi"/>
                <w:sz w:val="22"/>
              </w:rPr>
              <w:t xml:space="preserve">Censorship; user-made-content; </w:t>
            </w:r>
            <w:r w:rsidR="00BB24A5" w:rsidRPr="00BB24A5">
              <w:rPr>
                <w:rFonts w:asciiTheme="majorBidi" w:hAnsiTheme="majorBidi" w:cstheme="majorBidi"/>
                <w:sz w:val="22"/>
              </w:rPr>
              <w:t>disclosure; registers; reporting; labels</w:t>
            </w:r>
          </w:p>
        </w:tc>
      </w:tr>
      <w:tr w:rsidR="003902C2" w:rsidRPr="00BB24A5" w14:paraId="53723465" w14:textId="77777777">
        <w:trPr>
          <w:jc w:val="center"/>
        </w:trPr>
        <w:tc>
          <w:tcPr>
            <w:tcW w:w="3331" w:type="dxa"/>
            <w:vAlign w:val="center"/>
          </w:tcPr>
          <w:p w14:paraId="5F253757"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Products/services/technologies</w:t>
            </w:r>
          </w:p>
        </w:tc>
        <w:tc>
          <w:tcPr>
            <w:tcW w:w="3331" w:type="dxa"/>
            <w:vAlign w:val="center"/>
          </w:tcPr>
          <w:p w14:paraId="31C8FB38"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Characteristics of governed outputs or systems</w:t>
            </w:r>
          </w:p>
        </w:tc>
        <w:tc>
          <w:tcPr>
            <w:tcW w:w="3331" w:type="dxa"/>
            <w:vAlign w:val="center"/>
          </w:tcPr>
          <w:p w14:paraId="065A5B6E"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product safety; digital services; algorithms</w:t>
            </w:r>
          </w:p>
        </w:tc>
      </w:tr>
      <w:tr w:rsidR="003902C2" w:rsidRPr="00BB24A5" w14:paraId="45879CB1" w14:textId="77777777">
        <w:trPr>
          <w:jc w:val="center"/>
        </w:trPr>
        <w:tc>
          <w:tcPr>
            <w:tcW w:w="3331" w:type="dxa"/>
            <w:vAlign w:val="center"/>
          </w:tcPr>
          <w:p w14:paraId="5F50F1B0"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Relationships</w:t>
            </w:r>
          </w:p>
        </w:tc>
        <w:tc>
          <w:tcPr>
            <w:tcW w:w="3331" w:type="dxa"/>
            <w:vAlign w:val="center"/>
          </w:tcPr>
          <w:p w14:paraId="3F54D576"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Relations between legally constituted actors</w:t>
            </w:r>
          </w:p>
        </w:tc>
        <w:tc>
          <w:tcPr>
            <w:tcW w:w="3331" w:type="dxa"/>
            <w:vAlign w:val="center"/>
          </w:tcPr>
          <w:p w14:paraId="348DF89E"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auditor-client; platform-user; employer-worker</w:t>
            </w:r>
          </w:p>
        </w:tc>
      </w:tr>
      <w:tr w:rsidR="003902C2" w:rsidRPr="00BB24A5" w14:paraId="51E51FD3" w14:textId="77777777">
        <w:trPr>
          <w:jc w:val="center"/>
        </w:trPr>
        <w:tc>
          <w:tcPr>
            <w:tcW w:w="3331" w:type="dxa"/>
            <w:vAlign w:val="center"/>
          </w:tcPr>
          <w:p w14:paraId="7E92FD3A" w14:textId="77777777" w:rsidR="003902C2" w:rsidRPr="00BB24A5" w:rsidRDefault="00BB24A5">
            <w:pPr>
              <w:spacing w:before="30" w:after="30"/>
              <w:rPr>
                <w:rFonts w:asciiTheme="majorBidi" w:hAnsiTheme="majorBidi" w:cstheme="majorBidi"/>
                <w:b/>
                <w:bCs/>
                <w:sz w:val="22"/>
              </w:rPr>
            </w:pPr>
            <w:r w:rsidRPr="00BB24A5">
              <w:rPr>
                <w:rFonts w:asciiTheme="majorBidi" w:hAnsiTheme="majorBidi" w:cstheme="majorBidi"/>
                <w:b/>
                <w:bCs/>
                <w:sz w:val="22"/>
              </w:rPr>
              <w:t>Risks</w:t>
            </w:r>
          </w:p>
        </w:tc>
        <w:tc>
          <w:tcPr>
            <w:tcW w:w="3331" w:type="dxa"/>
            <w:vAlign w:val="center"/>
          </w:tcPr>
          <w:p w14:paraId="68098C7C"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Identification, assessment and management of possible harms</w:t>
            </w:r>
          </w:p>
        </w:tc>
        <w:tc>
          <w:tcPr>
            <w:tcW w:w="3331" w:type="dxa"/>
            <w:vAlign w:val="center"/>
          </w:tcPr>
          <w:p w14:paraId="515F58F9"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financial; environmental; digital risks</w:t>
            </w:r>
          </w:p>
        </w:tc>
      </w:tr>
      <w:tr w:rsidR="003902C2" w:rsidRPr="00BB24A5" w14:paraId="61F61F91" w14:textId="77777777">
        <w:trPr>
          <w:jc w:val="center"/>
        </w:trPr>
        <w:tc>
          <w:tcPr>
            <w:tcW w:w="3331" w:type="dxa"/>
            <w:vAlign w:val="center"/>
          </w:tcPr>
          <w:p w14:paraId="27272177" w14:textId="77777777" w:rsidR="005219AB" w:rsidRDefault="00BB24A5">
            <w:pPr>
              <w:spacing w:before="30" w:after="30"/>
              <w:rPr>
                <w:rFonts w:asciiTheme="majorBidi" w:hAnsiTheme="majorBidi" w:cstheme="majorBidi"/>
                <w:b/>
                <w:bCs/>
                <w:sz w:val="22"/>
              </w:rPr>
            </w:pPr>
            <w:r w:rsidRPr="00BB24A5">
              <w:rPr>
                <w:rFonts w:asciiTheme="majorBidi" w:hAnsiTheme="majorBidi" w:cstheme="majorBidi"/>
                <w:b/>
                <w:bCs/>
                <w:sz w:val="22"/>
              </w:rPr>
              <w:t>Governance systems</w:t>
            </w:r>
            <w:r w:rsidR="005219AB">
              <w:rPr>
                <w:rFonts w:asciiTheme="majorBidi" w:hAnsiTheme="majorBidi" w:cstheme="majorBidi"/>
                <w:b/>
                <w:bCs/>
                <w:sz w:val="22"/>
              </w:rPr>
              <w:t xml:space="preserve"> </w:t>
            </w:r>
          </w:p>
          <w:p w14:paraId="5E02B38C" w14:textId="42875440" w:rsidR="003902C2" w:rsidRPr="00BB24A5" w:rsidRDefault="005219AB">
            <w:pPr>
              <w:spacing w:before="30" w:after="30"/>
              <w:rPr>
                <w:rFonts w:asciiTheme="majorBidi" w:hAnsiTheme="majorBidi" w:cstheme="majorBidi"/>
                <w:b/>
                <w:bCs/>
                <w:sz w:val="22"/>
              </w:rPr>
            </w:pPr>
            <w:r>
              <w:rPr>
                <w:rFonts w:asciiTheme="majorBidi" w:hAnsiTheme="majorBidi" w:cstheme="majorBidi"/>
                <w:b/>
                <w:bCs/>
                <w:sz w:val="22"/>
              </w:rPr>
              <w:t>(Regulating the regulator)</w:t>
            </w:r>
          </w:p>
        </w:tc>
        <w:tc>
          <w:tcPr>
            <w:tcW w:w="3331" w:type="dxa"/>
            <w:vAlign w:val="center"/>
          </w:tcPr>
          <w:p w14:paraId="28AEF028"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Actors and processes that themselves perform governance</w:t>
            </w:r>
          </w:p>
        </w:tc>
        <w:tc>
          <w:tcPr>
            <w:tcW w:w="3331" w:type="dxa"/>
            <w:vAlign w:val="center"/>
          </w:tcPr>
          <w:p w14:paraId="5A3FF064" w14:textId="77777777" w:rsidR="003902C2" w:rsidRPr="00BB24A5" w:rsidRDefault="00BB24A5">
            <w:pPr>
              <w:spacing w:before="30" w:after="30"/>
              <w:rPr>
                <w:rFonts w:asciiTheme="majorBidi" w:hAnsiTheme="majorBidi" w:cstheme="majorBidi"/>
                <w:sz w:val="22"/>
              </w:rPr>
            </w:pPr>
            <w:r w:rsidRPr="00BB24A5">
              <w:rPr>
                <w:rFonts w:asciiTheme="majorBidi" w:hAnsiTheme="majorBidi" w:cstheme="majorBidi"/>
                <w:sz w:val="22"/>
              </w:rPr>
              <w:t>regulators; auditors; certifiers; accreditation systems</w:t>
            </w:r>
          </w:p>
        </w:tc>
      </w:tr>
    </w:tbl>
    <w:p w14:paraId="70C564F9" w14:textId="77777777" w:rsidR="00524B8E" w:rsidRDefault="00524B8E">
      <w:pPr>
        <w:spacing w:after="200" w:line="276" w:lineRule="auto"/>
        <w:rPr>
          <w:rFonts w:asciiTheme="majorBidi" w:eastAsiaTheme="majorEastAsia" w:hAnsiTheme="majorBidi" w:cstheme="majorBidi"/>
          <w:b/>
          <w:bCs/>
          <w:color w:val="4F81BD" w:themeColor="accent1"/>
          <w:sz w:val="24"/>
          <w:szCs w:val="24"/>
        </w:rPr>
      </w:pPr>
      <w:r>
        <w:rPr>
          <w:rFonts w:asciiTheme="majorBidi" w:hAnsiTheme="majorBidi"/>
          <w:sz w:val="24"/>
          <w:szCs w:val="24"/>
        </w:rPr>
        <w:br w:type="page"/>
      </w:r>
    </w:p>
    <w:p w14:paraId="3A25E574" w14:textId="465E425C" w:rsidR="003902C2" w:rsidRPr="00094FA3" w:rsidRDefault="00BB24A5" w:rsidP="00094FA3">
      <w:pPr>
        <w:rPr>
          <w:rFonts w:asciiTheme="majorBidi" w:hAnsiTheme="majorBidi" w:cstheme="majorBidi"/>
          <w:b/>
          <w:bCs/>
          <w:sz w:val="24"/>
          <w:szCs w:val="24"/>
        </w:rPr>
      </w:pPr>
      <w:r w:rsidRPr="00094FA3">
        <w:rPr>
          <w:rFonts w:asciiTheme="majorBidi" w:hAnsiTheme="majorBidi" w:cstheme="majorBidi"/>
          <w:b/>
          <w:bCs/>
          <w:sz w:val="24"/>
          <w:szCs w:val="24"/>
        </w:rPr>
        <w:lastRenderedPageBreak/>
        <w:t>3.2 Actors: who governs and who is governed?</w:t>
      </w:r>
    </w:p>
    <w:p w14:paraId="5AE05C92" w14:textId="43559C69" w:rsidR="003902C2" w:rsidRDefault="00BB24A5" w:rsidP="00444355">
      <w:pPr>
        <w:jc w:val="both"/>
        <w:rPr>
          <w:rFonts w:asciiTheme="majorBidi" w:hAnsiTheme="majorBidi" w:cstheme="majorBidi"/>
          <w:sz w:val="24"/>
          <w:szCs w:val="24"/>
        </w:rPr>
      </w:pPr>
      <w:r w:rsidRPr="00BB24A5">
        <w:rPr>
          <w:rFonts w:asciiTheme="majorBidi" w:hAnsiTheme="majorBidi" w:cstheme="majorBidi"/>
          <w:sz w:val="24"/>
          <w:szCs w:val="24"/>
        </w:rPr>
        <w:t xml:space="preserve">Legal texts populate governance systems. They create public authorities, recognize private organizations, authorize professionals and assign responsibilities to firms, associations, standards bodies, auditors, courts and citizens. </w:t>
      </w:r>
    </w:p>
    <w:p w14:paraId="243E2D5E" w14:textId="77777777" w:rsidR="00BB24A5" w:rsidRPr="00BB24A5" w:rsidRDefault="00BB24A5">
      <w:pPr>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3328"/>
        <w:gridCol w:w="3328"/>
        <w:gridCol w:w="3328"/>
      </w:tblGrid>
      <w:tr w:rsidR="003902C2" w:rsidRPr="00BB24A5" w14:paraId="16B3C68D" w14:textId="77777777">
        <w:trPr>
          <w:jc w:val="center"/>
        </w:trPr>
        <w:tc>
          <w:tcPr>
            <w:tcW w:w="3331" w:type="dxa"/>
            <w:vAlign w:val="center"/>
          </w:tcPr>
          <w:p w14:paraId="6C4C272D"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Actor family</w:t>
            </w:r>
          </w:p>
        </w:tc>
        <w:tc>
          <w:tcPr>
            <w:tcW w:w="3331" w:type="dxa"/>
            <w:vAlign w:val="center"/>
          </w:tcPr>
          <w:p w14:paraId="4087D6E5"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Typical functions</w:t>
            </w:r>
          </w:p>
        </w:tc>
        <w:tc>
          <w:tcPr>
            <w:tcW w:w="3331" w:type="dxa"/>
            <w:vAlign w:val="center"/>
          </w:tcPr>
          <w:p w14:paraId="364BD83F"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Possible relational position</w:t>
            </w:r>
          </w:p>
        </w:tc>
      </w:tr>
      <w:tr w:rsidR="00444355" w:rsidRPr="00BB24A5" w14:paraId="2D121E64" w14:textId="77777777">
        <w:trPr>
          <w:jc w:val="center"/>
        </w:trPr>
        <w:tc>
          <w:tcPr>
            <w:tcW w:w="3331" w:type="dxa"/>
            <w:vAlign w:val="center"/>
          </w:tcPr>
          <w:p w14:paraId="21002C71" w14:textId="7C20C282" w:rsidR="00444355" w:rsidRPr="00BB24A5" w:rsidRDefault="00444355">
            <w:pPr>
              <w:spacing w:before="30" w:after="30"/>
              <w:rPr>
                <w:rFonts w:asciiTheme="majorBidi" w:hAnsiTheme="majorBidi" w:cstheme="majorBidi"/>
                <w:b/>
                <w:bCs/>
                <w:sz w:val="24"/>
                <w:szCs w:val="24"/>
              </w:rPr>
            </w:pPr>
            <w:r>
              <w:rPr>
                <w:rFonts w:asciiTheme="majorBidi" w:hAnsiTheme="majorBidi" w:cstheme="majorBidi"/>
                <w:b/>
                <w:bCs/>
                <w:sz w:val="24"/>
                <w:szCs w:val="24"/>
              </w:rPr>
              <w:t>R/I/T/B</w:t>
            </w:r>
          </w:p>
        </w:tc>
        <w:tc>
          <w:tcPr>
            <w:tcW w:w="3331" w:type="dxa"/>
            <w:vAlign w:val="center"/>
          </w:tcPr>
          <w:p w14:paraId="1EB5A665" w14:textId="46A7C6A0" w:rsidR="00444355" w:rsidRPr="00BB24A5" w:rsidRDefault="00444355">
            <w:pPr>
              <w:spacing w:before="30" w:after="30"/>
              <w:rPr>
                <w:rFonts w:asciiTheme="majorBidi" w:hAnsiTheme="majorBidi" w:cstheme="majorBidi"/>
                <w:sz w:val="24"/>
                <w:szCs w:val="24"/>
              </w:rPr>
            </w:pPr>
            <w:r>
              <w:rPr>
                <w:rFonts w:asciiTheme="majorBidi" w:hAnsiTheme="majorBidi" w:cstheme="majorBidi"/>
                <w:sz w:val="24"/>
                <w:szCs w:val="24"/>
              </w:rPr>
              <w:t>Rule-maker; Rule-Taker; Rule-Intermediaries; Rule-Beneficiaries</w:t>
            </w:r>
          </w:p>
        </w:tc>
        <w:tc>
          <w:tcPr>
            <w:tcW w:w="3331" w:type="dxa"/>
            <w:vAlign w:val="center"/>
          </w:tcPr>
          <w:p w14:paraId="39BD4523" w14:textId="5E998A25" w:rsidR="00444355" w:rsidRPr="00BB24A5" w:rsidRDefault="00444355">
            <w:pPr>
              <w:spacing w:before="30" w:after="30"/>
              <w:rPr>
                <w:rFonts w:asciiTheme="majorBidi" w:hAnsiTheme="majorBidi" w:cstheme="majorBidi"/>
                <w:sz w:val="24"/>
                <w:szCs w:val="24"/>
              </w:rPr>
            </w:pPr>
            <w:r>
              <w:rPr>
                <w:rFonts w:asciiTheme="majorBidi" w:hAnsiTheme="majorBidi" w:cstheme="majorBidi"/>
                <w:sz w:val="24"/>
                <w:szCs w:val="24"/>
              </w:rPr>
              <w:t xml:space="preserve">Multiple; overlapping </w:t>
            </w:r>
          </w:p>
        </w:tc>
      </w:tr>
      <w:tr w:rsidR="003902C2" w:rsidRPr="00BB24A5" w14:paraId="72BA065E" w14:textId="77777777">
        <w:trPr>
          <w:jc w:val="center"/>
        </w:trPr>
        <w:tc>
          <w:tcPr>
            <w:tcW w:w="3331" w:type="dxa"/>
            <w:vAlign w:val="center"/>
          </w:tcPr>
          <w:p w14:paraId="09D4C4A6"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Political institutions</w:t>
            </w:r>
          </w:p>
        </w:tc>
        <w:tc>
          <w:tcPr>
            <w:tcW w:w="3331" w:type="dxa"/>
            <w:vAlign w:val="center"/>
          </w:tcPr>
          <w:p w14:paraId="4288DB56"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authorization; goal-setting; oversight</w:t>
            </w:r>
          </w:p>
        </w:tc>
        <w:tc>
          <w:tcPr>
            <w:tcW w:w="3331" w:type="dxa"/>
            <w:vAlign w:val="center"/>
          </w:tcPr>
          <w:p w14:paraId="17535394"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rule-maker / principal</w:t>
            </w:r>
          </w:p>
        </w:tc>
      </w:tr>
      <w:tr w:rsidR="003902C2" w:rsidRPr="00BB24A5" w14:paraId="62D75CFB" w14:textId="77777777">
        <w:trPr>
          <w:jc w:val="center"/>
        </w:trPr>
        <w:tc>
          <w:tcPr>
            <w:tcW w:w="3331" w:type="dxa"/>
            <w:vAlign w:val="center"/>
          </w:tcPr>
          <w:p w14:paraId="6593276D"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Administrative bodies</w:t>
            </w:r>
          </w:p>
        </w:tc>
        <w:tc>
          <w:tcPr>
            <w:tcW w:w="3331" w:type="dxa"/>
            <w:vAlign w:val="center"/>
          </w:tcPr>
          <w:p w14:paraId="595C745C"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rule-making; licensing; monitoring; enforcement</w:t>
            </w:r>
          </w:p>
        </w:tc>
        <w:tc>
          <w:tcPr>
            <w:tcW w:w="3331" w:type="dxa"/>
            <w:vAlign w:val="center"/>
          </w:tcPr>
          <w:p w14:paraId="4AE8DF9D"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regulator / intermediary / target</w:t>
            </w:r>
          </w:p>
        </w:tc>
      </w:tr>
      <w:tr w:rsidR="003902C2" w:rsidRPr="00BB24A5" w14:paraId="05917280" w14:textId="77777777">
        <w:trPr>
          <w:jc w:val="center"/>
        </w:trPr>
        <w:tc>
          <w:tcPr>
            <w:tcW w:w="3331" w:type="dxa"/>
            <w:vAlign w:val="center"/>
          </w:tcPr>
          <w:p w14:paraId="7B16E5F1"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Courts and tribunals</w:t>
            </w:r>
          </w:p>
        </w:tc>
        <w:tc>
          <w:tcPr>
            <w:tcW w:w="3331" w:type="dxa"/>
            <w:vAlign w:val="center"/>
          </w:tcPr>
          <w:p w14:paraId="388049CF"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interpretation; review; remedy</w:t>
            </w:r>
          </w:p>
        </w:tc>
        <w:tc>
          <w:tcPr>
            <w:tcW w:w="3331" w:type="dxa"/>
            <w:vAlign w:val="center"/>
          </w:tcPr>
          <w:p w14:paraId="2C9C5C66"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reviewer / enforcer</w:t>
            </w:r>
          </w:p>
        </w:tc>
      </w:tr>
      <w:tr w:rsidR="003902C2" w:rsidRPr="00BB24A5" w14:paraId="33A941E2" w14:textId="77777777">
        <w:trPr>
          <w:jc w:val="center"/>
        </w:trPr>
        <w:tc>
          <w:tcPr>
            <w:tcW w:w="3331" w:type="dxa"/>
            <w:vAlign w:val="center"/>
          </w:tcPr>
          <w:p w14:paraId="37E249E1"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Firms and regulated organizations</w:t>
            </w:r>
          </w:p>
        </w:tc>
        <w:tc>
          <w:tcPr>
            <w:tcW w:w="3331" w:type="dxa"/>
            <w:vAlign w:val="center"/>
          </w:tcPr>
          <w:p w14:paraId="7F390B1C"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implementation; reporting; internal control</w:t>
            </w:r>
          </w:p>
        </w:tc>
        <w:tc>
          <w:tcPr>
            <w:tcW w:w="3331" w:type="dxa"/>
            <w:vAlign w:val="center"/>
          </w:tcPr>
          <w:p w14:paraId="4A6C3139"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target / self-regulator / intermediary</w:t>
            </w:r>
          </w:p>
        </w:tc>
      </w:tr>
      <w:tr w:rsidR="003902C2" w:rsidRPr="00BB24A5" w14:paraId="1CDF5C4F" w14:textId="77777777">
        <w:trPr>
          <w:jc w:val="center"/>
        </w:trPr>
        <w:tc>
          <w:tcPr>
            <w:tcW w:w="3331" w:type="dxa"/>
            <w:vAlign w:val="center"/>
          </w:tcPr>
          <w:p w14:paraId="7F513D56"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Professional and sectoral associations</w:t>
            </w:r>
          </w:p>
        </w:tc>
        <w:tc>
          <w:tcPr>
            <w:tcW w:w="3331" w:type="dxa"/>
            <w:vAlign w:val="center"/>
          </w:tcPr>
          <w:p w14:paraId="6AAAFBF5"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standards; discipline; expertise</w:t>
            </w:r>
          </w:p>
        </w:tc>
        <w:tc>
          <w:tcPr>
            <w:tcW w:w="3331" w:type="dxa"/>
            <w:vAlign w:val="center"/>
          </w:tcPr>
          <w:p w14:paraId="3C90DF9D"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intermediary / self-regulator</w:t>
            </w:r>
          </w:p>
        </w:tc>
      </w:tr>
      <w:tr w:rsidR="003902C2" w:rsidRPr="00BB24A5" w14:paraId="626F004D" w14:textId="77777777">
        <w:trPr>
          <w:jc w:val="center"/>
        </w:trPr>
        <w:tc>
          <w:tcPr>
            <w:tcW w:w="3331" w:type="dxa"/>
            <w:vAlign w:val="center"/>
          </w:tcPr>
          <w:p w14:paraId="3FE5071C"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Standards and accreditation bodies</w:t>
            </w:r>
          </w:p>
        </w:tc>
        <w:tc>
          <w:tcPr>
            <w:tcW w:w="3331" w:type="dxa"/>
            <w:vAlign w:val="center"/>
          </w:tcPr>
          <w:p w14:paraId="504E90CB"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standardization; authorization; quality control</w:t>
            </w:r>
          </w:p>
        </w:tc>
        <w:tc>
          <w:tcPr>
            <w:tcW w:w="3331" w:type="dxa"/>
            <w:vAlign w:val="center"/>
          </w:tcPr>
          <w:p w14:paraId="71158A7E"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meta-regulator / intermediary</w:t>
            </w:r>
          </w:p>
        </w:tc>
      </w:tr>
      <w:tr w:rsidR="003902C2" w:rsidRPr="00BB24A5" w14:paraId="559F8B20" w14:textId="77777777">
        <w:trPr>
          <w:jc w:val="center"/>
        </w:trPr>
        <w:tc>
          <w:tcPr>
            <w:tcW w:w="3331" w:type="dxa"/>
            <w:vAlign w:val="center"/>
          </w:tcPr>
          <w:p w14:paraId="576B85FA"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Auditors, certifiers and verifiers</w:t>
            </w:r>
          </w:p>
        </w:tc>
        <w:tc>
          <w:tcPr>
            <w:tcW w:w="3331" w:type="dxa"/>
            <w:vAlign w:val="center"/>
          </w:tcPr>
          <w:p w14:paraId="52FFB943"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monitoring; verification; assurance</w:t>
            </w:r>
          </w:p>
        </w:tc>
        <w:tc>
          <w:tcPr>
            <w:tcW w:w="3331" w:type="dxa"/>
            <w:vAlign w:val="center"/>
          </w:tcPr>
          <w:p w14:paraId="37731954"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intermediary</w:t>
            </w:r>
          </w:p>
        </w:tc>
      </w:tr>
      <w:tr w:rsidR="003902C2" w:rsidRPr="00BB24A5" w14:paraId="15789268" w14:textId="77777777">
        <w:trPr>
          <w:jc w:val="center"/>
        </w:trPr>
        <w:tc>
          <w:tcPr>
            <w:tcW w:w="3331" w:type="dxa"/>
            <w:vAlign w:val="center"/>
          </w:tcPr>
          <w:p w14:paraId="64A91BC5"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Civil society and media</w:t>
            </w:r>
          </w:p>
        </w:tc>
        <w:tc>
          <w:tcPr>
            <w:tcW w:w="3331" w:type="dxa"/>
            <w:vAlign w:val="center"/>
          </w:tcPr>
          <w:p w14:paraId="469B49E7"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monitoring; representation; reputational pressure</w:t>
            </w:r>
          </w:p>
        </w:tc>
        <w:tc>
          <w:tcPr>
            <w:tcW w:w="3331" w:type="dxa"/>
            <w:vAlign w:val="center"/>
          </w:tcPr>
          <w:p w14:paraId="4E6F0DFD"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watchdog / beneficiary / intermediary</w:t>
            </w:r>
          </w:p>
        </w:tc>
      </w:tr>
      <w:tr w:rsidR="003902C2" w:rsidRPr="00BB24A5" w14:paraId="1576892A" w14:textId="77777777">
        <w:trPr>
          <w:jc w:val="center"/>
        </w:trPr>
        <w:tc>
          <w:tcPr>
            <w:tcW w:w="3331" w:type="dxa"/>
            <w:vAlign w:val="center"/>
          </w:tcPr>
          <w:p w14:paraId="4D955E0C" w14:textId="77777777" w:rsidR="003902C2" w:rsidRPr="00BB24A5" w:rsidRDefault="00BB24A5">
            <w:pPr>
              <w:spacing w:before="30" w:after="30"/>
              <w:rPr>
                <w:rFonts w:asciiTheme="majorBidi" w:hAnsiTheme="majorBidi" w:cstheme="majorBidi"/>
                <w:b/>
                <w:bCs/>
                <w:sz w:val="24"/>
                <w:szCs w:val="24"/>
              </w:rPr>
            </w:pPr>
            <w:r w:rsidRPr="00BB24A5">
              <w:rPr>
                <w:rFonts w:asciiTheme="majorBidi" w:hAnsiTheme="majorBidi" w:cstheme="majorBidi"/>
                <w:b/>
                <w:bCs/>
                <w:sz w:val="24"/>
                <w:szCs w:val="24"/>
              </w:rPr>
              <w:t>Citizens, workers, consumers, investors</w:t>
            </w:r>
          </w:p>
        </w:tc>
        <w:tc>
          <w:tcPr>
            <w:tcW w:w="3331" w:type="dxa"/>
            <w:vAlign w:val="center"/>
          </w:tcPr>
          <w:p w14:paraId="7645CA06"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rights claims; participation; information use</w:t>
            </w:r>
          </w:p>
        </w:tc>
        <w:tc>
          <w:tcPr>
            <w:tcW w:w="3331" w:type="dxa"/>
            <w:vAlign w:val="center"/>
          </w:tcPr>
          <w:p w14:paraId="6E6435F2" w14:textId="77777777" w:rsidR="003902C2" w:rsidRPr="00BB24A5" w:rsidRDefault="00BB24A5">
            <w:pPr>
              <w:spacing w:before="30" w:after="30"/>
              <w:rPr>
                <w:rFonts w:asciiTheme="majorBidi" w:hAnsiTheme="majorBidi" w:cstheme="majorBidi"/>
                <w:sz w:val="24"/>
                <w:szCs w:val="24"/>
              </w:rPr>
            </w:pPr>
            <w:r w:rsidRPr="00BB24A5">
              <w:rPr>
                <w:rFonts w:asciiTheme="majorBidi" w:hAnsiTheme="majorBidi" w:cstheme="majorBidi"/>
                <w:sz w:val="24"/>
                <w:szCs w:val="24"/>
              </w:rPr>
              <w:t>beneficiary / target / monitor</w:t>
            </w:r>
          </w:p>
        </w:tc>
      </w:tr>
    </w:tbl>
    <w:p w14:paraId="46367201" w14:textId="77777777" w:rsidR="00FC6A57" w:rsidRDefault="00FC6A57">
      <w:pPr>
        <w:pStyle w:val="Heading1"/>
        <w:rPr>
          <w:rFonts w:asciiTheme="majorBidi" w:hAnsiTheme="majorBidi"/>
          <w:color w:val="auto"/>
          <w:sz w:val="24"/>
          <w:szCs w:val="24"/>
        </w:rPr>
      </w:pPr>
    </w:p>
    <w:p w14:paraId="4026E280" w14:textId="77777777" w:rsidR="00FC6A57" w:rsidRDefault="00FC6A57">
      <w:pPr>
        <w:spacing w:after="200" w:line="276" w:lineRule="auto"/>
        <w:rPr>
          <w:rFonts w:asciiTheme="majorBidi" w:eastAsiaTheme="majorEastAsia" w:hAnsiTheme="majorBidi" w:cstheme="majorBidi"/>
          <w:b/>
          <w:bCs/>
          <w:sz w:val="24"/>
          <w:szCs w:val="24"/>
        </w:rPr>
      </w:pPr>
      <w:r>
        <w:rPr>
          <w:rFonts w:asciiTheme="majorBidi" w:hAnsiTheme="majorBidi"/>
          <w:sz w:val="24"/>
          <w:szCs w:val="24"/>
        </w:rPr>
        <w:br w:type="page"/>
      </w:r>
    </w:p>
    <w:p w14:paraId="5A696D65" w14:textId="4701E813" w:rsidR="003902C2" w:rsidRPr="00BB24A5" w:rsidRDefault="00524B8E">
      <w:pPr>
        <w:pStyle w:val="Heading2"/>
        <w:rPr>
          <w:rFonts w:asciiTheme="majorBidi" w:hAnsiTheme="majorBidi"/>
          <w:color w:val="auto"/>
          <w:sz w:val="24"/>
          <w:szCs w:val="24"/>
        </w:rPr>
      </w:pPr>
      <w:r>
        <w:rPr>
          <w:rFonts w:asciiTheme="majorBidi" w:hAnsiTheme="majorBidi"/>
          <w:color w:val="auto"/>
          <w:sz w:val="24"/>
          <w:szCs w:val="24"/>
        </w:rPr>
        <w:lastRenderedPageBreak/>
        <w:t xml:space="preserve">3.3 </w:t>
      </w:r>
      <w:r w:rsidR="00BB24A5" w:rsidRPr="00BB24A5">
        <w:rPr>
          <w:rFonts w:asciiTheme="majorBidi" w:hAnsiTheme="majorBidi"/>
          <w:color w:val="auto"/>
          <w:sz w:val="24"/>
          <w:szCs w:val="24"/>
        </w:rPr>
        <w:t>Functions</w:t>
      </w:r>
    </w:p>
    <w:p w14:paraId="19969A07" w14:textId="59069A3B" w:rsidR="00BB24A5" w:rsidRDefault="00BB24A5" w:rsidP="00BB24A5">
      <w:pPr>
        <w:spacing w:line="276" w:lineRule="auto"/>
        <w:rPr>
          <w:rFonts w:asciiTheme="majorBidi" w:hAnsiTheme="majorBidi" w:cstheme="majorBidi"/>
          <w:sz w:val="24"/>
          <w:szCs w:val="24"/>
        </w:rPr>
      </w:pPr>
      <w:r w:rsidRPr="00BB24A5">
        <w:rPr>
          <w:rFonts w:asciiTheme="majorBidi" w:hAnsiTheme="majorBidi" w:cstheme="majorBidi"/>
          <w:sz w:val="24"/>
          <w:szCs w:val="24"/>
        </w:rPr>
        <w:t>Functions identify the governance work actors perform. They include rule-making and standard-setting; implementation; interpretation and translation; information provision; monitoring; verification</w:t>
      </w:r>
      <w:r w:rsidR="00524B8E">
        <w:rPr>
          <w:rFonts w:asciiTheme="majorBidi" w:hAnsiTheme="majorBidi" w:cstheme="majorBidi"/>
          <w:sz w:val="24"/>
          <w:szCs w:val="24"/>
        </w:rPr>
        <w:t>;</w:t>
      </w:r>
      <w:r w:rsidRPr="00BB24A5">
        <w:rPr>
          <w:rFonts w:asciiTheme="majorBidi" w:hAnsiTheme="majorBidi" w:cstheme="majorBidi"/>
          <w:sz w:val="24"/>
          <w:szCs w:val="24"/>
        </w:rPr>
        <w:t xml:space="preserve"> assurance; investigation; enforcement; adjudication and dispute resolution; remediation; and review. Separating functions from</w:t>
      </w:r>
      <w:r w:rsidR="00524B8E">
        <w:rPr>
          <w:rFonts w:asciiTheme="majorBidi" w:hAnsiTheme="majorBidi" w:cstheme="majorBidi"/>
          <w:sz w:val="24"/>
          <w:szCs w:val="24"/>
        </w:rPr>
        <w:t xml:space="preserve"> actors and</w:t>
      </w:r>
      <w:r w:rsidRPr="00BB24A5">
        <w:rPr>
          <w:rFonts w:asciiTheme="majorBidi" w:hAnsiTheme="majorBidi" w:cstheme="majorBidi"/>
          <w:sz w:val="24"/>
          <w:szCs w:val="24"/>
        </w:rPr>
        <w:t xml:space="preserve"> </w:t>
      </w:r>
      <w:r w:rsidR="00524B8E">
        <w:rPr>
          <w:rFonts w:asciiTheme="majorBidi" w:hAnsiTheme="majorBidi" w:cstheme="majorBidi"/>
          <w:sz w:val="24"/>
          <w:szCs w:val="24"/>
        </w:rPr>
        <w:t xml:space="preserve">mechanism </w:t>
      </w:r>
      <w:r w:rsidRPr="00BB24A5">
        <w:rPr>
          <w:rFonts w:asciiTheme="majorBidi" w:hAnsiTheme="majorBidi" w:cstheme="majorBidi"/>
          <w:sz w:val="24"/>
          <w:szCs w:val="24"/>
        </w:rPr>
        <w:t>permit comparison of the division of regulatory labour: the same function may be performed by a ministry, agency, association, firm, auditor or civil-society organization.</w:t>
      </w:r>
      <w:r w:rsidR="00524B8E">
        <w:rPr>
          <w:rFonts w:asciiTheme="majorBidi" w:hAnsiTheme="majorBidi" w:cstheme="majorBidi"/>
          <w:sz w:val="24"/>
          <w:szCs w:val="24"/>
        </w:rPr>
        <w:t xml:space="preserve"> Similarly, the same function may be achieved by different mechanisms. </w:t>
      </w:r>
    </w:p>
    <w:p w14:paraId="6D57B8B3" w14:textId="77777777" w:rsidR="00444355" w:rsidRDefault="00444355" w:rsidP="00BB24A5">
      <w:pPr>
        <w:spacing w:line="276" w:lineRule="auto"/>
        <w:rPr>
          <w:rFonts w:asciiTheme="majorBidi" w:hAnsiTheme="majorBidi" w:cstheme="majorBidi"/>
          <w:sz w:val="24"/>
          <w:szCs w:val="24"/>
        </w:rPr>
      </w:pPr>
    </w:p>
    <w:tbl>
      <w:tblPr>
        <w:tblW w:w="10000" w:type="dxa"/>
        <w:tblInd w:w="80" w:type="dxa"/>
        <w:tblLayout w:type="fixed"/>
        <w:tblCellMar>
          <w:left w:w="80" w:type="dxa"/>
          <w:right w:w="80" w:type="dxa"/>
        </w:tblCellMar>
        <w:tblLook w:val="0000" w:firstRow="0" w:lastRow="0" w:firstColumn="0" w:lastColumn="0" w:noHBand="0" w:noVBand="0"/>
      </w:tblPr>
      <w:tblGrid>
        <w:gridCol w:w="3000"/>
        <w:gridCol w:w="3900"/>
        <w:gridCol w:w="3100"/>
      </w:tblGrid>
      <w:tr w:rsidR="00444355" w14:paraId="2773E641" w14:textId="77777777" w:rsidTr="0017123D">
        <w:tc>
          <w:tcPr>
            <w:tcW w:w="3000" w:type="dxa"/>
            <w:tcBorders>
              <w:top w:val="single" w:sz="4" w:space="0" w:color="auto"/>
              <w:left w:val="single" w:sz="4" w:space="0" w:color="auto"/>
              <w:bottom w:val="single" w:sz="4" w:space="0" w:color="auto"/>
              <w:right w:val="single" w:sz="4" w:space="0" w:color="auto"/>
            </w:tcBorders>
          </w:tcPr>
          <w:p w14:paraId="23E1E167"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b/>
                <w:bCs/>
                <w:sz w:val="24"/>
                <w:szCs w:val="24"/>
              </w:rPr>
              <w:t>Function</w:t>
            </w:r>
          </w:p>
        </w:tc>
        <w:tc>
          <w:tcPr>
            <w:tcW w:w="3900" w:type="dxa"/>
            <w:tcBorders>
              <w:top w:val="single" w:sz="4" w:space="0" w:color="auto"/>
              <w:left w:val="single" w:sz="4" w:space="0" w:color="auto"/>
              <w:bottom w:val="single" w:sz="4" w:space="0" w:color="auto"/>
              <w:right w:val="single" w:sz="4" w:space="0" w:color="auto"/>
            </w:tcBorders>
          </w:tcPr>
          <w:p w14:paraId="2B90FCF8"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b/>
                <w:bCs/>
                <w:sz w:val="24"/>
                <w:szCs w:val="24"/>
              </w:rPr>
              <w:t>Governance work performed</w:t>
            </w:r>
          </w:p>
        </w:tc>
        <w:tc>
          <w:tcPr>
            <w:tcW w:w="3100" w:type="dxa"/>
            <w:tcBorders>
              <w:top w:val="single" w:sz="4" w:space="0" w:color="auto"/>
              <w:left w:val="single" w:sz="4" w:space="0" w:color="auto"/>
              <w:bottom w:val="single" w:sz="4" w:space="0" w:color="auto"/>
              <w:right w:val="single" w:sz="4" w:space="0" w:color="auto"/>
            </w:tcBorders>
          </w:tcPr>
          <w:p w14:paraId="744573AF"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b/>
                <w:bCs/>
                <w:sz w:val="24"/>
                <w:szCs w:val="24"/>
              </w:rPr>
              <w:t>Illustrative legal device</w:t>
            </w:r>
          </w:p>
        </w:tc>
      </w:tr>
      <w:tr w:rsidR="00444355" w14:paraId="7F9B81D0" w14:textId="77777777" w:rsidTr="0017123D">
        <w:tc>
          <w:tcPr>
            <w:tcW w:w="3000" w:type="dxa"/>
            <w:tcBorders>
              <w:top w:val="single" w:sz="4" w:space="0" w:color="auto"/>
              <w:left w:val="single" w:sz="4" w:space="0" w:color="auto"/>
              <w:bottom w:val="single" w:sz="4" w:space="0" w:color="auto"/>
              <w:right w:val="single" w:sz="4" w:space="0" w:color="auto"/>
            </w:tcBorders>
          </w:tcPr>
          <w:p w14:paraId="245511D3"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Rule-making and standard-setting</w:t>
            </w:r>
          </w:p>
        </w:tc>
        <w:tc>
          <w:tcPr>
            <w:tcW w:w="3900" w:type="dxa"/>
            <w:tcBorders>
              <w:top w:val="single" w:sz="4" w:space="0" w:color="auto"/>
              <w:left w:val="single" w:sz="4" w:space="0" w:color="auto"/>
              <w:bottom w:val="single" w:sz="4" w:space="0" w:color="auto"/>
              <w:right w:val="single" w:sz="4" w:space="0" w:color="auto"/>
            </w:tcBorders>
          </w:tcPr>
          <w:p w14:paraId="6E9986B1"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Formulates binding rules, technical standards, benchmarks, or codes that specify expected conduct or performance.</w:t>
            </w:r>
          </w:p>
        </w:tc>
        <w:tc>
          <w:tcPr>
            <w:tcW w:w="3100" w:type="dxa"/>
            <w:tcBorders>
              <w:top w:val="single" w:sz="4" w:space="0" w:color="auto"/>
              <w:left w:val="single" w:sz="4" w:space="0" w:color="auto"/>
              <w:bottom w:val="single" w:sz="4" w:space="0" w:color="auto"/>
              <w:right w:val="single" w:sz="4" w:space="0" w:color="auto"/>
            </w:tcBorders>
          </w:tcPr>
          <w:p w14:paraId="12D1399A"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Delegated regulation; technical standard; statutory code; binding guideline.</w:t>
            </w:r>
          </w:p>
        </w:tc>
      </w:tr>
      <w:tr w:rsidR="00444355" w14:paraId="7A9DBD37" w14:textId="77777777" w:rsidTr="0017123D">
        <w:tc>
          <w:tcPr>
            <w:tcW w:w="3000" w:type="dxa"/>
            <w:tcBorders>
              <w:top w:val="single" w:sz="4" w:space="0" w:color="auto"/>
              <w:left w:val="single" w:sz="4" w:space="0" w:color="auto"/>
              <w:bottom w:val="single" w:sz="4" w:space="0" w:color="auto"/>
              <w:right w:val="single" w:sz="4" w:space="0" w:color="auto"/>
            </w:tcBorders>
          </w:tcPr>
          <w:p w14:paraId="0BD00399"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Implementation</w:t>
            </w:r>
          </w:p>
        </w:tc>
        <w:tc>
          <w:tcPr>
            <w:tcW w:w="3900" w:type="dxa"/>
            <w:tcBorders>
              <w:top w:val="single" w:sz="4" w:space="0" w:color="auto"/>
              <w:left w:val="single" w:sz="4" w:space="0" w:color="auto"/>
              <w:bottom w:val="single" w:sz="4" w:space="0" w:color="auto"/>
              <w:right w:val="single" w:sz="4" w:space="0" w:color="auto"/>
            </w:tcBorders>
          </w:tcPr>
          <w:p w14:paraId="4626C1F3"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 xml:space="preserve">Gives practical effect to legal rules, </w:t>
            </w:r>
            <w:proofErr w:type="spellStart"/>
            <w:r w:rsidRPr="00444355">
              <w:rPr>
                <w:rFonts w:asciiTheme="majorBidi" w:hAnsiTheme="majorBidi" w:cstheme="majorBidi"/>
                <w:sz w:val="24"/>
                <w:szCs w:val="24"/>
              </w:rPr>
              <w:t>programmes</w:t>
            </w:r>
            <w:proofErr w:type="spellEnd"/>
            <w:r w:rsidRPr="00444355">
              <w:rPr>
                <w:rFonts w:asciiTheme="majorBidi" w:hAnsiTheme="majorBidi" w:cstheme="majorBidi"/>
                <w:sz w:val="24"/>
                <w:szCs w:val="24"/>
              </w:rPr>
              <w:t>, standards, or regulatory requirements.</w:t>
            </w:r>
          </w:p>
        </w:tc>
        <w:tc>
          <w:tcPr>
            <w:tcW w:w="3100" w:type="dxa"/>
            <w:tcBorders>
              <w:top w:val="single" w:sz="4" w:space="0" w:color="auto"/>
              <w:left w:val="single" w:sz="4" w:space="0" w:color="auto"/>
              <w:bottom w:val="single" w:sz="4" w:space="0" w:color="auto"/>
              <w:right w:val="single" w:sz="4" w:space="0" w:color="auto"/>
            </w:tcBorders>
          </w:tcPr>
          <w:p w14:paraId="57EB580D"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 xml:space="preserve">Compliance </w:t>
            </w:r>
            <w:proofErr w:type="spellStart"/>
            <w:r w:rsidRPr="00444355">
              <w:rPr>
                <w:rFonts w:asciiTheme="majorBidi" w:hAnsiTheme="majorBidi" w:cstheme="majorBidi"/>
                <w:sz w:val="24"/>
                <w:szCs w:val="24"/>
              </w:rPr>
              <w:t>programme</w:t>
            </w:r>
            <w:proofErr w:type="spellEnd"/>
            <w:r w:rsidRPr="00444355">
              <w:rPr>
                <w:rFonts w:asciiTheme="majorBidi" w:hAnsiTheme="majorBidi" w:cstheme="majorBidi"/>
                <w:sz w:val="24"/>
                <w:szCs w:val="24"/>
              </w:rPr>
              <w:t>; implementation plan; permit procedure; mandated internal control system.</w:t>
            </w:r>
          </w:p>
        </w:tc>
      </w:tr>
      <w:tr w:rsidR="00444355" w14:paraId="05A5461A" w14:textId="77777777" w:rsidTr="0017123D">
        <w:tc>
          <w:tcPr>
            <w:tcW w:w="3000" w:type="dxa"/>
            <w:tcBorders>
              <w:top w:val="single" w:sz="4" w:space="0" w:color="auto"/>
              <w:left w:val="single" w:sz="4" w:space="0" w:color="auto"/>
              <w:bottom w:val="single" w:sz="4" w:space="0" w:color="auto"/>
              <w:right w:val="single" w:sz="4" w:space="0" w:color="auto"/>
            </w:tcBorders>
          </w:tcPr>
          <w:p w14:paraId="1070E6A9"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Interpretation and translation</w:t>
            </w:r>
          </w:p>
        </w:tc>
        <w:tc>
          <w:tcPr>
            <w:tcW w:w="3900" w:type="dxa"/>
            <w:tcBorders>
              <w:top w:val="single" w:sz="4" w:space="0" w:color="auto"/>
              <w:left w:val="single" w:sz="4" w:space="0" w:color="auto"/>
              <w:bottom w:val="single" w:sz="4" w:space="0" w:color="auto"/>
              <w:right w:val="single" w:sz="4" w:space="0" w:color="auto"/>
            </w:tcBorders>
          </w:tcPr>
          <w:p w14:paraId="564DA8A6"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Clarifies, specifies, or translates general legal requirements into operational guidance for particular actors or settings.</w:t>
            </w:r>
          </w:p>
        </w:tc>
        <w:tc>
          <w:tcPr>
            <w:tcW w:w="3100" w:type="dxa"/>
            <w:tcBorders>
              <w:top w:val="single" w:sz="4" w:space="0" w:color="auto"/>
              <w:left w:val="single" w:sz="4" w:space="0" w:color="auto"/>
              <w:bottom w:val="single" w:sz="4" w:space="0" w:color="auto"/>
              <w:right w:val="single" w:sz="4" w:space="0" w:color="auto"/>
            </w:tcBorders>
          </w:tcPr>
          <w:p w14:paraId="7C4BDE8A"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Regulatory guidance; interpretive notice; professional protocol; implementation guideline.</w:t>
            </w:r>
          </w:p>
        </w:tc>
      </w:tr>
      <w:tr w:rsidR="00444355" w14:paraId="1EE93B01" w14:textId="77777777" w:rsidTr="0017123D">
        <w:tc>
          <w:tcPr>
            <w:tcW w:w="3000" w:type="dxa"/>
            <w:tcBorders>
              <w:top w:val="single" w:sz="4" w:space="0" w:color="auto"/>
              <w:left w:val="single" w:sz="4" w:space="0" w:color="auto"/>
              <w:bottom w:val="single" w:sz="4" w:space="0" w:color="auto"/>
              <w:right w:val="single" w:sz="4" w:space="0" w:color="auto"/>
            </w:tcBorders>
          </w:tcPr>
          <w:p w14:paraId="307F1190"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Information provision</w:t>
            </w:r>
          </w:p>
        </w:tc>
        <w:tc>
          <w:tcPr>
            <w:tcW w:w="3900" w:type="dxa"/>
            <w:tcBorders>
              <w:top w:val="single" w:sz="4" w:space="0" w:color="auto"/>
              <w:left w:val="single" w:sz="4" w:space="0" w:color="auto"/>
              <w:bottom w:val="single" w:sz="4" w:space="0" w:color="auto"/>
              <w:right w:val="single" w:sz="4" w:space="0" w:color="auto"/>
            </w:tcBorders>
          </w:tcPr>
          <w:p w14:paraId="15D18B0B"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Produces, collects, organizes, transmits, or discloses information needed for governance.</w:t>
            </w:r>
          </w:p>
        </w:tc>
        <w:tc>
          <w:tcPr>
            <w:tcW w:w="3100" w:type="dxa"/>
            <w:tcBorders>
              <w:top w:val="single" w:sz="4" w:space="0" w:color="auto"/>
              <w:left w:val="single" w:sz="4" w:space="0" w:color="auto"/>
              <w:bottom w:val="single" w:sz="4" w:space="0" w:color="auto"/>
              <w:right w:val="single" w:sz="4" w:space="0" w:color="auto"/>
            </w:tcBorders>
          </w:tcPr>
          <w:p w14:paraId="22CFF4A6"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Mandatory report; public register; disclosure requirement; notification duty.</w:t>
            </w:r>
          </w:p>
        </w:tc>
      </w:tr>
      <w:tr w:rsidR="00444355" w14:paraId="6C307DD8" w14:textId="77777777" w:rsidTr="0017123D">
        <w:tc>
          <w:tcPr>
            <w:tcW w:w="3000" w:type="dxa"/>
            <w:tcBorders>
              <w:top w:val="single" w:sz="4" w:space="0" w:color="auto"/>
              <w:left w:val="single" w:sz="4" w:space="0" w:color="auto"/>
              <w:bottom w:val="single" w:sz="4" w:space="0" w:color="auto"/>
              <w:right w:val="single" w:sz="4" w:space="0" w:color="auto"/>
            </w:tcBorders>
          </w:tcPr>
          <w:p w14:paraId="74895FC4"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Monitoring</w:t>
            </w:r>
          </w:p>
        </w:tc>
        <w:tc>
          <w:tcPr>
            <w:tcW w:w="3900" w:type="dxa"/>
            <w:tcBorders>
              <w:top w:val="single" w:sz="4" w:space="0" w:color="auto"/>
              <w:left w:val="single" w:sz="4" w:space="0" w:color="auto"/>
              <w:bottom w:val="single" w:sz="4" w:space="0" w:color="auto"/>
              <w:right w:val="single" w:sz="4" w:space="0" w:color="auto"/>
            </w:tcBorders>
          </w:tcPr>
          <w:p w14:paraId="552BCA34"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Observes conduct, conditions, processes, or performance in order to identify compliance, risk, or change.</w:t>
            </w:r>
          </w:p>
        </w:tc>
        <w:tc>
          <w:tcPr>
            <w:tcW w:w="3100" w:type="dxa"/>
            <w:tcBorders>
              <w:top w:val="single" w:sz="4" w:space="0" w:color="auto"/>
              <w:left w:val="single" w:sz="4" w:space="0" w:color="auto"/>
              <w:bottom w:val="single" w:sz="4" w:space="0" w:color="auto"/>
              <w:right w:val="single" w:sz="4" w:space="0" w:color="auto"/>
            </w:tcBorders>
          </w:tcPr>
          <w:p w14:paraId="0BF90B3B"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Inspection; reporting obligation; surveillance system; compliance monitoring requirement.</w:t>
            </w:r>
          </w:p>
        </w:tc>
      </w:tr>
      <w:tr w:rsidR="00444355" w14:paraId="48309C67" w14:textId="77777777" w:rsidTr="0017123D">
        <w:tc>
          <w:tcPr>
            <w:tcW w:w="3000" w:type="dxa"/>
            <w:tcBorders>
              <w:top w:val="single" w:sz="4" w:space="0" w:color="auto"/>
              <w:left w:val="single" w:sz="4" w:space="0" w:color="auto"/>
              <w:bottom w:val="single" w:sz="4" w:space="0" w:color="auto"/>
              <w:right w:val="single" w:sz="4" w:space="0" w:color="auto"/>
            </w:tcBorders>
          </w:tcPr>
          <w:p w14:paraId="1B58B624"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Enforcement</w:t>
            </w:r>
          </w:p>
        </w:tc>
        <w:tc>
          <w:tcPr>
            <w:tcW w:w="3900" w:type="dxa"/>
            <w:tcBorders>
              <w:top w:val="single" w:sz="4" w:space="0" w:color="auto"/>
              <w:left w:val="single" w:sz="4" w:space="0" w:color="auto"/>
              <w:bottom w:val="single" w:sz="4" w:space="0" w:color="auto"/>
              <w:right w:val="single" w:sz="4" w:space="0" w:color="auto"/>
            </w:tcBorders>
          </w:tcPr>
          <w:p w14:paraId="3550417F"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Secures compliance and responds to violations through corrective, coercive, or punitive action.</w:t>
            </w:r>
          </w:p>
        </w:tc>
        <w:tc>
          <w:tcPr>
            <w:tcW w:w="3100" w:type="dxa"/>
            <w:tcBorders>
              <w:top w:val="single" w:sz="4" w:space="0" w:color="auto"/>
              <w:left w:val="single" w:sz="4" w:space="0" w:color="auto"/>
              <w:bottom w:val="single" w:sz="4" w:space="0" w:color="auto"/>
              <w:right w:val="single" w:sz="4" w:space="0" w:color="auto"/>
            </w:tcBorders>
          </w:tcPr>
          <w:p w14:paraId="62ED6460"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 xml:space="preserve">Administrative order; fine; </w:t>
            </w:r>
            <w:proofErr w:type="spellStart"/>
            <w:r w:rsidRPr="00444355">
              <w:rPr>
                <w:rFonts w:asciiTheme="majorBidi" w:hAnsiTheme="majorBidi" w:cstheme="majorBidi"/>
                <w:sz w:val="24"/>
                <w:szCs w:val="24"/>
              </w:rPr>
              <w:t>licence</w:t>
            </w:r>
            <w:proofErr w:type="spellEnd"/>
            <w:r w:rsidRPr="00444355">
              <w:rPr>
                <w:rFonts w:asciiTheme="majorBidi" w:hAnsiTheme="majorBidi" w:cstheme="majorBidi"/>
                <w:sz w:val="24"/>
                <w:szCs w:val="24"/>
              </w:rPr>
              <w:t xml:space="preserve"> suspension; injunction; withdrawal of authorization.</w:t>
            </w:r>
          </w:p>
        </w:tc>
      </w:tr>
      <w:tr w:rsidR="00444355" w14:paraId="3E9752AA" w14:textId="77777777" w:rsidTr="0017123D">
        <w:tc>
          <w:tcPr>
            <w:tcW w:w="3000" w:type="dxa"/>
            <w:tcBorders>
              <w:top w:val="single" w:sz="4" w:space="0" w:color="auto"/>
              <w:left w:val="single" w:sz="4" w:space="0" w:color="auto"/>
              <w:bottom w:val="single" w:sz="4" w:space="0" w:color="auto"/>
              <w:right w:val="single" w:sz="4" w:space="0" w:color="auto"/>
            </w:tcBorders>
          </w:tcPr>
          <w:p w14:paraId="0BECF9FB"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Adjudication and dispute resolution</w:t>
            </w:r>
          </w:p>
        </w:tc>
        <w:tc>
          <w:tcPr>
            <w:tcW w:w="3900" w:type="dxa"/>
            <w:tcBorders>
              <w:top w:val="single" w:sz="4" w:space="0" w:color="auto"/>
              <w:left w:val="single" w:sz="4" w:space="0" w:color="auto"/>
              <w:bottom w:val="single" w:sz="4" w:space="0" w:color="auto"/>
              <w:right w:val="single" w:sz="4" w:space="0" w:color="auto"/>
            </w:tcBorders>
          </w:tcPr>
          <w:p w14:paraId="1D3ECE81"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Determines rights, obligations, liability, or contested interpretations and resolves disputes among actors.</w:t>
            </w:r>
          </w:p>
        </w:tc>
        <w:tc>
          <w:tcPr>
            <w:tcW w:w="3100" w:type="dxa"/>
            <w:tcBorders>
              <w:top w:val="single" w:sz="4" w:space="0" w:color="auto"/>
              <w:left w:val="single" w:sz="4" w:space="0" w:color="auto"/>
              <w:bottom w:val="single" w:sz="4" w:space="0" w:color="auto"/>
              <w:right w:val="single" w:sz="4" w:space="0" w:color="auto"/>
            </w:tcBorders>
          </w:tcPr>
          <w:p w14:paraId="0D84E6CF"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Judicial proceeding; administrative tribunal; arbitration; statutory complaints procedure.</w:t>
            </w:r>
          </w:p>
        </w:tc>
      </w:tr>
      <w:tr w:rsidR="00444355" w14:paraId="1FEB37FA" w14:textId="77777777" w:rsidTr="0017123D">
        <w:tc>
          <w:tcPr>
            <w:tcW w:w="3000" w:type="dxa"/>
            <w:tcBorders>
              <w:top w:val="single" w:sz="4" w:space="0" w:color="auto"/>
              <w:left w:val="single" w:sz="4" w:space="0" w:color="auto"/>
              <w:bottom w:val="single" w:sz="4" w:space="0" w:color="auto"/>
              <w:right w:val="single" w:sz="4" w:space="0" w:color="auto"/>
            </w:tcBorders>
          </w:tcPr>
          <w:p w14:paraId="4E4B17D4"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Remediation</w:t>
            </w:r>
          </w:p>
        </w:tc>
        <w:tc>
          <w:tcPr>
            <w:tcW w:w="3900" w:type="dxa"/>
            <w:tcBorders>
              <w:top w:val="single" w:sz="4" w:space="0" w:color="auto"/>
              <w:left w:val="single" w:sz="4" w:space="0" w:color="auto"/>
              <w:bottom w:val="single" w:sz="4" w:space="0" w:color="auto"/>
              <w:right w:val="single" w:sz="4" w:space="0" w:color="auto"/>
            </w:tcBorders>
          </w:tcPr>
          <w:p w14:paraId="31DDF237"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Corrects harm, restores compliance, compensates affected parties, or requires repair following failure or violation.</w:t>
            </w:r>
          </w:p>
        </w:tc>
        <w:tc>
          <w:tcPr>
            <w:tcW w:w="3100" w:type="dxa"/>
            <w:tcBorders>
              <w:top w:val="single" w:sz="4" w:space="0" w:color="auto"/>
              <w:left w:val="single" w:sz="4" w:space="0" w:color="auto"/>
              <w:bottom w:val="single" w:sz="4" w:space="0" w:color="auto"/>
              <w:right w:val="single" w:sz="4" w:space="0" w:color="auto"/>
            </w:tcBorders>
          </w:tcPr>
          <w:p w14:paraId="2AA1E56C" w14:textId="77777777" w:rsidR="00444355" w:rsidRPr="00444355" w:rsidRDefault="00444355" w:rsidP="0017123D">
            <w:pPr>
              <w:widowControl w:val="0"/>
              <w:autoSpaceDE w:val="0"/>
              <w:autoSpaceDN w:val="0"/>
              <w:adjustRightInd w:val="0"/>
              <w:spacing w:after="0" w:line="240" w:lineRule="auto"/>
              <w:rPr>
                <w:rFonts w:asciiTheme="majorBidi" w:hAnsiTheme="majorBidi" w:cstheme="majorBidi"/>
                <w:sz w:val="24"/>
                <w:szCs w:val="24"/>
              </w:rPr>
            </w:pPr>
            <w:r w:rsidRPr="00444355">
              <w:rPr>
                <w:rFonts w:asciiTheme="majorBidi" w:hAnsiTheme="majorBidi" w:cstheme="majorBidi"/>
                <w:sz w:val="24"/>
                <w:szCs w:val="24"/>
              </w:rPr>
              <w:t>Corrective-action order; compensation scheme; restitution requirement; remediation plan.</w:t>
            </w:r>
          </w:p>
        </w:tc>
      </w:tr>
    </w:tbl>
    <w:p w14:paraId="4512B990" w14:textId="77777777" w:rsidR="00444355" w:rsidRDefault="00444355">
      <w:pPr>
        <w:pStyle w:val="Heading2"/>
        <w:rPr>
          <w:rFonts w:asciiTheme="majorBidi" w:eastAsiaTheme="minorEastAsia" w:hAnsiTheme="majorBidi"/>
          <w:b w:val="0"/>
          <w:bCs w:val="0"/>
          <w:color w:val="auto"/>
          <w:sz w:val="24"/>
          <w:szCs w:val="24"/>
        </w:rPr>
      </w:pPr>
    </w:p>
    <w:p w14:paraId="2B026061" w14:textId="77777777" w:rsidR="00444355" w:rsidRDefault="00444355">
      <w:pPr>
        <w:spacing w:after="200" w:line="276" w:lineRule="auto"/>
        <w:rPr>
          <w:rFonts w:asciiTheme="majorBidi" w:hAnsiTheme="majorBidi" w:cstheme="majorBidi"/>
          <w:sz w:val="24"/>
          <w:szCs w:val="24"/>
        </w:rPr>
      </w:pPr>
      <w:r>
        <w:rPr>
          <w:rFonts w:asciiTheme="majorBidi" w:hAnsiTheme="majorBidi"/>
          <w:b/>
          <w:bCs/>
          <w:sz w:val="24"/>
          <w:szCs w:val="24"/>
        </w:rPr>
        <w:br w:type="page"/>
      </w:r>
    </w:p>
    <w:p w14:paraId="419FCC52" w14:textId="7A65B5F5" w:rsidR="003902C2" w:rsidRPr="00BB24A5" w:rsidRDefault="00444355">
      <w:pPr>
        <w:pStyle w:val="Heading2"/>
        <w:rPr>
          <w:rFonts w:asciiTheme="majorBidi" w:hAnsiTheme="majorBidi"/>
          <w:color w:val="auto"/>
          <w:sz w:val="24"/>
          <w:szCs w:val="24"/>
        </w:rPr>
      </w:pPr>
      <w:r>
        <w:rPr>
          <w:rFonts w:asciiTheme="majorBidi" w:hAnsiTheme="majorBidi"/>
          <w:color w:val="auto"/>
          <w:sz w:val="24"/>
          <w:szCs w:val="24"/>
        </w:rPr>
        <w:lastRenderedPageBreak/>
        <w:t>3.4</w:t>
      </w:r>
      <w:r w:rsidR="00BB24A5" w:rsidRPr="00BB24A5">
        <w:rPr>
          <w:rFonts w:asciiTheme="majorBidi" w:hAnsiTheme="majorBidi"/>
          <w:color w:val="auto"/>
          <w:sz w:val="24"/>
          <w:szCs w:val="24"/>
        </w:rPr>
        <w:t xml:space="preserve"> Mechanisms</w:t>
      </w:r>
    </w:p>
    <w:p w14:paraId="6E0F0E57" w14:textId="77777777" w:rsidR="003343B5" w:rsidRPr="00BB24A5" w:rsidRDefault="00BB24A5" w:rsidP="003343B5">
      <w:pPr>
        <w:spacing w:line="276" w:lineRule="auto"/>
        <w:rPr>
          <w:rFonts w:asciiTheme="majorBidi" w:hAnsiTheme="majorBidi" w:cstheme="majorBidi"/>
          <w:sz w:val="24"/>
          <w:szCs w:val="24"/>
        </w:rPr>
      </w:pPr>
      <w:r w:rsidRPr="00BB24A5">
        <w:rPr>
          <w:rFonts w:asciiTheme="majorBidi" w:hAnsiTheme="majorBidi" w:cstheme="majorBidi"/>
          <w:sz w:val="24"/>
          <w:szCs w:val="24"/>
        </w:rPr>
        <w:t>A governance mechanism is a distinct means through which an actor or institutional arrangement shapes the conduct, capacities, information, choices or decisions of another actor. Mechanisms are elementary means of governance rather than complete governance systems.</w:t>
      </w:r>
      <w:r w:rsidR="003343B5">
        <w:rPr>
          <w:rFonts w:asciiTheme="majorBidi" w:hAnsiTheme="majorBidi" w:cstheme="majorBidi"/>
          <w:sz w:val="24"/>
          <w:szCs w:val="24"/>
        </w:rPr>
        <w:t xml:space="preserve"> </w:t>
      </w:r>
      <w:r w:rsidR="003343B5" w:rsidRPr="00BB24A5">
        <w:rPr>
          <w:rFonts w:asciiTheme="majorBidi" w:hAnsiTheme="majorBidi" w:cstheme="majorBidi"/>
          <w:sz w:val="24"/>
          <w:szCs w:val="24"/>
        </w:rPr>
        <w:t>Instrument, mechanism and function should remain distinct. An instrument is a concrete legal or institutional device; a mechanism describes how that device exercises influence; and a function identifies the governance task performed. A mandatory public register is an instrument that may activate disclosure and reputational mechanisms while performing an information function. A third-party certificate is an instrument that may activate verification and authorization mechanisms while performing an assurance function.</w:t>
      </w:r>
    </w:p>
    <w:p w14:paraId="212A9813" w14:textId="77777777" w:rsidR="003343B5" w:rsidRPr="00BB24A5" w:rsidRDefault="003343B5">
      <w:pPr>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2964"/>
        <w:gridCol w:w="3689"/>
        <w:gridCol w:w="3331"/>
      </w:tblGrid>
      <w:tr w:rsidR="003902C2" w:rsidRPr="00BB24A5" w14:paraId="6D8B2BCB" w14:textId="77777777" w:rsidTr="00094FA3">
        <w:trPr>
          <w:jc w:val="center"/>
        </w:trPr>
        <w:tc>
          <w:tcPr>
            <w:tcW w:w="2965" w:type="dxa"/>
            <w:vAlign w:val="center"/>
          </w:tcPr>
          <w:p w14:paraId="5FEB336C" w14:textId="4FBE863F" w:rsidR="003902C2" w:rsidRPr="00356192" w:rsidRDefault="00BB24A5">
            <w:pPr>
              <w:spacing w:before="30" w:after="30"/>
              <w:rPr>
                <w:rFonts w:asciiTheme="majorBidi" w:hAnsiTheme="majorBidi" w:cstheme="majorBidi"/>
                <w:b/>
                <w:bCs/>
                <w:sz w:val="22"/>
              </w:rPr>
            </w:pPr>
            <w:r w:rsidRPr="00356192">
              <w:rPr>
                <w:rFonts w:asciiTheme="majorBidi" w:hAnsiTheme="majorBidi" w:cstheme="majorBidi"/>
                <w:b/>
                <w:bCs/>
                <w:sz w:val="22"/>
              </w:rPr>
              <w:t>Mechanism</w:t>
            </w:r>
          </w:p>
        </w:tc>
        <w:tc>
          <w:tcPr>
            <w:tcW w:w="3687" w:type="dxa"/>
            <w:vAlign w:val="center"/>
          </w:tcPr>
          <w:p w14:paraId="5D2094DE" w14:textId="77777777" w:rsidR="003902C2" w:rsidRPr="00356192" w:rsidRDefault="00BB24A5">
            <w:pPr>
              <w:spacing w:before="30" w:after="30"/>
              <w:rPr>
                <w:rFonts w:asciiTheme="majorBidi" w:hAnsiTheme="majorBidi" w:cstheme="majorBidi"/>
                <w:b/>
                <w:bCs/>
                <w:sz w:val="22"/>
              </w:rPr>
            </w:pPr>
            <w:r w:rsidRPr="00356192">
              <w:rPr>
                <w:rFonts w:asciiTheme="majorBidi" w:hAnsiTheme="majorBidi" w:cstheme="majorBidi"/>
                <w:b/>
                <w:bCs/>
                <w:sz w:val="22"/>
              </w:rPr>
              <w:t>Governing logic</w:t>
            </w:r>
          </w:p>
        </w:tc>
        <w:tc>
          <w:tcPr>
            <w:tcW w:w="3332" w:type="dxa"/>
            <w:vAlign w:val="center"/>
          </w:tcPr>
          <w:p w14:paraId="45FBF24C" w14:textId="77777777" w:rsidR="003902C2" w:rsidRPr="00356192" w:rsidRDefault="00BB24A5">
            <w:pPr>
              <w:spacing w:before="30" w:after="30"/>
              <w:rPr>
                <w:rFonts w:asciiTheme="majorBidi" w:hAnsiTheme="majorBidi" w:cstheme="majorBidi"/>
                <w:b/>
                <w:bCs/>
                <w:sz w:val="22"/>
              </w:rPr>
            </w:pPr>
            <w:r w:rsidRPr="00356192">
              <w:rPr>
                <w:rFonts w:asciiTheme="majorBidi" w:hAnsiTheme="majorBidi" w:cstheme="majorBidi"/>
                <w:b/>
                <w:bCs/>
                <w:sz w:val="22"/>
              </w:rPr>
              <w:t>Illustrative legal device</w:t>
            </w:r>
          </w:p>
        </w:tc>
      </w:tr>
      <w:tr w:rsidR="003902C2" w:rsidRPr="00BB24A5" w14:paraId="7C1F93FC" w14:textId="77777777" w:rsidTr="00094FA3">
        <w:trPr>
          <w:jc w:val="center"/>
        </w:trPr>
        <w:tc>
          <w:tcPr>
            <w:tcW w:w="2965" w:type="dxa"/>
            <w:vAlign w:val="center"/>
          </w:tcPr>
          <w:p w14:paraId="0F1BF0F4"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Command</w:t>
            </w:r>
          </w:p>
        </w:tc>
        <w:tc>
          <w:tcPr>
            <w:tcW w:w="3687" w:type="dxa"/>
            <w:vAlign w:val="center"/>
          </w:tcPr>
          <w:p w14:paraId="3DF76AD3"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Require or prohibit</w:t>
            </w:r>
          </w:p>
        </w:tc>
        <w:tc>
          <w:tcPr>
            <w:tcW w:w="3332" w:type="dxa"/>
            <w:vAlign w:val="center"/>
          </w:tcPr>
          <w:p w14:paraId="57CA049B"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mandatory rule; permit condition</w:t>
            </w:r>
          </w:p>
        </w:tc>
      </w:tr>
      <w:tr w:rsidR="003902C2" w:rsidRPr="00BB24A5" w14:paraId="64DEAC2C" w14:textId="77777777" w:rsidTr="00094FA3">
        <w:trPr>
          <w:jc w:val="center"/>
        </w:trPr>
        <w:tc>
          <w:tcPr>
            <w:tcW w:w="2965" w:type="dxa"/>
            <w:vAlign w:val="center"/>
          </w:tcPr>
          <w:p w14:paraId="627D170B"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Incentive</w:t>
            </w:r>
          </w:p>
        </w:tc>
        <w:tc>
          <w:tcPr>
            <w:tcW w:w="3687" w:type="dxa"/>
            <w:vAlign w:val="center"/>
          </w:tcPr>
          <w:p w14:paraId="73E9DB6F"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Alter costs and benefits</w:t>
            </w:r>
          </w:p>
        </w:tc>
        <w:tc>
          <w:tcPr>
            <w:tcW w:w="3332" w:type="dxa"/>
            <w:vAlign w:val="center"/>
          </w:tcPr>
          <w:p w14:paraId="6D941461"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tax; subsidy; tradable right</w:t>
            </w:r>
          </w:p>
        </w:tc>
      </w:tr>
      <w:tr w:rsidR="003902C2" w:rsidRPr="00BB24A5" w14:paraId="21D94753" w14:textId="77777777" w:rsidTr="00094FA3">
        <w:trPr>
          <w:jc w:val="center"/>
        </w:trPr>
        <w:tc>
          <w:tcPr>
            <w:tcW w:w="2965" w:type="dxa"/>
            <w:vAlign w:val="center"/>
          </w:tcPr>
          <w:p w14:paraId="4D7FF33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Contract</w:t>
            </w:r>
          </w:p>
        </w:tc>
        <w:tc>
          <w:tcPr>
            <w:tcW w:w="3687" w:type="dxa"/>
            <w:vAlign w:val="center"/>
          </w:tcPr>
          <w:p w14:paraId="40A28003"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Create agreed obligations</w:t>
            </w:r>
          </w:p>
        </w:tc>
        <w:tc>
          <w:tcPr>
            <w:tcW w:w="3332" w:type="dxa"/>
            <w:vAlign w:val="center"/>
          </w:tcPr>
          <w:p w14:paraId="3515D6AC"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public contract; concession</w:t>
            </w:r>
          </w:p>
        </w:tc>
      </w:tr>
      <w:tr w:rsidR="003902C2" w:rsidRPr="00BB24A5" w14:paraId="00BB6F2F" w14:textId="77777777" w:rsidTr="00094FA3">
        <w:trPr>
          <w:jc w:val="center"/>
        </w:trPr>
        <w:tc>
          <w:tcPr>
            <w:tcW w:w="2965" w:type="dxa"/>
            <w:vAlign w:val="center"/>
          </w:tcPr>
          <w:p w14:paraId="2791EF87"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Information</w:t>
            </w:r>
          </w:p>
        </w:tc>
        <w:tc>
          <w:tcPr>
            <w:tcW w:w="3687" w:type="dxa"/>
            <w:vAlign w:val="center"/>
          </w:tcPr>
          <w:p w14:paraId="249EE69C"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Alter knowledge or visibility</w:t>
            </w:r>
          </w:p>
        </w:tc>
        <w:tc>
          <w:tcPr>
            <w:tcW w:w="3332" w:type="dxa"/>
            <w:vAlign w:val="center"/>
          </w:tcPr>
          <w:p w14:paraId="7F01BCF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reporting; benchmarking</w:t>
            </w:r>
          </w:p>
        </w:tc>
      </w:tr>
      <w:tr w:rsidR="003902C2" w:rsidRPr="00BB24A5" w14:paraId="4181C6D7" w14:textId="77777777" w:rsidTr="00094FA3">
        <w:trPr>
          <w:jc w:val="center"/>
        </w:trPr>
        <w:tc>
          <w:tcPr>
            <w:tcW w:w="2965" w:type="dxa"/>
            <w:vAlign w:val="center"/>
          </w:tcPr>
          <w:p w14:paraId="31A4FF92"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Disclosure</w:t>
            </w:r>
          </w:p>
        </w:tc>
        <w:tc>
          <w:tcPr>
            <w:tcW w:w="3687" w:type="dxa"/>
            <w:vAlign w:val="center"/>
          </w:tcPr>
          <w:p w14:paraId="21ED3EF0"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Mobilize external scrutiny</w:t>
            </w:r>
          </w:p>
        </w:tc>
        <w:tc>
          <w:tcPr>
            <w:tcW w:w="3332" w:type="dxa"/>
            <w:vAlign w:val="center"/>
          </w:tcPr>
          <w:p w14:paraId="25943353"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public register; label</w:t>
            </w:r>
          </w:p>
        </w:tc>
      </w:tr>
      <w:tr w:rsidR="003902C2" w:rsidRPr="00BB24A5" w14:paraId="7A275682" w14:textId="77777777" w:rsidTr="00094FA3">
        <w:trPr>
          <w:jc w:val="center"/>
        </w:trPr>
        <w:tc>
          <w:tcPr>
            <w:tcW w:w="2965" w:type="dxa"/>
            <w:vAlign w:val="center"/>
          </w:tcPr>
          <w:p w14:paraId="2AB5F37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Authorization</w:t>
            </w:r>
          </w:p>
        </w:tc>
        <w:tc>
          <w:tcPr>
            <w:tcW w:w="3687" w:type="dxa"/>
            <w:vAlign w:val="center"/>
          </w:tcPr>
          <w:p w14:paraId="214A1E29"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Grant permission or status</w:t>
            </w:r>
          </w:p>
        </w:tc>
        <w:tc>
          <w:tcPr>
            <w:tcW w:w="3332" w:type="dxa"/>
            <w:vAlign w:val="center"/>
          </w:tcPr>
          <w:p w14:paraId="3373BD06"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licence; designation</w:t>
            </w:r>
          </w:p>
        </w:tc>
      </w:tr>
      <w:tr w:rsidR="003902C2" w:rsidRPr="00BB24A5" w14:paraId="59F8AC87" w14:textId="77777777" w:rsidTr="00094FA3">
        <w:trPr>
          <w:jc w:val="center"/>
        </w:trPr>
        <w:tc>
          <w:tcPr>
            <w:tcW w:w="2965" w:type="dxa"/>
            <w:vAlign w:val="center"/>
          </w:tcPr>
          <w:p w14:paraId="522EB66E"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Delegation</w:t>
            </w:r>
          </w:p>
        </w:tc>
        <w:tc>
          <w:tcPr>
            <w:tcW w:w="3687" w:type="dxa"/>
            <w:vAlign w:val="center"/>
          </w:tcPr>
          <w:p w14:paraId="651987E1"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Transfer authority</w:t>
            </w:r>
          </w:p>
        </w:tc>
        <w:tc>
          <w:tcPr>
            <w:tcW w:w="3332" w:type="dxa"/>
            <w:vAlign w:val="center"/>
          </w:tcPr>
          <w:p w14:paraId="1F7EAE7D"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statutory delegation</w:t>
            </w:r>
          </w:p>
        </w:tc>
      </w:tr>
      <w:tr w:rsidR="003902C2" w:rsidRPr="00BB24A5" w14:paraId="18A010D0" w14:textId="77777777" w:rsidTr="00094FA3">
        <w:trPr>
          <w:jc w:val="center"/>
        </w:trPr>
        <w:tc>
          <w:tcPr>
            <w:tcW w:w="2965" w:type="dxa"/>
            <w:vAlign w:val="center"/>
          </w:tcPr>
          <w:p w14:paraId="33FF9CF2"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Accreditation</w:t>
            </w:r>
          </w:p>
        </w:tc>
        <w:tc>
          <w:tcPr>
            <w:tcW w:w="3687" w:type="dxa"/>
            <w:vAlign w:val="center"/>
          </w:tcPr>
          <w:p w14:paraId="7034CAF3"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Validate competence to perform a role</w:t>
            </w:r>
          </w:p>
        </w:tc>
        <w:tc>
          <w:tcPr>
            <w:tcW w:w="3332" w:type="dxa"/>
            <w:vAlign w:val="center"/>
          </w:tcPr>
          <w:p w14:paraId="345AC0B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accreditation of certifiers</w:t>
            </w:r>
          </w:p>
        </w:tc>
      </w:tr>
      <w:tr w:rsidR="003902C2" w:rsidRPr="00BB24A5" w14:paraId="60BA3D4D" w14:textId="77777777" w:rsidTr="00094FA3">
        <w:trPr>
          <w:jc w:val="center"/>
        </w:trPr>
        <w:tc>
          <w:tcPr>
            <w:tcW w:w="2965" w:type="dxa"/>
            <w:vAlign w:val="center"/>
          </w:tcPr>
          <w:p w14:paraId="4FB1B75B"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Monitoring</w:t>
            </w:r>
          </w:p>
        </w:tc>
        <w:tc>
          <w:tcPr>
            <w:tcW w:w="3687" w:type="dxa"/>
            <w:vAlign w:val="center"/>
          </w:tcPr>
          <w:p w14:paraId="6FD3F5F2"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Observe behaviour or performance</w:t>
            </w:r>
          </w:p>
        </w:tc>
        <w:tc>
          <w:tcPr>
            <w:tcW w:w="3332" w:type="dxa"/>
            <w:vAlign w:val="center"/>
          </w:tcPr>
          <w:p w14:paraId="318F4797"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inspection; surveillance</w:t>
            </w:r>
          </w:p>
        </w:tc>
      </w:tr>
      <w:tr w:rsidR="003902C2" w:rsidRPr="00BB24A5" w14:paraId="635399B0" w14:textId="77777777" w:rsidTr="00094FA3">
        <w:trPr>
          <w:jc w:val="center"/>
        </w:trPr>
        <w:tc>
          <w:tcPr>
            <w:tcW w:w="2965" w:type="dxa"/>
            <w:vAlign w:val="center"/>
          </w:tcPr>
          <w:p w14:paraId="63CE9DD2"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Verification</w:t>
            </w:r>
          </w:p>
        </w:tc>
        <w:tc>
          <w:tcPr>
            <w:tcW w:w="3687" w:type="dxa"/>
            <w:vAlign w:val="center"/>
          </w:tcPr>
          <w:p w14:paraId="08895BE2"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Establish credibility of a claim</w:t>
            </w:r>
          </w:p>
        </w:tc>
        <w:tc>
          <w:tcPr>
            <w:tcW w:w="3332" w:type="dxa"/>
            <w:vAlign w:val="center"/>
          </w:tcPr>
          <w:p w14:paraId="1896915F"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audit; conformity assessment</w:t>
            </w:r>
          </w:p>
        </w:tc>
      </w:tr>
      <w:tr w:rsidR="003902C2" w:rsidRPr="00BB24A5" w14:paraId="0E3C4004" w14:textId="77777777" w:rsidTr="00094FA3">
        <w:trPr>
          <w:jc w:val="center"/>
        </w:trPr>
        <w:tc>
          <w:tcPr>
            <w:tcW w:w="2965" w:type="dxa"/>
            <w:vAlign w:val="center"/>
          </w:tcPr>
          <w:p w14:paraId="193BED46"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Participation</w:t>
            </w:r>
          </w:p>
        </w:tc>
        <w:tc>
          <w:tcPr>
            <w:tcW w:w="3687" w:type="dxa"/>
            <w:vAlign w:val="center"/>
          </w:tcPr>
          <w:p w14:paraId="2B0A6555"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Give affected actors voice</w:t>
            </w:r>
          </w:p>
        </w:tc>
        <w:tc>
          <w:tcPr>
            <w:tcW w:w="3332" w:type="dxa"/>
            <w:vAlign w:val="center"/>
          </w:tcPr>
          <w:p w14:paraId="48DE2B9F"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consultation; representation</w:t>
            </w:r>
          </w:p>
        </w:tc>
      </w:tr>
      <w:tr w:rsidR="003902C2" w:rsidRPr="00BB24A5" w14:paraId="7913786E" w14:textId="77777777" w:rsidTr="00094FA3">
        <w:trPr>
          <w:jc w:val="center"/>
        </w:trPr>
        <w:tc>
          <w:tcPr>
            <w:tcW w:w="2965" w:type="dxa"/>
            <w:vAlign w:val="center"/>
          </w:tcPr>
          <w:p w14:paraId="3870975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Reputation</w:t>
            </w:r>
          </w:p>
        </w:tc>
        <w:tc>
          <w:tcPr>
            <w:tcW w:w="3687" w:type="dxa"/>
            <w:vAlign w:val="center"/>
          </w:tcPr>
          <w:p w14:paraId="526AE628"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Mobilize social or market evaluation</w:t>
            </w:r>
          </w:p>
        </w:tc>
        <w:tc>
          <w:tcPr>
            <w:tcW w:w="3332" w:type="dxa"/>
            <w:vAlign w:val="center"/>
          </w:tcPr>
          <w:p w14:paraId="6A0C688A"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ratings; publication</w:t>
            </w:r>
          </w:p>
        </w:tc>
      </w:tr>
      <w:tr w:rsidR="003902C2" w:rsidRPr="00BB24A5" w14:paraId="69BBC6E4" w14:textId="77777777" w:rsidTr="00094FA3">
        <w:trPr>
          <w:jc w:val="center"/>
        </w:trPr>
        <w:tc>
          <w:tcPr>
            <w:tcW w:w="2965" w:type="dxa"/>
            <w:vAlign w:val="center"/>
          </w:tcPr>
          <w:p w14:paraId="7B000F4A"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Sanction</w:t>
            </w:r>
          </w:p>
        </w:tc>
        <w:tc>
          <w:tcPr>
            <w:tcW w:w="3687" w:type="dxa"/>
            <w:vAlign w:val="center"/>
          </w:tcPr>
          <w:p w14:paraId="4C57897C"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Impose consequences for failure</w:t>
            </w:r>
          </w:p>
        </w:tc>
        <w:tc>
          <w:tcPr>
            <w:tcW w:w="3332" w:type="dxa"/>
            <w:vAlign w:val="center"/>
          </w:tcPr>
          <w:p w14:paraId="554240C6" w14:textId="1C21E586" w:rsidR="003902C2" w:rsidRPr="00356192" w:rsidRDefault="00444355">
            <w:pPr>
              <w:spacing w:before="30" w:after="30"/>
              <w:rPr>
                <w:rFonts w:asciiTheme="majorBidi" w:hAnsiTheme="majorBidi" w:cstheme="majorBidi"/>
                <w:sz w:val="22"/>
              </w:rPr>
            </w:pPr>
            <w:r w:rsidRPr="00356192">
              <w:rPr>
                <w:rFonts w:asciiTheme="majorBidi" w:hAnsiTheme="majorBidi" w:cstheme="majorBidi"/>
                <w:sz w:val="22"/>
              </w:rPr>
              <w:t>F</w:t>
            </w:r>
            <w:r w:rsidR="00BB24A5" w:rsidRPr="00356192">
              <w:rPr>
                <w:rFonts w:asciiTheme="majorBidi" w:hAnsiTheme="majorBidi" w:cstheme="majorBidi"/>
                <w:sz w:val="22"/>
              </w:rPr>
              <w:t>ine; suspension; withdrawal</w:t>
            </w:r>
          </w:p>
        </w:tc>
      </w:tr>
      <w:tr w:rsidR="003902C2" w:rsidRPr="00BB24A5" w14:paraId="75BFA610" w14:textId="77777777" w:rsidTr="00094FA3">
        <w:trPr>
          <w:jc w:val="center"/>
        </w:trPr>
        <w:tc>
          <w:tcPr>
            <w:tcW w:w="2965" w:type="dxa"/>
            <w:vAlign w:val="center"/>
          </w:tcPr>
          <w:p w14:paraId="63CA064C" w14:textId="17BC5999"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Review</w:t>
            </w:r>
            <w:r w:rsidR="00444355" w:rsidRPr="00356192">
              <w:rPr>
                <w:rFonts w:asciiTheme="majorBidi" w:hAnsiTheme="majorBidi" w:cstheme="majorBidi"/>
                <w:sz w:val="22"/>
              </w:rPr>
              <w:t xml:space="preserve"> (Peer Review)</w:t>
            </w:r>
          </w:p>
        </w:tc>
        <w:tc>
          <w:tcPr>
            <w:tcW w:w="3687" w:type="dxa"/>
            <w:vAlign w:val="center"/>
          </w:tcPr>
          <w:p w14:paraId="586079E9" w14:textId="77777777" w:rsidR="003902C2" w:rsidRPr="00356192" w:rsidRDefault="00BB24A5">
            <w:pPr>
              <w:spacing w:before="30" w:after="30"/>
              <w:rPr>
                <w:rFonts w:asciiTheme="majorBidi" w:hAnsiTheme="majorBidi" w:cstheme="majorBidi"/>
                <w:sz w:val="22"/>
              </w:rPr>
            </w:pPr>
            <w:r w:rsidRPr="00356192">
              <w:rPr>
                <w:rFonts w:asciiTheme="majorBidi" w:hAnsiTheme="majorBidi" w:cstheme="majorBidi"/>
                <w:sz w:val="22"/>
              </w:rPr>
              <w:t>Subject decisions to reconsideration</w:t>
            </w:r>
          </w:p>
        </w:tc>
        <w:tc>
          <w:tcPr>
            <w:tcW w:w="3332" w:type="dxa"/>
            <w:vAlign w:val="center"/>
          </w:tcPr>
          <w:p w14:paraId="0831B37E" w14:textId="3195B89D" w:rsidR="003902C2" w:rsidRPr="00356192" w:rsidRDefault="00444355">
            <w:pPr>
              <w:spacing w:before="30" w:after="30"/>
              <w:rPr>
                <w:rFonts w:asciiTheme="majorBidi" w:hAnsiTheme="majorBidi" w:cstheme="majorBidi"/>
                <w:sz w:val="22"/>
              </w:rPr>
            </w:pPr>
            <w:r w:rsidRPr="00356192">
              <w:rPr>
                <w:rFonts w:asciiTheme="majorBidi" w:hAnsiTheme="majorBidi" w:cstheme="majorBidi"/>
                <w:sz w:val="22"/>
              </w:rPr>
              <w:t>A</w:t>
            </w:r>
            <w:r w:rsidR="00BB24A5" w:rsidRPr="00356192">
              <w:rPr>
                <w:rFonts w:asciiTheme="majorBidi" w:hAnsiTheme="majorBidi" w:cstheme="majorBidi"/>
                <w:sz w:val="22"/>
              </w:rPr>
              <w:t>dministrative</w:t>
            </w:r>
            <w:r w:rsidRPr="00356192">
              <w:rPr>
                <w:rFonts w:asciiTheme="majorBidi" w:hAnsiTheme="majorBidi" w:cstheme="majorBidi"/>
                <w:sz w:val="22"/>
              </w:rPr>
              <w:t>, Academic,</w:t>
            </w:r>
            <w:r w:rsidR="00BB24A5" w:rsidRPr="00356192">
              <w:rPr>
                <w:rFonts w:asciiTheme="majorBidi" w:hAnsiTheme="majorBidi" w:cstheme="majorBidi"/>
                <w:sz w:val="22"/>
              </w:rPr>
              <w:t xml:space="preserve"> or </w:t>
            </w:r>
            <w:r w:rsidRPr="00356192">
              <w:rPr>
                <w:rFonts w:asciiTheme="majorBidi" w:hAnsiTheme="majorBidi" w:cstheme="majorBidi"/>
                <w:sz w:val="22"/>
              </w:rPr>
              <w:t>J</w:t>
            </w:r>
            <w:r w:rsidR="00BB24A5" w:rsidRPr="00356192">
              <w:rPr>
                <w:rFonts w:asciiTheme="majorBidi" w:hAnsiTheme="majorBidi" w:cstheme="majorBidi"/>
                <w:sz w:val="22"/>
              </w:rPr>
              <w:t>udicial review</w:t>
            </w:r>
          </w:p>
        </w:tc>
      </w:tr>
      <w:tr w:rsidR="003343B5" w:rsidRPr="00BB24A5" w14:paraId="6ED6E219" w14:textId="77777777" w:rsidTr="00094FA3">
        <w:trPr>
          <w:jc w:val="center"/>
        </w:trPr>
        <w:tc>
          <w:tcPr>
            <w:tcW w:w="2965" w:type="dxa"/>
            <w:vAlign w:val="center"/>
          </w:tcPr>
          <w:p w14:paraId="0E7328E6" w14:textId="23A7DFC9"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Registration</w:t>
            </w:r>
          </w:p>
        </w:tc>
        <w:tc>
          <w:tcPr>
            <w:tcW w:w="3687" w:type="dxa"/>
            <w:vAlign w:val="center"/>
          </w:tcPr>
          <w:p w14:paraId="72F4C4EF" w14:textId="77777777" w:rsidR="003343B5" w:rsidRPr="00356192" w:rsidRDefault="003343B5">
            <w:pPr>
              <w:spacing w:before="30" w:after="30"/>
              <w:rPr>
                <w:rFonts w:asciiTheme="majorBidi" w:hAnsiTheme="majorBidi" w:cstheme="majorBidi"/>
                <w:sz w:val="22"/>
              </w:rPr>
            </w:pPr>
          </w:p>
        </w:tc>
        <w:tc>
          <w:tcPr>
            <w:tcW w:w="3332" w:type="dxa"/>
            <w:vAlign w:val="center"/>
          </w:tcPr>
          <w:p w14:paraId="33340CAC" w14:textId="77777777" w:rsidR="003343B5" w:rsidRPr="00356192" w:rsidRDefault="003343B5">
            <w:pPr>
              <w:spacing w:before="30" w:after="30"/>
              <w:rPr>
                <w:rFonts w:asciiTheme="majorBidi" w:hAnsiTheme="majorBidi" w:cstheme="majorBidi"/>
                <w:sz w:val="22"/>
              </w:rPr>
            </w:pPr>
          </w:p>
        </w:tc>
      </w:tr>
      <w:tr w:rsidR="003343B5" w:rsidRPr="00BB24A5" w14:paraId="7630F529" w14:textId="77777777" w:rsidTr="00094FA3">
        <w:trPr>
          <w:jc w:val="center"/>
        </w:trPr>
        <w:tc>
          <w:tcPr>
            <w:tcW w:w="2965" w:type="dxa"/>
            <w:vAlign w:val="center"/>
          </w:tcPr>
          <w:p w14:paraId="25E2F2EB" w14:textId="7E93CF4B"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Notification</w:t>
            </w:r>
          </w:p>
        </w:tc>
        <w:tc>
          <w:tcPr>
            <w:tcW w:w="3687" w:type="dxa"/>
            <w:vAlign w:val="center"/>
          </w:tcPr>
          <w:p w14:paraId="0E8DDF31" w14:textId="77777777" w:rsidR="003343B5" w:rsidRPr="00356192" w:rsidRDefault="003343B5">
            <w:pPr>
              <w:spacing w:before="30" w:after="30"/>
              <w:rPr>
                <w:rFonts w:asciiTheme="majorBidi" w:hAnsiTheme="majorBidi" w:cstheme="majorBidi"/>
                <w:sz w:val="22"/>
              </w:rPr>
            </w:pPr>
          </w:p>
        </w:tc>
        <w:tc>
          <w:tcPr>
            <w:tcW w:w="3332" w:type="dxa"/>
            <w:vAlign w:val="center"/>
          </w:tcPr>
          <w:p w14:paraId="73B808A7" w14:textId="77777777" w:rsidR="003343B5" w:rsidRPr="00356192" w:rsidRDefault="003343B5">
            <w:pPr>
              <w:spacing w:before="30" w:after="30"/>
              <w:rPr>
                <w:rFonts w:asciiTheme="majorBidi" w:hAnsiTheme="majorBidi" w:cstheme="majorBidi"/>
                <w:sz w:val="22"/>
              </w:rPr>
            </w:pPr>
          </w:p>
        </w:tc>
      </w:tr>
      <w:tr w:rsidR="003343B5" w:rsidRPr="00BB24A5" w14:paraId="7FCBAC7E" w14:textId="77777777" w:rsidTr="00094FA3">
        <w:trPr>
          <w:jc w:val="center"/>
        </w:trPr>
        <w:tc>
          <w:tcPr>
            <w:tcW w:w="2965" w:type="dxa"/>
            <w:vAlign w:val="center"/>
          </w:tcPr>
          <w:p w14:paraId="3D62624B" w14:textId="26138B83"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 xml:space="preserve">Reporting </w:t>
            </w:r>
          </w:p>
        </w:tc>
        <w:tc>
          <w:tcPr>
            <w:tcW w:w="3687" w:type="dxa"/>
            <w:vAlign w:val="center"/>
          </w:tcPr>
          <w:p w14:paraId="02619A3C" w14:textId="77777777" w:rsidR="003343B5" w:rsidRPr="00356192" w:rsidRDefault="003343B5">
            <w:pPr>
              <w:spacing w:before="30" w:after="30"/>
              <w:rPr>
                <w:rFonts w:asciiTheme="majorBidi" w:hAnsiTheme="majorBidi" w:cstheme="majorBidi"/>
                <w:sz w:val="22"/>
              </w:rPr>
            </w:pPr>
          </w:p>
        </w:tc>
        <w:tc>
          <w:tcPr>
            <w:tcW w:w="3332" w:type="dxa"/>
            <w:vAlign w:val="center"/>
          </w:tcPr>
          <w:p w14:paraId="7566B21B" w14:textId="77777777" w:rsidR="003343B5" w:rsidRPr="00356192" w:rsidRDefault="003343B5">
            <w:pPr>
              <w:spacing w:before="30" w:after="30"/>
              <w:rPr>
                <w:rFonts w:asciiTheme="majorBidi" w:hAnsiTheme="majorBidi" w:cstheme="majorBidi"/>
                <w:sz w:val="22"/>
              </w:rPr>
            </w:pPr>
          </w:p>
        </w:tc>
      </w:tr>
      <w:tr w:rsidR="003343B5" w:rsidRPr="00BB24A5" w14:paraId="51FC1391" w14:textId="77777777" w:rsidTr="00094FA3">
        <w:trPr>
          <w:jc w:val="center"/>
        </w:trPr>
        <w:tc>
          <w:tcPr>
            <w:tcW w:w="2965" w:type="dxa"/>
            <w:vAlign w:val="center"/>
          </w:tcPr>
          <w:p w14:paraId="2B99F362" w14:textId="47F62CC0"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Certification</w:t>
            </w:r>
          </w:p>
        </w:tc>
        <w:tc>
          <w:tcPr>
            <w:tcW w:w="3687" w:type="dxa"/>
            <w:vAlign w:val="center"/>
          </w:tcPr>
          <w:p w14:paraId="4C1AB2FE" w14:textId="77777777" w:rsidR="003343B5" w:rsidRPr="00356192" w:rsidRDefault="003343B5">
            <w:pPr>
              <w:spacing w:before="30" w:after="30"/>
              <w:rPr>
                <w:rFonts w:asciiTheme="majorBidi" w:hAnsiTheme="majorBidi" w:cstheme="majorBidi"/>
                <w:sz w:val="22"/>
              </w:rPr>
            </w:pPr>
          </w:p>
        </w:tc>
        <w:tc>
          <w:tcPr>
            <w:tcW w:w="3332" w:type="dxa"/>
            <w:vAlign w:val="center"/>
          </w:tcPr>
          <w:p w14:paraId="3751A38C" w14:textId="77777777" w:rsidR="003343B5" w:rsidRPr="00356192" w:rsidRDefault="003343B5">
            <w:pPr>
              <w:spacing w:before="30" w:after="30"/>
              <w:rPr>
                <w:rFonts w:asciiTheme="majorBidi" w:hAnsiTheme="majorBidi" w:cstheme="majorBidi"/>
                <w:sz w:val="22"/>
              </w:rPr>
            </w:pPr>
          </w:p>
        </w:tc>
      </w:tr>
      <w:tr w:rsidR="003343B5" w:rsidRPr="00BB24A5" w14:paraId="13715F11" w14:textId="77777777" w:rsidTr="00094FA3">
        <w:trPr>
          <w:jc w:val="center"/>
        </w:trPr>
        <w:tc>
          <w:tcPr>
            <w:tcW w:w="2965" w:type="dxa"/>
            <w:vAlign w:val="center"/>
          </w:tcPr>
          <w:p w14:paraId="406C900C" w14:textId="510A41A9"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 xml:space="preserve">Auditing </w:t>
            </w:r>
          </w:p>
        </w:tc>
        <w:tc>
          <w:tcPr>
            <w:tcW w:w="3687" w:type="dxa"/>
            <w:vAlign w:val="center"/>
          </w:tcPr>
          <w:p w14:paraId="1FDEE4F8" w14:textId="77777777" w:rsidR="003343B5" w:rsidRPr="00356192" w:rsidRDefault="003343B5">
            <w:pPr>
              <w:spacing w:before="30" w:after="30"/>
              <w:rPr>
                <w:rFonts w:asciiTheme="majorBidi" w:hAnsiTheme="majorBidi" w:cstheme="majorBidi"/>
                <w:sz w:val="22"/>
              </w:rPr>
            </w:pPr>
          </w:p>
        </w:tc>
        <w:tc>
          <w:tcPr>
            <w:tcW w:w="3332" w:type="dxa"/>
            <w:vAlign w:val="center"/>
          </w:tcPr>
          <w:p w14:paraId="4502B1F2" w14:textId="77777777" w:rsidR="003343B5" w:rsidRPr="00356192" w:rsidRDefault="003343B5">
            <w:pPr>
              <w:spacing w:before="30" w:after="30"/>
              <w:rPr>
                <w:rFonts w:asciiTheme="majorBidi" w:hAnsiTheme="majorBidi" w:cstheme="majorBidi"/>
                <w:sz w:val="22"/>
              </w:rPr>
            </w:pPr>
          </w:p>
        </w:tc>
      </w:tr>
      <w:tr w:rsidR="003343B5" w:rsidRPr="00BB24A5" w14:paraId="37C0D629" w14:textId="77777777" w:rsidTr="00094FA3">
        <w:trPr>
          <w:jc w:val="center"/>
        </w:trPr>
        <w:tc>
          <w:tcPr>
            <w:tcW w:w="2965" w:type="dxa"/>
            <w:vAlign w:val="center"/>
          </w:tcPr>
          <w:p w14:paraId="5F5D9139" w14:textId="2DD7B547" w:rsidR="003343B5" w:rsidRPr="00356192" w:rsidRDefault="003343B5">
            <w:pPr>
              <w:spacing w:before="30" w:after="30"/>
              <w:rPr>
                <w:rFonts w:asciiTheme="majorBidi" w:hAnsiTheme="majorBidi" w:cstheme="majorBidi"/>
                <w:sz w:val="22"/>
              </w:rPr>
            </w:pPr>
            <w:r w:rsidRPr="00356192">
              <w:rPr>
                <w:rFonts w:asciiTheme="majorBidi" w:hAnsiTheme="majorBidi" w:cstheme="majorBidi"/>
                <w:sz w:val="22"/>
              </w:rPr>
              <w:t xml:space="preserve">Ranking &amp; Rating </w:t>
            </w:r>
          </w:p>
        </w:tc>
        <w:tc>
          <w:tcPr>
            <w:tcW w:w="3687" w:type="dxa"/>
            <w:vAlign w:val="center"/>
          </w:tcPr>
          <w:p w14:paraId="23991C43" w14:textId="77777777" w:rsidR="003343B5" w:rsidRPr="00356192" w:rsidRDefault="003343B5">
            <w:pPr>
              <w:spacing w:before="30" w:after="30"/>
              <w:rPr>
                <w:rFonts w:asciiTheme="majorBidi" w:hAnsiTheme="majorBidi" w:cstheme="majorBidi"/>
                <w:sz w:val="22"/>
              </w:rPr>
            </w:pPr>
          </w:p>
        </w:tc>
        <w:tc>
          <w:tcPr>
            <w:tcW w:w="3332" w:type="dxa"/>
            <w:vAlign w:val="center"/>
          </w:tcPr>
          <w:p w14:paraId="43DE070A" w14:textId="77777777" w:rsidR="003343B5" w:rsidRPr="00356192" w:rsidRDefault="003343B5">
            <w:pPr>
              <w:spacing w:before="30" w:after="30"/>
              <w:rPr>
                <w:rFonts w:asciiTheme="majorBidi" w:hAnsiTheme="majorBidi" w:cstheme="majorBidi"/>
                <w:sz w:val="22"/>
              </w:rPr>
            </w:pPr>
          </w:p>
        </w:tc>
      </w:tr>
      <w:tr w:rsidR="003343B5" w:rsidRPr="00BB24A5" w14:paraId="4D28643D" w14:textId="77777777" w:rsidTr="00094FA3">
        <w:trPr>
          <w:jc w:val="center"/>
        </w:trPr>
        <w:tc>
          <w:tcPr>
            <w:tcW w:w="2965" w:type="dxa"/>
            <w:vAlign w:val="center"/>
          </w:tcPr>
          <w:p w14:paraId="60F4685B" w14:textId="3DAE7B34" w:rsidR="003343B5" w:rsidRPr="00356192" w:rsidRDefault="003343B5" w:rsidP="003343B5">
            <w:pPr>
              <w:spacing w:before="30" w:after="30"/>
              <w:rPr>
                <w:rFonts w:asciiTheme="majorBidi" w:hAnsiTheme="majorBidi" w:cstheme="majorBidi"/>
                <w:sz w:val="22"/>
              </w:rPr>
            </w:pPr>
            <w:r w:rsidRPr="00356192">
              <w:rPr>
                <w:rFonts w:asciiTheme="majorBidi" w:hAnsiTheme="majorBidi" w:cstheme="majorBidi"/>
                <w:sz w:val="22"/>
              </w:rPr>
              <w:t>Assurance</w:t>
            </w:r>
          </w:p>
        </w:tc>
        <w:tc>
          <w:tcPr>
            <w:tcW w:w="3687" w:type="dxa"/>
          </w:tcPr>
          <w:p w14:paraId="1B546126" w14:textId="1015C1D3" w:rsidR="003343B5" w:rsidRPr="00356192" w:rsidRDefault="003343B5" w:rsidP="003343B5">
            <w:pPr>
              <w:spacing w:before="30" w:after="30"/>
              <w:rPr>
                <w:rFonts w:asciiTheme="majorBidi" w:hAnsiTheme="majorBidi" w:cstheme="majorBidi"/>
                <w:sz w:val="22"/>
              </w:rPr>
            </w:pPr>
            <w:r w:rsidRPr="00356192">
              <w:rPr>
                <w:rFonts w:asciiTheme="majorBidi" w:hAnsiTheme="majorBidi" w:cstheme="majorBidi"/>
                <w:sz w:val="22"/>
              </w:rPr>
              <w:t>Provides an authoritative or credible basis for reliance on compliance, quality, competence, or performance.</w:t>
            </w:r>
          </w:p>
        </w:tc>
        <w:tc>
          <w:tcPr>
            <w:tcW w:w="3332" w:type="dxa"/>
            <w:vAlign w:val="center"/>
          </w:tcPr>
          <w:p w14:paraId="0F1FAC79" w14:textId="77777777" w:rsidR="003343B5" w:rsidRPr="00356192" w:rsidRDefault="003343B5" w:rsidP="003343B5">
            <w:pPr>
              <w:spacing w:before="30" w:after="30"/>
              <w:rPr>
                <w:rFonts w:asciiTheme="majorBidi" w:hAnsiTheme="majorBidi" w:cstheme="majorBidi"/>
                <w:sz w:val="22"/>
              </w:rPr>
            </w:pPr>
          </w:p>
        </w:tc>
      </w:tr>
      <w:tr w:rsidR="003343B5" w:rsidRPr="00BB24A5" w14:paraId="6D6D691E" w14:textId="77777777" w:rsidTr="00094FA3">
        <w:trPr>
          <w:jc w:val="center"/>
        </w:trPr>
        <w:tc>
          <w:tcPr>
            <w:tcW w:w="2965" w:type="dxa"/>
            <w:vAlign w:val="center"/>
          </w:tcPr>
          <w:p w14:paraId="0092E3E0" w14:textId="2B989C01" w:rsidR="003343B5" w:rsidRPr="00356192" w:rsidRDefault="003343B5" w:rsidP="003343B5">
            <w:pPr>
              <w:spacing w:before="30" w:after="30"/>
              <w:rPr>
                <w:rFonts w:asciiTheme="majorBidi" w:hAnsiTheme="majorBidi" w:cstheme="majorBidi"/>
                <w:sz w:val="22"/>
              </w:rPr>
            </w:pPr>
            <w:r w:rsidRPr="00356192">
              <w:rPr>
                <w:rFonts w:asciiTheme="majorBidi" w:hAnsiTheme="majorBidi" w:cstheme="majorBidi"/>
                <w:sz w:val="22"/>
              </w:rPr>
              <w:t xml:space="preserve">Conformity Assessment </w:t>
            </w:r>
          </w:p>
        </w:tc>
        <w:tc>
          <w:tcPr>
            <w:tcW w:w="3687" w:type="dxa"/>
          </w:tcPr>
          <w:p w14:paraId="1E3CBCD4" w14:textId="77777777" w:rsidR="003343B5" w:rsidRPr="00356192" w:rsidRDefault="003343B5" w:rsidP="003343B5">
            <w:pPr>
              <w:spacing w:before="30" w:after="30"/>
              <w:rPr>
                <w:rFonts w:asciiTheme="majorBidi" w:hAnsiTheme="majorBidi" w:cstheme="majorBidi"/>
                <w:sz w:val="22"/>
              </w:rPr>
            </w:pPr>
          </w:p>
        </w:tc>
        <w:tc>
          <w:tcPr>
            <w:tcW w:w="3332" w:type="dxa"/>
            <w:vAlign w:val="center"/>
          </w:tcPr>
          <w:p w14:paraId="1B24CA31" w14:textId="77777777" w:rsidR="003343B5" w:rsidRPr="00356192" w:rsidRDefault="003343B5" w:rsidP="003343B5">
            <w:pPr>
              <w:spacing w:before="30" w:after="30"/>
              <w:rPr>
                <w:rFonts w:asciiTheme="majorBidi" w:hAnsiTheme="majorBidi" w:cstheme="majorBidi"/>
                <w:sz w:val="22"/>
              </w:rPr>
            </w:pPr>
          </w:p>
        </w:tc>
      </w:tr>
      <w:tr w:rsidR="003343B5" w14:paraId="3C0099BC" w14:textId="77777777" w:rsidTr="00094FA3">
        <w:tblPrEx>
          <w:jc w:val="left"/>
        </w:tblPrEx>
        <w:tc>
          <w:tcPr>
            <w:tcW w:w="2965" w:type="dxa"/>
          </w:tcPr>
          <w:p w14:paraId="68B16357" w14:textId="77777777" w:rsidR="003343B5" w:rsidRPr="00356192" w:rsidRDefault="003343B5" w:rsidP="0017123D">
            <w:pPr>
              <w:widowControl w:val="0"/>
              <w:autoSpaceDE w:val="0"/>
              <w:autoSpaceDN w:val="0"/>
              <w:adjustRightInd w:val="0"/>
              <w:spacing w:after="0" w:line="240" w:lineRule="auto"/>
              <w:rPr>
                <w:rFonts w:asciiTheme="majorBidi" w:hAnsiTheme="majorBidi" w:cstheme="majorBidi"/>
                <w:sz w:val="22"/>
              </w:rPr>
            </w:pPr>
            <w:r w:rsidRPr="00356192">
              <w:rPr>
                <w:rFonts w:asciiTheme="majorBidi" w:hAnsiTheme="majorBidi" w:cstheme="majorBidi"/>
                <w:sz w:val="22"/>
              </w:rPr>
              <w:t>Investigation</w:t>
            </w:r>
          </w:p>
        </w:tc>
        <w:tc>
          <w:tcPr>
            <w:tcW w:w="3690" w:type="dxa"/>
          </w:tcPr>
          <w:p w14:paraId="783CEE13" w14:textId="77777777" w:rsidR="003343B5" w:rsidRPr="00356192" w:rsidRDefault="003343B5" w:rsidP="0017123D">
            <w:pPr>
              <w:widowControl w:val="0"/>
              <w:autoSpaceDE w:val="0"/>
              <w:autoSpaceDN w:val="0"/>
              <w:adjustRightInd w:val="0"/>
              <w:spacing w:after="0" w:line="240" w:lineRule="auto"/>
              <w:rPr>
                <w:rFonts w:asciiTheme="majorBidi" w:hAnsiTheme="majorBidi" w:cstheme="majorBidi"/>
                <w:sz w:val="22"/>
              </w:rPr>
            </w:pPr>
            <w:r w:rsidRPr="00356192">
              <w:rPr>
                <w:rFonts w:asciiTheme="majorBidi" w:hAnsiTheme="majorBidi" w:cstheme="majorBidi"/>
                <w:sz w:val="22"/>
              </w:rPr>
              <w:t>Examines suspected violations, failures, risks, or contested facts through systematic fact-finding.</w:t>
            </w:r>
          </w:p>
        </w:tc>
        <w:tc>
          <w:tcPr>
            <w:tcW w:w="3329" w:type="dxa"/>
          </w:tcPr>
          <w:p w14:paraId="54863734" w14:textId="77777777" w:rsidR="003343B5" w:rsidRPr="00356192" w:rsidRDefault="003343B5" w:rsidP="0017123D">
            <w:pPr>
              <w:widowControl w:val="0"/>
              <w:autoSpaceDE w:val="0"/>
              <w:autoSpaceDN w:val="0"/>
              <w:adjustRightInd w:val="0"/>
              <w:spacing w:after="0" w:line="240" w:lineRule="auto"/>
              <w:rPr>
                <w:rFonts w:asciiTheme="majorBidi" w:hAnsiTheme="majorBidi" w:cstheme="majorBidi"/>
                <w:sz w:val="22"/>
              </w:rPr>
            </w:pPr>
            <w:r w:rsidRPr="00356192">
              <w:rPr>
                <w:rFonts w:asciiTheme="majorBidi" w:hAnsiTheme="majorBidi" w:cstheme="majorBidi"/>
                <w:sz w:val="22"/>
              </w:rPr>
              <w:t>Statutory inquiry; investigatory power; compulsory information request; inspection following suspected breach.</w:t>
            </w:r>
          </w:p>
        </w:tc>
      </w:tr>
    </w:tbl>
    <w:p w14:paraId="18A02657" w14:textId="10D85CA0" w:rsidR="00356192" w:rsidRDefault="00356192">
      <w:pPr>
        <w:rPr>
          <w:rFonts w:asciiTheme="majorBidi" w:hAnsiTheme="majorBidi" w:cstheme="majorBidi"/>
          <w:sz w:val="24"/>
          <w:szCs w:val="24"/>
        </w:rPr>
      </w:pPr>
    </w:p>
    <w:p w14:paraId="57661BD9" w14:textId="77777777" w:rsidR="00356192" w:rsidRDefault="00356192">
      <w:pPr>
        <w:spacing w:after="200" w:line="276" w:lineRule="auto"/>
        <w:rPr>
          <w:rFonts w:asciiTheme="majorBidi" w:hAnsiTheme="majorBidi" w:cstheme="majorBidi"/>
          <w:sz w:val="24"/>
          <w:szCs w:val="24"/>
        </w:rPr>
      </w:pPr>
      <w:r>
        <w:rPr>
          <w:rFonts w:asciiTheme="majorBidi" w:hAnsiTheme="majorBidi" w:cstheme="majorBidi"/>
          <w:sz w:val="24"/>
          <w:szCs w:val="24"/>
        </w:rPr>
        <w:br w:type="page"/>
      </w:r>
    </w:p>
    <w:p w14:paraId="4D38A32A" w14:textId="77777777" w:rsidR="003343B5" w:rsidRDefault="003343B5">
      <w:pPr>
        <w:rPr>
          <w:rFonts w:asciiTheme="majorBidi" w:hAnsiTheme="majorBidi" w:cstheme="majorBidi"/>
          <w:sz w:val="24"/>
          <w:szCs w:val="24"/>
        </w:rPr>
      </w:pPr>
    </w:p>
    <w:p w14:paraId="6E4E423F" w14:textId="64B29E28" w:rsidR="00094FA3" w:rsidRDefault="00094FA3" w:rsidP="0036629B">
      <w:pPr>
        <w:rPr>
          <w:rFonts w:asciiTheme="majorBidi" w:hAnsiTheme="majorBidi" w:cstheme="majorBidi"/>
          <w:b/>
          <w:bCs/>
          <w:sz w:val="24"/>
          <w:szCs w:val="24"/>
        </w:rPr>
      </w:pPr>
      <w:r>
        <w:rPr>
          <w:rFonts w:asciiTheme="majorBidi" w:hAnsiTheme="majorBidi" w:cstheme="majorBidi"/>
          <w:b/>
          <w:bCs/>
          <w:sz w:val="24"/>
          <w:szCs w:val="24"/>
        </w:rPr>
        <w:t>3.5. Relationships</w:t>
      </w:r>
    </w:p>
    <w:p w14:paraId="54A73191" w14:textId="336A4DA8" w:rsidR="00094FA3" w:rsidRDefault="00094FA3" w:rsidP="00094FA3">
      <w:pPr>
        <w:pStyle w:val="NormalWeb"/>
        <w:spacing w:line="360" w:lineRule="auto"/>
        <w:jc w:val="both"/>
      </w:pPr>
      <w:r>
        <w:rPr>
          <w:rStyle w:val="Strong"/>
        </w:rPr>
        <w:t>Relationships</w:t>
      </w:r>
      <w:r>
        <w:t xml:space="preserve"> are the legally constituted connections between two or more actors through which authority, obligations, information, resources, oversight, accountability, representation, or other forms of governance are exercised. A relationship specifies not simply that actors participate in governance, but </w:t>
      </w:r>
      <w:r w:rsidRPr="00094FA3">
        <w:rPr>
          <w:rStyle w:val="Strong"/>
          <w:b w:val="0"/>
          <w:bCs w:val="0"/>
        </w:rPr>
        <w:t>how Actor A is institutionally connected to Actor B</w:t>
      </w:r>
      <w:r>
        <w:t xml:space="preserve">. Relationships are therefore directional and relational: a regulator may authorize a verifier, a firm may report to a regulator, an auditor may verify a firm's claims, a court may review an agency's decision, or an association may represent its members. The same actor can consequently occupy different governance positions across different relationships. This distinction is central to relational leximetrics because governance architecture is constituted not by the presence of particular actors alone, but by the </w:t>
      </w:r>
      <w:r w:rsidRPr="00094FA3">
        <w:rPr>
          <w:rStyle w:val="Strong"/>
          <w:b w:val="0"/>
          <w:bCs w:val="0"/>
        </w:rPr>
        <w:t>pattern of relationships connecting them</w:t>
      </w:r>
      <w:r>
        <w:t xml:space="preserve">. This develops the relational premise already stated in the paper: actors do not possess fixed governance identities; their governance position depends on the particular legally constituted relationship in which they participate.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3666"/>
        <w:gridCol w:w="2557"/>
        <w:gridCol w:w="1673"/>
      </w:tblGrid>
      <w:tr w:rsidR="00094FA3" w14:paraId="7EE75CA7" w14:textId="77777777" w:rsidTr="00094FA3">
        <w:trPr>
          <w:tblHeader/>
          <w:tblCellSpacing w:w="15" w:type="dxa"/>
        </w:trPr>
        <w:tc>
          <w:tcPr>
            <w:tcW w:w="0" w:type="auto"/>
            <w:vAlign w:val="center"/>
            <w:hideMark/>
          </w:tcPr>
          <w:p w14:paraId="3483733D" w14:textId="77777777" w:rsidR="00094FA3" w:rsidRPr="00094FA3" w:rsidRDefault="00094FA3">
            <w:pPr>
              <w:jc w:val="center"/>
              <w:rPr>
                <w:rFonts w:asciiTheme="majorBidi" w:hAnsiTheme="majorBidi" w:cstheme="majorBidi"/>
                <w:b/>
                <w:bCs/>
                <w:sz w:val="22"/>
              </w:rPr>
            </w:pPr>
            <w:r w:rsidRPr="00094FA3">
              <w:rPr>
                <w:rStyle w:val="Strong"/>
                <w:rFonts w:asciiTheme="majorBidi" w:hAnsiTheme="majorBidi" w:cstheme="majorBidi"/>
                <w:sz w:val="22"/>
              </w:rPr>
              <w:t>Relationship</w:t>
            </w:r>
          </w:p>
        </w:tc>
        <w:tc>
          <w:tcPr>
            <w:tcW w:w="0" w:type="auto"/>
            <w:vAlign w:val="center"/>
            <w:hideMark/>
          </w:tcPr>
          <w:p w14:paraId="31E8B63D" w14:textId="77777777" w:rsidR="00094FA3" w:rsidRPr="00094FA3" w:rsidRDefault="00094FA3">
            <w:pPr>
              <w:jc w:val="center"/>
              <w:rPr>
                <w:rFonts w:asciiTheme="majorBidi" w:hAnsiTheme="majorBidi" w:cstheme="majorBidi"/>
                <w:b/>
                <w:bCs/>
                <w:sz w:val="22"/>
              </w:rPr>
            </w:pPr>
            <w:r w:rsidRPr="00094FA3">
              <w:rPr>
                <w:rStyle w:val="Strong"/>
                <w:rFonts w:asciiTheme="majorBidi" w:hAnsiTheme="majorBidi" w:cstheme="majorBidi"/>
                <w:sz w:val="22"/>
              </w:rPr>
              <w:t>Core relation</w:t>
            </w:r>
          </w:p>
        </w:tc>
        <w:tc>
          <w:tcPr>
            <w:tcW w:w="0" w:type="auto"/>
            <w:vAlign w:val="center"/>
            <w:hideMark/>
          </w:tcPr>
          <w:p w14:paraId="47A41C26" w14:textId="77777777" w:rsidR="00094FA3" w:rsidRPr="00094FA3" w:rsidRDefault="00094FA3">
            <w:pPr>
              <w:jc w:val="center"/>
              <w:rPr>
                <w:rFonts w:asciiTheme="majorBidi" w:hAnsiTheme="majorBidi" w:cstheme="majorBidi"/>
                <w:b/>
                <w:bCs/>
                <w:sz w:val="22"/>
              </w:rPr>
            </w:pPr>
            <w:r w:rsidRPr="00094FA3">
              <w:rPr>
                <w:rStyle w:val="Strong"/>
                <w:rFonts w:asciiTheme="majorBidi" w:hAnsiTheme="majorBidi" w:cstheme="majorBidi"/>
                <w:sz w:val="22"/>
              </w:rPr>
              <w:t>Typical legal expression</w:t>
            </w:r>
          </w:p>
        </w:tc>
        <w:tc>
          <w:tcPr>
            <w:tcW w:w="0" w:type="auto"/>
            <w:vAlign w:val="center"/>
            <w:hideMark/>
          </w:tcPr>
          <w:p w14:paraId="7DD8BD69" w14:textId="77777777" w:rsidR="00094FA3" w:rsidRPr="00094FA3" w:rsidRDefault="00094FA3">
            <w:pPr>
              <w:jc w:val="center"/>
              <w:rPr>
                <w:rFonts w:asciiTheme="majorBidi" w:hAnsiTheme="majorBidi" w:cstheme="majorBidi"/>
                <w:b/>
                <w:bCs/>
                <w:sz w:val="22"/>
              </w:rPr>
            </w:pPr>
            <w:r w:rsidRPr="00094FA3">
              <w:rPr>
                <w:rStyle w:val="Strong"/>
                <w:rFonts w:asciiTheme="majorBidi" w:hAnsiTheme="majorBidi" w:cstheme="majorBidi"/>
                <w:sz w:val="22"/>
              </w:rPr>
              <w:t>Illustration</w:t>
            </w:r>
          </w:p>
        </w:tc>
      </w:tr>
      <w:tr w:rsidR="00094FA3" w14:paraId="7F16FAD2" w14:textId="77777777" w:rsidTr="00094FA3">
        <w:trPr>
          <w:tblCellSpacing w:w="15" w:type="dxa"/>
        </w:trPr>
        <w:tc>
          <w:tcPr>
            <w:tcW w:w="0" w:type="auto"/>
            <w:vAlign w:val="center"/>
            <w:hideMark/>
          </w:tcPr>
          <w:p w14:paraId="0CDA6816"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Authority / control</w:t>
            </w:r>
          </w:p>
        </w:tc>
        <w:tc>
          <w:tcPr>
            <w:tcW w:w="0" w:type="auto"/>
            <w:vAlign w:val="center"/>
            <w:hideMark/>
          </w:tcPr>
          <w:p w14:paraId="31D7B962"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has legal power to direct or constrain B</w:t>
            </w:r>
          </w:p>
        </w:tc>
        <w:tc>
          <w:tcPr>
            <w:tcW w:w="0" w:type="auto"/>
            <w:vAlign w:val="center"/>
            <w:hideMark/>
          </w:tcPr>
          <w:p w14:paraId="3BEFB094"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command, prohibition, binding decision</w:t>
            </w:r>
          </w:p>
        </w:tc>
        <w:tc>
          <w:tcPr>
            <w:tcW w:w="0" w:type="auto"/>
            <w:vAlign w:val="center"/>
            <w:hideMark/>
          </w:tcPr>
          <w:p w14:paraId="7555FEA5"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regulator → firm</w:t>
            </w:r>
          </w:p>
        </w:tc>
      </w:tr>
      <w:tr w:rsidR="00094FA3" w14:paraId="56D8051A" w14:textId="77777777" w:rsidTr="00094FA3">
        <w:trPr>
          <w:tblCellSpacing w:w="15" w:type="dxa"/>
        </w:trPr>
        <w:tc>
          <w:tcPr>
            <w:tcW w:w="0" w:type="auto"/>
            <w:vAlign w:val="center"/>
            <w:hideMark/>
          </w:tcPr>
          <w:p w14:paraId="2FA1464C"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Delegation / authorization</w:t>
            </w:r>
          </w:p>
        </w:tc>
        <w:tc>
          <w:tcPr>
            <w:tcW w:w="0" w:type="auto"/>
            <w:vAlign w:val="center"/>
            <w:hideMark/>
          </w:tcPr>
          <w:p w14:paraId="59129CC3"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empowers B to exercise specified authority or functions</w:t>
            </w:r>
          </w:p>
        </w:tc>
        <w:tc>
          <w:tcPr>
            <w:tcW w:w="0" w:type="auto"/>
            <w:vAlign w:val="center"/>
            <w:hideMark/>
          </w:tcPr>
          <w:p w14:paraId="3A14C5CC"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delegation, mandate, designation</w:t>
            </w:r>
          </w:p>
        </w:tc>
        <w:tc>
          <w:tcPr>
            <w:tcW w:w="0" w:type="auto"/>
            <w:vAlign w:val="center"/>
            <w:hideMark/>
          </w:tcPr>
          <w:p w14:paraId="49F4FE99"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ministry → agency</w:t>
            </w:r>
          </w:p>
        </w:tc>
      </w:tr>
      <w:tr w:rsidR="00094FA3" w14:paraId="144CAF61" w14:textId="77777777" w:rsidTr="00094FA3">
        <w:trPr>
          <w:tblCellSpacing w:w="15" w:type="dxa"/>
        </w:trPr>
        <w:tc>
          <w:tcPr>
            <w:tcW w:w="0" w:type="auto"/>
            <w:vAlign w:val="center"/>
            <w:hideMark/>
          </w:tcPr>
          <w:p w14:paraId="3848A843"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Oversight / supervision</w:t>
            </w:r>
          </w:p>
        </w:tc>
        <w:tc>
          <w:tcPr>
            <w:tcW w:w="0" w:type="auto"/>
            <w:vAlign w:val="center"/>
            <w:hideMark/>
          </w:tcPr>
          <w:p w14:paraId="566BE8CE"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monitors or controls B's exercise of functions</w:t>
            </w:r>
          </w:p>
        </w:tc>
        <w:tc>
          <w:tcPr>
            <w:tcW w:w="0" w:type="auto"/>
            <w:vAlign w:val="center"/>
            <w:hideMark/>
          </w:tcPr>
          <w:p w14:paraId="04CF1835"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supervision, inspection, approval</w:t>
            </w:r>
          </w:p>
        </w:tc>
        <w:tc>
          <w:tcPr>
            <w:tcW w:w="0" w:type="auto"/>
            <w:vAlign w:val="center"/>
            <w:hideMark/>
          </w:tcPr>
          <w:p w14:paraId="17E055EA"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regulator → intermediary</w:t>
            </w:r>
          </w:p>
        </w:tc>
      </w:tr>
      <w:tr w:rsidR="00094FA3" w14:paraId="3CDAB874" w14:textId="77777777" w:rsidTr="00094FA3">
        <w:trPr>
          <w:tblCellSpacing w:w="15" w:type="dxa"/>
        </w:trPr>
        <w:tc>
          <w:tcPr>
            <w:tcW w:w="0" w:type="auto"/>
            <w:vAlign w:val="center"/>
            <w:hideMark/>
          </w:tcPr>
          <w:p w14:paraId="5CF0C6A5"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Accountability</w:t>
            </w:r>
          </w:p>
        </w:tc>
        <w:tc>
          <w:tcPr>
            <w:tcW w:w="0" w:type="auto"/>
            <w:vAlign w:val="center"/>
            <w:hideMark/>
          </w:tcPr>
          <w:p w14:paraId="1C01A0CE"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B must explain, justify or answer for conduct to A</w:t>
            </w:r>
          </w:p>
        </w:tc>
        <w:tc>
          <w:tcPr>
            <w:tcW w:w="0" w:type="auto"/>
            <w:vAlign w:val="center"/>
            <w:hideMark/>
          </w:tcPr>
          <w:p w14:paraId="0582B1CB"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reporting, reasons, audit, answerability</w:t>
            </w:r>
          </w:p>
        </w:tc>
        <w:tc>
          <w:tcPr>
            <w:tcW w:w="0" w:type="auto"/>
            <w:vAlign w:val="center"/>
            <w:hideMark/>
          </w:tcPr>
          <w:p w14:paraId="01EB59A5"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agency → legislature</w:t>
            </w:r>
          </w:p>
        </w:tc>
      </w:tr>
      <w:tr w:rsidR="00094FA3" w14:paraId="01CBB194" w14:textId="77777777" w:rsidTr="00094FA3">
        <w:trPr>
          <w:tblCellSpacing w:w="15" w:type="dxa"/>
        </w:trPr>
        <w:tc>
          <w:tcPr>
            <w:tcW w:w="0" w:type="auto"/>
            <w:vAlign w:val="center"/>
            <w:hideMark/>
          </w:tcPr>
          <w:p w14:paraId="2DE305BF"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Information / reporting</w:t>
            </w:r>
          </w:p>
        </w:tc>
        <w:tc>
          <w:tcPr>
            <w:tcW w:w="0" w:type="auto"/>
            <w:vAlign w:val="center"/>
            <w:hideMark/>
          </w:tcPr>
          <w:p w14:paraId="7960456D"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must provide information to B</w:t>
            </w:r>
          </w:p>
        </w:tc>
        <w:tc>
          <w:tcPr>
            <w:tcW w:w="0" w:type="auto"/>
            <w:vAlign w:val="center"/>
            <w:hideMark/>
          </w:tcPr>
          <w:p w14:paraId="7D546D04"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notification, disclosure, reporting</w:t>
            </w:r>
          </w:p>
        </w:tc>
        <w:tc>
          <w:tcPr>
            <w:tcW w:w="0" w:type="auto"/>
            <w:vAlign w:val="center"/>
            <w:hideMark/>
          </w:tcPr>
          <w:p w14:paraId="2AE72D90"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firm → regulator</w:t>
            </w:r>
          </w:p>
        </w:tc>
      </w:tr>
      <w:tr w:rsidR="00094FA3" w14:paraId="3C2E8F5C" w14:textId="77777777" w:rsidTr="00094FA3">
        <w:trPr>
          <w:tblCellSpacing w:w="15" w:type="dxa"/>
        </w:trPr>
        <w:tc>
          <w:tcPr>
            <w:tcW w:w="0" w:type="auto"/>
            <w:vAlign w:val="center"/>
            <w:hideMark/>
          </w:tcPr>
          <w:p w14:paraId="7E681A15"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Verification / assurance</w:t>
            </w:r>
          </w:p>
        </w:tc>
        <w:tc>
          <w:tcPr>
            <w:tcW w:w="0" w:type="auto"/>
            <w:vAlign w:val="center"/>
            <w:hideMark/>
          </w:tcPr>
          <w:p w14:paraId="7ABD94FC"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assesses the validity, quality or conformity of B or B's claims</w:t>
            </w:r>
          </w:p>
        </w:tc>
        <w:tc>
          <w:tcPr>
            <w:tcW w:w="0" w:type="auto"/>
            <w:vAlign w:val="center"/>
            <w:hideMark/>
          </w:tcPr>
          <w:p w14:paraId="560973F8"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audit, certification, conformity assessment</w:t>
            </w:r>
          </w:p>
        </w:tc>
        <w:tc>
          <w:tcPr>
            <w:tcW w:w="0" w:type="auto"/>
            <w:vAlign w:val="center"/>
            <w:hideMark/>
          </w:tcPr>
          <w:p w14:paraId="43B2C4A4"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auditor → firm</w:t>
            </w:r>
          </w:p>
        </w:tc>
      </w:tr>
      <w:tr w:rsidR="00094FA3" w14:paraId="0C86FC9D" w14:textId="77777777" w:rsidTr="00094FA3">
        <w:trPr>
          <w:tblCellSpacing w:w="15" w:type="dxa"/>
        </w:trPr>
        <w:tc>
          <w:tcPr>
            <w:tcW w:w="0" w:type="auto"/>
            <w:vAlign w:val="center"/>
            <w:hideMark/>
          </w:tcPr>
          <w:p w14:paraId="613E96B5"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Review / adjudication</w:t>
            </w:r>
          </w:p>
        </w:tc>
        <w:tc>
          <w:tcPr>
            <w:tcW w:w="0" w:type="auto"/>
            <w:vAlign w:val="center"/>
            <w:hideMark/>
          </w:tcPr>
          <w:p w14:paraId="3928993D"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can reconsider, validate, overturn or resolve decisions concerning B</w:t>
            </w:r>
          </w:p>
        </w:tc>
        <w:tc>
          <w:tcPr>
            <w:tcW w:w="0" w:type="auto"/>
            <w:vAlign w:val="center"/>
            <w:hideMark/>
          </w:tcPr>
          <w:p w14:paraId="658B79D2"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appeal, judicial review, complaints</w:t>
            </w:r>
          </w:p>
        </w:tc>
        <w:tc>
          <w:tcPr>
            <w:tcW w:w="0" w:type="auto"/>
            <w:vAlign w:val="center"/>
            <w:hideMark/>
          </w:tcPr>
          <w:p w14:paraId="32CD6420"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court → regulator</w:t>
            </w:r>
          </w:p>
        </w:tc>
      </w:tr>
      <w:tr w:rsidR="00094FA3" w14:paraId="3C2D463E" w14:textId="77777777" w:rsidTr="00094FA3">
        <w:trPr>
          <w:tblCellSpacing w:w="15" w:type="dxa"/>
        </w:trPr>
        <w:tc>
          <w:tcPr>
            <w:tcW w:w="0" w:type="auto"/>
            <w:vAlign w:val="center"/>
            <w:hideMark/>
          </w:tcPr>
          <w:p w14:paraId="3195D679"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Representation / participation</w:t>
            </w:r>
          </w:p>
        </w:tc>
        <w:tc>
          <w:tcPr>
            <w:tcW w:w="0" w:type="auto"/>
            <w:vAlign w:val="center"/>
            <w:hideMark/>
          </w:tcPr>
          <w:p w14:paraId="5C51A5B7"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represents, speaks for, or participates on behalf of B or affected interests</w:t>
            </w:r>
          </w:p>
        </w:tc>
        <w:tc>
          <w:tcPr>
            <w:tcW w:w="0" w:type="auto"/>
            <w:vAlign w:val="center"/>
            <w:hideMark/>
          </w:tcPr>
          <w:p w14:paraId="434F3B71"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consultation, representation, participation rights</w:t>
            </w:r>
          </w:p>
        </w:tc>
        <w:tc>
          <w:tcPr>
            <w:tcW w:w="0" w:type="auto"/>
            <w:vAlign w:val="center"/>
            <w:hideMark/>
          </w:tcPr>
          <w:p w14:paraId="51A82F59"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association → members</w:t>
            </w:r>
          </w:p>
        </w:tc>
      </w:tr>
      <w:tr w:rsidR="00094FA3" w14:paraId="3CE02BE7" w14:textId="77777777" w:rsidTr="00094FA3">
        <w:trPr>
          <w:tblCellSpacing w:w="15" w:type="dxa"/>
        </w:trPr>
        <w:tc>
          <w:tcPr>
            <w:tcW w:w="0" w:type="auto"/>
            <w:vAlign w:val="center"/>
            <w:hideMark/>
          </w:tcPr>
          <w:p w14:paraId="2FEC9B5B"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t>Contractual / exchange</w:t>
            </w:r>
          </w:p>
        </w:tc>
        <w:tc>
          <w:tcPr>
            <w:tcW w:w="0" w:type="auto"/>
            <w:vAlign w:val="center"/>
            <w:hideMark/>
          </w:tcPr>
          <w:p w14:paraId="2310BBF1"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A and B are connected through legally structured exchange</w:t>
            </w:r>
          </w:p>
        </w:tc>
        <w:tc>
          <w:tcPr>
            <w:tcW w:w="0" w:type="auto"/>
            <w:vAlign w:val="center"/>
            <w:hideMark/>
          </w:tcPr>
          <w:p w14:paraId="5406C3C6"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contract, concession, procurement</w:t>
            </w:r>
          </w:p>
        </w:tc>
        <w:tc>
          <w:tcPr>
            <w:tcW w:w="0" w:type="auto"/>
            <w:vAlign w:val="center"/>
            <w:hideMark/>
          </w:tcPr>
          <w:p w14:paraId="229157C0"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government ↔ provider</w:t>
            </w:r>
          </w:p>
        </w:tc>
      </w:tr>
      <w:tr w:rsidR="00094FA3" w14:paraId="0D964707" w14:textId="77777777" w:rsidTr="00094FA3">
        <w:trPr>
          <w:tblCellSpacing w:w="15" w:type="dxa"/>
        </w:trPr>
        <w:tc>
          <w:tcPr>
            <w:tcW w:w="0" w:type="auto"/>
            <w:vAlign w:val="center"/>
            <w:hideMark/>
          </w:tcPr>
          <w:p w14:paraId="7F011DDF" w14:textId="77777777" w:rsidR="00094FA3" w:rsidRPr="00094FA3" w:rsidRDefault="00094FA3">
            <w:pPr>
              <w:rPr>
                <w:rFonts w:asciiTheme="majorBidi" w:hAnsiTheme="majorBidi" w:cstheme="majorBidi"/>
                <w:sz w:val="22"/>
              </w:rPr>
            </w:pPr>
            <w:r w:rsidRPr="00094FA3">
              <w:rPr>
                <w:rStyle w:val="Strong"/>
                <w:rFonts w:asciiTheme="majorBidi" w:hAnsiTheme="majorBidi" w:cstheme="majorBidi"/>
                <w:sz w:val="22"/>
              </w:rPr>
              <w:lastRenderedPageBreak/>
              <w:t>Beneficiary / protective</w:t>
            </w:r>
          </w:p>
        </w:tc>
        <w:tc>
          <w:tcPr>
            <w:tcW w:w="0" w:type="auto"/>
            <w:vAlign w:val="center"/>
            <w:hideMark/>
          </w:tcPr>
          <w:p w14:paraId="68E3F5DC"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Governance by A is directed toward protecting or providing rights/benefits to B</w:t>
            </w:r>
          </w:p>
        </w:tc>
        <w:tc>
          <w:tcPr>
            <w:tcW w:w="0" w:type="auto"/>
            <w:vAlign w:val="center"/>
            <w:hideMark/>
          </w:tcPr>
          <w:p w14:paraId="0C5BF0E3"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entitlement, protection, beneficiary right</w:t>
            </w:r>
          </w:p>
        </w:tc>
        <w:tc>
          <w:tcPr>
            <w:tcW w:w="0" w:type="auto"/>
            <w:vAlign w:val="center"/>
            <w:hideMark/>
          </w:tcPr>
          <w:p w14:paraId="3E34E086" w14:textId="77777777" w:rsidR="00094FA3" w:rsidRPr="00094FA3" w:rsidRDefault="00094FA3">
            <w:pPr>
              <w:rPr>
                <w:rFonts w:asciiTheme="majorBidi" w:hAnsiTheme="majorBidi" w:cstheme="majorBidi"/>
                <w:sz w:val="22"/>
              </w:rPr>
            </w:pPr>
            <w:r w:rsidRPr="00094FA3">
              <w:rPr>
                <w:rFonts w:asciiTheme="majorBidi" w:hAnsiTheme="majorBidi" w:cstheme="majorBidi"/>
                <w:sz w:val="22"/>
              </w:rPr>
              <w:t>regulator → consumer</w:t>
            </w:r>
          </w:p>
        </w:tc>
      </w:tr>
    </w:tbl>
    <w:p w14:paraId="25EDCB62" w14:textId="4F0E2031" w:rsidR="00094FA3" w:rsidRDefault="00094FA3" w:rsidP="00094FA3">
      <w:pPr>
        <w:pStyle w:val="NormalWeb"/>
      </w:pPr>
      <w:r>
        <w:t xml:space="preserve">We distinguish </w:t>
      </w:r>
      <w:r w:rsidRPr="00094FA3">
        <w:rPr>
          <w:rStyle w:val="Strong"/>
          <w:b w:val="0"/>
          <w:bCs w:val="0"/>
        </w:rPr>
        <w:t xml:space="preserve">relationship </w:t>
      </w:r>
      <w:r>
        <w:rPr>
          <w:rStyle w:val="Strong"/>
        </w:rPr>
        <w:t>type</w:t>
      </w:r>
      <w:r>
        <w:t xml:space="preserve"> from </w:t>
      </w:r>
      <w:r w:rsidRPr="00094FA3">
        <w:rPr>
          <w:rStyle w:val="Strong"/>
          <w:b w:val="0"/>
          <w:bCs w:val="0"/>
        </w:rPr>
        <w:t>relationship</w:t>
      </w:r>
      <w:r>
        <w:rPr>
          <w:rStyle w:val="Strong"/>
        </w:rPr>
        <w:t xml:space="preserve"> attributes</w:t>
      </w:r>
      <w:r w:rsidR="002835F4">
        <w:rPr>
          <w:rStyle w:val="Strong"/>
        </w:rPr>
        <w:t xml:space="preserve"> </w:t>
      </w:r>
      <w:r w:rsidR="002835F4" w:rsidRPr="002835F4">
        <w:rPr>
          <w:rStyle w:val="Strong"/>
          <w:b w:val="0"/>
          <w:bCs w:val="0"/>
        </w:rPr>
        <w:t>such as mechanisms</w:t>
      </w:r>
      <w:r>
        <w:t xml:space="preserve">. The relationship might be </w:t>
      </w:r>
      <w:r>
        <w:rPr>
          <w:rStyle w:val="Strong"/>
        </w:rPr>
        <w:t>delegation</w:t>
      </w:r>
      <w:r>
        <w:t>, for example, but that delegation can vary along several attributes:</w:t>
      </w:r>
    </w:p>
    <w:p w14:paraId="2EA02F7E" w14:textId="77777777" w:rsidR="00094FA3" w:rsidRPr="00094FA3" w:rsidRDefault="00094FA3" w:rsidP="002835F4">
      <w:pPr>
        <w:pStyle w:val="NormalWeb"/>
      </w:pPr>
      <w:r w:rsidRPr="00094FA3">
        <w:rPr>
          <w:rStyle w:val="Strong"/>
          <w:b w:val="0"/>
          <w:bCs w:val="0"/>
        </w:rPr>
        <w:t>Direction:</w:t>
      </w:r>
      <w:r w:rsidRPr="00094FA3">
        <w:t xml:space="preserve"> A → B or A ↔ B</w:t>
      </w:r>
      <w:r w:rsidRPr="00094FA3">
        <w:br/>
      </w:r>
      <w:r w:rsidRPr="00094FA3">
        <w:rPr>
          <w:rStyle w:val="Strong"/>
          <w:b w:val="0"/>
          <w:bCs w:val="0"/>
        </w:rPr>
        <w:t>Legal basis:</w:t>
      </w:r>
      <w:r w:rsidRPr="00094FA3">
        <w:t xml:space="preserve"> mandatory / authorized / voluntary</w:t>
      </w:r>
      <w:r w:rsidRPr="00094FA3">
        <w:br/>
      </w:r>
      <w:r w:rsidRPr="00094FA3">
        <w:rPr>
          <w:rStyle w:val="Strong"/>
          <w:b w:val="0"/>
          <w:bCs w:val="0"/>
        </w:rPr>
        <w:t>Authority:</w:t>
      </w:r>
      <w:r w:rsidRPr="00094FA3">
        <w:t xml:space="preserve"> binding / non-binding</w:t>
      </w:r>
      <w:r w:rsidRPr="00094FA3">
        <w:br/>
      </w:r>
      <w:r w:rsidRPr="00094FA3">
        <w:rPr>
          <w:rStyle w:val="Strong"/>
          <w:b w:val="0"/>
          <w:bCs w:val="0"/>
        </w:rPr>
        <w:t>Discretion:</w:t>
      </w:r>
      <w:r w:rsidRPr="00094FA3">
        <w:t xml:space="preserve"> low / medium / high</w:t>
      </w:r>
      <w:r w:rsidRPr="00094FA3">
        <w:br/>
      </w:r>
      <w:r w:rsidRPr="00094FA3">
        <w:rPr>
          <w:rStyle w:val="Strong"/>
          <w:b w:val="0"/>
          <w:bCs w:val="0"/>
        </w:rPr>
        <w:t>Independence:</w:t>
      </w:r>
      <w:r w:rsidRPr="00094FA3">
        <w:t xml:space="preserve"> dependent / semi-autonomous / autonomous</w:t>
      </w:r>
      <w:r w:rsidRPr="00094FA3">
        <w:br/>
      </w:r>
      <w:r w:rsidRPr="00094FA3">
        <w:rPr>
          <w:rStyle w:val="Strong"/>
          <w:b w:val="0"/>
          <w:bCs w:val="0"/>
        </w:rPr>
        <w:t>Accountability:</w:t>
      </w:r>
      <w:r w:rsidRPr="00094FA3">
        <w:t xml:space="preserve"> to whom B is answerable</w:t>
      </w:r>
      <w:r w:rsidRPr="00094FA3">
        <w:br/>
      </w:r>
      <w:r w:rsidRPr="00094FA3">
        <w:rPr>
          <w:rStyle w:val="Strong"/>
          <w:b w:val="0"/>
          <w:bCs w:val="0"/>
        </w:rPr>
        <w:t>Intensity:</w:t>
      </w:r>
      <w:r w:rsidRPr="00094FA3">
        <w:t xml:space="preserve"> episodic / periodic / continuous</w:t>
      </w:r>
      <w:r w:rsidRPr="00094FA3">
        <w:br/>
      </w:r>
      <w:r w:rsidRPr="00094FA3">
        <w:rPr>
          <w:rStyle w:val="Strong"/>
          <w:b w:val="0"/>
          <w:bCs w:val="0"/>
        </w:rPr>
        <w:t>Transparency:</w:t>
      </w:r>
      <w:r w:rsidRPr="00094FA3">
        <w:t xml:space="preserve"> public / restricted / confidential</w:t>
      </w:r>
      <w:r w:rsidRPr="00094FA3">
        <w:br/>
      </w:r>
      <w:proofErr w:type="spellStart"/>
      <w:r w:rsidRPr="00094FA3">
        <w:rPr>
          <w:rStyle w:val="Strong"/>
          <w:b w:val="0"/>
          <w:bCs w:val="0"/>
        </w:rPr>
        <w:t>Sanctionability</w:t>
      </w:r>
      <w:proofErr w:type="spellEnd"/>
      <w:r w:rsidRPr="00094FA3">
        <w:rPr>
          <w:rStyle w:val="Strong"/>
          <w:b w:val="0"/>
          <w:bCs w:val="0"/>
        </w:rPr>
        <w:t>:</w:t>
      </w:r>
      <w:r w:rsidRPr="00094FA3">
        <w:t xml:space="preserve"> whether failure generates consequences</w:t>
      </w:r>
      <w:r w:rsidRPr="00094FA3">
        <w:br/>
      </w:r>
      <w:r w:rsidRPr="00094FA3">
        <w:rPr>
          <w:rStyle w:val="Strong"/>
          <w:b w:val="0"/>
          <w:bCs w:val="0"/>
        </w:rPr>
        <w:t>Contestability:</w:t>
      </w:r>
      <w:r w:rsidRPr="00094FA3">
        <w:t xml:space="preserve"> whether decisions can be challenged or reviewed</w:t>
      </w:r>
    </w:p>
    <w:p w14:paraId="133BBE8C" w14:textId="5115D0B2" w:rsidR="00094FA3" w:rsidRPr="00094FA3" w:rsidRDefault="00094FA3" w:rsidP="00094FA3">
      <w:pPr>
        <w:pStyle w:val="NormalWeb"/>
        <w:rPr>
          <w:rStyle w:val="Strong"/>
          <w:b w:val="0"/>
          <w:bCs w:val="0"/>
        </w:rPr>
      </w:pPr>
      <w:r w:rsidRPr="00094FA3">
        <w:t xml:space="preserve">This produces a much more powerful data structure. Instead of coding merely:   </w:t>
      </w:r>
      <w:r w:rsidRPr="00094FA3">
        <w:rPr>
          <w:rStyle w:val="Strong"/>
          <w:b w:val="0"/>
          <w:bCs w:val="0"/>
        </w:rPr>
        <w:t>Regulator — Intermediary — Firm</w:t>
      </w:r>
      <w:r>
        <w:rPr>
          <w:rStyle w:val="Strong"/>
          <w:b w:val="0"/>
          <w:bCs w:val="0"/>
        </w:rPr>
        <w:t xml:space="preserve">. </w:t>
      </w:r>
      <w:r>
        <w:t>W</w:t>
      </w:r>
      <w:r w:rsidRPr="00094FA3">
        <w:t xml:space="preserve">e can </w:t>
      </w:r>
      <w:r>
        <w:t>identify</w:t>
      </w:r>
      <w:r w:rsidRPr="00094FA3">
        <w:t xml:space="preserve">: </w:t>
      </w:r>
    </w:p>
    <w:p w14:paraId="6DBCC413" w14:textId="381831D0" w:rsidR="00094FA3" w:rsidRPr="00094FA3" w:rsidRDefault="00094FA3" w:rsidP="00094FA3">
      <w:pPr>
        <w:pStyle w:val="NormalWeb"/>
      </w:pPr>
      <w:r w:rsidRPr="00094FA3">
        <w:rPr>
          <w:rStyle w:val="Strong"/>
          <w:b w:val="0"/>
          <w:bCs w:val="0"/>
        </w:rPr>
        <w:t>Regulator → authorizes → Certifier</w:t>
      </w:r>
      <w:r w:rsidRPr="00094FA3">
        <w:br/>
      </w:r>
      <w:r w:rsidRPr="00094FA3">
        <w:rPr>
          <w:rStyle w:val="Strong"/>
          <w:b w:val="0"/>
          <w:bCs w:val="0"/>
        </w:rPr>
        <w:t>Regulator → supervises → Certifier</w:t>
      </w:r>
      <w:r w:rsidRPr="00094FA3">
        <w:br/>
      </w:r>
      <w:r w:rsidRPr="00094FA3">
        <w:rPr>
          <w:rStyle w:val="Strong"/>
          <w:b w:val="0"/>
          <w:bCs w:val="0"/>
        </w:rPr>
        <w:t>Certifier → verifies → Firm</w:t>
      </w:r>
      <w:r w:rsidRPr="00094FA3">
        <w:br/>
      </w:r>
      <w:r w:rsidRPr="00094FA3">
        <w:rPr>
          <w:rStyle w:val="Strong"/>
          <w:b w:val="0"/>
          <w:bCs w:val="0"/>
        </w:rPr>
        <w:t>Firm → provides information → Certifier</w:t>
      </w:r>
      <w:r w:rsidRPr="00094FA3">
        <w:br/>
      </w:r>
      <w:r w:rsidRPr="00094FA3">
        <w:rPr>
          <w:rStyle w:val="Strong"/>
          <w:b w:val="0"/>
          <w:bCs w:val="0"/>
        </w:rPr>
        <w:t>Certifier → reports → Regulator</w:t>
      </w:r>
      <w:r w:rsidRPr="00094FA3">
        <w:br/>
      </w:r>
      <w:r w:rsidRPr="00094FA3">
        <w:rPr>
          <w:rStyle w:val="Strong"/>
          <w:b w:val="0"/>
          <w:bCs w:val="0"/>
        </w:rPr>
        <w:t>Firm → provides product/service → Consumer</w:t>
      </w:r>
      <w:r w:rsidRPr="00094FA3">
        <w:br/>
      </w:r>
      <w:r w:rsidRPr="00094FA3">
        <w:rPr>
          <w:rStyle w:val="Strong"/>
          <w:b w:val="0"/>
          <w:bCs w:val="0"/>
        </w:rPr>
        <w:t>Regulator → protects → Consumer</w:t>
      </w:r>
    </w:p>
    <w:p w14:paraId="65A5147C" w14:textId="77777777" w:rsidR="00094FA3" w:rsidRDefault="00094FA3" w:rsidP="0036629B">
      <w:pPr>
        <w:rPr>
          <w:rFonts w:asciiTheme="majorBidi" w:hAnsiTheme="majorBidi" w:cstheme="majorBidi"/>
          <w:b/>
          <w:bCs/>
          <w:sz w:val="24"/>
          <w:szCs w:val="24"/>
        </w:rPr>
      </w:pPr>
    </w:p>
    <w:p w14:paraId="0169AAE1" w14:textId="31B39514" w:rsidR="003902C2" w:rsidRPr="0036629B" w:rsidRDefault="003343B5" w:rsidP="0036629B">
      <w:pPr>
        <w:rPr>
          <w:rFonts w:asciiTheme="majorBidi" w:hAnsiTheme="majorBidi" w:cstheme="majorBidi"/>
          <w:b/>
          <w:bCs/>
          <w:sz w:val="24"/>
          <w:szCs w:val="24"/>
        </w:rPr>
      </w:pPr>
      <w:proofErr w:type="gramStart"/>
      <w:r w:rsidRPr="0036629B">
        <w:rPr>
          <w:rFonts w:asciiTheme="majorBidi" w:hAnsiTheme="majorBidi" w:cstheme="majorBidi"/>
          <w:b/>
          <w:bCs/>
          <w:sz w:val="24"/>
          <w:szCs w:val="24"/>
        </w:rPr>
        <w:t>3.</w:t>
      </w:r>
      <w:r w:rsidR="00094FA3">
        <w:rPr>
          <w:rFonts w:asciiTheme="majorBidi" w:hAnsiTheme="majorBidi" w:cstheme="majorBidi"/>
          <w:b/>
          <w:bCs/>
          <w:sz w:val="24"/>
          <w:szCs w:val="24"/>
        </w:rPr>
        <w:t xml:space="preserve">6 </w:t>
      </w:r>
      <w:r w:rsidR="00BB24A5" w:rsidRPr="0036629B">
        <w:rPr>
          <w:rFonts w:asciiTheme="majorBidi" w:hAnsiTheme="majorBidi" w:cstheme="majorBidi"/>
          <w:b/>
          <w:bCs/>
          <w:sz w:val="24"/>
          <w:szCs w:val="24"/>
        </w:rPr>
        <w:t xml:space="preserve"> Strategies</w:t>
      </w:r>
      <w:proofErr w:type="gramEnd"/>
      <w:r w:rsidR="00BB24A5" w:rsidRPr="0036629B">
        <w:rPr>
          <w:rFonts w:asciiTheme="majorBidi" w:hAnsiTheme="majorBidi" w:cstheme="majorBidi"/>
          <w:b/>
          <w:bCs/>
          <w:sz w:val="24"/>
          <w:szCs w:val="24"/>
        </w:rPr>
        <w:t>: Patterned Combinations of Mechanisms</w:t>
      </w:r>
    </w:p>
    <w:p w14:paraId="3E913EFB" w14:textId="77777777" w:rsidR="00356192" w:rsidRPr="009D1438" w:rsidRDefault="00356192" w:rsidP="00356192">
      <w:pPr>
        <w:spacing w:before="180" w:after="180"/>
        <w:jc w:val="both"/>
        <w:rPr>
          <w:rFonts w:asciiTheme="majorBidi" w:hAnsiTheme="majorBidi" w:cstheme="majorBidi"/>
          <w:sz w:val="24"/>
          <w:szCs w:val="24"/>
        </w:rPr>
      </w:pPr>
      <w:r w:rsidRPr="009D1438">
        <w:rPr>
          <w:rFonts w:asciiTheme="majorBidi" w:hAnsiTheme="majorBidi" w:cstheme="majorBidi"/>
          <w:sz w:val="24"/>
          <w:szCs w:val="24"/>
        </w:rPr>
        <w:t xml:space="preserve">A </w:t>
      </w:r>
      <w:r w:rsidRPr="009D1438">
        <w:rPr>
          <w:rFonts w:asciiTheme="majorBidi" w:hAnsiTheme="majorBidi" w:cstheme="majorBidi"/>
          <w:b/>
          <w:bCs/>
          <w:sz w:val="24"/>
          <w:szCs w:val="24"/>
        </w:rPr>
        <w:t>strategy of regulation</w:t>
      </w:r>
      <w:r w:rsidRPr="009D1438">
        <w:rPr>
          <w:rFonts w:asciiTheme="majorBidi" w:hAnsiTheme="majorBidi" w:cstheme="majorBidi"/>
          <w:sz w:val="24"/>
          <w:szCs w:val="24"/>
        </w:rPr>
        <w:t xml:space="preserve"> is a patterned approach through which public authority structures the obligations of regulated actors in order to achieve regulatory goals. Strategies differ according to </w:t>
      </w:r>
      <w:r w:rsidRPr="009D1438">
        <w:rPr>
          <w:rFonts w:asciiTheme="majorBidi" w:hAnsiTheme="majorBidi" w:cstheme="majorBidi"/>
          <w:i/>
          <w:iCs/>
          <w:sz w:val="24"/>
          <w:szCs w:val="24"/>
        </w:rPr>
        <w:t>what the regulator specifies and makes the principal object of compliance</w:t>
      </w:r>
      <w:r w:rsidRPr="009D1438">
        <w:rPr>
          <w:rFonts w:asciiTheme="majorBidi" w:hAnsiTheme="majorBidi" w:cstheme="majorBidi"/>
          <w:sz w:val="24"/>
          <w:szCs w:val="24"/>
        </w:rPr>
        <w:t xml:space="preserve">: prescribed conduct or technology, organizational processes, management systems, procedures, measurable performance, or ultimate outcomes. A single regulatory strategy may employ several mechanisms and functions and may be embedded in different architectures. Moreover, the categories are not necessarily mutually exclusive: a statute may combine detailed procedural requirements with management-system duties and performance or outcome standards (Coglianese and </w:t>
      </w:r>
      <w:proofErr w:type="spellStart"/>
      <w:r w:rsidRPr="009D1438">
        <w:rPr>
          <w:rFonts w:asciiTheme="majorBidi" w:hAnsiTheme="majorBidi" w:cstheme="majorBidi"/>
          <w:sz w:val="24"/>
          <w:szCs w:val="24"/>
        </w:rPr>
        <w:t>Lazer</w:t>
      </w:r>
      <w:proofErr w:type="spellEnd"/>
      <w:r w:rsidRPr="009D1438">
        <w:rPr>
          <w:rFonts w:asciiTheme="majorBidi" w:hAnsiTheme="majorBidi" w:cstheme="majorBidi"/>
          <w:sz w:val="24"/>
          <w:szCs w:val="24"/>
        </w:rPr>
        <w:t xml:space="preserve"> 2003; May 2007; Baldwin, Cave and Lodge 2012).</w:t>
      </w:r>
    </w:p>
    <w:p w14:paraId="652A027E" w14:textId="77777777"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Prescriptive regulation</w:t>
      </w:r>
      <w:r w:rsidRPr="00356192">
        <w:rPr>
          <w:rFonts w:asciiTheme="majorBidi" w:hAnsiTheme="majorBidi" w:cstheme="majorBidi"/>
          <w:sz w:val="24"/>
          <w:szCs w:val="24"/>
        </w:rPr>
        <w:t xml:space="preserve"> specifies the actions, technologies, inputs, designs, or practices that regulated actors must use or avoid. Compliance is established primarily by determining whether the prescribed requirement has been followed. Technology-based rules, detailed design standards, equipment mandates, and specified operating practices are characteristic examples. Prescriptive regulation can provide clarity and facilitate enforcement, particularly where regulators know which practices reliably reduce harm, but </w:t>
      </w:r>
      <w:r w:rsidRPr="00356192">
        <w:rPr>
          <w:rFonts w:asciiTheme="majorBidi" w:hAnsiTheme="majorBidi" w:cstheme="majorBidi"/>
          <w:sz w:val="24"/>
          <w:szCs w:val="24"/>
        </w:rPr>
        <w:lastRenderedPageBreak/>
        <w:t>it may reduce flexibility and become obsolete when technology or organizational practice changes rapidly (May 2007; Coglianese, Nash and Olmstead 2003). It provides the principal contrast against which management-, performance-, and outcome-based strategies are usually defined.</w:t>
      </w:r>
    </w:p>
    <w:p w14:paraId="2FCD80F6" w14:textId="77777777" w:rsidR="00356192" w:rsidRDefault="00356192" w:rsidP="00356192">
      <w:pPr>
        <w:jc w:val="both"/>
        <w:rPr>
          <w:rFonts w:asciiTheme="majorBidi" w:hAnsiTheme="majorBidi" w:cstheme="majorBidi"/>
          <w:b/>
          <w:bCs/>
          <w:sz w:val="24"/>
          <w:szCs w:val="24"/>
        </w:rPr>
      </w:pPr>
    </w:p>
    <w:p w14:paraId="17AE776A" w14:textId="5435D231"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Procedural-based regulation</w:t>
      </w:r>
      <w:r w:rsidRPr="00356192">
        <w:rPr>
          <w:rFonts w:asciiTheme="majorBidi" w:hAnsiTheme="majorBidi" w:cstheme="majorBidi"/>
          <w:sz w:val="24"/>
          <w:szCs w:val="24"/>
        </w:rPr>
        <w:t xml:space="preserve"> requires regulated actors or public decision-makers to follow specified decision-making, consultation, documentation, notification, review, or participation procedures. Its immediate regulatory object is therefore not necessarily the substantive result or the quality of a management system, but the </w:t>
      </w:r>
      <w:r w:rsidRPr="00356192">
        <w:rPr>
          <w:rFonts w:asciiTheme="majorBidi" w:hAnsiTheme="majorBidi" w:cstheme="majorBidi"/>
          <w:b/>
          <w:bCs/>
          <w:sz w:val="24"/>
          <w:szCs w:val="24"/>
        </w:rPr>
        <w:t>procedure through which decisions and actions are taken</w:t>
      </w:r>
      <w:r w:rsidRPr="00356192">
        <w:rPr>
          <w:rFonts w:asciiTheme="majorBidi" w:hAnsiTheme="majorBidi" w:cstheme="majorBidi"/>
          <w:sz w:val="24"/>
          <w:szCs w:val="24"/>
        </w:rPr>
        <w:t xml:space="preserve">. Examples include duties to consult affected parties, provide reasons, conduct an impact assessment, disclose specified information, observe notice-and-comment requirements, maintain an appeal process, or obtain independent review. Procedural regulation can serve substantive goals indirectly by improving information, consistency, participation, transparency, or accountability. It overlaps with process-based regulation, but a useful distinction is that </w:t>
      </w:r>
      <w:r w:rsidRPr="00356192">
        <w:rPr>
          <w:rFonts w:asciiTheme="majorBidi" w:hAnsiTheme="majorBidi" w:cstheme="majorBidi"/>
          <w:i/>
          <w:iCs/>
          <w:sz w:val="24"/>
          <w:szCs w:val="24"/>
        </w:rPr>
        <w:t>process-based regulation</w:t>
      </w:r>
      <w:r w:rsidRPr="00356192">
        <w:rPr>
          <w:rFonts w:asciiTheme="majorBidi" w:hAnsiTheme="majorBidi" w:cstheme="majorBidi"/>
          <w:sz w:val="24"/>
          <w:szCs w:val="24"/>
        </w:rPr>
        <w:t xml:space="preserve"> ordinarily concerns operational or production processes used to control substantive risks, whereas </w:t>
      </w:r>
      <w:r w:rsidRPr="00356192">
        <w:rPr>
          <w:rFonts w:asciiTheme="majorBidi" w:hAnsiTheme="majorBidi" w:cstheme="majorBidi"/>
          <w:i/>
          <w:iCs/>
          <w:sz w:val="24"/>
          <w:szCs w:val="24"/>
        </w:rPr>
        <w:t>procedural regulation</w:t>
      </w:r>
      <w:r w:rsidRPr="00356192">
        <w:rPr>
          <w:rFonts w:asciiTheme="majorBidi" w:hAnsiTheme="majorBidi" w:cstheme="majorBidi"/>
          <w:sz w:val="24"/>
          <w:szCs w:val="24"/>
        </w:rPr>
        <w:t xml:space="preserve"> concerns the legally structured steps through which decisions, authorizations, participation, or accountability are organized. The boundary is empirical rather than absolute, and coding should preserve the underlying legal requirement rather than assume that the two categories are always exclusive.</w:t>
      </w:r>
    </w:p>
    <w:p w14:paraId="1B5612E1" w14:textId="77777777" w:rsidR="00356192" w:rsidRDefault="00356192" w:rsidP="00356192">
      <w:pPr>
        <w:jc w:val="both"/>
        <w:rPr>
          <w:rFonts w:asciiTheme="majorBidi" w:hAnsiTheme="majorBidi" w:cstheme="majorBidi"/>
          <w:sz w:val="24"/>
          <w:szCs w:val="24"/>
        </w:rPr>
      </w:pPr>
    </w:p>
    <w:p w14:paraId="1B27D69B" w14:textId="79D92B11"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Process-based regulation</w:t>
      </w:r>
      <w:r w:rsidRPr="00356192">
        <w:rPr>
          <w:rFonts w:asciiTheme="majorBidi" w:hAnsiTheme="majorBidi" w:cstheme="majorBidi"/>
          <w:sz w:val="24"/>
          <w:szCs w:val="24"/>
        </w:rPr>
        <w:t xml:space="preserve"> makes specified processes or systems of activity the principal object of regulatory obligation. Gilad (2010) provides an important integrative contribution by treating systems-based regulation, enforced self-regulation, management-based regulation, principles-based regulation, and meta-regulation as members of a broader family of ‘process-oriented regulation’: approaches that permit organizations to adapt regulation to their circumstances while holding them accountable for the adequacy and effectiveness of their self-regulatory systems. Rather than prescribing every substantive action or demanding only a final result, it requires regulated organizations to establish or follow processes believed to increase the probability of achieving public goals. Examples include requirements for hazard analysis, due diligence, quality-control processes, risk assessment, consultation, record keeping, or internal review. In the literature, process-based, system-based, and management-based regulation are sometimes used interchangeably, especially where the required process concerns organizational systems for controlling risk (Coglianese and </w:t>
      </w:r>
      <w:proofErr w:type="spellStart"/>
      <w:r w:rsidRPr="00356192">
        <w:rPr>
          <w:rFonts w:asciiTheme="majorBidi" w:hAnsiTheme="majorBidi" w:cstheme="majorBidi"/>
          <w:sz w:val="24"/>
          <w:szCs w:val="24"/>
        </w:rPr>
        <w:t>Lazer</w:t>
      </w:r>
      <w:proofErr w:type="spellEnd"/>
      <w:r w:rsidRPr="00356192">
        <w:rPr>
          <w:rFonts w:asciiTheme="majorBidi" w:hAnsiTheme="majorBidi" w:cstheme="majorBidi"/>
          <w:sz w:val="24"/>
          <w:szCs w:val="24"/>
        </w:rPr>
        <w:t xml:space="preserve"> 2003; May 2007). Analytically, however, process-based regulation can be treated as the broader category: it governs how an activity is organized or conducted, whether or not it requires a comprehensive managerial system.</w:t>
      </w:r>
    </w:p>
    <w:p w14:paraId="50F0F6C9" w14:textId="77777777" w:rsidR="00356192" w:rsidRDefault="00356192" w:rsidP="00356192">
      <w:pPr>
        <w:jc w:val="both"/>
        <w:rPr>
          <w:rFonts w:asciiTheme="majorBidi" w:hAnsiTheme="majorBidi" w:cstheme="majorBidi"/>
          <w:b/>
          <w:bCs/>
          <w:sz w:val="24"/>
          <w:szCs w:val="24"/>
        </w:rPr>
      </w:pPr>
    </w:p>
    <w:p w14:paraId="6260BB84" w14:textId="501F0433"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Management-based regulation</w:t>
      </w:r>
      <w:r w:rsidRPr="00356192">
        <w:rPr>
          <w:rFonts w:asciiTheme="majorBidi" w:hAnsiTheme="majorBidi" w:cstheme="majorBidi"/>
          <w:sz w:val="24"/>
          <w:szCs w:val="24"/>
        </w:rPr>
        <w:t xml:space="preserve"> is a more specific strategy that requires regulated organizations to develop and operate their own planning, risk-management, monitoring, and corrective systems directed toward publicly specified goals. Coglianese and </w:t>
      </w:r>
      <w:proofErr w:type="spellStart"/>
      <w:r w:rsidRPr="00356192">
        <w:rPr>
          <w:rFonts w:asciiTheme="majorBidi" w:hAnsiTheme="majorBidi" w:cstheme="majorBidi"/>
          <w:sz w:val="24"/>
          <w:szCs w:val="24"/>
        </w:rPr>
        <w:t>Lazer</w:t>
      </w:r>
      <w:proofErr w:type="spellEnd"/>
      <w:r w:rsidRPr="00356192">
        <w:rPr>
          <w:rFonts w:asciiTheme="majorBidi" w:hAnsiTheme="majorBidi" w:cstheme="majorBidi"/>
          <w:sz w:val="24"/>
          <w:szCs w:val="24"/>
        </w:rPr>
        <w:t xml:space="preserve"> (2003) define its distinctive feature as directing firms to engage in planning processes aimed at public objectives while leaving them significant discretion over the substantive means chosen. The regulator thus regulates the organization’s </w:t>
      </w:r>
      <w:r w:rsidRPr="00356192">
        <w:rPr>
          <w:rFonts w:asciiTheme="majorBidi" w:hAnsiTheme="majorBidi" w:cstheme="majorBidi"/>
          <w:b/>
          <w:bCs/>
          <w:sz w:val="24"/>
          <w:szCs w:val="24"/>
        </w:rPr>
        <w:t>capacity to regulate itself</w:t>
      </w:r>
      <w:r w:rsidRPr="00356192">
        <w:rPr>
          <w:rFonts w:asciiTheme="majorBidi" w:hAnsiTheme="majorBidi" w:cstheme="majorBidi"/>
          <w:sz w:val="24"/>
          <w:szCs w:val="24"/>
        </w:rPr>
        <w:t xml:space="preserve"> rather than attempting to prescribe all operational conduct. Management-based regulation is especially attractive where regulated entities are heterogeneous, regulators possess less information than firms about internal operations, and outputs or harms are difficult to measure directly. Food-safety systems, environmental management systems, and industrial risk-management plans provide prominent examples (Coglianese and </w:t>
      </w:r>
      <w:proofErr w:type="spellStart"/>
      <w:r w:rsidRPr="00356192">
        <w:rPr>
          <w:rFonts w:asciiTheme="majorBidi" w:hAnsiTheme="majorBidi" w:cstheme="majorBidi"/>
          <w:sz w:val="24"/>
          <w:szCs w:val="24"/>
        </w:rPr>
        <w:t>Lazer</w:t>
      </w:r>
      <w:proofErr w:type="spellEnd"/>
      <w:r w:rsidRPr="00356192">
        <w:rPr>
          <w:rFonts w:asciiTheme="majorBidi" w:hAnsiTheme="majorBidi" w:cstheme="majorBidi"/>
          <w:sz w:val="24"/>
          <w:szCs w:val="24"/>
        </w:rPr>
        <w:t xml:space="preserve"> 2003). Management-based regulation is closely related to meta-regulation, although the latter places greater conceptual emphasis on the regulator’s oversight of the </w:t>
      </w:r>
      <w:r w:rsidRPr="00356192">
        <w:rPr>
          <w:rFonts w:asciiTheme="majorBidi" w:hAnsiTheme="majorBidi" w:cstheme="majorBidi"/>
          <w:sz w:val="24"/>
          <w:szCs w:val="24"/>
        </w:rPr>
        <w:lastRenderedPageBreak/>
        <w:t>regulated organization’s own regulatory or compliance system. Prescriptive, process/management, performance, and outcome approaches primarily differ in where along the causal chain the regulator places the legally enforceable standard: inputs and conduct; organizational processes and systems; measurable performance; or ultimate results. Procedural regulation focuses on the legally required steps through which decisions and accountability are organized. Principles-based regulation varies the specificity and openness of the norm; risk-based regulation varies the allocation of regulatory attention; and responsive regulation varies the sequencing of intervention and enforcement. A law may therefore simultaneously be management-based, risk-based, principles-based, and responsively enforced. For comparative coding, the strongest approach is to code these dimensions separately rather than force each law into a single regulatory-strategy category.</w:t>
      </w:r>
    </w:p>
    <w:p w14:paraId="5A4EA63A" w14:textId="77777777" w:rsidR="00356192" w:rsidRDefault="00356192" w:rsidP="00356192">
      <w:pPr>
        <w:jc w:val="both"/>
        <w:rPr>
          <w:rFonts w:asciiTheme="majorBidi" w:hAnsiTheme="majorBidi" w:cstheme="majorBidi"/>
          <w:b/>
          <w:bCs/>
          <w:sz w:val="24"/>
          <w:szCs w:val="24"/>
        </w:rPr>
      </w:pPr>
    </w:p>
    <w:p w14:paraId="3406B489" w14:textId="47386A31"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Performance-based regulation</w:t>
      </w:r>
      <w:r w:rsidRPr="00356192">
        <w:rPr>
          <w:rFonts w:asciiTheme="majorBidi" w:hAnsiTheme="majorBidi" w:cstheme="majorBidi"/>
          <w:sz w:val="24"/>
          <w:szCs w:val="24"/>
        </w:rPr>
        <w:t xml:space="preserve"> specifies a measurable level of performance that regulated actors must achieve or avoid while leaving them discretion over the means used to meet that standard. Instead of requiring a particular technology, design, or procedure, the regulator incorporates the desired performance into the regulatory standard itself (Coglianese, Nash and Olmstead 2003). Examples include maximum emission rates, energy-efficiency levels, safety tolerances, or reliability standards. Its central trade-off is between flexibility and measurability: performance standards can encourage innovation and adaptation, but they depend on the regulator’s ability to define, observe, and verify relevant performance. Performance-based regulation therefore differs from management-based regulation in the location of regulatory attention: the former evaluates what level of performance is achieved, whereas the latter evaluates whether an adequate management system or process has been established and operated.</w:t>
      </w:r>
    </w:p>
    <w:p w14:paraId="785FA235" w14:textId="77777777" w:rsidR="00356192" w:rsidRDefault="00356192" w:rsidP="00356192">
      <w:pPr>
        <w:jc w:val="both"/>
        <w:rPr>
          <w:rFonts w:asciiTheme="majorBidi" w:hAnsiTheme="majorBidi" w:cstheme="majorBidi"/>
          <w:b/>
          <w:bCs/>
          <w:sz w:val="24"/>
          <w:szCs w:val="24"/>
        </w:rPr>
      </w:pPr>
    </w:p>
    <w:p w14:paraId="0048AFBC" w14:textId="164BE367"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Outcomes-based regulation</w:t>
      </w:r>
      <w:r w:rsidRPr="00356192">
        <w:rPr>
          <w:rFonts w:asciiTheme="majorBidi" w:hAnsiTheme="majorBidi" w:cstheme="majorBidi"/>
          <w:sz w:val="24"/>
          <w:szCs w:val="24"/>
        </w:rPr>
        <w:t xml:space="preserve"> focuses regulatory obligations on the ultimate result or public condition that regulation seeks to produce, allowing regulated actors substantial discretion in determining how to achieve it. The terminology overlaps considerably with performance-based and goals-based regulation, and these expressions are frequently used interchangeably in both academic and policy literatures. A useful analytical distinction, however, is to reserve </w:t>
      </w:r>
      <w:r w:rsidRPr="00356192">
        <w:rPr>
          <w:rFonts w:asciiTheme="majorBidi" w:hAnsiTheme="majorBidi" w:cstheme="majorBidi"/>
          <w:i/>
          <w:iCs/>
          <w:sz w:val="24"/>
          <w:szCs w:val="24"/>
        </w:rPr>
        <w:t>performance</w:t>
      </w:r>
      <w:r w:rsidRPr="00356192">
        <w:rPr>
          <w:rFonts w:asciiTheme="majorBidi" w:hAnsiTheme="majorBidi" w:cstheme="majorBidi"/>
          <w:sz w:val="24"/>
          <w:szCs w:val="24"/>
        </w:rPr>
        <w:t xml:space="preserve"> for measurable outputs or standards attributable relatively directly to regulated conduct, and </w:t>
      </w:r>
      <w:r w:rsidRPr="00356192">
        <w:rPr>
          <w:rFonts w:asciiTheme="majorBidi" w:hAnsiTheme="majorBidi" w:cstheme="majorBidi"/>
          <w:i/>
          <w:iCs/>
          <w:sz w:val="24"/>
          <w:szCs w:val="24"/>
        </w:rPr>
        <w:t>outcomes</w:t>
      </w:r>
      <w:r w:rsidRPr="00356192">
        <w:rPr>
          <w:rFonts w:asciiTheme="majorBidi" w:hAnsiTheme="majorBidi" w:cstheme="majorBidi"/>
          <w:sz w:val="24"/>
          <w:szCs w:val="24"/>
        </w:rPr>
        <w:t xml:space="preserve"> for the broader consequences that regulation ultimately seeks to secure. Thus, a required reduction in the emission rate of a facility can be treated as a performance standard, whereas achievement of a specified level of ambient environmental quality is an outcome. Outcome-based regulation offers high flexibility but becomes difficult where causal attribution is weak, outcomes are affected by multiple actors, or results emerge only after long time lags (Coglianese, Nash and Olmstead 2003; OECD 2021).</w:t>
      </w:r>
    </w:p>
    <w:p w14:paraId="08E55C9E" w14:textId="77777777" w:rsidR="00356192" w:rsidRDefault="00356192" w:rsidP="00356192">
      <w:pPr>
        <w:jc w:val="both"/>
        <w:rPr>
          <w:rFonts w:asciiTheme="majorBidi" w:hAnsiTheme="majorBidi" w:cstheme="majorBidi"/>
          <w:b/>
          <w:bCs/>
          <w:sz w:val="24"/>
          <w:szCs w:val="24"/>
        </w:rPr>
      </w:pPr>
    </w:p>
    <w:p w14:paraId="526FE181" w14:textId="77777777" w:rsidR="00356192" w:rsidRDefault="00356192" w:rsidP="00356192">
      <w:pPr>
        <w:jc w:val="both"/>
        <w:rPr>
          <w:rFonts w:asciiTheme="majorBidi" w:hAnsiTheme="majorBidi" w:cstheme="majorBidi"/>
          <w:b/>
          <w:bCs/>
          <w:sz w:val="24"/>
          <w:szCs w:val="24"/>
        </w:rPr>
      </w:pPr>
    </w:p>
    <w:p w14:paraId="7F8A691A" w14:textId="621ECB73"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Principles-based regulation</w:t>
      </w:r>
      <w:r w:rsidRPr="00356192">
        <w:rPr>
          <w:rFonts w:asciiTheme="majorBidi" w:hAnsiTheme="majorBidi" w:cstheme="majorBidi"/>
          <w:sz w:val="24"/>
          <w:szCs w:val="24"/>
        </w:rPr>
        <w:t xml:space="preserve"> articulates broad standards, duties, or normative principles rather than detailed rules specifying exactly how compliance must be achieved. Related </w:t>
      </w:r>
      <w:r w:rsidRPr="00356192">
        <w:rPr>
          <w:rFonts w:asciiTheme="majorBidi" w:hAnsiTheme="majorBidi" w:cstheme="majorBidi"/>
          <w:b/>
          <w:bCs/>
          <w:sz w:val="24"/>
          <w:szCs w:val="24"/>
        </w:rPr>
        <w:t>goals-based regulation</w:t>
      </w:r>
      <w:r w:rsidRPr="00356192">
        <w:rPr>
          <w:rFonts w:asciiTheme="majorBidi" w:hAnsiTheme="majorBidi" w:cstheme="majorBidi"/>
          <w:sz w:val="24"/>
          <w:szCs w:val="24"/>
        </w:rPr>
        <w:t xml:space="preserve"> states the regulatory objective while leaving significant discretion concerning the means. Such strategies can accommodate heterogeneity and technological change but transfer interpretive responsibility to regulatees, regulators, courts, and intermediaries. They consequently require institutional capacities for interpretation, supervision, and ex post assessment. Principles-, goals-, performance-, and outcomes-based approaches overlap because all reduce reliance on detailed prescriptions, but they differ in what substitutes for prescription: a normative standard, a goal, a measurable performance threshold, or an ultimate outcome.</w:t>
      </w:r>
    </w:p>
    <w:p w14:paraId="6ECC481F" w14:textId="77777777" w:rsidR="00356192" w:rsidRDefault="00356192" w:rsidP="00356192">
      <w:pPr>
        <w:jc w:val="both"/>
        <w:rPr>
          <w:rFonts w:asciiTheme="majorBidi" w:hAnsiTheme="majorBidi" w:cstheme="majorBidi"/>
          <w:b/>
          <w:bCs/>
          <w:sz w:val="24"/>
          <w:szCs w:val="24"/>
        </w:rPr>
      </w:pPr>
    </w:p>
    <w:p w14:paraId="7BEF1848" w14:textId="292AECD4" w:rsidR="00356192" w:rsidRP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Risk-based regulation</w:t>
      </w:r>
      <w:r w:rsidRPr="00356192">
        <w:rPr>
          <w:rFonts w:asciiTheme="majorBidi" w:hAnsiTheme="majorBidi" w:cstheme="majorBidi"/>
          <w:sz w:val="24"/>
          <w:szCs w:val="24"/>
        </w:rPr>
        <w:t xml:space="preserve"> allocates regulatory attention and resources according to assessments of the probability and magnitude of harm. It is therefore less a specification of the content of individual obligations than a strategy for prioritizing regulatory intervention, inspection, supervision, and enforcement. Risk-based regulators classify activities or regulatees according to risk and concentrate attention where expected harms are greatest (Black and Baldwin 2010; Baldwin, Cave and Lodge 2012). Risk-based regulation can consequently coexist with prescriptive, process-, management-, performance-, or outcome-based standards. Its distinctive logic is selectivity according to risk, rather than the form taken by the substantive standard.</w:t>
      </w:r>
    </w:p>
    <w:p w14:paraId="12FD2929" w14:textId="77777777" w:rsidR="00356192" w:rsidRDefault="00356192" w:rsidP="00356192">
      <w:pPr>
        <w:jc w:val="both"/>
        <w:rPr>
          <w:rFonts w:asciiTheme="majorBidi" w:hAnsiTheme="majorBidi" w:cstheme="majorBidi"/>
          <w:b/>
          <w:bCs/>
          <w:sz w:val="24"/>
          <w:szCs w:val="24"/>
        </w:rPr>
      </w:pPr>
    </w:p>
    <w:p w14:paraId="1E838AE7" w14:textId="1520C730" w:rsidR="00356192" w:rsidRDefault="00356192" w:rsidP="00356192">
      <w:pPr>
        <w:jc w:val="both"/>
        <w:rPr>
          <w:rFonts w:asciiTheme="majorBidi" w:hAnsiTheme="majorBidi" w:cstheme="majorBidi"/>
          <w:sz w:val="24"/>
          <w:szCs w:val="24"/>
        </w:rPr>
      </w:pPr>
      <w:r w:rsidRPr="00356192">
        <w:rPr>
          <w:rFonts w:asciiTheme="majorBidi" w:hAnsiTheme="majorBidi" w:cstheme="majorBidi"/>
          <w:b/>
          <w:bCs/>
          <w:sz w:val="24"/>
          <w:szCs w:val="24"/>
        </w:rPr>
        <w:t>Responsive regulation</w:t>
      </w:r>
      <w:r w:rsidRPr="00356192">
        <w:rPr>
          <w:rFonts w:asciiTheme="majorBidi" w:hAnsiTheme="majorBidi" w:cstheme="majorBidi"/>
          <w:sz w:val="24"/>
          <w:szCs w:val="24"/>
        </w:rPr>
        <w:t xml:space="preserve"> is an enforcement and implementation strategy in which regulatory intervention varies in response to the conduct, capacities, and motivations of regulated actors. Rather than applying one instrument uniformly, regulators may begin with persuasion or cooperative measures and escalate toward increasingly coercive sanctions when compliance fails (Ayres and Braithwaite 1992). Responsive regulation therefore differs from the preceding strategies because it principally concerns the sequencing and calibration of regulatory intervention, rather than whether the underlying legal standard regulates inputs, processes, performance, or outcomes. It can be layered on top of any of these substantive strategies.</w:t>
      </w:r>
    </w:p>
    <w:p w14:paraId="2586463E" w14:textId="2B418F24" w:rsidR="00356192" w:rsidRDefault="00356192" w:rsidP="00356192">
      <w:pPr>
        <w:jc w:val="both"/>
        <w:rPr>
          <w:rFonts w:asciiTheme="majorBidi" w:hAnsiTheme="majorBidi" w:cstheme="majorBidi"/>
          <w:sz w:val="24"/>
          <w:szCs w:val="24"/>
        </w:rPr>
      </w:pPr>
    </w:p>
    <w:p w14:paraId="1A59D67E" w14:textId="77777777" w:rsidR="00356192" w:rsidRPr="00356192" w:rsidRDefault="00356192" w:rsidP="00356192">
      <w:pPr>
        <w:jc w:val="both"/>
        <w:rPr>
          <w:rFonts w:asciiTheme="majorBidi" w:hAnsiTheme="majorBidi" w:cstheme="majorBidi"/>
          <w:sz w:val="24"/>
          <w:szCs w:val="24"/>
        </w:rPr>
      </w:pPr>
    </w:p>
    <w:tbl>
      <w:tblPr>
        <w:tblW w:w="79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640"/>
        <w:gridCol w:w="2640"/>
        <w:gridCol w:w="2640"/>
      </w:tblGrid>
      <w:tr w:rsidR="00356192" w:rsidRPr="009D1438" w14:paraId="0390F814" w14:textId="77777777" w:rsidTr="00356192">
        <w:tc>
          <w:tcPr>
            <w:tcW w:w="2640" w:type="dxa"/>
          </w:tcPr>
          <w:p w14:paraId="72DB815A" w14:textId="28036057" w:rsidR="00356192" w:rsidRPr="00356192" w:rsidRDefault="00356192" w:rsidP="00356192">
            <w:pPr>
              <w:jc w:val="both"/>
              <w:rPr>
                <w:rFonts w:asciiTheme="majorBidi" w:hAnsiTheme="majorBidi" w:cstheme="majorBidi"/>
                <w:b/>
                <w:bCs/>
                <w:sz w:val="24"/>
                <w:szCs w:val="24"/>
              </w:rPr>
            </w:pPr>
            <w:r w:rsidRPr="00356192">
              <w:rPr>
                <w:rFonts w:asciiTheme="majorBidi" w:hAnsiTheme="majorBidi" w:cstheme="majorBidi"/>
                <w:b/>
                <w:bCs/>
                <w:sz w:val="24"/>
                <w:szCs w:val="24"/>
              </w:rPr>
              <w:t>Strategy</w:t>
            </w:r>
          </w:p>
        </w:tc>
        <w:tc>
          <w:tcPr>
            <w:tcW w:w="2640" w:type="dxa"/>
            <w:tcMar>
              <w:left w:w="108" w:type="dxa"/>
              <w:right w:w="108" w:type="dxa"/>
            </w:tcMar>
          </w:tcPr>
          <w:p w14:paraId="0C55DA85" w14:textId="77777777" w:rsidR="00356192" w:rsidRPr="00356192" w:rsidRDefault="00356192" w:rsidP="00356192">
            <w:pPr>
              <w:jc w:val="both"/>
              <w:rPr>
                <w:rFonts w:asciiTheme="majorBidi" w:hAnsiTheme="majorBidi" w:cstheme="majorBidi"/>
                <w:b/>
                <w:bCs/>
                <w:sz w:val="24"/>
                <w:szCs w:val="24"/>
              </w:rPr>
            </w:pPr>
            <w:r w:rsidRPr="00356192">
              <w:rPr>
                <w:rFonts w:asciiTheme="majorBidi" w:hAnsiTheme="majorBidi" w:cstheme="majorBidi"/>
                <w:b/>
                <w:bCs/>
                <w:sz w:val="24"/>
                <w:szCs w:val="24"/>
              </w:rPr>
              <w:t>Primary object of regulatory specification</w:t>
            </w:r>
          </w:p>
        </w:tc>
        <w:tc>
          <w:tcPr>
            <w:tcW w:w="2640" w:type="dxa"/>
            <w:tcMar>
              <w:left w:w="108" w:type="dxa"/>
              <w:right w:w="108" w:type="dxa"/>
            </w:tcMar>
          </w:tcPr>
          <w:p w14:paraId="54ACC867" w14:textId="3ACF7226" w:rsidR="00356192" w:rsidRPr="00356192" w:rsidRDefault="00356192" w:rsidP="00356192">
            <w:pPr>
              <w:jc w:val="both"/>
              <w:rPr>
                <w:rFonts w:asciiTheme="majorBidi" w:hAnsiTheme="majorBidi" w:cstheme="majorBidi"/>
                <w:b/>
                <w:bCs/>
                <w:sz w:val="24"/>
                <w:szCs w:val="24"/>
              </w:rPr>
            </w:pPr>
            <w:r w:rsidRPr="00356192">
              <w:rPr>
                <w:rFonts w:asciiTheme="majorBidi" w:hAnsiTheme="majorBidi" w:cstheme="majorBidi"/>
                <w:b/>
                <w:bCs/>
                <w:sz w:val="24"/>
                <w:szCs w:val="24"/>
              </w:rPr>
              <w:t>Core regulatory logic</w:t>
            </w:r>
          </w:p>
        </w:tc>
      </w:tr>
      <w:tr w:rsidR="00356192" w:rsidRPr="009D1438" w14:paraId="7EB9DE9B" w14:textId="77777777" w:rsidTr="00356192">
        <w:tc>
          <w:tcPr>
            <w:tcW w:w="2640" w:type="dxa"/>
          </w:tcPr>
          <w:p w14:paraId="599ED926" w14:textId="2493A9E5"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Prescriptive / technology-based</w:t>
            </w:r>
          </w:p>
        </w:tc>
        <w:tc>
          <w:tcPr>
            <w:tcW w:w="2640" w:type="dxa"/>
            <w:tcMar>
              <w:left w:w="108" w:type="dxa"/>
              <w:right w:w="108" w:type="dxa"/>
            </w:tcMar>
          </w:tcPr>
          <w:p w14:paraId="78AA85BE"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Inputs, technologies, or specified conduct</w:t>
            </w:r>
          </w:p>
        </w:tc>
        <w:tc>
          <w:tcPr>
            <w:tcW w:w="2640" w:type="dxa"/>
            <w:tcMar>
              <w:left w:w="108" w:type="dxa"/>
              <w:right w:w="108" w:type="dxa"/>
            </w:tcMar>
          </w:tcPr>
          <w:p w14:paraId="40D9CDD3" w14:textId="435AE0F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Tell regulatees what to do or use</w:t>
            </w:r>
          </w:p>
        </w:tc>
      </w:tr>
      <w:tr w:rsidR="00356192" w:rsidRPr="009D1438" w14:paraId="7B44FB5B" w14:textId="77777777" w:rsidTr="00356192">
        <w:tc>
          <w:tcPr>
            <w:tcW w:w="2640" w:type="dxa"/>
          </w:tcPr>
          <w:p w14:paraId="3EB33D15" w14:textId="4FE98A2F"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Process-based</w:t>
            </w:r>
          </w:p>
        </w:tc>
        <w:tc>
          <w:tcPr>
            <w:tcW w:w="2640" w:type="dxa"/>
            <w:tcMar>
              <w:left w:w="108" w:type="dxa"/>
              <w:right w:w="108" w:type="dxa"/>
            </w:tcMar>
          </w:tcPr>
          <w:p w14:paraId="32CEF282"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Operational processes or systems</w:t>
            </w:r>
          </w:p>
        </w:tc>
        <w:tc>
          <w:tcPr>
            <w:tcW w:w="2640" w:type="dxa"/>
            <w:tcMar>
              <w:left w:w="108" w:type="dxa"/>
              <w:right w:w="108" w:type="dxa"/>
            </w:tcMar>
          </w:tcPr>
          <w:p w14:paraId="483A2FB5" w14:textId="1075304F"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Require processes expected to reduce risk or advance goals</w:t>
            </w:r>
          </w:p>
        </w:tc>
      </w:tr>
      <w:tr w:rsidR="00356192" w:rsidRPr="009D1438" w14:paraId="36433FEC" w14:textId="77777777" w:rsidTr="00356192">
        <w:tc>
          <w:tcPr>
            <w:tcW w:w="2640" w:type="dxa"/>
          </w:tcPr>
          <w:p w14:paraId="62A048D9" w14:textId="4D671EAA"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Management-based</w:t>
            </w:r>
          </w:p>
        </w:tc>
        <w:tc>
          <w:tcPr>
            <w:tcW w:w="2640" w:type="dxa"/>
            <w:tcMar>
              <w:left w:w="108" w:type="dxa"/>
              <w:right w:w="108" w:type="dxa"/>
            </w:tcMar>
          </w:tcPr>
          <w:p w14:paraId="637C855D"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Internal planning and management systems</w:t>
            </w:r>
          </w:p>
        </w:tc>
        <w:tc>
          <w:tcPr>
            <w:tcW w:w="2640" w:type="dxa"/>
            <w:tcMar>
              <w:left w:w="108" w:type="dxa"/>
              <w:right w:w="108" w:type="dxa"/>
            </w:tcMar>
          </w:tcPr>
          <w:p w14:paraId="3B152BEF" w14:textId="7ACB1299"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Require regulatees to organize their own systems for achieving public goals</w:t>
            </w:r>
          </w:p>
        </w:tc>
      </w:tr>
      <w:tr w:rsidR="00356192" w:rsidRPr="009D1438" w14:paraId="1C797A85" w14:textId="77777777" w:rsidTr="00356192">
        <w:tc>
          <w:tcPr>
            <w:tcW w:w="2640" w:type="dxa"/>
          </w:tcPr>
          <w:p w14:paraId="377E9927" w14:textId="081047B0"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Procedural-based</w:t>
            </w:r>
          </w:p>
        </w:tc>
        <w:tc>
          <w:tcPr>
            <w:tcW w:w="2640" w:type="dxa"/>
            <w:tcMar>
              <w:left w:w="108" w:type="dxa"/>
              <w:right w:w="108" w:type="dxa"/>
            </w:tcMar>
          </w:tcPr>
          <w:p w14:paraId="66201F90"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Decision, participation, documentation, or review procedures</w:t>
            </w:r>
          </w:p>
        </w:tc>
        <w:tc>
          <w:tcPr>
            <w:tcW w:w="2640" w:type="dxa"/>
            <w:tcMar>
              <w:left w:w="108" w:type="dxa"/>
              <w:right w:w="108" w:type="dxa"/>
            </w:tcMar>
          </w:tcPr>
          <w:p w14:paraId="7967C18F" w14:textId="5B9577DC"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Govern how decisions and accountability processes are conducted</w:t>
            </w:r>
          </w:p>
        </w:tc>
      </w:tr>
      <w:tr w:rsidR="00356192" w:rsidRPr="009D1438" w14:paraId="2ABD26D3" w14:textId="77777777" w:rsidTr="00356192">
        <w:tc>
          <w:tcPr>
            <w:tcW w:w="2640" w:type="dxa"/>
          </w:tcPr>
          <w:p w14:paraId="655A4385" w14:textId="739ADBF0"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Performance-based</w:t>
            </w:r>
          </w:p>
        </w:tc>
        <w:tc>
          <w:tcPr>
            <w:tcW w:w="2640" w:type="dxa"/>
            <w:tcMar>
              <w:left w:w="108" w:type="dxa"/>
              <w:right w:w="108" w:type="dxa"/>
            </w:tcMar>
          </w:tcPr>
          <w:p w14:paraId="610AA5A3"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Measurable outputs or performance standards</w:t>
            </w:r>
          </w:p>
        </w:tc>
        <w:tc>
          <w:tcPr>
            <w:tcW w:w="2640" w:type="dxa"/>
            <w:tcMar>
              <w:left w:w="108" w:type="dxa"/>
              <w:right w:w="108" w:type="dxa"/>
            </w:tcMar>
          </w:tcPr>
          <w:p w14:paraId="7081483C" w14:textId="10240B91"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Specify the required performance while leaving means flexible</w:t>
            </w:r>
          </w:p>
        </w:tc>
      </w:tr>
      <w:tr w:rsidR="00356192" w:rsidRPr="009D1438" w14:paraId="2E8C362A" w14:textId="77777777" w:rsidTr="00356192">
        <w:tc>
          <w:tcPr>
            <w:tcW w:w="2640" w:type="dxa"/>
          </w:tcPr>
          <w:p w14:paraId="0BF4E5AF" w14:textId="16F47E73"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Outcomes-based</w:t>
            </w:r>
          </w:p>
        </w:tc>
        <w:tc>
          <w:tcPr>
            <w:tcW w:w="2640" w:type="dxa"/>
            <w:tcMar>
              <w:left w:w="108" w:type="dxa"/>
              <w:right w:w="108" w:type="dxa"/>
            </w:tcMar>
          </w:tcPr>
          <w:p w14:paraId="2071AF6A"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Ultimate results or conditions</w:t>
            </w:r>
          </w:p>
        </w:tc>
        <w:tc>
          <w:tcPr>
            <w:tcW w:w="2640" w:type="dxa"/>
            <w:tcMar>
              <w:left w:w="108" w:type="dxa"/>
              <w:right w:w="108" w:type="dxa"/>
            </w:tcMar>
          </w:tcPr>
          <w:p w14:paraId="44633F9D" w14:textId="51DC6895"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Specify the desired end-state while leaving pathways flexible</w:t>
            </w:r>
          </w:p>
        </w:tc>
      </w:tr>
      <w:tr w:rsidR="00356192" w:rsidRPr="009D1438" w14:paraId="3F2CE40C" w14:textId="77777777" w:rsidTr="00356192">
        <w:tc>
          <w:tcPr>
            <w:tcW w:w="2640" w:type="dxa"/>
          </w:tcPr>
          <w:p w14:paraId="4BBC5EC1" w14:textId="3CA3C9C9"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Principles / goals-based</w:t>
            </w:r>
          </w:p>
        </w:tc>
        <w:tc>
          <w:tcPr>
            <w:tcW w:w="2640" w:type="dxa"/>
            <w:tcMar>
              <w:left w:w="108" w:type="dxa"/>
              <w:right w:w="108" w:type="dxa"/>
            </w:tcMar>
          </w:tcPr>
          <w:p w14:paraId="1FDC85C2"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Broad principles or regulatory goals</w:t>
            </w:r>
          </w:p>
        </w:tc>
        <w:tc>
          <w:tcPr>
            <w:tcW w:w="2640" w:type="dxa"/>
            <w:tcMar>
              <w:left w:w="108" w:type="dxa"/>
              <w:right w:w="108" w:type="dxa"/>
            </w:tcMar>
          </w:tcPr>
          <w:p w14:paraId="6A0439DE" w14:textId="0FA4EABB"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Establish open-textured standards rather than detailed prescriptions</w:t>
            </w:r>
          </w:p>
        </w:tc>
      </w:tr>
      <w:tr w:rsidR="00356192" w:rsidRPr="009D1438" w14:paraId="5BFE2F5F" w14:textId="77777777" w:rsidTr="00356192">
        <w:tc>
          <w:tcPr>
            <w:tcW w:w="2640" w:type="dxa"/>
          </w:tcPr>
          <w:p w14:paraId="58BF2C1A" w14:textId="7280ECD9"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lastRenderedPageBreak/>
              <w:t>Risk-based</w:t>
            </w:r>
          </w:p>
        </w:tc>
        <w:tc>
          <w:tcPr>
            <w:tcW w:w="2640" w:type="dxa"/>
            <w:tcMar>
              <w:left w:w="108" w:type="dxa"/>
              <w:right w:w="108" w:type="dxa"/>
            </w:tcMar>
          </w:tcPr>
          <w:p w14:paraId="76364CDA"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Distribution of regulatory attention</w:t>
            </w:r>
          </w:p>
        </w:tc>
        <w:tc>
          <w:tcPr>
            <w:tcW w:w="2640" w:type="dxa"/>
            <w:tcMar>
              <w:left w:w="108" w:type="dxa"/>
              <w:right w:w="108" w:type="dxa"/>
            </w:tcMar>
          </w:tcPr>
          <w:p w14:paraId="1C2F41DB" w14:textId="44CDD02A"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Prioritize intervention according to assessed risk</w:t>
            </w:r>
          </w:p>
        </w:tc>
      </w:tr>
      <w:tr w:rsidR="00356192" w:rsidRPr="009D1438" w14:paraId="33F576E1" w14:textId="77777777" w:rsidTr="00356192">
        <w:tc>
          <w:tcPr>
            <w:tcW w:w="2640" w:type="dxa"/>
          </w:tcPr>
          <w:p w14:paraId="143ED89F" w14:textId="570B2FF3" w:rsidR="00356192" w:rsidRPr="00356192" w:rsidRDefault="00356192" w:rsidP="00356192">
            <w:pPr>
              <w:jc w:val="both"/>
              <w:rPr>
                <w:rFonts w:asciiTheme="majorBidi" w:hAnsiTheme="majorBidi" w:cstheme="majorBidi"/>
                <w:b/>
                <w:bCs/>
                <w:sz w:val="22"/>
              </w:rPr>
            </w:pPr>
            <w:r w:rsidRPr="00356192">
              <w:rPr>
                <w:rFonts w:asciiTheme="majorBidi" w:hAnsiTheme="majorBidi" w:cstheme="majorBidi"/>
                <w:b/>
                <w:bCs/>
                <w:sz w:val="22"/>
              </w:rPr>
              <w:t>Responsive</w:t>
            </w:r>
          </w:p>
        </w:tc>
        <w:tc>
          <w:tcPr>
            <w:tcW w:w="2640" w:type="dxa"/>
            <w:tcMar>
              <w:left w:w="108" w:type="dxa"/>
              <w:right w:w="108" w:type="dxa"/>
            </w:tcMar>
          </w:tcPr>
          <w:p w14:paraId="6E2A8B7A" w14:textId="77777777"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Sequence and intensity of intervention</w:t>
            </w:r>
          </w:p>
        </w:tc>
        <w:tc>
          <w:tcPr>
            <w:tcW w:w="2640" w:type="dxa"/>
            <w:tcMar>
              <w:left w:w="108" w:type="dxa"/>
              <w:right w:w="108" w:type="dxa"/>
            </w:tcMar>
          </w:tcPr>
          <w:p w14:paraId="7135B1DE" w14:textId="26B7B8FF" w:rsidR="00356192" w:rsidRPr="00356192" w:rsidRDefault="00356192" w:rsidP="00356192">
            <w:pPr>
              <w:jc w:val="both"/>
              <w:rPr>
                <w:rFonts w:asciiTheme="majorBidi" w:hAnsiTheme="majorBidi" w:cstheme="majorBidi"/>
                <w:sz w:val="22"/>
              </w:rPr>
            </w:pPr>
            <w:r w:rsidRPr="00356192">
              <w:rPr>
                <w:rFonts w:asciiTheme="majorBidi" w:hAnsiTheme="majorBidi" w:cstheme="majorBidi"/>
                <w:sz w:val="22"/>
              </w:rPr>
              <w:t xml:space="preserve">Adjust and escalate regulatory response according to </w:t>
            </w:r>
            <w:proofErr w:type="spellStart"/>
            <w:r w:rsidRPr="00356192">
              <w:rPr>
                <w:rFonts w:asciiTheme="majorBidi" w:hAnsiTheme="majorBidi" w:cstheme="majorBidi"/>
                <w:sz w:val="22"/>
              </w:rPr>
              <w:t>behaviour</w:t>
            </w:r>
            <w:proofErr w:type="spellEnd"/>
            <w:r w:rsidRPr="00356192">
              <w:rPr>
                <w:rFonts w:asciiTheme="majorBidi" w:hAnsiTheme="majorBidi" w:cstheme="majorBidi"/>
                <w:sz w:val="22"/>
              </w:rPr>
              <w:t xml:space="preserve"> and context</w:t>
            </w:r>
          </w:p>
        </w:tc>
      </w:tr>
    </w:tbl>
    <w:p w14:paraId="1C81FA52" w14:textId="034736BE" w:rsidR="0033094E" w:rsidRDefault="0033094E" w:rsidP="00BB24A5">
      <w:pPr>
        <w:spacing w:line="276" w:lineRule="auto"/>
        <w:jc w:val="both"/>
        <w:rPr>
          <w:rFonts w:asciiTheme="majorBidi" w:hAnsiTheme="majorBidi" w:cstheme="majorBidi"/>
          <w:sz w:val="24"/>
          <w:szCs w:val="24"/>
        </w:rPr>
      </w:pPr>
    </w:p>
    <w:p w14:paraId="199F34AB" w14:textId="6C14AAEF" w:rsidR="003902C2" w:rsidRPr="0033094E" w:rsidRDefault="0033094E" w:rsidP="0033094E">
      <w:pPr>
        <w:rPr>
          <w:rFonts w:asciiTheme="majorBidi" w:hAnsiTheme="majorBidi" w:cstheme="majorBidi"/>
          <w:b/>
          <w:bCs/>
          <w:sz w:val="24"/>
          <w:szCs w:val="24"/>
        </w:rPr>
      </w:pPr>
      <w:r w:rsidRPr="0033094E">
        <w:rPr>
          <w:rFonts w:asciiTheme="majorBidi" w:hAnsiTheme="majorBidi" w:cstheme="majorBidi"/>
          <w:b/>
          <w:bCs/>
          <w:sz w:val="24"/>
          <w:szCs w:val="24"/>
        </w:rPr>
        <w:t>3.</w:t>
      </w:r>
      <w:r w:rsidR="00094FA3">
        <w:rPr>
          <w:rFonts w:asciiTheme="majorBidi" w:hAnsiTheme="majorBidi" w:cstheme="majorBidi"/>
          <w:b/>
          <w:bCs/>
          <w:sz w:val="24"/>
          <w:szCs w:val="24"/>
        </w:rPr>
        <w:t>7</w:t>
      </w:r>
      <w:r w:rsidR="00BB24A5" w:rsidRPr="0033094E">
        <w:rPr>
          <w:rFonts w:asciiTheme="majorBidi" w:hAnsiTheme="majorBidi" w:cstheme="majorBidi"/>
          <w:b/>
          <w:bCs/>
          <w:sz w:val="24"/>
          <w:szCs w:val="24"/>
        </w:rPr>
        <w:t>. Governance Architectures: The Structural Configuration</w:t>
      </w:r>
    </w:p>
    <w:p w14:paraId="6D53AC39" w14:textId="26DDCAD9" w:rsidR="0033094E" w:rsidRPr="00281531" w:rsidRDefault="00BB24A5" w:rsidP="00281531">
      <w:pPr>
        <w:spacing w:line="276" w:lineRule="auto"/>
        <w:jc w:val="both"/>
        <w:rPr>
          <w:rFonts w:asciiTheme="majorBidi" w:hAnsiTheme="majorBidi" w:cstheme="majorBidi"/>
          <w:sz w:val="24"/>
          <w:szCs w:val="24"/>
        </w:rPr>
      </w:pPr>
      <w:r w:rsidRPr="00281531">
        <w:rPr>
          <w:rFonts w:asciiTheme="majorBidi" w:hAnsiTheme="majorBidi" w:cstheme="majorBidi"/>
          <w:sz w:val="24"/>
          <w:szCs w:val="24"/>
        </w:rPr>
        <w:t>A governance architecture is the legally constituted configuration of actors, roles and relationships through which governance functions are distributed and performed, including the allocation of authority, discretion and accountability. Architecture concerns structure rather than an individual governing technique.</w:t>
      </w:r>
      <w:r w:rsidR="00281531" w:rsidRPr="00281531">
        <w:rPr>
          <w:rFonts w:asciiTheme="majorBidi" w:hAnsiTheme="majorBidi" w:cstheme="majorBidi"/>
          <w:sz w:val="24"/>
          <w:szCs w:val="24"/>
        </w:rPr>
        <w:t xml:space="preserve">   </w:t>
      </w:r>
      <w:r w:rsidR="0033094E" w:rsidRPr="00281531">
        <w:rPr>
          <w:rStyle w:val="Strong"/>
          <w:rFonts w:asciiTheme="majorBidi" w:hAnsiTheme="majorBidi" w:cstheme="majorBidi"/>
          <w:b w:val="0"/>
          <w:bCs w:val="0"/>
          <w:sz w:val="24"/>
          <w:szCs w:val="24"/>
        </w:rPr>
        <w:t>Self-regulation</w:t>
      </w:r>
      <w:r w:rsidR="0033094E" w:rsidRPr="00281531">
        <w:rPr>
          <w:rFonts w:asciiTheme="majorBidi" w:hAnsiTheme="majorBidi" w:cstheme="majorBidi"/>
          <w:sz w:val="24"/>
          <w:szCs w:val="24"/>
        </w:rPr>
        <w:t xml:space="preserve"> refers to arrangements in which regulated actors—individually or collectively through associations or other private bodies—assume significant responsibility for developing, implementing, monitoring, or enforcing rules governing their own conduct (Black 1996; Gunningham and Rees 1997). </w:t>
      </w:r>
      <w:r w:rsidR="0033094E" w:rsidRPr="00281531">
        <w:rPr>
          <w:rStyle w:val="Strong"/>
          <w:rFonts w:asciiTheme="majorBidi" w:hAnsiTheme="majorBidi" w:cstheme="majorBidi"/>
          <w:b w:val="0"/>
          <w:bCs w:val="0"/>
          <w:sz w:val="24"/>
          <w:szCs w:val="24"/>
        </w:rPr>
        <w:t>Enforced self-regulation</w:t>
      </w:r>
      <w:r w:rsidR="0033094E" w:rsidRPr="00281531">
        <w:rPr>
          <w:rFonts w:asciiTheme="majorBidi" w:hAnsiTheme="majorBidi" w:cstheme="majorBidi"/>
          <w:sz w:val="24"/>
          <w:szCs w:val="24"/>
        </w:rPr>
        <w:t xml:space="preserve"> is a hybrid arrangement in which public authority requires regulated organizations to formulate and administer their own context-specific rules or compliance systems while retaining powers of approval, monitoring and enforcement (Ayres and Braithwaite 1992). </w:t>
      </w:r>
      <w:r w:rsidR="0033094E" w:rsidRPr="00281531">
        <w:rPr>
          <w:rStyle w:val="Strong"/>
          <w:rFonts w:asciiTheme="majorBidi" w:hAnsiTheme="majorBidi" w:cstheme="majorBidi"/>
          <w:b w:val="0"/>
          <w:bCs w:val="0"/>
          <w:sz w:val="24"/>
          <w:szCs w:val="24"/>
        </w:rPr>
        <w:t>Enhanced self-regulation</w:t>
      </w:r>
      <w:r w:rsidR="0033094E" w:rsidRPr="00281531">
        <w:rPr>
          <w:rFonts w:asciiTheme="majorBidi" w:hAnsiTheme="majorBidi" w:cstheme="majorBidi"/>
          <w:sz w:val="24"/>
          <w:szCs w:val="24"/>
        </w:rPr>
        <w:t xml:space="preserve"> strengthens self-regulatory capacity and credibility through regulatory intermediation: relatively autonomous third parties perform functions such as monitoring, verification, certification, standard-setting or assurance, thereby constraining or supporting self-regulation (Medzini 2021; Medzini and Levi-Faur 2023). </w:t>
      </w:r>
      <w:r w:rsidR="0033094E" w:rsidRPr="00281531">
        <w:rPr>
          <w:rStyle w:val="Strong"/>
          <w:rFonts w:asciiTheme="majorBidi" w:hAnsiTheme="majorBidi" w:cstheme="majorBidi"/>
          <w:b w:val="0"/>
          <w:bCs w:val="0"/>
          <w:sz w:val="24"/>
          <w:szCs w:val="24"/>
        </w:rPr>
        <w:t>Meta-regulation</w:t>
      </w:r>
      <w:r w:rsidR="0033094E" w:rsidRPr="00281531">
        <w:rPr>
          <w:rFonts w:asciiTheme="majorBidi" w:hAnsiTheme="majorBidi" w:cstheme="majorBidi"/>
          <w:sz w:val="24"/>
          <w:szCs w:val="24"/>
        </w:rPr>
        <w:t>, by contrast, refers to the</w:t>
      </w:r>
      <w:r w:rsidR="0033094E" w:rsidRPr="00281531">
        <w:rPr>
          <w:rFonts w:asciiTheme="majorBidi" w:hAnsiTheme="majorBidi" w:cstheme="majorBidi"/>
          <w:b/>
          <w:bCs/>
          <w:sz w:val="24"/>
          <w:szCs w:val="24"/>
        </w:rPr>
        <w:t xml:space="preserve"> </w:t>
      </w:r>
      <w:r w:rsidR="0033094E" w:rsidRPr="00281531">
        <w:rPr>
          <w:rStyle w:val="Strong"/>
          <w:rFonts w:asciiTheme="majorBidi" w:hAnsiTheme="majorBidi" w:cstheme="majorBidi"/>
          <w:b w:val="0"/>
          <w:bCs w:val="0"/>
          <w:sz w:val="24"/>
          <w:szCs w:val="24"/>
        </w:rPr>
        <w:t>regulation of self-regulation</w:t>
      </w:r>
      <w:r w:rsidR="0033094E" w:rsidRPr="00281531">
        <w:rPr>
          <w:rFonts w:asciiTheme="majorBidi" w:hAnsiTheme="majorBidi" w:cstheme="majorBidi"/>
          <w:sz w:val="24"/>
          <w:szCs w:val="24"/>
        </w:rPr>
        <w:t xml:space="preserve">: rather than prescribing all substantive conduct directly, the regulator establishes requirements concerning the processes, systems and capacities through which regulated organizations regulate themselves (Parker 2002). Meta-regulation therefore makes the organization's own regulatory system an </w:t>
      </w:r>
      <w:r w:rsidR="0033094E" w:rsidRPr="00281531">
        <w:rPr>
          <w:rStyle w:val="Strong"/>
          <w:rFonts w:asciiTheme="majorBidi" w:hAnsiTheme="majorBidi" w:cstheme="majorBidi"/>
          <w:b w:val="0"/>
          <w:bCs w:val="0"/>
          <w:sz w:val="24"/>
          <w:szCs w:val="24"/>
        </w:rPr>
        <w:t>object of regulation</w:t>
      </w:r>
      <w:r w:rsidR="00281531">
        <w:rPr>
          <w:rFonts w:asciiTheme="majorBidi" w:hAnsiTheme="majorBidi" w:cstheme="majorBidi"/>
          <w:sz w:val="24"/>
          <w:szCs w:val="24"/>
        </w:rPr>
        <w:t>, f</w:t>
      </w:r>
      <w:r w:rsidR="0033094E" w:rsidRPr="00281531">
        <w:rPr>
          <w:rFonts w:asciiTheme="majorBidi" w:hAnsiTheme="majorBidi" w:cstheme="majorBidi"/>
          <w:sz w:val="24"/>
          <w:szCs w:val="24"/>
        </w:rPr>
        <w:t>or example, requiring systems for risk assessment, compliance management, internal monitoring, auditing, reporting and organizational learning</w:t>
      </w:r>
      <w:r w:rsidR="00281531">
        <w:rPr>
          <w:rFonts w:asciiTheme="majorBidi" w:hAnsiTheme="majorBidi" w:cstheme="majorBidi"/>
          <w:sz w:val="24"/>
          <w:szCs w:val="24"/>
        </w:rPr>
        <w:t>. W</w:t>
      </w:r>
      <w:r w:rsidR="0033094E" w:rsidRPr="00281531">
        <w:rPr>
          <w:rFonts w:asciiTheme="majorBidi" w:hAnsiTheme="majorBidi" w:cstheme="majorBidi"/>
          <w:sz w:val="24"/>
          <w:szCs w:val="24"/>
        </w:rPr>
        <w:t xml:space="preserve">hile ordinarily leaving some discretion over how substantive regulatory objectives are achieved. </w:t>
      </w:r>
      <w:r w:rsidR="00281531" w:rsidRPr="00281531">
        <w:rPr>
          <w:rFonts w:asciiTheme="majorBidi" w:hAnsiTheme="majorBidi" w:cstheme="majorBidi"/>
          <w:sz w:val="24"/>
          <w:szCs w:val="24"/>
        </w:rPr>
        <w:t>T</w:t>
      </w:r>
      <w:r w:rsidR="0033094E" w:rsidRPr="00281531">
        <w:rPr>
          <w:rFonts w:asciiTheme="majorBidi" w:hAnsiTheme="majorBidi" w:cstheme="majorBidi"/>
          <w:sz w:val="24"/>
          <w:szCs w:val="24"/>
        </w:rPr>
        <w:t xml:space="preserve">he four concepts emphasize different sources of constraint: </w:t>
      </w:r>
      <w:r w:rsidR="0033094E" w:rsidRPr="00281531">
        <w:rPr>
          <w:rStyle w:val="Strong"/>
          <w:rFonts w:asciiTheme="majorBidi" w:hAnsiTheme="majorBidi" w:cstheme="majorBidi"/>
          <w:b w:val="0"/>
          <w:bCs w:val="0"/>
          <w:sz w:val="24"/>
          <w:szCs w:val="24"/>
        </w:rPr>
        <w:t>self-regulation relies primarily on self-governance; enforced self-regulation adds hierarchical state oversight</w:t>
      </w:r>
      <w:r w:rsidR="00281531">
        <w:rPr>
          <w:rStyle w:val="Strong"/>
          <w:rFonts w:asciiTheme="majorBidi" w:hAnsiTheme="majorBidi" w:cstheme="majorBidi"/>
          <w:b w:val="0"/>
          <w:bCs w:val="0"/>
          <w:sz w:val="24"/>
          <w:szCs w:val="24"/>
        </w:rPr>
        <w:t xml:space="preserve"> (or its shadow)</w:t>
      </w:r>
      <w:r w:rsidR="0033094E" w:rsidRPr="00281531">
        <w:rPr>
          <w:rStyle w:val="Strong"/>
          <w:rFonts w:asciiTheme="majorBidi" w:hAnsiTheme="majorBidi" w:cstheme="majorBidi"/>
          <w:b w:val="0"/>
          <w:bCs w:val="0"/>
          <w:sz w:val="24"/>
          <w:szCs w:val="24"/>
        </w:rPr>
        <w:t xml:space="preserve"> and enforcement; enhanced self-regulation adds intermediary capacity and external credibility; and meta-regulation governs the design and operation of the regulated actor's own governance system</w:t>
      </w:r>
      <w:r w:rsidR="0033094E" w:rsidRPr="00281531">
        <w:rPr>
          <w:rStyle w:val="Strong"/>
          <w:rFonts w:asciiTheme="majorBidi" w:hAnsiTheme="majorBidi" w:cstheme="majorBidi"/>
          <w:sz w:val="24"/>
          <w:szCs w:val="24"/>
        </w:rPr>
        <w:t>.</w:t>
      </w:r>
      <w:r w:rsidR="0033094E" w:rsidRPr="00281531">
        <w:rPr>
          <w:rFonts w:asciiTheme="majorBidi" w:hAnsiTheme="majorBidi" w:cstheme="majorBidi"/>
          <w:sz w:val="24"/>
          <w:szCs w:val="24"/>
        </w:rPr>
        <w:t xml:space="preserve"> These forms are not mutually exclusive and may coexist within the same regulatory architecture.</w:t>
      </w:r>
    </w:p>
    <w:p w14:paraId="72E56630" w14:textId="49756801" w:rsidR="0033094E" w:rsidRDefault="0033094E">
      <w:pPr>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2495"/>
        <w:gridCol w:w="3247"/>
        <w:gridCol w:w="2121"/>
        <w:gridCol w:w="2121"/>
      </w:tblGrid>
      <w:tr w:rsidR="003902C2" w:rsidRPr="0036629B" w14:paraId="20252946" w14:textId="77777777" w:rsidTr="00094FA3">
        <w:trPr>
          <w:jc w:val="center"/>
        </w:trPr>
        <w:tc>
          <w:tcPr>
            <w:tcW w:w="2495" w:type="dxa"/>
            <w:vAlign w:val="center"/>
          </w:tcPr>
          <w:p w14:paraId="1D60C7C3"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Architecture</w:t>
            </w:r>
          </w:p>
        </w:tc>
        <w:tc>
          <w:tcPr>
            <w:tcW w:w="3247" w:type="dxa"/>
            <w:vAlign w:val="center"/>
          </w:tcPr>
          <w:p w14:paraId="24DC4F5F"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Core actors</w:t>
            </w:r>
          </w:p>
        </w:tc>
        <w:tc>
          <w:tcPr>
            <w:tcW w:w="2121" w:type="dxa"/>
            <w:vAlign w:val="center"/>
          </w:tcPr>
          <w:p w14:paraId="32DDA696"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Defining structural feature</w:t>
            </w:r>
          </w:p>
        </w:tc>
        <w:tc>
          <w:tcPr>
            <w:tcW w:w="2121" w:type="dxa"/>
            <w:vAlign w:val="center"/>
          </w:tcPr>
          <w:p w14:paraId="7C4C8F5F"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Stylized relation</w:t>
            </w:r>
          </w:p>
        </w:tc>
      </w:tr>
      <w:tr w:rsidR="00281531" w:rsidRPr="0036629B" w14:paraId="1A484046" w14:textId="77777777" w:rsidTr="00094FA3">
        <w:trPr>
          <w:jc w:val="center"/>
        </w:trPr>
        <w:tc>
          <w:tcPr>
            <w:tcW w:w="2495" w:type="dxa"/>
            <w:vAlign w:val="center"/>
          </w:tcPr>
          <w:p w14:paraId="5EC8D1E0" w14:textId="013C9336" w:rsidR="00281531" w:rsidRPr="0036629B" w:rsidRDefault="00281531"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Self-Regulation</w:t>
            </w:r>
          </w:p>
        </w:tc>
        <w:tc>
          <w:tcPr>
            <w:tcW w:w="3247" w:type="dxa"/>
            <w:vAlign w:val="center"/>
          </w:tcPr>
          <w:p w14:paraId="5928597D" w14:textId="132F3DC6"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Actor regulate itself</w:t>
            </w:r>
          </w:p>
        </w:tc>
        <w:tc>
          <w:tcPr>
            <w:tcW w:w="2121" w:type="dxa"/>
            <w:vAlign w:val="center"/>
          </w:tcPr>
          <w:p w14:paraId="7BFDE573" w14:textId="77777777" w:rsidR="00281531" w:rsidRPr="0036629B" w:rsidRDefault="00281531" w:rsidP="0033094E">
            <w:pPr>
              <w:spacing w:before="30" w:after="30" w:line="276" w:lineRule="auto"/>
              <w:rPr>
                <w:rFonts w:asciiTheme="majorBidi" w:hAnsiTheme="majorBidi" w:cstheme="majorBidi"/>
                <w:sz w:val="22"/>
              </w:rPr>
            </w:pPr>
          </w:p>
        </w:tc>
        <w:tc>
          <w:tcPr>
            <w:tcW w:w="2121" w:type="dxa"/>
            <w:vAlign w:val="center"/>
          </w:tcPr>
          <w:p w14:paraId="56587333" w14:textId="77777777" w:rsidR="00281531" w:rsidRPr="0036629B" w:rsidRDefault="00281531" w:rsidP="0033094E">
            <w:pPr>
              <w:spacing w:before="30" w:after="30" w:line="276" w:lineRule="auto"/>
              <w:rPr>
                <w:rFonts w:asciiTheme="majorBidi" w:hAnsiTheme="majorBidi" w:cstheme="majorBidi"/>
                <w:sz w:val="22"/>
              </w:rPr>
            </w:pPr>
          </w:p>
        </w:tc>
      </w:tr>
      <w:tr w:rsidR="00281531" w:rsidRPr="0036629B" w14:paraId="4076C95A" w14:textId="77777777" w:rsidTr="00094FA3">
        <w:trPr>
          <w:jc w:val="center"/>
        </w:trPr>
        <w:tc>
          <w:tcPr>
            <w:tcW w:w="2495" w:type="dxa"/>
            <w:vAlign w:val="center"/>
          </w:tcPr>
          <w:p w14:paraId="570F98C8" w14:textId="433311EB" w:rsidR="00281531" w:rsidRPr="0036629B" w:rsidRDefault="00281531"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 xml:space="preserve">Enforced self-Regulation </w:t>
            </w:r>
          </w:p>
        </w:tc>
        <w:tc>
          <w:tcPr>
            <w:tcW w:w="3247" w:type="dxa"/>
            <w:vAlign w:val="center"/>
          </w:tcPr>
          <w:p w14:paraId="0C651CB5" w14:textId="7C2D3CB9"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Public authority+ target</w:t>
            </w:r>
          </w:p>
        </w:tc>
        <w:tc>
          <w:tcPr>
            <w:tcW w:w="2121" w:type="dxa"/>
            <w:vAlign w:val="center"/>
          </w:tcPr>
          <w:p w14:paraId="1E0AFC63" w14:textId="56D65FDA"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 xml:space="preserve">Indirect authoritative relations </w:t>
            </w:r>
          </w:p>
        </w:tc>
        <w:tc>
          <w:tcPr>
            <w:tcW w:w="2121" w:type="dxa"/>
            <w:vAlign w:val="center"/>
          </w:tcPr>
          <w:p w14:paraId="26811106" w14:textId="77777777" w:rsidR="00281531" w:rsidRPr="0036629B" w:rsidRDefault="00281531" w:rsidP="0033094E">
            <w:pPr>
              <w:spacing w:before="30" w:after="30" w:line="276" w:lineRule="auto"/>
              <w:rPr>
                <w:rFonts w:asciiTheme="majorBidi" w:hAnsiTheme="majorBidi" w:cstheme="majorBidi"/>
                <w:sz w:val="22"/>
              </w:rPr>
            </w:pPr>
          </w:p>
        </w:tc>
      </w:tr>
      <w:tr w:rsidR="00281531" w:rsidRPr="0036629B" w14:paraId="4F50C3EE" w14:textId="77777777" w:rsidTr="00094FA3">
        <w:trPr>
          <w:jc w:val="center"/>
        </w:trPr>
        <w:tc>
          <w:tcPr>
            <w:tcW w:w="2495" w:type="dxa"/>
            <w:vAlign w:val="center"/>
          </w:tcPr>
          <w:p w14:paraId="23061CE0" w14:textId="3381AB3E" w:rsidR="00281531" w:rsidRPr="0036629B" w:rsidRDefault="00281531"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 xml:space="preserve">Enhanced self-Regulation </w:t>
            </w:r>
          </w:p>
        </w:tc>
        <w:tc>
          <w:tcPr>
            <w:tcW w:w="3247" w:type="dxa"/>
            <w:vAlign w:val="center"/>
          </w:tcPr>
          <w:p w14:paraId="3C8E7845" w14:textId="23309548"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regulator + intermediary + target</w:t>
            </w:r>
          </w:p>
        </w:tc>
        <w:tc>
          <w:tcPr>
            <w:tcW w:w="2121" w:type="dxa"/>
            <w:vAlign w:val="center"/>
          </w:tcPr>
          <w:p w14:paraId="40A8C010" w14:textId="3F4D010F"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regulatory work routed through third party</w:t>
            </w:r>
          </w:p>
        </w:tc>
        <w:tc>
          <w:tcPr>
            <w:tcW w:w="2121" w:type="dxa"/>
            <w:vAlign w:val="center"/>
          </w:tcPr>
          <w:p w14:paraId="24DD0D37" w14:textId="3ECFE6B6"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R -&gt; I -&gt; T</w:t>
            </w:r>
          </w:p>
        </w:tc>
      </w:tr>
      <w:tr w:rsidR="00281531" w:rsidRPr="0036629B" w14:paraId="7636086D" w14:textId="77777777" w:rsidTr="00094FA3">
        <w:trPr>
          <w:jc w:val="center"/>
        </w:trPr>
        <w:tc>
          <w:tcPr>
            <w:tcW w:w="2495" w:type="dxa"/>
            <w:vAlign w:val="center"/>
          </w:tcPr>
          <w:p w14:paraId="78F1C6CD" w14:textId="0D717064" w:rsidR="00281531" w:rsidRPr="0036629B" w:rsidRDefault="00281531"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lastRenderedPageBreak/>
              <w:t xml:space="preserve">Meta-Regulation </w:t>
            </w:r>
          </w:p>
        </w:tc>
        <w:tc>
          <w:tcPr>
            <w:tcW w:w="3247" w:type="dxa"/>
            <w:vAlign w:val="center"/>
          </w:tcPr>
          <w:p w14:paraId="6E64A699" w14:textId="6D7F58CF"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Public authority+ target</w:t>
            </w:r>
          </w:p>
        </w:tc>
        <w:tc>
          <w:tcPr>
            <w:tcW w:w="2121" w:type="dxa"/>
            <w:vAlign w:val="center"/>
          </w:tcPr>
          <w:p w14:paraId="26582CCD" w14:textId="059AF2B6" w:rsidR="00281531" w:rsidRPr="0036629B" w:rsidRDefault="00281531" w:rsidP="0033094E">
            <w:pPr>
              <w:spacing w:before="30" w:after="30" w:line="276" w:lineRule="auto"/>
              <w:rPr>
                <w:rFonts w:asciiTheme="majorBidi" w:hAnsiTheme="majorBidi" w:cstheme="majorBidi"/>
                <w:sz w:val="22"/>
              </w:rPr>
            </w:pPr>
            <w:r w:rsidRPr="0036629B">
              <w:rPr>
                <w:rFonts w:asciiTheme="majorBidi" w:hAnsiTheme="majorBidi" w:cstheme="majorBidi"/>
                <w:sz w:val="22"/>
              </w:rPr>
              <w:t>Supervision of Target’s self-regulatory system</w:t>
            </w:r>
          </w:p>
        </w:tc>
        <w:tc>
          <w:tcPr>
            <w:tcW w:w="2121" w:type="dxa"/>
            <w:vAlign w:val="center"/>
          </w:tcPr>
          <w:p w14:paraId="1FBB79A2" w14:textId="77777777" w:rsidR="00281531" w:rsidRPr="0036629B" w:rsidRDefault="00281531" w:rsidP="0033094E">
            <w:pPr>
              <w:spacing w:before="30" w:after="30" w:line="276" w:lineRule="auto"/>
              <w:rPr>
                <w:rFonts w:asciiTheme="majorBidi" w:hAnsiTheme="majorBidi" w:cstheme="majorBidi"/>
                <w:sz w:val="22"/>
              </w:rPr>
            </w:pPr>
          </w:p>
        </w:tc>
      </w:tr>
      <w:tr w:rsidR="003902C2" w:rsidRPr="0036629B" w14:paraId="087BE2D7" w14:textId="77777777" w:rsidTr="00094FA3">
        <w:trPr>
          <w:jc w:val="center"/>
        </w:trPr>
        <w:tc>
          <w:tcPr>
            <w:tcW w:w="2495" w:type="dxa"/>
            <w:vAlign w:val="center"/>
          </w:tcPr>
          <w:p w14:paraId="4CAD1C59"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Hierarchical</w:t>
            </w:r>
          </w:p>
        </w:tc>
        <w:tc>
          <w:tcPr>
            <w:tcW w:w="3247" w:type="dxa"/>
            <w:vAlign w:val="center"/>
          </w:tcPr>
          <w:p w14:paraId="28256BD5"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public authority + target</w:t>
            </w:r>
          </w:p>
        </w:tc>
        <w:tc>
          <w:tcPr>
            <w:tcW w:w="2121" w:type="dxa"/>
            <w:vAlign w:val="center"/>
          </w:tcPr>
          <w:p w14:paraId="3EA69AA1"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direct authoritative relation</w:t>
            </w:r>
          </w:p>
        </w:tc>
        <w:tc>
          <w:tcPr>
            <w:tcW w:w="2121" w:type="dxa"/>
            <w:vAlign w:val="center"/>
          </w:tcPr>
          <w:p w14:paraId="1886DA92"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R -&gt; T</w:t>
            </w:r>
          </w:p>
        </w:tc>
      </w:tr>
      <w:tr w:rsidR="003902C2" w:rsidRPr="0036629B" w14:paraId="767277D7" w14:textId="77777777" w:rsidTr="00094FA3">
        <w:trPr>
          <w:jc w:val="center"/>
        </w:trPr>
        <w:tc>
          <w:tcPr>
            <w:tcW w:w="2495" w:type="dxa"/>
            <w:vAlign w:val="center"/>
          </w:tcPr>
          <w:p w14:paraId="13BA16BE"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Delegated</w:t>
            </w:r>
          </w:p>
        </w:tc>
        <w:tc>
          <w:tcPr>
            <w:tcW w:w="3247" w:type="dxa"/>
            <w:vAlign w:val="center"/>
          </w:tcPr>
          <w:p w14:paraId="6507392F"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principal + agent + target</w:t>
            </w:r>
          </w:p>
        </w:tc>
        <w:tc>
          <w:tcPr>
            <w:tcW w:w="2121" w:type="dxa"/>
            <w:vAlign w:val="center"/>
          </w:tcPr>
          <w:p w14:paraId="6129A8D3"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authority transferred under control</w:t>
            </w:r>
          </w:p>
        </w:tc>
        <w:tc>
          <w:tcPr>
            <w:tcW w:w="2121" w:type="dxa"/>
            <w:vAlign w:val="center"/>
          </w:tcPr>
          <w:p w14:paraId="163E7DF2"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P -&gt; A -&gt; T</w:t>
            </w:r>
          </w:p>
        </w:tc>
      </w:tr>
      <w:tr w:rsidR="003902C2" w:rsidRPr="0036629B" w14:paraId="4747F7D2" w14:textId="77777777" w:rsidTr="00094FA3">
        <w:trPr>
          <w:jc w:val="center"/>
        </w:trPr>
        <w:tc>
          <w:tcPr>
            <w:tcW w:w="2495" w:type="dxa"/>
            <w:vAlign w:val="center"/>
          </w:tcPr>
          <w:p w14:paraId="4ED04DA8"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Accreditation/assurance chain</w:t>
            </w:r>
          </w:p>
        </w:tc>
        <w:tc>
          <w:tcPr>
            <w:tcW w:w="3247" w:type="dxa"/>
            <w:vAlign w:val="center"/>
          </w:tcPr>
          <w:p w14:paraId="284001AC"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regulator + accreditor + verifier + target</w:t>
            </w:r>
          </w:p>
        </w:tc>
        <w:tc>
          <w:tcPr>
            <w:tcW w:w="2121" w:type="dxa"/>
            <w:vAlign w:val="center"/>
          </w:tcPr>
          <w:p w14:paraId="3A8CDC95"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governance of verifier plus verification of target</w:t>
            </w:r>
          </w:p>
        </w:tc>
        <w:tc>
          <w:tcPr>
            <w:tcW w:w="2121" w:type="dxa"/>
            <w:vAlign w:val="center"/>
          </w:tcPr>
          <w:p w14:paraId="48F70357"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R -&gt; A -&gt; V -&gt; T</w:t>
            </w:r>
          </w:p>
        </w:tc>
      </w:tr>
      <w:tr w:rsidR="003902C2" w:rsidRPr="0036629B" w14:paraId="7C6E42B0" w14:textId="77777777" w:rsidTr="00094FA3">
        <w:trPr>
          <w:jc w:val="center"/>
        </w:trPr>
        <w:tc>
          <w:tcPr>
            <w:tcW w:w="2495" w:type="dxa"/>
            <w:vAlign w:val="center"/>
          </w:tcPr>
          <w:p w14:paraId="2EFB1D9D"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Networked</w:t>
            </w:r>
          </w:p>
        </w:tc>
        <w:tc>
          <w:tcPr>
            <w:tcW w:w="3247" w:type="dxa"/>
            <w:vAlign w:val="center"/>
          </w:tcPr>
          <w:p w14:paraId="72ABE035"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multiple public/private actors</w:t>
            </w:r>
          </w:p>
        </w:tc>
        <w:tc>
          <w:tcPr>
            <w:tcW w:w="2121" w:type="dxa"/>
            <w:vAlign w:val="center"/>
          </w:tcPr>
          <w:p w14:paraId="46C538BB"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coordination among interdependent actors</w:t>
            </w:r>
          </w:p>
        </w:tc>
        <w:tc>
          <w:tcPr>
            <w:tcW w:w="2121" w:type="dxa"/>
            <w:vAlign w:val="center"/>
          </w:tcPr>
          <w:p w14:paraId="171E31EE"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many-to-many</w:t>
            </w:r>
          </w:p>
        </w:tc>
      </w:tr>
      <w:tr w:rsidR="003902C2" w:rsidRPr="0036629B" w14:paraId="3FEF1EBD" w14:textId="77777777" w:rsidTr="00094FA3">
        <w:trPr>
          <w:jc w:val="center"/>
        </w:trPr>
        <w:tc>
          <w:tcPr>
            <w:tcW w:w="2495" w:type="dxa"/>
            <w:vAlign w:val="center"/>
          </w:tcPr>
          <w:p w14:paraId="2D0141DD"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Polycentric</w:t>
            </w:r>
          </w:p>
        </w:tc>
        <w:tc>
          <w:tcPr>
            <w:tcW w:w="3247" w:type="dxa"/>
            <w:vAlign w:val="center"/>
          </w:tcPr>
          <w:p w14:paraId="244892BA"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multiple decision centres</w:t>
            </w:r>
          </w:p>
        </w:tc>
        <w:tc>
          <w:tcPr>
            <w:tcW w:w="2121" w:type="dxa"/>
            <w:vAlign w:val="center"/>
          </w:tcPr>
          <w:p w14:paraId="0F31C270"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overlapping, partly autonomous authority</w:t>
            </w:r>
          </w:p>
        </w:tc>
        <w:tc>
          <w:tcPr>
            <w:tcW w:w="2121" w:type="dxa"/>
            <w:vAlign w:val="center"/>
          </w:tcPr>
          <w:p w14:paraId="02FD0680"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interdependent centres</w:t>
            </w:r>
          </w:p>
        </w:tc>
      </w:tr>
      <w:tr w:rsidR="003902C2" w:rsidRPr="0036629B" w14:paraId="1E8B0245" w14:textId="77777777" w:rsidTr="00094FA3">
        <w:trPr>
          <w:jc w:val="center"/>
        </w:trPr>
        <w:tc>
          <w:tcPr>
            <w:tcW w:w="2495" w:type="dxa"/>
            <w:vAlign w:val="center"/>
          </w:tcPr>
          <w:p w14:paraId="537B0204" w14:textId="77777777" w:rsidR="003902C2" w:rsidRPr="0036629B" w:rsidRDefault="00BB24A5" w:rsidP="0033094E">
            <w:pPr>
              <w:spacing w:before="30" w:after="30" w:line="276" w:lineRule="auto"/>
              <w:rPr>
                <w:rFonts w:asciiTheme="majorBidi" w:hAnsiTheme="majorBidi" w:cstheme="majorBidi"/>
                <w:b/>
                <w:bCs/>
                <w:sz w:val="22"/>
              </w:rPr>
            </w:pPr>
            <w:r w:rsidRPr="0036629B">
              <w:rPr>
                <w:rFonts w:asciiTheme="majorBidi" w:hAnsiTheme="majorBidi" w:cstheme="majorBidi"/>
                <w:b/>
                <w:bCs/>
                <w:sz w:val="22"/>
              </w:rPr>
              <w:t>Multi-level</w:t>
            </w:r>
          </w:p>
        </w:tc>
        <w:tc>
          <w:tcPr>
            <w:tcW w:w="3247" w:type="dxa"/>
            <w:vAlign w:val="center"/>
          </w:tcPr>
          <w:p w14:paraId="31093DA1"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supranational/national/subnational actors</w:t>
            </w:r>
          </w:p>
        </w:tc>
        <w:tc>
          <w:tcPr>
            <w:tcW w:w="2121" w:type="dxa"/>
            <w:vAlign w:val="center"/>
          </w:tcPr>
          <w:p w14:paraId="4A8E0BB9"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authority distributed vertically and horizontally</w:t>
            </w:r>
          </w:p>
        </w:tc>
        <w:tc>
          <w:tcPr>
            <w:tcW w:w="2121" w:type="dxa"/>
            <w:vAlign w:val="center"/>
          </w:tcPr>
          <w:p w14:paraId="4664A7ED" w14:textId="77777777" w:rsidR="003902C2" w:rsidRPr="0036629B" w:rsidRDefault="00BB24A5" w:rsidP="0033094E">
            <w:pPr>
              <w:spacing w:before="30" w:after="30" w:line="276" w:lineRule="auto"/>
              <w:rPr>
                <w:rFonts w:asciiTheme="majorBidi" w:hAnsiTheme="majorBidi" w:cstheme="majorBidi"/>
                <w:sz w:val="22"/>
              </w:rPr>
            </w:pPr>
            <w:r w:rsidRPr="0036629B">
              <w:rPr>
                <w:rFonts w:asciiTheme="majorBidi" w:hAnsiTheme="majorBidi" w:cstheme="majorBidi"/>
                <w:sz w:val="22"/>
              </w:rPr>
              <w:t>L1 &lt;-&gt; L2 &lt;-&gt; L3</w:t>
            </w:r>
          </w:p>
        </w:tc>
      </w:tr>
    </w:tbl>
    <w:p w14:paraId="4033B8F2" w14:textId="77777777" w:rsidR="00BB24A5" w:rsidRPr="0036629B" w:rsidRDefault="00BB24A5">
      <w:pPr>
        <w:rPr>
          <w:rFonts w:asciiTheme="majorBidi" w:hAnsiTheme="majorBidi" w:cstheme="majorBidi"/>
          <w:sz w:val="24"/>
          <w:szCs w:val="24"/>
        </w:rPr>
      </w:pPr>
    </w:p>
    <w:p w14:paraId="0628063F" w14:textId="4966B7AD" w:rsidR="003902C2" w:rsidRPr="00A71381" w:rsidRDefault="00A71381">
      <w:pPr>
        <w:pStyle w:val="Heading1"/>
        <w:rPr>
          <w:rFonts w:asciiTheme="majorBidi" w:hAnsiTheme="majorBidi"/>
          <w:color w:val="auto"/>
          <w:sz w:val="24"/>
          <w:szCs w:val="24"/>
        </w:rPr>
      </w:pPr>
      <w:r w:rsidRPr="00A71381">
        <w:rPr>
          <w:rFonts w:asciiTheme="majorBidi" w:hAnsiTheme="majorBidi"/>
          <w:color w:val="auto"/>
          <w:sz w:val="24"/>
          <w:szCs w:val="24"/>
        </w:rPr>
        <w:t>3.</w:t>
      </w:r>
      <w:r w:rsidR="00094FA3">
        <w:rPr>
          <w:rFonts w:asciiTheme="majorBidi" w:hAnsiTheme="majorBidi"/>
          <w:color w:val="auto"/>
          <w:sz w:val="24"/>
          <w:szCs w:val="24"/>
        </w:rPr>
        <w:t>8</w:t>
      </w:r>
      <w:r w:rsidR="00BB24A5" w:rsidRPr="00A71381">
        <w:rPr>
          <w:rFonts w:asciiTheme="majorBidi" w:hAnsiTheme="majorBidi"/>
          <w:color w:val="auto"/>
          <w:sz w:val="24"/>
          <w:szCs w:val="24"/>
        </w:rPr>
        <w:t xml:space="preserve"> Governance Logics</w:t>
      </w:r>
    </w:p>
    <w:p w14:paraId="07FC7E3A" w14:textId="38CCB452" w:rsidR="00FC6A57" w:rsidRDefault="00BB24A5" w:rsidP="0036629B">
      <w:pPr>
        <w:rPr>
          <w:rFonts w:asciiTheme="majorBidi" w:hAnsiTheme="majorBidi"/>
          <w:sz w:val="24"/>
          <w:szCs w:val="24"/>
        </w:rPr>
      </w:pPr>
      <w:r w:rsidRPr="00BB24A5">
        <w:rPr>
          <w:rFonts w:asciiTheme="majorBidi" w:hAnsiTheme="majorBidi" w:cstheme="majorBidi"/>
          <w:sz w:val="24"/>
          <w:szCs w:val="24"/>
        </w:rPr>
        <w:t xml:space="preserve">Governance logic refers to the broader organizing principle through which authority, responsibility and coordination are structured. A hierarchical logic privileges authoritative control; a market logic relies upon competition and exchange; an associational logic relies upon collective self-organization; a professional logic privileges expertise and peer authority; a network logic relies upon interdependence and coordination; and an experimentalist logic privileges adaptation, comparison and recursive learning. Actual laws commonly combine several logics, so the empirical task is to examine </w:t>
      </w:r>
    </w:p>
    <w:p w14:paraId="3AC9BC35" w14:textId="56FCF90E" w:rsidR="00A71381" w:rsidRDefault="00A71381" w:rsidP="00BB24A5">
      <w:pPr>
        <w:jc w:val="both"/>
        <w:rPr>
          <w:rFonts w:asciiTheme="majorBidi" w:hAnsiTheme="majorBidi" w:cstheme="majorBidi"/>
          <w:sz w:val="24"/>
          <w:szCs w:val="24"/>
        </w:rPr>
      </w:pPr>
    </w:p>
    <w:p w14:paraId="41EB7C75" w14:textId="02125D57" w:rsidR="00B746D2" w:rsidRDefault="00B746D2" w:rsidP="00BB24A5">
      <w:pPr>
        <w:jc w:val="both"/>
        <w:rPr>
          <w:rFonts w:asciiTheme="majorBidi" w:hAnsiTheme="majorBidi" w:cstheme="majorBidi"/>
          <w:sz w:val="24"/>
          <w:szCs w:val="24"/>
        </w:rPr>
      </w:pPr>
    </w:p>
    <w:p w14:paraId="15994C14" w14:textId="77777777" w:rsidR="00B746D2" w:rsidRPr="00CE2774" w:rsidRDefault="00B746D2" w:rsidP="00B746D2">
      <w:pPr>
        <w:rPr>
          <w:rFonts w:asciiTheme="majorBidi" w:hAnsiTheme="majorBidi" w:cstheme="majorBidi"/>
          <w:b/>
          <w:bCs/>
          <w:sz w:val="24"/>
          <w:szCs w:val="24"/>
        </w:rPr>
      </w:pPr>
      <w:r w:rsidRPr="00CE2774">
        <w:rPr>
          <w:rFonts w:asciiTheme="majorBidi" w:hAnsiTheme="majorBidi" w:cstheme="majorBidi"/>
          <w:b/>
          <w:bCs/>
          <w:sz w:val="24"/>
          <w:szCs w:val="24"/>
        </w:rPr>
        <w:t>4. A Methodology of Relational Leximetrics</w:t>
      </w:r>
    </w:p>
    <w:p w14:paraId="35086539" w14:textId="77777777" w:rsidR="00B746D2" w:rsidRDefault="00B746D2" w:rsidP="00B746D2">
      <w:pPr>
        <w:rPr>
          <w:rFonts w:asciiTheme="majorBidi" w:hAnsiTheme="majorBidi" w:cstheme="majorBidi"/>
          <w:sz w:val="24"/>
          <w:szCs w:val="24"/>
        </w:rPr>
      </w:pPr>
    </w:p>
    <w:p w14:paraId="1E1FF9E6" w14:textId="77777777" w:rsidR="00B746D2" w:rsidRDefault="00B746D2" w:rsidP="00B746D2">
      <w:pPr>
        <w:rPr>
          <w:rFonts w:asciiTheme="majorBidi" w:hAnsiTheme="majorBidi" w:cstheme="majorBidi"/>
          <w:sz w:val="24"/>
          <w:szCs w:val="24"/>
        </w:rPr>
      </w:pPr>
      <w:r w:rsidRPr="00CE2774">
        <w:rPr>
          <w:rFonts w:asciiTheme="majorBidi" w:hAnsiTheme="majorBidi" w:cstheme="majorBidi"/>
          <w:sz w:val="24"/>
          <w:szCs w:val="24"/>
        </w:rPr>
        <w:t xml:space="preserve">The conceptual framework developed above requires a methodology capable of translating legal texts into systematic and comparable observations of governance. Existing approaches to quantitative legal analysis operate at different levels of granularity. Document-level projects code properties of whole statutes, constitutions or legal regimes; provision-level approaches preserve variation among articles and sub-articles; and institutional-grammar approaches decompose individual statements into actors, actions, deontic operators, conditions and consequences (Crawford and Ostrom 1995; Frantz and </w:t>
      </w:r>
      <w:proofErr w:type="spellStart"/>
      <w:r w:rsidRPr="00CE2774">
        <w:rPr>
          <w:rFonts w:asciiTheme="majorBidi" w:hAnsiTheme="majorBidi" w:cstheme="majorBidi"/>
          <w:sz w:val="24"/>
          <w:szCs w:val="24"/>
        </w:rPr>
        <w:t>Siddiki</w:t>
      </w:r>
      <w:proofErr w:type="spellEnd"/>
      <w:r w:rsidRPr="00CE2774">
        <w:rPr>
          <w:rFonts w:asciiTheme="majorBidi" w:hAnsiTheme="majorBidi" w:cstheme="majorBidi"/>
          <w:sz w:val="24"/>
          <w:szCs w:val="24"/>
        </w:rPr>
        <w:t xml:space="preserve"> 2021, 2022). Recent provision-level work demonstrates the particular value of moving below the legal act. </w:t>
      </w:r>
      <w:proofErr w:type="spellStart"/>
      <w:r w:rsidRPr="00CE2774">
        <w:rPr>
          <w:rFonts w:asciiTheme="majorBidi" w:hAnsiTheme="majorBidi" w:cstheme="majorBidi"/>
          <w:sz w:val="24"/>
          <w:szCs w:val="24"/>
        </w:rPr>
        <w:t>Seidl</w:t>
      </w:r>
      <w:proofErr w:type="spellEnd"/>
      <w:r w:rsidRPr="00CE2774">
        <w:rPr>
          <w:rFonts w:asciiTheme="majorBidi" w:hAnsiTheme="majorBidi" w:cstheme="majorBidi"/>
          <w:sz w:val="24"/>
          <w:szCs w:val="24"/>
        </w:rPr>
        <w:t xml:space="preserve"> and </w:t>
      </w:r>
      <w:proofErr w:type="spellStart"/>
      <w:r w:rsidRPr="00CE2774">
        <w:rPr>
          <w:rFonts w:asciiTheme="majorBidi" w:hAnsiTheme="majorBidi" w:cstheme="majorBidi"/>
          <w:sz w:val="24"/>
          <w:szCs w:val="24"/>
        </w:rPr>
        <w:t>Kosti</w:t>
      </w:r>
      <w:proofErr w:type="spellEnd"/>
      <w:r w:rsidRPr="00CE2774">
        <w:rPr>
          <w:rFonts w:asciiTheme="majorBidi" w:hAnsiTheme="majorBidi" w:cstheme="majorBidi"/>
          <w:sz w:val="24"/>
          <w:szCs w:val="24"/>
        </w:rPr>
        <w:t xml:space="preserve"> (2026), for example, decompose EU legislation into recitals and operative provisions and classify them by substantive content, deontic character and regulated actor. These approaches demonstrate that no single level exhausts the information contained in law: statutes provide </w:t>
      </w:r>
      <w:r w:rsidRPr="00CE2774">
        <w:rPr>
          <w:rFonts w:asciiTheme="majorBidi" w:hAnsiTheme="majorBidi" w:cstheme="majorBidi"/>
          <w:sz w:val="24"/>
          <w:szCs w:val="24"/>
        </w:rPr>
        <w:lastRenderedPageBreak/>
        <w:t>institutional context, provisions locate legal authority and obligations, and sentences or institutional statements reveal elementary components of legal direction.</w:t>
      </w:r>
    </w:p>
    <w:p w14:paraId="4BC2BD41" w14:textId="77777777" w:rsidR="00B746D2" w:rsidRPr="00CE2774" w:rsidRDefault="00B746D2" w:rsidP="00B746D2">
      <w:pPr>
        <w:rPr>
          <w:rFonts w:asciiTheme="majorBidi" w:hAnsiTheme="majorBidi" w:cstheme="majorBidi"/>
          <w:sz w:val="24"/>
          <w:szCs w:val="24"/>
        </w:rPr>
      </w:pPr>
      <w:r w:rsidRPr="00CE2774">
        <w:rPr>
          <w:rFonts w:asciiTheme="majorBidi" w:hAnsiTheme="majorBidi" w:cstheme="majorBidi"/>
          <w:sz w:val="24"/>
          <w:szCs w:val="24"/>
        </w:rPr>
        <w:t xml:space="preserve"> </w:t>
      </w:r>
    </w:p>
    <w:p w14:paraId="08E33225" w14:textId="77777777" w:rsidR="00B746D2" w:rsidRPr="00CE2774" w:rsidRDefault="00B746D2" w:rsidP="00B746D2">
      <w:pPr>
        <w:rPr>
          <w:rFonts w:asciiTheme="majorBidi" w:hAnsiTheme="majorBidi" w:cstheme="majorBidi"/>
          <w:sz w:val="24"/>
          <w:szCs w:val="24"/>
        </w:rPr>
      </w:pPr>
      <w:r w:rsidRPr="00CE2774">
        <w:rPr>
          <w:rFonts w:asciiTheme="majorBidi" w:hAnsiTheme="majorBidi" w:cstheme="majorBidi"/>
          <w:sz w:val="24"/>
          <w:szCs w:val="24"/>
        </w:rPr>
        <w:t xml:space="preserve">For the study of governance architecture, however, granularity alone is insufficient. The central methodological problem is </w:t>
      </w:r>
      <w:r w:rsidRPr="00CE2774">
        <w:rPr>
          <w:rStyle w:val="Strong"/>
          <w:rFonts w:asciiTheme="majorBidi" w:hAnsiTheme="majorBidi" w:cstheme="majorBidi"/>
          <w:b w:val="0"/>
          <w:bCs w:val="0"/>
          <w:sz w:val="24"/>
          <w:szCs w:val="24"/>
        </w:rPr>
        <w:t>relational</w:t>
      </w:r>
      <w:r w:rsidRPr="00CE2774">
        <w:rPr>
          <w:rFonts w:asciiTheme="majorBidi" w:hAnsiTheme="majorBidi" w:cstheme="majorBidi"/>
          <w:sz w:val="24"/>
          <w:szCs w:val="24"/>
        </w:rPr>
        <w:t xml:space="preserve">. Knowing that a provision mentions a regulator, imposes an obligation or requires verification does not by itself reveal the governance arrangement that the provision constructs. What is required is an observation capable of recording who acts, toward whom, performing what governance function, through which mechanism, with what authority, and subject to what controls. We therefore propose </w:t>
      </w:r>
      <w:r w:rsidRPr="00CE2774">
        <w:rPr>
          <w:rStyle w:val="Strong"/>
          <w:rFonts w:asciiTheme="majorBidi" w:hAnsiTheme="majorBidi" w:cstheme="majorBidi"/>
          <w:b w:val="0"/>
          <w:bCs w:val="0"/>
          <w:sz w:val="24"/>
          <w:szCs w:val="24"/>
        </w:rPr>
        <w:t>relational leximetrics</w:t>
      </w:r>
      <w:r w:rsidRPr="00CE2774">
        <w:rPr>
          <w:rFonts w:asciiTheme="majorBidi" w:hAnsiTheme="majorBidi" w:cstheme="majorBidi"/>
          <w:sz w:val="24"/>
          <w:szCs w:val="24"/>
        </w:rPr>
        <w:t xml:space="preserve"> as the systematic transformation of legal texts into comparable data on legally constituted governance relationships. Whereas conventional </w:t>
      </w:r>
      <w:proofErr w:type="spellStart"/>
      <w:r w:rsidRPr="00CE2774">
        <w:rPr>
          <w:rFonts w:asciiTheme="majorBidi" w:hAnsiTheme="majorBidi" w:cstheme="majorBidi"/>
          <w:sz w:val="24"/>
          <w:szCs w:val="24"/>
        </w:rPr>
        <w:t>leximetric</w:t>
      </w:r>
      <w:proofErr w:type="spellEnd"/>
      <w:r w:rsidRPr="00CE2774">
        <w:rPr>
          <w:rFonts w:asciiTheme="majorBidi" w:hAnsiTheme="majorBidi" w:cstheme="majorBidi"/>
          <w:sz w:val="24"/>
          <w:szCs w:val="24"/>
        </w:rPr>
        <w:t xml:space="preserve"> approaches commonly measure attributes of laws, rules or institutions, relational leximetrics treats the legally constituted connection between actors as a central empirical object. The objective is not merely to count regulatory provisions or classify their substantive content but to reconstruct the system through which law organizes governing.</w:t>
      </w:r>
    </w:p>
    <w:p w14:paraId="0F076C84" w14:textId="77777777" w:rsidR="00B746D2" w:rsidRDefault="00B746D2" w:rsidP="00B746D2">
      <w:pPr>
        <w:rPr>
          <w:rFonts w:asciiTheme="majorBidi" w:hAnsiTheme="majorBidi" w:cstheme="majorBidi"/>
          <w:sz w:val="24"/>
          <w:szCs w:val="24"/>
        </w:rPr>
      </w:pPr>
    </w:p>
    <w:p w14:paraId="2ADACAD6" w14:textId="77777777" w:rsidR="00B746D2" w:rsidRPr="00CE2774" w:rsidRDefault="00B746D2" w:rsidP="00B746D2">
      <w:pPr>
        <w:rPr>
          <w:rFonts w:asciiTheme="majorBidi" w:hAnsiTheme="majorBidi" w:cstheme="majorBidi"/>
          <w:b/>
          <w:bCs/>
          <w:sz w:val="24"/>
          <w:szCs w:val="24"/>
        </w:rPr>
      </w:pPr>
      <w:r w:rsidRPr="00CE2774">
        <w:rPr>
          <w:rFonts w:asciiTheme="majorBidi" w:hAnsiTheme="majorBidi" w:cstheme="majorBidi"/>
          <w:b/>
          <w:bCs/>
          <w:sz w:val="24"/>
          <w:szCs w:val="24"/>
        </w:rPr>
        <w:t>4.1 Unit of observation</w:t>
      </w:r>
    </w:p>
    <w:p w14:paraId="26A44724" w14:textId="77777777" w:rsidR="00B746D2" w:rsidRPr="00CE2774" w:rsidRDefault="00B746D2" w:rsidP="00B746D2">
      <w:pPr>
        <w:rPr>
          <w:rFonts w:asciiTheme="majorBidi" w:hAnsiTheme="majorBidi" w:cstheme="majorBidi"/>
          <w:sz w:val="24"/>
          <w:szCs w:val="24"/>
        </w:rPr>
      </w:pPr>
      <w:r w:rsidRPr="00CE2774">
        <w:rPr>
          <w:rFonts w:asciiTheme="majorBidi" w:hAnsiTheme="majorBidi" w:cstheme="majorBidi"/>
          <w:sz w:val="24"/>
          <w:szCs w:val="24"/>
        </w:rPr>
        <w:t>The proposed baseline observation is:</w:t>
      </w:r>
    </w:p>
    <w:p w14:paraId="0749E9ED" w14:textId="77777777" w:rsidR="00B746D2" w:rsidRPr="00CE2774" w:rsidRDefault="00B746D2" w:rsidP="00B746D2">
      <w:pPr>
        <w:rPr>
          <w:rFonts w:asciiTheme="majorBidi" w:hAnsiTheme="majorBidi" w:cstheme="majorBidi"/>
          <w:sz w:val="24"/>
          <w:szCs w:val="24"/>
        </w:rPr>
      </w:pPr>
      <w:r w:rsidRPr="00CE2774">
        <w:rPr>
          <w:rStyle w:val="Strong"/>
          <w:rFonts w:asciiTheme="majorBidi" w:hAnsiTheme="majorBidi" w:cstheme="majorBidi"/>
          <w:sz w:val="24"/>
          <w:szCs w:val="24"/>
        </w:rPr>
        <w:t>Law × Provision × Object × Actor A × Function × Mechanism × Relationship × Actor B</w:t>
      </w:r>
    </w:p>
    <w:p w14:paraId="399FE544" w14:textId="77777777" w:rsidR="00B746D2" w:rsidRDefault="00B746D2" w:rsidP="00B746D2">
      <w:pPr>
        <w:rPr>
          <w:rFonts w:asciiTheme="majorBidi" w:hAnsiTheme="majorBidi" w:cstheme="majorBidi"/>
          <w:sz w:val="24"/>
          <w:szCs w:val="24"/>
        </w:rPr>
      </w:pPr>
      <w:r w:rsidRPr="00CE2774">
        <w:rPr>
          <w:rFonts w:asciiTheme="majorBidi" w:hAnsiTheme="majorBidi" w:cstheme="majorBidi"/>
          <w:sz w:val="24"/>
          <w:szCs w:val="24"/>
        </w:rPr>
        <w:t xml:space="preserve">Each observation remains anchored in an identifiable legal provision. </w:t>
      </w:r>
      <w:r w:rsidRPr="00CE2774">
        <w:rPr>
          <w:rStyle w:val="Strong"/>
          <w:rFonts w:asciiTheme="majorBidi" w:hAnsiTheme="majorBidi" w:cstheme="majorBidi"/>
          <w:sz w:val="24"/>
          <w:szCs w:val="24"/>
        </w:rPr>
        <w:t>Object</w:t>
      </w:r>
      <w:r w:rsidRPr="00CE2774">
        <w:rPr>
          <w:rFonts w:asciiTheme="majorBidi" w:hAnsiTheme="majorBidi" w:cstheme="majorBidi"/>
          <w:sz w:val="24"/>
          <w:szCs w:val="24"/>
        </w:rPr>
        <w:t xml:space="preserve"> records what is being governed; </w:t>
      </w:r>
      <w:r w:rsidRPr="00CE2774">
        <w:rPr>
          <w:rStyle w:val="Strong"/>
          <w:rFonts w:asciiTheme="majorBidi" w:hAnsiTheme="majorBidi" w:cstheme="majorBidi"/>
          <w:sz w:val="24"/>
          <w:szCs w:val="24"/>
        </w:rPr>
        <w:t>Actor A</w:t>
      </w:r>
      <w:r w:rsidRPr="00CE2774">
        <w:rPr>
          <w:rFonts w:asciiTheme="majorBidi" w:hAnsiTheme="majorBidi" w:cstheme="majorBidi"/>
          <w:sz w:val="24"/>
          <w:szCs w:val="24"/>
        </w:rPr>
        <w:t xml:space="preserve"> identifies the actor performing governance work; </w:t>
      </w:r>
      <w:r w:rsidRPr="00CE2774">
        <w:rPr>
          <w:rStyle w:val="Strong"/>
          <w:rFonts w:asciiTheme="majorBidi" w:hAnsiTheme="majorBidi" w:cstheme="majorBidi"/>
          <w:sz w:val="24"/>
          <w:szCs w:val="24"/>
        </w:rPr>
        <w:t>Function</w:t>
      </w:r>
      <w:r w:rsidRPr="00CE2774">
        <w:rPr>
          <w:rFonts w:asciiTheme="majorBidi" w:hAnsiTheme="majorBidi" w:cstheme="majorBidi"/>
          <w:sz w:val="24"/>
          <w:szCs w:val="24"/>
        </w:rPr>
        <w:t xml:space="preserve"> identifies what work is performed; </w:t>
      </w:r>
      <w:r w:rsidRPr="00CE2774">
        <w:rPr>
          <w:rStyle w:val="Strong"/>
          <w:rFonts w:asciiTheme="majorBidi" w:hAnsiTheme="majorBidi" w:cstheme="majorBidi"/>
          <w:sz w:val="24"/>
          <w:szCs w:val="24"/>
        </w:rPr>
        <w:t>Mechanism</w:t>
      </w:r>
      <w:r w:rsidRPr="00CE2774">
        <w:rPr>
          <w:rFonts w:asciiTheme="majorBidi" w:hAnsiTheme="majorBidi" w:cstheme="majorBidi"/>
          <w:sz w:val="24"/>
          <w:szCs w:val="24"/>
        </w:rPr>
        <w:t xml:space="preserve"> identifies how influence is exercised; </w:t>
      </w:r>
      <w:r w:rsidRPr="00CE2774">
        <w:rPr>
          <w:rStyle w:val="Strong"/>
          <w:rFonts w:asciiTheme="majorBidi" w:hAnsiTheme="majorBidi" w:cstheme="majorBidi"/>
          <w:sz w:val="24"/>
          <w:szCs w:val="24"/>
        </w:rPr>
        <w:t>Relationship</w:t>
      </w:r>
      <w:r w:rsidRPr="00CE2774">
        <w:rPr>
          <w:rFonts w:asciiTheme="majorBidi" w:hAnsiTheme="majorBidi" w:cstheme="majorBidi"/>
          <w:sz w:val="24"/>
          <w:szCs w:val="24"/>
        </w:rPr>
        <w:t xml:space="preserve"> characterizes the legally constituted connection; and </w:t>
      </w:r>
      <w:r w:rsidRPr="00CE2774">
        <w:rPr>
          <w:rStyle w:val="Strong"/>
          <w:rFonts w:asciiTheme="majorBidi" w:hAnsiTheme="majorBidi" w:cstheme="majorBidi"/>
          <w:sz w:val="24"/>
          <w:szCs w:val="24"/>
        </w:rPr>
        <w:t>Actor B</w:t>
      </w:r>
      <w:r w:rsidRPr="00CE2774">
        <w:rPr>
          <w:rFonts w:asciiTheme="majorBidi" w:hAnsiTheme="majorBidi" w:cstheme="majorBidi"/>
          <w:sz w:val="24"/>
          <w:szCs w:val="24"/>
        </w:rPr>
        <w:t xml:space="preserve"> identifies the counterpart toward whom the function or authority is directed. The relational observation can then be supplemented by attributes including the legal basis of authority, direction of the relationship, degree of discretion, information flows, accountability arrangements, sanctions and remedies. This extends existing legal coding by preserving not simply the presence of actors and obligations but their position within a legally constituted governance structure. The approach follows the paper's relational premise that actors do not possess fixed governance identities: the same organization may be a regulator in one relationship, a target in another, and an intermediary in a third.     The </w:t>
      </w:r>
      <w:r w:rsidRPr="00CE2774">
        <w:rPr>
          <w:rStyle w:val="Strong"/>
          <w:rFonts w:asciiTheme="majorBidi" w:hAnsiTheme="majorBidi" w:cstheme="majorBidi"/>
          <w:sz w:val="24"/>
          <w:szCs w:val="24"/>
        </w:rPr>
        <w:t>provision</w:t>
      </w:r>
      <w:r w:rsidRPr="00CE2774">
        <w:rPr>
          <w:rFonts w:asciiTheme="majorBidi" w:hAnsiTheme="majorBidi" w:cstheme="majorBidi"/>
          <w:sz w:val="24"/>
          <w:szCs w:val="24"/>
        </w:rPr>
        <w:t xml:space="preserve"> should ordinarily constitute the principal textual anchor, while the </w:t>
      </w:r>
      <w:r w:rsidRPr="00CE2774">
        <w:rPr>
          <w:rStyle w:val="Strong"/>
          <w:rFonts w:asciiTheme="majorBidi" w:hAnsiTheme="majorBidi" w:cstheme="majorBidi"/>
          <w:sz w:val="24"/>
          <w:szCs w:val="24"/>
        </w:rPr>
        <w:t>relationship</w:t>
      </w:r>
      <w:r w:rsidRPr="00CE2774">
        <w:rPr>
          <w:rFonts w:asciiTheme="majorBidi" w:hAnsiTheme="majorBidi" w:cstheme="majorBidi"/>
          <w:sz w:val="24"/>
          <w:szCs w:val="24"/>
        </w:rPr>
        <w:t xml:space="preserve"> constitutes the substantive unit of observation. A single provision may therefore generate several observations. If legislation requires an accreditation body to authorize verifiers, requires verifiers to assess firms, requires firms to report to a competent authority, and authorizes that authority to sanction non-compliance, these should be represented as distinct relationships rather than collapsed into a single characterization of the article. Conversely, a single relationship may be constituted through several provisions. The database should therefore preserve identifiers linking observations to sentences, paragraphs, articles and laws, permitting movement between levels without sacrificing traceability. This nested design combines the advantages of sentence-, provision-, and act-level coding identified in existing legal-data projects. </w:t>
      </w:r>
    </w:p>
    <w:p w14:paraId="462B3613" w14:textId="77777777" w:rsidR="00B746D2" w:rsidRPr="00CE2774" w:rsidRDefault="00B746D2" w:rsidP="00B746D2">
      <w:pPr>
        <w:rPr>
          <w:rFonts w:asciiTheme="majorBidi" w:hAnsiTheme="majorBidi" w:cstheme="majorBidi"/>
          <w:sz w:val="24"/>
          <w:szCs w:val="24"/>
        </w:rPr>
      </w:pPr>
    </w:p>
    <w:p w14:paraId="02C63E9D" w14:textId="77777777" w:rsidR="00B746D2" w:rsidRPr="00CE2774" w:rsidRDefault="00B746D2" w:rsidP="00B746D2">
      <w:pPr>
        <w:rPr>
          <w:rFonts w:asciiTheme="majorBidi" w:hAnsiTheme="majorBidi" w:cstheme="majorBidi"/>
          <w:b/>
          <w:bCs/>
          <w:sz w:val="24"/>
          <w:szCs w:val="24"/>
        </w:rPr>
      </w:pPr>
      <w:r w:rsidRPr="00CE2774">
        <w:rPr>
          <w:rFonts w:asciiTheme="majorBidi" w:hAnsiTheme="majorBidi" w:cstheme="majorBidi"/>
          <w:b/>
          <w:bCs/>
          <w:sz w:val="24"/>
          <w:szCs w:val="24"/>
        </w:rPr>
        <w:t>4.2 Direct coding and theoretical inference</w:t>
      </w:r>
    </w:p>
    <w:p w14:paraId="0A5CB9FF" w14:textId="77777777" w:rsidR="00B746D2" w:rsidRDefault="00B746D2" w:rsidP="00B746D2">
      <w:pPr>
        <w:rPr>
          <w:rFonts w:asciiTheme="majorBidi" w:hAnsiTheme="majorBidi" w:cstheme="majorBidi"/>
          <w:sz w:val="24"/>
          <w:szCs w:val="24"/>
        </w:rPr>
      </w:pPr>
    </w:p>
    <w:p w14:paraId="22581E84" w14:textId="77777777" w:rsidR="00B746D2" w:rsidRPr="00CE2774" w:rsidRDefault="00B746D2" w:rsidP="00B746D2">
      <w:pPr>
        <w:rPr>
          <w:rFonts w:asciiTheme="majorBidi" w:hAnsiTheme="majorBidi" w:cstheme="majorBidi"/>
          <w:sz w:val="24"/>
          <w:szCs w:val="24"/>
        </w:rPr>
      </w:pPr>
      <w:r w:rsidRPr="00CE2774">
        <w:rPr>
          <w:rFonts w:asciiTheme="majorBidi" w:hAnsiTheme="majorBidi" w:cstheme="majorBidi"/>
          <w:sz w:val="24"/>
          <w:szCs w:val="24"/>
        </w:rPr>
        <w:t xml:space="preserve">A central methodological principle is to distinguish </w:t>
      </w:r>
      <w:r w:rsidRPr="00CE2774">
        <w:rPr>
          <w:rStyle w:val="Strong"/>
          <w:rFonts w:asciiTheme="majorBidi" w:hAnsiTheme="majorBidi" w:cstheme="majorBidi"/>
          <w:sz w:val="24"/>
          <w:szCs w:val="24"/>
        </w:rPr>
        <w:t>directly observable variables from higher-order inferred constructs</w:t>
      </w:r>
      <w:r w:rsidRPr="00CE2774">
        <w:rPr>
          <w:rFonts w:asciiTheme="majorBidi" w:hAnsiTheme="majorBidi" w:cstheme="majorBidi"/>
          <w:sz w:val="24"/>
          <w:szCs w:val="24"/>
        </w:rPr>
        <w:t xml:space="preserve">. Objects, named actors, assigned functions, specified mechanisms and explicit </w:t>
      </w:r>
      <w:r w:rsidRPr="00CE2774">
        <w:rPr>
          <w:rFonts w:asciiTheme="majorBidi" w:hAnsiTheme="majorBidi" w:cstheme="majorBidi"/>
          <w:sz w:val="24"/>
          <w:szCs w:val="24"/>
        </w:rPr>
        <w:lastRenderedPageBreak/>
        <w:t>relationships can generally be anchored relatively closely in legal text. Strategies, architectures and governance logics require progressively greater aggregation and theoretical interpretation. They should therefore not ordinarily be assigned at the first stage of coding. Instead, the coding process should move upward from observable legal relations toward higher-order configurations.  The analytical sequence is:</w:t>
      </w:r>
    </w:p>
    <w:p w14:paraId="2997853D" w14:textId="77777777" w:rsidR="00B746D2" w:rsidRDefault="00B746D2" w:rsidP="00B746D2">
      <w:pPr>
        <w:rPr>
          <w:rStyle w:val="Strong"/>
          <w:rFonts w:asciiTheme="majorBidi" w:hAnsiTheme="majorBidi" w:cstheme="majorBidi"/>
          <w:sz w:val="24"/>
          <w:szCs w:val="24"/>
        </w:rPr>
      </w:pPr>
    </w:p>
    <w:p w14:paraId="34DF30D7" w14:textId="77777777" w:rsidR="00B746D2" w:rsidRPr="00CE2774" w:rsidRDefault="00B746D2" w:rsidP="00B746D2">
      <w:pPr>
        <w:rPr>
          <w:rFonts w:asciiTheme="majorBidi" w:hAnsiTheme="majorBidi" w:cstheme="majorBidi"/>
          <w:sz w:val="24"/>
          <w:szCs w:val="24"/>
        </w:rPr>
      </w:pPr>
      <w:r w:rsidRPr="00CE2774">
        <w:rPr>
          <w:rStyle w:val="Strong"/>
          <w:rFonts w:asciiTheme="majorBidi" w:hAnsiTheme="majorBidi" w:cstheme="majorBidi"/>
          <w:sz w:val="24"/>
          <w:szCs w:val="24"/>
        </w:rPr>
        <w:t>Legal text → Objects, Actors, Functions, Mechanisms and Relationships → Strategies → Architectures → Governance Logics.</w:t>
      </w:r>
    </w:p>
    <w:p w14:paraId="716188B9" w14:textId="77777777" w:rsidR="00B746D2" w:rsidRDefault="00B746D2" w:rsidP="00B746D2">
      <w:pPr>
        <w:rPr>
          <w:rFonts w:asciiTheme="majorBidi" w:hAnsiTheme="majorBidi" w:cstheme="majorBidi"/>
          <w:sz w:val="24"/>
          <w:szCs w:val="24"/>
        </w:rPr>
      </w:pPr>
    </w:p>
    <w:p w14:paraId="45C716E2" w14:textId="77777777" w:rsidR="00B746D2" w:rsidRPr="00CE2774" w:rsidRDefault="00B746D2" w:rsidP="00B746D2">
      <w:pPr>
        <w:rPr>
          <w:rFonts w:asciiTheme="majorBidi" w:hAnsiTheme="majorBidi" w:cstheme="majorBidi"/>
          <w:sz w:val="24"/>
          <w:szCs w:val="24"/>
        </w:rPr>
      </w:pPr>
      <w:r w:rsidRPr="00CE2774">
        <w:rPr>
          <w:rFonts w:asciiTheme="majorBidi" w:hAnsiTheme="majorBidi" w:cstheme="majorBidi"/>
          <w:sz w:val="24"/>
          <w:szCs w:val="24"/>
        </w:rPr>
        <w:t>This ordering has important implications for reliability and validity. A coder should record, for example, that a private verifier is authorized to assess a firm's conformity, that its authorization depends upon accreditation, and that a public authority supervises the arrangement. The coder should not initially need to decide whether the provision constitutes “enhanced self-regulation,” “polycentric governance,” or another theoretical category. Such classifications can subsequently be derived from explicit combinations of lower-level observations. This reduces the extent to which theoretical judgments are embedded in primary coding and permits competing classifications to be constructed and tested from the same underlying data. The distinction also follows established principles of measurement validity: abstract concepts should be connected to observable indicators through explicit and reproducible measurement procedures (Adcock and Collier 2001).</w:t>
      </w:r>
    </w:p>
    <w:p w14:paraId="01C5AD1A" w14:textId="77777777" w:rsidR="00B746D2" w:rsidRDefault="00B746D2" w:rsidP="00B746D2">
      <w:pPr>
        <w:rPr>
          <w:rFonts w:asciiTheme="majorBidi" w:hAnsiTheme="majorBidi" w:cstheme="majorBidi"/>
          <w:sz w:val="24"/>
          <w:szCs w:val="24"/>
        </w:rPr>
      </w:pPr>
    </w:p>
    <w:p w14:paraId="178E7F7C" w14:textId="77777777" w:rsidR="00B746D2" w:rsidRPr="00CE2774" w:rsidRDefault="00B746D2" w:rsidP="00B746D2">
      <w:pPr>
        <w:rPr>
          <w:rFonts w:asciiTheme="majorBidi" w:hAnsiTheme="majorBidi" w:cstheme="majorBidi"/>
          <w:b/>
          <w:bCs/>
          <w:sz w:val="24"/>
          <w:szCs w:val="24"/>
        </w:rPr>
      </w:pPr>
      <w:r w:rsidRPr="00CE2774">
        <w:rPr>
          <w:rFonts w:asciiTheme="majorBidi" w:hAnsiTheme="majorBidi" w:cstheme="majorBidi"/>
          <w:b/>
          <w:bCs/>
          <w:sz w:val="24"/>
          <w:szCs w:val="24"/>
        </w:rPr>
        <w:t>4.3 From relationships to strategies and architectures</w:t>
      </w:r>
    </w:p>
    <w:p w14:paraId="50BD8500" w14:textId="77777777" w:rsidR="00B746D2" w:rsidRDefault="00B746D2" w:rsidP="00B746D2">
      <w:pPr>
        <w:rPr>
          <w:rFonts w:asciiTheme="majorBidi" w:hAnsiTheme="majorBidi" w:cstheme="majorBidi"/>
          <w:sz w:val="24"/>
          <w:szCs w:val="24"/>
        </w:rPr>
      </w:pPr>
    </w:p>
    <w:p w14:paraId="11A43063" w14:textId="77777777" w:rsidR="00B746D2" w:rsidRPr="00CE2774" w:rsidRDefault="00B746D2" w:rsidP="00B746D2">
      <w:pPr>
        <w:rPr>
          <w:rFonts w:asciiTheme="majorBidi" w:hAnsiTheme="majorBidi" w:cstheme="majorBidi"/>
          <w:sz w:val="24"/>
          <w:szCs w:val="24"/>
        </w:rPr>
      </w:pPr>
      <w:r w:rsidRPr="00CE2774">
        <w:rPr>
          <w:rFonts w:asciiTheme="majorBidi" w:hAnsiTheme="majorBidi" w:cstheme="majorBidi"/>
          <w:sz w:val="24"/>
          <w:szCs w:val="24"/>
        </w:rPr>
        <w:t xml:space="preserve">Aggregation is therefore not merely a technical procedure but a central theoretical operation. Individual observations identify elementary governance relations; combinations of relations reveal how regulatory </w:t>
      </w:r>
      <w:proofErr w:type="spellStart"/>
      <w:r w:rsidRPr="00CE2774">
        <w:rPr>
          <w:rFonts w:asciiTheme="majorBidi" w:hAnsiTheme="majorBidi" w:cstheme="majorBidi"/>
          <w:sz w:val="24"/>
          <w:szCs w:val="24"/>
        </w:rPr>
        <w:t>labour</w:t>
      </w:r>
      <w:proofErr w:type="spellEnd"/>
      <w:r w:rsidRPr="00CE2774">
        <w:rPr>
          <w:rFonts w:asciiTheme="majorBidi" w:hAnsiTheme="majorBidi" w:cstheme="majorBidi"/>
          <w:sz w:val="24"/>
          <w:szCs w:val="24"/>
        </w:rPr>
        <w:t xml:space="preserve"> is distributed. Recurrent combinations of mechanisms and functions can be classified as </w:t>
      </w:r>
      <w:r w:rsidRPr="00CE2774">
        <w:rPr>
          <w:rStyle w:val="Strong"/>
          <w:rFonts w:asciiTheme="majorBidi" w:hAnsiTheme="majorBidi" w:cstheme="majorBidi"/>
          <w:sz w:val="24"/>
          <w:szCs w:val="24"/>
        </w:rPr>
        <w:t>regulatory strategies</w:t>
      </w:r>
      <w:r w:rsidRPr="00CE2774">
        <w:rPr>
          <w:rFonts w:asciiTheme="majorBidi" w:hAnsiTheme="majorBidi" w:cstheme="majorBidi"/>
          <w:sz w:val="24"/>
          <w:szCs w:val="24"/>
        </w:rPr>
        <w:t xml:space="preserve">, while configurations of actors and relationships constitute </w:t>
      </w:r>
      <w:r w:rsidRPr="00CE2774">
        <w:rPr>
          <w:rStyle w:val="Strong"/>
          <w:rFonts w:asciiTheme="majorBidi" w:hAnsiTheme="majorBidi" w:cstheme="majorBidi"/>
          <w:sz w:val="24"/>
          <w:szCs w:val="24"/>
        </w:rPr>
        <w:t>governance architectures</w:t>
      </w:r>
      <w:r w:rsidRPr="00CE2774">
        <w:rPr>
          <w:rFonts w:asciiTheme="majorBidi" w:hAnsiTheme="majorBidi" w:cstheme="majorBidi"/>
          <w:sz w:val="24"/>
          <w:szCs w:val="24"/>
        </w:rPr>
        <w:t xml:space="preserve">. A law in which public authorities directly formulate standards, inspect targets and impose sanctions will display a different architecture from one in which firms develop compliance systems, accredited organizations verify conformity, professional bodies interpret standards and public regulators supervise the overall arrangement. Both laws may pursue the same substantive objective and impose similar standards, yet they organize the production of compliance differently.   The aggregation rules should therefore be specified independently for each higher-order construct. An architecture should not be identified merely because a characteristic actor or mechanism appears somewhere in the law. Enhanced self-regulation, for example, should require evidence of both meaningful self-regulatory capacity and institutionalized external enhancement. Polycentric governance should require multiple partly autonomous </w:t>
      </w:r>
      <w:proofErr w:type="spellStart"/>
      <w:r w:rsidRPr="00CE2774">
        <w:rPr>
          <w:rFonts w:asciiTheme="majorBidi" w:hAnsiTheme="majorBidi" w:cstheme="majorBidi"/>
          <w:sz w:val="24"/>
          <w:szCs w:val="24"/>
        </w:rPr>
        <w:t>centres</w:t>
      </w:r>
      <w:proofErr w:type="spellEnd"/>
      <w:r w:rsidRPr="00CE2774">
        <w:rPr>
          <w:rFonts w:asciiTheme="majorBidi" w:hAnsiTheme="majorBidi" w:cstheme="majorBidi"/>
          <w:sz w:val="24"/>
          <w:szCs w:val="24"/>
        </w:rPr>
        <w:t xml:space="preserve"> possessing meaningful decision-making capacities and overlapping relationships, rather than merely multiple participating actors. Delegated governance should require a legally constituted transfer or authorization of governance capacity. Such rules make architectural classification transparent and allow alternative thresholds to be subjected to sensitivity analysis.</w:t>
      </w:r>
    </w:p>
    <w:p w14:paraId="62E10235" w14:textId="77777777" w:rsidR="00B746D2" w:rsidRDefault="00B746D2" w:rsidP="00B746D2">
      <w:pPr>
        <w:rPr>
          <w:rFonts w:asciiTheme="majorBidi" w:hAnsiTheme="majorBidi" w:cstheme="majorBidi"/>
          <w:sz w:val="24"/>
          <w:szCs w:val="24"/>
        </w:rPr>
      </w:pPr>
    </w:p>
    <w:p w14:paraId="6D1E8697" w14:textId="77777777" w:rsidR="00B746D2" w:rsidRPr="00CE2774" w:rsidRDefault="00B746D2" w:rsidP="00B746D2">
      <w:pPr>
        <w:rPr>
          <w:rFonts w:asciiTheme="majorBidi" w:hAnsiTheme="majorBidi" w:cstheme="majorBidi"/>
          <w:b/>
          <w:bCs/>
          <w:sz w:val="24"/>
          <w:szCs w:val="24"/>
        </w:rPr>
      </w:pPr>
      <w:r w:rsidRPr="00CE2774">
        <w:rPr>
          <w:rFonts w:asciiTheme="majorBidi" w:hAnsiTheme="majorBidi" w:cstheme="majorBidi"/>
          <w:b/>
          <w:bCs/>
          <w:sz w:val="24"/>
          <w:szCs w:val="24"/>
        </w:rPr>
        <w:t>4.4 Measuring regulatory intermediation</w:t>
      </w:r>
    </w:p>
    <w:p w14:paraId="471E38CE" w14:textId="77777777" w:rsidR="00B746D2" w:rsidRDefault="00B746D2" w:rsidP="00B746D2">
      <w:pPr>
        <w:rPr>
          <w:rFonts w:asciiTheme="majorBidi" w:hAnsiTheme="majorBidi" w:cstheme="majorBidi"/>
          <w:sz w:val="24"/>
          <w:szCs w:val="24"/>
        </w:rPr>
      </w:pPr>
    </w:p>
    <w:p w14:paraId="6D760AAE" w14:textId="77777777" w:rsidR="00B746D2" w:rsidRDefault="00B746D2" w:rsidP="00B746D2">
      <w:pPr>
        <w:rPr>
          <w:rFonts w:asciiTheme="majorBidi" w:hAnsiTheme="majorBidi" w:cstheme="majorBidi"/>
          <w:sz w:val="24"/>
          <w:szCs w:val="24"/>
        </w:rPr>
      </w:pPr>
      <w:r w:rsidRPr="00CE2774">
        <w:rPr>
          <w:rFonts w:asciiTheme="majorBidi" w:hAnsiTheme="majorBidi" w:cstheme="majorBidi"/>
          <w:sz w:val="24"/>
          <w:szCs w:val="24"/>
        </w:rPr>
        <w:lastRenderedPageBreak/>
        <w:t xml:space="preserve">The relational framework is particularly useful for measuring </w:t>
      </w:r>
      <w:r w:rsidRPr="00CE2774">
        <w:rPr>
          <w:rStyle w:val="Strong"/>
          <w:rFonts w:asciiTheme="majorBidi" w:hAnsiTheme="majorBidi" w:cstheme="majorBidi"/>
          <w:sz w:val="24"/>
          <w:szCs w:val="24"/>
        </w:rPr>
        <w:t>intermediation</w:t>
      </w:r>
      <w:r w:rsidRPr="00CE2774">
        <w:rPr>
          <w:rFonts w:asciiTheme="majorBidi" w:hAnsiTheme="majorBidi" w:cstheme="majorBidi"/>
          <w:sz w:val="24"/>
          <w:szCs w:val="24"/>
        </w:rPr>
        <w:t>. Existing work on regulatory intermediaries demonstrates that governance frequently operates through third parties positioned between rule-makers and regulatory targets (Abbott, Levi-Faur and Snidal 2017). Yet the simple presence or number of intermediaries is an inadequate measure of their importance. An actor mentioned once but granted decisive certification authority may be more consequential than numerous actors performing peripheral information functions. Intermediation should therefore be treated as multidimensional.</w:t>
      </w:r>
    </w:p>
    <w:p w14:paraId="648498DD" w14:textId="77777777" w:rsidR="00B746D2" w:rsidRPr="00CE2774" w:rsidRDefault="00B746D2" w:rsidP="00B746D2">
      <w:pPr>
        <w:rPr>
          <w:rFonts w:asciiTheme="majorBidi" w:hAnsiTheme="majorBidi" w:cstheme="majorBidi"/>
          <w:sz w:val="24"/>
          <w:szCs w:val="24"/>
        </w:rPr>
      </w:pPr>
    </w:p>
    <w:p w14:paraId="4DE9469A" w14:textId="77777777" w:rsidR="00B746D2" w:rsidRPr="00CE2774" w:rsidRDefault="00B746D2" w:rsidP="00B746D2">
      <w:pPr>
        <w:rPr>
          <w:rFonts w:asciiTheme="majorBidi" w:hAnsiTheme="majorBidi" w:cstheme="majorBidi"/>
          <w:sz w:val="24"/>
          <w:szCs w:val="24"/>
        </w:rPr>
      </w:pPr>
      <w:r w:rsidRPr="00CE2774">
        <w:rPr>
          <w:rFonts w:asciiTheme="majorBidi" w:hAnsiTheme="majorBidi" w:cstheme="majorBidi"/>
          <w:sz w:val="24"/>
          <w:szCs w:val="24"/>
        </w:rPr>
        <w:t xml:space="preserve">At least six dimensions can be distinguished: </w:t>
      </w:r>
      <w:r w:rsidRPr="00CE2774">
        <w:rPr>
          <w:rStyle w:val="Strong"/>
          <w:rFonts w:asciiTheme="majorBidi" w:hAnsiTheme="majorBidi" w:cstheme="majorBidi"/>
          <w:sz w:val="24"/>
          <w:szCs w:val="24"/>
        </w:rPr>
        <w:t>prevalence</w:t>
      </w:r>
      <w:r w:rsidRPr="00CE2774">
        <w:rPr>
          <w:rFonts w:asciiTheme="majorBidi" w:hAnsiTheme="majorBidi" w:cstheme="majorBidi"/>
          <w:sz w:val="24"/>
          <w:szCs w:val="24"/>
        </w:rPr>
        <w:t xml:space="preserve">, measured by the number or proportion of governance relationships involving intermediaries; </w:t>
      </w:r>
      <w:r w:rsidRPr="00CE2774">
        <w:rPr>
          <w:rStyle w:val="Strong"/>
          <w:rFonts w:asciiTheme="majorBidi" w:hAnsiTheme="majorBidi" w:cstheme="majorBidi"/>
          <w:sz w:val="24"/>
          <w:szCs w:val="24"/>
        </w:rPr>
        <w:t>functional breadth</w:t>
      </w:r>
      <w:r w:rsidRPr="00CE2774">
        <w:rPr>
          <w:rFonts w:asciiTheme="majorBidi" w:hAnsiTheme="majorBidi" w:cstheme="majorBidi"/>
          <w:sz w:val="24"/>
          <w:szCs w:val="24"/>
        </w:rPr>
        <w:t xml:space="preserve">, referring to the range of functions intermediaries perform; </w:t>
      </w:r>
      <w:r w:rsidRPr="00CE2774">
        <w:rPr>
          <w:rStyle w:val="Strong"/>
          <w:rFonts w:asciiTheme="majorBidi" w:hAnsiTheme="majorBidi" w:cstheme="majorBidi"/>
          <w:sz w:val="24"/>
          <w:szCs w:val="24"/>
        </w:rPr>
        <w:t>authority</w:t>
      </w:r>
      <w:r w:rsidRPr="00CE2774">
        <w:rPr>
          <w:rFonts w:asciiTheme="majorBidi" w:hAnsiTheme="majorBidi" w:cstheme="majorBidi"/>
          <w:sz w:val="24"/>
          <w:szCs w:val="24"/>
        </w:rPr>
        <w:t xml:space="preserve">, capturing the legal capacities attached to intermediary action; </w:t>
      </w:r>
      <w:r w:rsidRPr="00CE2774">
        <w:rPr>
          <w:rStyle w:val="Strong"/>
          <w:rFonts w:asciiTheme="majorBidi" w:hAnsiTheme="majorBidi" w:cstheme="majorBidi"/>
          <w:sz w:val="24"/>
          <w:szCs w:val="24"/>
        </w:rPr>
        <w:t>discretion</w:t>
      </w:r>
      <w:r w:rsidRPr="00CE2774">
        <w:rPr>
          <w:rFonts w:asciiTheme="majorBidi" w:hAnsiTheme="majorBidi" w:cstheme="majorBidi"/>
          <w:sz w:val="24"/>
          <w:szCs w:val="24"/>
        </w:rPr>
        <w:t xml:space="preserve">, capturing the scope for interpretation or choice; </w:t>
      </w:r>
      <w:r w:rsidRPr="00CE2774">
        <w:rPr>
          <w:rStyle w:val="Strong"/>
          <w:rFonts w:asciiTheme="majorBidi" w:hAnsiTheme="majorBidi" w:cstheme="majorBidi"/>
          <w:sz w:val="24"/>
          <w:szCs w:val="24"/>
        </w:rPr>
        <w:t>indispensability</w:t>
      </w:r>
      <w:r w:rsidRPr="00CE2774">
        <w:rPr>
          <w:rFonts w:asciiTheme="majorBidi" w:hAnsiTheme="majorBidi" w:cstheme="majorBidi"/>
          <w:sz w:val="24"/>
          <w:szCs w:val="24"/>
        </w:rPr>
        <w:t xml:space="preserve">, indicating whether the regulatory process can operate without the intermediary; and </w:t>
      </w:r>
      <w:r w:rsidRPr="00CE2774">
        <w:rPr>
          <w:rStyle w:val="Strong"/>
          <w:rFonts w:asciiTheme="majorBidi" w:hAnsiTheme="majorBidi" w:cstheme="majorBidi"/>
          <w:sz w:val="24"/>
          <w:szCs w:val="24"/>
        </w:rPr>
        <w:t>structural position</w:t>
      </w:r>
      <w:r w:rsidRPr="00CE2774">
        <w:rPr>
          <w:rFonts w:asciiTheme="majorBidi" w:hAnsiTheme="majorBidi" w:cstheme="majorBidi"/>
          <w:sz w:val="24"/>
          <w:szCs w:val="24"/>
        </w:rPr>
        <w:t xml:space="preserve">, capturing where the intermediary is situated within the overall relational architecture. These measures make it possible to distinguish laws that merely use intermediaries from laws in which governing is systematically organized through them. The framework thus permits intermediation to be </w:t>
      </w:r>
      <w:proofErr w:type="spellStart"/>
      <w:r w:rsidRPr="00CE2774">
        <w:rPr>
          <w:rFonts w:asciiTheme="majorBidi" w:hAnsiTheme="majorBidi" w:cstheme="majorBidi"/>
          <w:sz w:val="24"/>
          <w:szCs w:val="24"/>
        </w:rPr>
        <w:t>analysed</w:t>
      </w:r>
      <w:proofErr w:type="spellEnd"/>
      <w:r w:rsidRPr="00CE2774">
        <w:rPr>
          <w:rFonts w:asciiTheme="majorBidi" w:hAnsiTheme="majorBidi" w:cstheme="majorBidi"/>
          <w:sz w:val="24"/>
          <w:szCs w:val="24"/>
        </w:rPr>
        <w:t xml:space="preserve"> as a continuous and multidimensional property of legal architecture rather than as a dichotomous characteristic.   Network analysis provides a complementary set of tools. If actors are represented as nodes and legally constituted relationships as directed edges, degree measures can capture the number of governance relationships in which an actor participates, while betweenness centrality can indicate the extent to which an actor occupies connecting positions between otherwise separated actors. Different relationship types—authorization, reporting, verification, supervision, accountability or review—can be represented as distinct layers of a multiplex network. Network centrality should not, however, be equated with regulatory importance. An actor with few connections may possess substantial coercive or review authority. Structural measures should therefore be combined with substantive measures of function, authority and discretion rather than treated as substitutes for them.</w:t>
      </w:r>
    </w:p>
    <w:p w14:paraId="09466681" w14:textId="77777777" w:rsidR="00B746D2" w:rsidRDefault="00B746D2" w:rsidP="00B746D2">
      <w:pPr>
        <w:rPr>
          <w:rFonts w:asciiTheme="majorBidi" w:hAnsiTheme="majorBidi" w:cstheme="majorBidi"/>
          <w:sz w:val="24"/>
          <w:szCs w:val="24"/>
        </w:rPr>
      </w:pPr>
    </w:p>
    <w:p w14:paraId="6CD70D32" w14:textId="77777777" w:rsidR="00B746D2" w:rsidRPr="00CE2774" w:rsidRDefault="00B746D2" w:rsidP="00B746D2">
      <w:pPr>
        <w:rPr>
          <w:rFonts w:asciiTheme="majorBidi" w:hAnsiTheme="majorBidi" w:cstheme="majorBidi"/>
          <w:b/>
          <w:bCs/>
          <w:sz w:val="24"/>
          <w:szCs w:val="24"/>
        </w:rPr>
      </w:pPr>
      <w:r w:rsidRPr="00CE2774">
        <w:rPr>
          <w:rFonts w:asciiTheme="majorBidi" w:hAnsiTheme="majorBidi" w:cstheme="majorBidi"/>
          <w:b/>
          <w:bCs/>
          <w:sz w:val="24"/>
          <w:szCs w:val="24"/>
        </w:rPr>
        <w:t>4.5 Measuring self-regulatory and intermediary-based architectures</w:t>
      </w:r>
    </w:p>
    <w:p w14:paraId="1122290F" w14:textId="77777777" w:rsidR="00B746D2" w:rsidRDefault="00B746D2" w:rsidP="00B746D2">
      <w:pPr>
        <w:spacing w:line="276" w:lineRule="auto"/>
        <w:jc w:val="both"/>
        <w:rPr>
          <w:rFonts w:asciiTheme="majorBidi" w:hAnsiTheme="majorBidi" w:cstheme="majorBidi"/>
          <w:sz w:val="24"/>
          <w:szCs w:val="24"/>
        </w:rPr>
      </w:pPr>
    </w:p>
    <w:p w14:paraId="668DDB85" w14:textId="77777777" w:rsidR="00B746D2" w:rsidRPr="00CE2774" w:rsidRDefault="00B746D2" w:rsidP="00B746D2">
      <w:pPr>
        <w:spacing w:line="276" w:lineRule="auto"/>
        <w:jc w:val="both"/>
        <w:rPr>
          <w:rFonts w:asciiTheme="majorBidi" w:hAnsiTheme="majorBidi" w:cstheme="majorBidi"/>
          <w:sz w:val="24"/>
          <w:szCs w:val="24"/>
        </w:rPr>
      </w:pPr>
      <w:r w:rsidRPr="00CE2774">
        <w:rPr>
          <w:rFonts w:asciiTheme="majorBidi" w:hAnsiTheme="majorBidi" w:cstheme="majorBidi"/>
          <w:sz w:val="24"/>
          <w:szCs w:val="24"/>
        </w:rPr>
        <w:t xml:space="preserve">The same methodology permits more precise measurement of regulatory strategies and architectures such as </w:t>
      </w:r>
      <w:r w:rsidRPr="00CE2774">
        <w:rPr>
          <w:rStyle w:val="Strong"/>
          <w:rFonts w:asciiTheme="majorBidi" w:hAnsiTheme="majorBidi" w:cstheme="majorBidi"/>
          <w:sz w:val="24"/>
          <w:szCs w:val="24"/>
        </w:rPr>
        <w:t>self-regulation, enforced self-regulation, meta-regulation and enhanced self-regulation</w:t>
      </w:r>
      <w:r w:rsidRPr="00CE2774">
        <w:rPr>
          <w:rFonts w:asciiTheme="majorBidi" w:hAnsiTheme="majorBidi" w:cstheme="majorBidi"/>
          <w:sz w:val="24"/>
          <w:szCs w:val="24"/>
        </w:rPr>
        <w:t xml:space="preserve">.  These architectures should be reconstructed from component dimensions rather than coded solely through categorical labels. One useful approach is to distinguish </w:t>
      </w:r>
      <w:r w:rsidRPr="00CE2774">
        <w:rPr>
          <w:rStyle w:val="Strong"/>
          <w:rFonts w:asciiTheme="majorBidi" w:hAnsiTheme="majorBidi" w:cstheme="majorBidi"/>
          <w:sz w:val="24"/>
          <w:szCs w:val="24"/>
        </w:rPr>
        <w:t>self-regulatory discretion</w:t>
      </w:r>
      <w:r w:rsidRPr="00CE2774">
        <w:rPr>
          <w:rFonts w:asciiTheme="majorBidi" w:hAnsiTheme="majorBidi" w:cstheme="majorBidi"/>
          <w:sz w:val="24"/>
          <w:szCs w:val="24"/>
        </w:rPr>
        <w:t xml:space="preserve">, </w:t>
      </w:r>
      <w:r w:rsidRPr="00CE2774">
        <w:rPr>
          <w:rStyle w:val="Strong"/>
          <w:rFonts w:asciiTheme="majorBidi" w:hAnsiTheme="majorBidi" w:cstheme="majorBidi"/>
          <w:sz w:val="24"/>
          <w:szCs w:val="24"/>
        </w:rPr>
        <w:t>public enhancement</w:t>
      </w:r>
      <w:r w:rsidRPr="00CE2774">
        <w:rPr>
          <w:rFonts w:asciiTheme="majorBidi" w:hAnsiTheme="majorBidi" w:cstheme="majorBidi"/>
          <w:sz w:val="24"/>
          <w:szCs w:val="24"/>
        </w:rPr>
        <w:t xml:space="preserve">, and </w:t>
      </w:r>
      <w:r w:rsidRPr="00CE2774">
        <w:rPr>
          <w:rStyle w:val="Strong"/>
          <w:rFonts w:asciiTheme="majorBidi" w:hAnsiTheme="majorBidi" w:cstheme="majorBidi"/>
          <w:sz w:val="24"/>
          <w:szCs w:val="24"/>
        </w:rPr>
        <w:t>intermediary enhancement</w:t>
      </w:r>
      <w:r w:rsidRPr="00CE2774">
        <w:rPr>
          <w:rFonts w:asciiTheme="majorBidi" w:hAnsiTheme="majorBidi" w:cstheme="majorBidi"/>
          <w:sz w:val="24"/>
          <w:szCs w:val="24"/>
        </w:rPr>
        <w:t xml:space="preserve">. Self-regulatory discretion captures the extent to which regulated actors formulate, interpret or administer the operative rules. Public enhancement captures legal authorization, monitoring, verification, enforcement or other public structuring of self-regulation. Intermediary enhancement captures the extent to which relatively autonomous third parties constrain, verify, support or render credible the self-regulatory process. This makes it possible to identify mixed architectures and degrees of enhancement rather than forcing complex legal arrangements into mutually exclusive categories. It is also consistent with the paper's broader proposition that governance architecture resides in configurations of relationships rather than in isolated instruments or actors. </w:t>
      </w:r>
    </w:p>
    <w:p w14:paraId="6B2B6A8F" w14:textId="77777777" w:rsidR="00B746D2" w:rsidRDefault="00B746D2" w:rsidP="00B746D2">
      <w:pPr>
        <w:spacing w:line="276" w:lineRule="auto"/>
        <w:jc w:val="both"/>
        <w:rPr>
          <w:rFonts w:asciiTheme="majorBidi" w:hAnsiTheme="majorBidi" w:cstheme="majorBidi"/>
          <w:sz w:val="24"/>
          <w:szCs w:val="24"/>
        </w:rPr>
      </w:pPr>
    </w:p>
    <w:p w14:paraId="7BA3E9B4" w14:textId="77777777" w:rsidR="00B746D2" w:rsidRPr="00102ADB" w:rsidRDefault="00B746D2" w:rsidP="00B746D2">
      <w:pPr>
        <w:spacing w:line="276" w:lineRule="auto"/>
        <w:jc w:val="both"/>
        <w:rPr>
          <w:rFonts w:asciiTheme="majorBidi" w:hAnsiTheme="majorBidi" w:cstheme="majorBidi"/>
          <w:b/>
          <w:bCs/>
          <w:sz w:val="24"/>
          <w:szCs w:val="24"/>
        </w:rPr>
      </w:pPr>
      <w:r w:rsidRPr="00102ADB">
        <w:rPr>
          <w:rFonts w:asciiTheme="majorBidi" w:hAnsiTheme="majorBidi" w:cstheme="majorBidi"/>
          <w:b/>
          <w:bCs/>
          <w:sz w:val="24"/>
          <w:szCs w:val="24"/>
        </w:rPr>
        <w:lastRenderedPageBreak/>
        <w:t>4.6 Reliability, validity and comparison</w:t>
      </w:r>
    </w:p>
    <w:p w14:paraId="5A49A509" w14:textId="77777777" w:rsidR="00B746D2" w:rsidRDefault="00B746D2" w:rsidP="00B746D2">
      <w:pPr>
        <w:spacing w:line="276" w:lineRule="auto"/>
        <w:jc w:val="both"/>
        <w:rPr>
          <w:rFonts w:asciiTheme="majorBidi" w:hAnsiTheme="majorBidi" w:cstheme="majorBidi"/>
          <w:sz w:val="24"/>
          <w:szCs w:val="24"/>
        </w:rPr>
      </w:pPr>
    </w:p>
    <w:p w14:paraId="564D33D8" w14:textId="77777777" w:rsidR="00B746D2" w:rsidRDefault="00B746D2" w:rsidP="00B746D2">
      <w:pPr>
        <w:spacing w:line="276" w:lineRule="auto"/>
        <w:jc w:val="both"/>
        <w:rPr>
          <w:rFonts w:asciiTheme="majorBidi" w:hAnsiTheme="majorBidi" w:cstheme="majorBidi"/>
          <w:sz w:val="24"/>
          <w:szCs w:val="24"/>
        </w:rPr>
      </w:pPr>
      <w:r w:rsidRPr="00CE2774">
        <w:rPr>
          <w:rFonts w:asciiTheme="majorBidi" w:hAnsiTheme="majorBidi" w:cstheme="majorBidi"/>
          <w:sz w:val="24"/>
          <w:szCs w:val="24"/>
        </w:rPr>
        <w:t>Relational leximetrics requires explicit procedures for coding reliability and measurement validity. A codebook should provide operational definitions, inclusion and exclusion criteria, decision rules, examples and difficult boundary cases for each variable. A common subset of legal provisions should be independently coded by multiple coders, with disagreements adjudicated and used to refine the codebook. Reliability should be assessed separately for variables requiring different degrees of interpretation rather than summarized in a single coefficient. Actor identification, for example, is likely to generate higher agreement than assessments of discretion or indispensability. Higher-order architectural classifications should be validated against the lower-level observations from which they are constructed rather than assessed solely through coder agreement.</w:t>
      </w:r>
    </w:p>
    <w:p w14:paraId="6ACABCAF" w14:textId="77777777" w:rsidR="00B746D2" w:rsidRPr="00CE2774" w:rsidRDefault="00B746D2" w:rsidP="00B746D2">
      <w:pPr>
        <w:spacing w:line="276" w:lineRule="auto"/>
        <w:jc w:val="both"/>
        <w:rPr>
          <w:rFonts w:asciiTheme="majorBidi" w:hAnsiTheme="majorBidi" w:cstheme="majorBidi"/>
          <w:sz w:val="24"/>
          <w:szCs w:val="24"/>
        </w:rPr>
      </w:pPr>
    </w:p>
    <w:p w14:paraId="7EB56FE5" w14:textId="77777777" w:rsidR="00B746D2" w:rsidRPr="00CE2774" w:rsidRDefault="00B746D2" w:rsidP="00B746D2">
      <w:pPr>
        <w:spacing w:line="276" w:lineRule="auto"/>
        <w:jc w:val="both"/>
        <w:rPr>
          <w:rFonts w:asciiTheme="majorBidi" w:hAnsiTheme="majorBidi" w:cstheme="majorBidi"/>
          <w:sz w:val="24"/>
          <w:szCs w:val="24"/>
        </w:rPr>
      </w:pPr>
      <w:r w:rsidRPr="00CE2774">
        <w:rPr>
          <w:rFonts w:asciiTheme="majorBidi" w:hAnsiTheme="majorBidi" w:cstheme="majorBidi"/>
          <w:sz w:val="24"/>
          <w:szCs w:val="24"/>
        </w:rPr>
        <w:t xml:space="preserve">Machine-assisted coding can increase scale but should preserve </w:t>
      </w:r>
      <w:r w:rsidRPr="00CE2774">
        <w:rPr>
          <w:rStyle w:val="Strong"/>
          <w:rFonts w:asciiTheme="majorBidi" w:hAnsiTheme="majorBidi" w:cstheme="majorBidi"/>
          <w:sz w:val="24"/>
          <w:szCs w:val="24"/>
        </w:rPr>
        <w:t>provenance and traceability</w:t>
      </w:r>
      <w:r w:rsidRPr="00CE2774">
        <w:rPr>
          <w:rFonts w:asciiTheme="majorBidi" w:hAnsiTheme="majorBidi" w:cstheme="majorBidi"/>
          <w:sz w:val="24"/>
          <w:szCs w:val="24"/>
        </w:rPr>
        <w:t>. Every coded observation should remain linked to the legal text supporting it, and model-generated classifications should be distinguishable from human-coded or adjudicated observations. Automated systems are particularly suitable for identifying candidate actors, provisions and explicit relational language; more interpretive variables may require human validation. This design allows computational methods to increase coverage without converting theoretically consequential classifications into opaque model outputs.</w:t>
      </w:r>
    </w:p>
    <w:p w14:paraId="11929ACE" w14:textId="77777777" w:rsidR="00B746D2" w:rsidRDefault="00B746D2" w:rsidP="00B746D2">
      <w:pPr>
        <w:spacing w:line="276" w:lineRule="auto"/>
        <w:jc w:val="both"/>
        <w:rPr>
          <w:rFonts w:asciiTheme="majorBidi" w:hAnsiTheme="majorBidi" w:cstheme="majorBidi"/>
          <w:sz w:val="24"/>
          <w:szCs w:val="24"/>
        </w:rPr>
      </w:pPr>
    </w:p>
    <w:p w14:paraId="404998FE" w14:textId="77777777" w:rsidR="00B746D2" w:rsidRPr="00CE2774" w:rsidRDefault="00B746D2" w:rsidP="00B746D2">
      <w:pPr>
        <w:spacing w:line="276" w:lineRule="auto"/>
        <w:jc w:val="both"/>
        <w:rPr>
          <w:rFonts w:asciiTheme="majorBidi" w:hAnsiTheme="majorBidi" w:cstheme="majorBidi"/>
          <w:sz w:val="24"/>
          <w:szCs w:val="24"/>
        </w:rPr>
      </w:pPr>
      <w:r w:rsidRPr="00CE2774">
        <w:rPr>
          <w:rFonts w:asciiTheme="majorBidi" w:hAnsiTheme="majorBidi" w:cstheme="majorBidi"/>
          <w:sz w:val="24"/>
          <w:szCs w:val="24"/>
        </w:rPr>
        <w:t xml:space="preserve">Finally, the methodology measures </w:t>
      </w:r>
      <w:r w:rsidRPr="00CE2774">
        <w:rPr>
          <w:rStyle w:val="Strong"/>
          <w:rFonts w:asciiTheme="majorBidi" w:hAnsiTheme="majorBidi" w:cstheme="majorBidi"/>
          <w:sz w:val="24"/>
          <w:szCs w:val="24"/>
        </w:rPr>
        <w:t>legal governance architecture</w:t>
      </w:r>
      <w:r w:rsidRPr="00CE2774">
        <w:rPr>
          <w:rFonts w:asciiTheme="majorBidi" w:hAnsiTheme="majorBidi" w:cstheme="majorBidi"/>
          <w:sz w:val="24"/>
          <w:szCs w:val="24"/>
        </w:rPr>
        <w:t xml:space="preserve">, not governance practice. Legal provisions establish formal authority, duties and relationships, but implementation may alter, supplement or circumvent those arrangements. It is therefore important to distinguish </w:t>
      </w:r>
      <w:r w:rsidRPr="00CE2774">
        <w:rPr>
          <w:rStyle w:val="Strong"/>
          <w:rFonts w:asciiTheme="majorBidi" w:hAnsiTheme="majorBidi" w:cstheme="majorBidi"/>
          <w:sz w:val="24"/>
          <w:szCs w:val="24"/>
        </w:rPr>
        <w:t>legal architecture</w:t>
      </w:r>
      <w:r w:rsidRPr="00CE2774">
        <w:rPr>
          <w:rFonts w:asciiTheme="majorBidi" w:hAnsiTheme="majorBidi" w:cstheme="majorBidi"/>
          <w:sz w:val="24"/>
          <w:szCs w:val="24"/>
        </w:rPr>
        <w:t xml:space="preserve">, constituted by formal law; </w:t>
      </w:r>
      <w:r w:rsidRPr="00CE2774">
        <w:rPr>
          <w:rStyle w:val="Strong"/>
          <w:rFonts w:asciiTheme="majorBidi" w:hAnsiTheme="majorBidi" w:cstheme="majorBidi"/>
          <w:sz w:val="24"/>
          <w:szCs w:val="24"/>
        </w:rPr>
        <w:t>implementation architecture</w:t>
      </w:r>
      <w:r w:rsidRPr="00CE2774">
        <w:rPr>
          <w:rFonts w:asciiTheme="majorBidi" w:hAnsiTheme="majorBidi" w:cstheme="majorBidi"/>
          <w:sz w:val="24"/>
          <w:szCs w:val="24"/>
        </w:rPr>
        <w:t xml:space="preserve">, created through administrative and organizational arrangements; and </w:t>
      </w:r>
      <w:r w:rsidRPr="00CE2774">
        <w:rPr>
          <w:rStyle w:val="Strong"/>
          <w:rFonts w:asciiTheme="majorBidi" w:hAnsiTheme="majorBidi" w:cstheme="majorBidi"/>
          <w:sz w:val="24"/>
          <w:szCs w:val="24"/>
        </w:rPr>
        <w:t>operational architecture</w:t>
      </w:r>
      <w:r w:rsidRPr="00CE2774">
        <w:rPr>
          <w:rFonts w:asciiTheme="majorBidi" w:hAnsiTheme="majorBidi" w:cstheme="majorBidi"/>
          <w:sz w:val="24"/>
          <w:szCs w:val="24"/>
        </w:rPr>
        <w:t>, constituted by the relationships through which governing actually occurs.  The difference among these levels should not be treated as measurement error. It is itself an empirical object: relational leximetrics provides a systematic baseline against which implementation and practice can subsequently be compared.</w:t>
      </w:r>
    </w:p>
    <w:p w14:paraId="627F1F0A" w14:textId="77777777" w:rsidR="00B746D2" w:rsidRPr="00CE2774" w:rsidRDefault="00B746D2" w:rsidP="00B746D2">
      <w:pPr>
        <w:spacing w:line="276" w:lineRule="auto"/>
        <w:jc w:val="both"/>
        <w:rPr>
          <w:rFonts w:asciiTheme="majorBidi" w:hAnsiTheme="majorBidi" w:cstheme="majorBidi"/>
          <w:sz w:val="24"/>
          <w:szCs w:val="24"/>
        </w:rPr>
      </w:pPr>
      <w:r w:rsidRPr="00CE2774">
        <w:rPr>
          <w:rFonts w:asciiTheme="majorBidi" w:hAnsiTheme="majorBidi" w:cstheme="majorBidi"/>
          <w:sz w:val="24"/>
          <w:szCs w:val="24"/>
        </w:rPr>
        <w:t xml:space="preserve">Taken together, these procedures turn the conceptual claim that law constructs governance into an empirical research strategy. The distinctive contribution is not simply finer coding of legal texts, but the preservation of the </w:t>
      </w:r>
      <w:r w:rsidRPr="00CE2774">
        <w:rPr>
          <w:rStyle w:val="Strong"/>
          <w:rFonts w:asciiTheme="majorBidi" w:hAnsiTheme="majorBidi" w:cstheme="majorBidi"/>
          <w:sz w:val="24"/>
          <w:szCs w:val="24"/>
        </w:rPr>
        <w:t>relations through which governance is legally organized</w:t>
      </w:r>
      <w:r w:rsidRPr="00CE2774">
        <w:rPr>
          <w:rFonts w:asciiTheme="majorBidi" w:hAnsiTheme="majorBidi" w:cstheme="majorBidi"/>
          <w:sz w:val="24"/>
          <w:szCs w:val="24"/>
        </w:rPr>
        <w:t>. This permits researchers to move transparently from provisions to relationships, from relationships to strategies and architectures, and ultimately to comparative analysis of how law distributes governing capacity across actors, sectors, jurisdictions and time.</w:t>
      </w:r>
    </w:p>
    <w:p w14:paraId="15937500" w14:textId="54FC42CA" w:rsidR="00B746D2" w:rsidRDefault="00B746D2" w:rsidP="00BB24A5">
      <w:pPr>
        <w:jc w:val="both"/>
        <w:rPr>
          <w:rFonts w:asciiTheme="majorBidi" w:hAnsiTheme="majorBidi" w:cstheme="majorBidi"/>
          <w:sz w:val="24"/>
          <w:szCs w:val="24"/>
        </w:rPr>
      </w:pPr>
    </w:p>
    <w:p w14:paraId="6C9B1C4B" w14:textId="0C285895" w:rsidR="00B746D2" w:rsidRDefault="00B746D2">
      <w:pPr>
        <w:spacing w:after="200" w:line="276" w:lineRule="auto"/>
        <w:rPr>
          <w:rFonts w:asciiTheme="majorBidi" w:hAnsiTheme="majorBidi" w:cstheme="majorBidi"/>
          <w:sz w:val="24"/>
          <w:szCs w:val="24"/>
        </w:rPr>
      </w:pPr>
      <w:r>
        <w:rPr>
          <w:rFonts w:asciiTheme="majorBidi" w:hAnsiTheme="majorBidi" w:cstheme="majorBidi"/>
          <w:sz w:val="24"/>
          <w:szCs w:val="24"/>
        </w:rPr>
        <w:br w:type="page"/>
      </w:r>
    </w:p>
    <w:p w14:paraId="02DAFC03" w14:textId="77777777" w:rsidR="00B746D2" w:rsidRDefault="00B746D2" w:rsidP="00BB24A5">
      <w:pPr>
        <w:jc w:val="both"/>
        <w:rPr>
          <w:rFonts w:asciiTheme="majorBidi" w:hAnsiTheme="majorBidi" w:cstheme="majorBidi"/>
          <w:sz w:val="24"/>
          <w:szCs w:val="24"/>
        </w:rPr>
      </w:pPr>
    </w:p>
    <w:p w14:paraId="5933270A" w14:textId="07D6D02D" w:rsidR="006C4FF1" w:rsidRDefault="00B746D2" w:rsidP="006C4FF1">
      <w:r>
        <w:rPr>
          <w:rFonts w:asciiTheme="majorBidi" w:hAnsiTheme="majorBidi" w:cstheme="majorBidi"/>
          <w:b/>
          <w:bCs/>
          <w:sz w:val="24"/>
          <w:szCs w:val="24"/>
        </w:rPr>
        <w:t>5</w:t>
      </w:r>
      <w:r w:rsidR="00A71381" w:rsidRPr="00A71381">
        <w:rPr>
          <w:rFonts w:asciiTheme="majorBidi" w:hAnsiTheme="majorBidi" w:cstheme="majorBidi"/>
          <w:b/>
          <w:bCs/>
          <w:sz w:val="24"/>
          <w:szCs w:val="24"/>
        </w:rPr>
        <w:t>. Conclusions: From Legal Text to Relational Data</w:t>
      </w:r>
    </w:p>
    <w:p w14:paraId="11C7B6BA" w14:textId="02E153A7" w:rsidR="00CB41FD" w:rsidRDefault="00CB41FD" w:rsidP="00CB41FD">
      <w:pPr>
        <w:pStyle w:val="NormalWeb"/>
        <w:spacing w:line="276" w:lineRule="auto"/>
        <w:jc w:val="both"/>
      </w:pPr>
      <w:r>
        <w:t xml:space="preserve">This paper has argued for a shift in how law is conceptualized and compared. Law does not merely prescribe, prohibit, authorize or sanction </w:t>
      </w:r>
      <w:r>
        <w:t>behavior</w:t>
      </w:r>
      <w:r>
        <w:t xml:space="preserve">; it also constitutes governance. It defines objects of intervention, creates and recognizes actors, allocates functions and authority, structures relationships, distributes discretion and establishes accountability. The comparative question is therefore not only </w:t>
      </w:r>
      <w:r>
        <w:rPr>
          <w:rStyle w:val="Emphasis"/>
        </w:rPr>
        <w:t xml:space="preserve">what does a law </w:t>
      </w:r>
      <w:proofErr w:type="gramStart"/>
      <w:r>
        <w:rPr>
          <w:rStyle w:val="Emphasis"/>
        </w:rPr>
        <w:t>require?</w:t>
      </w:r>
      <w:r>
        <w:t>,</w:t>
      </w:r>
      <w:proofErr w:type="gramEnd"/>
      <w:r>
        <w:t xml:space="preserve"> but </w:t>
      </w:r>
      <w:r>
        <w:rPr>
          <w:rStyle w:val="Emphasis"/>
        </w:rPr>
        <w:t>what kind of governance does a law construct?</w:t>
      </w:r>
      <w:r>
        <w:t xml:space="preserve"> Laws imposing similar substantive requirements may organize implementation, interpretation, monitoring, verification and enforcement through very different combinations of public authorities, regulated organizations, professional bodies, intermediaries and beneficiaries. Conversely, similar governance arrangements may recur across otherwise very different policy domains. Governance architecture is therefore a distinct dimension of legal variation that is not adequately captured by measures of regulatory content, scope or stringency.</w:t>
      </w:r>
    </w:p>
    <w:p w14:paraId="35B9C2E1" w14:textId="58F93971" w:rsidR="00CB41FD" w:rsidRDefault="00CB41FD" w:rsidP="00CB41FD">
      <w:pPr>
        <w:pStyle w:val="NormalWeb"/>
        <w:spacing w:line="276" w:lineRule="auto"/>
        <w:jc w:val="both"/>
      </w:pPr>
      <w:r>
        <w:t xml:space="preserve">The framework developed here provides an analytical vocabulary for making this dimension visible. It distinguishes objects, actors, functions, mechanisms and relationships as relatively elementary features of governance, while treating strategies, architectures and governance logics as progressively higher-order configurations. The distinction matters theoretically as well as methodologically. Governance is not adequately characterized by identifying a particular instrument, actor or regulatory technique. The same mechanism can operate within different architectures, the same actor can occupy different relational positions, and apparently similar regulatory strategies can distribute authority, discretion and accountability very differently. The paper therefore proposes understanding governance architecture relationally: as the configuration through which regulatory work and governing capacity are distributed among actors. Relational leximetrics translates this proposition into an empirical strategy by reconstructing these configurations from legally constituted relationships rather than assigning governance types to laws in advance. </w:t>
      </w:r>
    </w:p>
    <w:p w14:paraId="32760C41" w14:textId="6C1D9617" w:rsidR="00CB41FD" w:rsidRDefault="00CB41FD" w:rsidP="00CB41FD">
      <w:pPr>
        <w:pStyle w:val="NormalWeb"/>
        <w:spacing w:line="276" w:lineRule="auto"/>
        <w:jc w:val="both"/>
      </w:pPr>
      <w:r>
        <w:t xml:space="preserve">This approach opens a broader comparative research agenda. It allows researchers to ask whether jurisdictions construct different governance architectures for similar problems; whether particular architectures recur across policy sectors; whether regulatory functions migrate over time among states, firms, intermediaries and other actors; and whether different configurations of authority, discretion, intermediation and accountability are associated with different patterns of implementation, compliance, adaptability, legitimacy and trust. It also makes the relationship between law and governance an empirical question. Legal architecture specifies the governance relationships constituted in law, but implementation and operational architectures may reproduce, modify or circumvent them. Comparing these levels can reveal not simply whether law is implemented, but how formally constituted systems of governance are transformed in practice. </w:t>
      </w:r>
    </w:p>
    <w:p w14:paraId="75C0DD45" w14:textId="77777777" w:rsidR="00CB41FD" w:rsidRDefault="00CB41FD" w:rsidP="00CB41FD">
      <w:pPr>
        <w:pStyle w:val="NormalWeb"/>
        <w:spacing w:line="276" w:lineRule="auto"/>
        <w:jc w:val="both"/>
      </w:pPr>
      <w:r>
        <w:t>The broader proposition is simple</w:t>
      </w:r>
      <w:r w:rsidRPr="00CB41FD">
        <w:rPr>
          <w:b/>
          <w:bCs/>
        </w:rPr>
        <w:t xml:space="preserve">. </w:t>
      </w:r>
      <w:r w:rsidRPr="00CB41FD">
        <w:rPr>
          <w:rStyle w:val="Strong"/>
          <w:b w:val="0"/>
          <w:bCs w:val="0"/>
        </w:rPr>
        <w:t>Law is not only a system of rules; it is also a means of allocating and organizing the capacity to govern.</w:t>
      </w:r>
      <w:r>
        <w:t xml:space="preserve"> It determines who governs, who is governed, who governs through others, who monitors and verifies, who possesses discretion, who is accountable, and who governs the governors. Making these relationships observable allows comparative legal research to move beyond </w:t>
      </w:r>
      <w:r>
        <w:lastRenderedPageBreak/>
        <w:t xml:space="preserve">questions of </w:t>
      </w:r>
      <w:r>
        <w:rPr>
          <w:rStyle w:val="Emphasis"/>
        </w:rPr>
        <w:t>how much</w:t>
      </w:r>
      <w:r>
        <w:t xml:space="preserve"> societies regulate and </w:t>
      </w:r>
      <w:r>
        <w:rPr>
          <w:rStyle w:val="Emphasis"/>
        </w:rPr>
        <w:t>what</w:t>
      </w:r>
      <w:r>
        <w:t xml:space="preserve"> they regulate toward an equally important question: </w:t>
      </w:r>
      <w:r w:rsidRPr="00CB41FD">
        <w:rPr>
          <w:rStyle w:val="Strong"/>
          <w:b w:val="0"/>
          <w:bCs w:val="0"/>
        </w:rPr>
        <w:t>how does law organize the work of governing?</w:t>
      </w:r>
    </w:p>
    <w:p w14:paraId="02F5A119" w14:textId="6FDD6E5E" w:rsidR="00CB41FD" w:rsidRDefault="00CB41FD" w:rsidP="00CB41FD">
      <w:pPr>
        <w:pStyle w:val="NormalWeb"/>
      </w:pPr>
    </w:p>
    <w:p w14:paraId="5156292C" w14:textId="71764C55" w:rsidR="00A71381" w:rsidRDefault="00A71381" w:rsidP="00A71381">
      <w:pPr>
        <w:spacing w:line="276" w:lineRule="auto"/>
        <w:jc w:val="both"/>
        <w:rPr>
          <w:rFonts w:asciiTheme="majorBidi" w:hAnsiTheme="majorBidi" w:cstheme="majorBidi"/>
          <w:sz w:val="24"/>
          <w:szCs w:val="24"/>
        </w:rPr>
      </w:pPr>
    </w:p>
    <w:p w14:paraId="0E331633" w14:textId="6A65FA8C" w:rsidR="00A71381" w:rsidRPr="006C4FF1" w:rsidRDefault="00094FA3" w:rsidP="00A71381">
      <w:pPr>
        <w:rPr>
          <w:rFonts w:asciiTheme="majorBidi" w:hAnsiTheme="majorBidi" w:cstheme="majorBidi"/>
          <w:b/>
          <w:bCs/>
          <w:sz w:val="24"/>
          <w:szCs w:val="24"/>
        </w:rPr>
      </w:pPr>
      <w:r w:rsidRPr="006C4FF1">
        <w:rPr>
          <w:rFonts w:asciiTheme="majorBidi" w:hAnsiTheme="majorBidi" w:cstheme="majorBidi"/>
          <w:b/>
          <w:bCs/>
          <w:sz w:val="24"/>
          <w:szCs w:val="24"/>
        </w:rPr>
        <w:t xml:space="preserve">Bibliography </w:t>
      </w:r>
    </w:p>
    <w:p w14:paraId="58E75600" w14:textId="77777777" w:rsidR="00A71381" w:rsidRPr="00A71381" w:rsidRDefault="00A71381" w:rsidP="00A71381">
      <w:pPr>
        <w:pStyle w:val="NormalWeb"/>
        <w:rPr>
          <w:sz w:val="20"/>
          <w:szCs w:val="20"/>
        </w:rPr>
      </w:pPr>
      <w:r w:rsidRPr="00A71381">
        <w:rPr>
          <w:sz w:val="20"/>
          <w:szCs w:val="20"/>
        </w:rPr>
        <w:t xml:space="preserve">Abbott, K.W., </w:t>
      </w:r>
      <w:proofErr w:type="spellStart"/>
      <w:r w:rsidRPr="00A71381">
        <w:rPr>
          <w:sz w:val="20"/>
          <w:szCs w:val="20"/>
        </w:rPr>
        <w:t>Genschel</w:t>
      </w:r>
      <w:proofErr w:type="spellEnd"/>
      <w:r w:rsidRPr="00A71381">
        <w:rPr>
          <w:sz w:val="20"/>
          <w:szCs w:val="20"/>
        </w:rPr>
        <w:t xml:space="preserve">, P., Snidal, D. and </w:t>
      </w:r>
      <w:proofErr w:type="spellStart"/>
      <w:r w:rsidRPr="00A71381">
        <w:rPr>
          <w:sz w:val="20"/>
          <w:szCs w:val="20"/>
        </w:rPr>
        <w:t>Zangl</w:t>
      </w:r>
      <w:proofErr w:type="spellEnd"/>
      <w:r w:rsidRPr="00A71381">
        <w:rPr>
          <w:sz w:val="20"/>
          <w:szCs w:val="20"/>
        </w:rPr>
        <w:t xml:space="preserve">, B. (2015) ‘Two logics of indirect governance: delegation and orchestration’, </w:t>
      </w:r>
      <w:r w:rsidRPr="00A71381">
        <w:rPr>
          <w:rStyle w:val="Emphasis"/>
          <w:sz w:val="20"/>
          <w:szCs w:val="20"/>
        </w:rPr>
        <w:t>British Journal of Political Science</w:t>
      </w:r>
      <w:r w:rsidRPr="00A71381">
        <w:rPr>
          <w:sz w:val="20"/>
          <w:szCs w:val="20"/>
        </w:rPr>
        <w:t>, 46(4), pp. 719–729.</w:t>
      </w:r>
    </w:p>
    <w:p w14:paraId="3DDB3609" w14:textId="77777777" w:rsidR="00A71381" w:rsidRPr="00A71381" w:rsidRDefault="00A71381" w:rsidP="00A71381">
      <w:pPr>
        <w:pStyle w:val="NormalWeb"/>
        <w:rPr>
          <w:sz w:val="20"/>
          <w:szCs w:val="20"/>
        </w:rPr>
      </w:pPr>
      <w:r w:rsidRPr="00A71381">
        <w:rPr>
          <w:sz w:val="20"/>
          <w:szCs w:val="20"/>
        </w:rPr>
        <w:t xml:space="preserve">Abbott, K.W., </w:t>
      </w:r>
      <w:proofErr w:type="spellStart"/>
      <w:r w:rsidRPr="00A71381">
        <w:rPr>
          <w:sz w:val="20"/>
          <w:szCs w:val="20"/>
        </w:rPr>
        <w:t>Genschel</w:t>
      </w:r>
      <w:proofErr w:type="spellEnd"/>
      <w:r w:rsidRPr="00A71381">
        <w:rPr>
          <w:sz w:val="20"/>
          <w:szCs w:val="20"/>
        </w:rPr>
        <w:t xml:space="preserve">, P., Snidal, D. and </w:t>
      </w:r>
      <w:proofErr w:type="spellStart"/>
      <w:r w:rsidRPr="00A71381">
        <w:rPr>
          <w:sz w:val="20"/>
          <w:szCs w:val="20"/>
        </w:rPr>
        <w:t>Zangl</w:t>
      </w:r>
      <w:proofErr w:type="spellEnd"/>
      <w:r w:rsidRPr="00A71381">
        <w:rPr>
          <w:sz w:val="20"/>
          <w:szCs w:val="20"/>
        </w:rPr>
        <w:t xml:space="preserve">, B. (2020) </w:t>
      </w:r>
      <w:r w:rsidRPr="00A71381">
        <w:rPr>
          <w:rStyle w:val="Emphasis"/>
          <w:sz w:val="20"/>
          <w:szCs w:val="20"/>
        </w:rPr>
        <w:t>The Governor’s Dilemma: Indirect Governance Beyond Principals and Agents</w:t>
      </w:r>
      <w:r w:rsidRPr="00A71381">
        <w:rPr>
          <w:sz w:val="20"/>
          <w:szCs w:val="20"/>
        </w:rPr>
        <w:t>. Oxford: Oxford University Press.</w:t>
      </w:r>
    </w:p>
    <w:p w14:paraId="1DB4D0A9" w14:textId="77777777" w:rsidR="00A71381" w:rsidRPr="00A71381" w:rsidRDefault="00A71381" w:rsidP="00A71381">
      <w:pPr>
        <w:pStyle w:val="NormalWeb"/>
        <w:rPr>
          <w:sz w:val="20"/>
          <w:szCs w:val="20"/>
        </w:rPr>
      </w:pPr>
      <w:r w:rsidRPr="00A71381">
        <w:rPr>
          <w:sz w:val="20"/>
          <w:szCs w:val="20"/>
        </w:rPr>
        <w:t xml:space="preserve">Abbott, K.W., Levi-Faur, D. and Snidal, D. (2017) ‘Theorizing regulatory intermediaries: the RIT model’, </w:t>
      </w:r>
      <w:r w:rsidRPr="00A71381">
        <w:rPr>
          <w:rStyle w:val="Emphasis"/>
          <w:sz w:val="20"/>
          <w:szCs w:val="20"/>
        </w:rPr>
        <w:t>The ANNALS of the American Academy of Political and Social Science</w:t>
      </w:r>
      <w:r w:rsidRPr="00A71381">
        <w:rPr>
          <w:sz w:val="20"/>
          <w:szCs w:val="20"/>
        </w:rPr>
        <w:t>, 670(1), pp. 14–35.</w:t>
      </w:r>
    </w:p>
    <w:p w14:paraId="3CB5B19F" w14:textId="77777777" w:rsidR="00A71381" w:rsidRPr="00A71381" w:rsidRDefault="00A71381" w:rsidP="00A71381">
      <w:pPr>
        <w:pStyle w:val="NormalWeb"/>
        <w:rPr>
          <w:sz w:val="20"/>
          <w:szCs w:val="20"/>
        </w:rPr>
      </w:pPr>
      <w:r w:rsidRPr="00A71381">
        <w:rPr>
          <w:sz w:val="20"/>
          <w:szCs w:val="20"/>
        </w:rPr>
        <w:t xml:space="preserve">Adcock, R. and Collier, D. (2001) ‘Measurement validity: A shared standard for qualitative and quantitative research’, </w:t>
      </w:r>
      <w:r w:rsidRPr="00A71381">
        <w:rPr>
          <w:rStyle w:val="Emphasis"/>
          <w:sz w:val="20"/>
          <w:szCs w:val="20"/>
        </w:rPr>
        <w:t>American Political Science Review</w:t>
      </w:r>
      <w:r w:rsidRPr="00A71381">
        <w:rPr>
          <w:sz w:val="20"/>
          <w:szCs w:val="20"/>
        </w:rPr>
        <w:t>, 95(3), pp. 529–546.</w:t>
      </w:r>
    </w:p>
    <w:p w14:paraId="216BEC84" w14:textId="77777777" w:rsidR="00A71381" w:rsidRPr="00A71381" w:rsidRDefault="00A71381" w:rsidP="00A71381">
      <w:pPr>
        <w:pStyle w:val="NormalWeb"/>
        <w:rPr>
          <w:sz w:val="20"/>
          <w:szCs w:val="20"/>
        </w:rPr>
      </w:pPr>
      <w:r w:rsidRPr="00A71381">
        <w:rPr>
          <w:sz w:val="20"/>
          <w:szCs w:val="20"/>
        </w:rPr>
        <w:t>Al-</w:t>
      </w:r>
      <w:proofErr w:type="spellStart"/>
      <w:r w:rsidRPr="00A71381">
        <w:rPr>
          <w:sz w:val="20"/>
          <w:szCs w:val="20"/>
        </w:rPr>
        <w:t>Ubaydli</w:t>
      </w:r>
      <w:proofErr w:type="spellEnd"/>
      <w:r w:rsidRPr="00A71381">
        <w:rPr>
          <w:sz w:val="20"/>
          <w:szCs w:val="20"/>
        </w:rPr>
        <w:t>, O. and McLaughlin, P.A. (2017) ‘</w:t>
      </w:r>
      <w:proofErr w:type="spellStart"/>
      <w:r w:rsidRPr="00A71381">
        <w:rPr>
          <w:sz w:val="20"/>
          <w:szCs w:val="20"/>
        </w:rPr>
        <w:t>RegData</w:t>
      </w:r>
      <w:proofErr w:type="spellEnd"/>
      <w:r w:rsidRPr="00A71381">
        <w:rPr>
          <w:sz w:val="20"/>
          <w:szCs w:val="20"/>
        </w:rPr>
        <w:t xml:space="preserve">: A numerical database on industry-specific regulations for all United States industries, 1997–2012’, </w:t>
      </w:r>
      <w:r w:rsidRPr="00A71381">
        <w:rPr>
          <w:rStyle w:val="Emphasis"/>
          <w:sz w:val="20"/>
          <w:szCs w:val="20"/>
        </w:rPr>
        <w:t>Regulation &amp; Governance</w:t>
      </w:r>
      <w:r w:rsidRPr="00A71381">
        <w:rPr>
          <w:sz w:val="20"/>
          <w:szCs w:val="20"/>
        </w:rPr>
        <w:t>, 11(1), pp. 109–123.</w:t>
      </w:r>
    </w:p>
    <w:p w14:paraId="445D4FEE" w14:textId="77777777" w:rsidR="00A71381" w:rsidRPr="00A71381" w:rsidRDefault="00A71381" w:rsidP="00A71381">
      <w:pPr>
        <w:pStyle w:val="NormalWeb"/>
        <w:rPr>
          <w:sz w:val="20"/>
          <w:szCs w:val="20"/>
        </w:rPr>
      </w:pPr>
      <w:proofErr w:type="spellStart"/>
      <w:r w:rsidRPr="00A71381">
        <w:rPr>
          <w:sz w:val="20"/>
          <w:szCs w:val="20"/>
        </w:rPr>
        <w:t>Armour</w:t>
      </w:r>
      <w:proofErr w:type="spellEnd"/>
      <w:r w:rsidRPr="00A71381">
        <w:rPr>
          <w:sz w:val="20"/>
          <w:szCs w:val="20"/>
        </w:rPr>
        <w:t xml:space="preserve">, J., Deakin, S. and </w:t>
      </w:r>
      <w:proofErr w:type="spellStart"/>
      <w:r w:rsidRPr="00A71381">
        <w:rPr>
          <w:sz w:val="20"/>
          <w:szCs w:val="20"/>
        </w:rPr>
        <w:t>Siems</w:t>
      </w:r>
      <w:proofErr w:type="spellEnd"/>
      <w:r w:rsidRPr="00A71381">
        <w:rPr>
          <w:sz w:val="20"/>
          <w:szCs w:val="20"/>
        </w:rPr>
        <w:t xml:space="preserve">, M. (2016) </w:t>
      </w:r>
      <w:r w:rsidRPr="00A71381">
        <w:rPr>
          <w:rStyle w:val="Emphasis"/>
          <w:sz w:val="20"/>
          <w:szCs w:val="20"/>
        </w:rPr>
        <w:t xml:space="preserve">CBR </w:t>
      </w:r>
      <w:proofErr w:type="spellStart"/>
      <w:r w:rsidRPr="00A71381">
        <w:rPr>
          <w:rStyle w:val="Emphasis"/>
          <w:sz w:val="20"/>
          <w:szCs w:val="20"/>
        </w:rPr>
        <w:t>Leximetric</w:t>
      </w:r>
      <w:proofErr w:type="spellEnd"/>
      <w:r w:rsidRPr="00A71381">
        <w:rPr>
          <w:rStyle w:val="Emphasis"/>
          <w:sz w:val="20"/>
          <w:szCs w:val="20"/>
        </w:rPr>
        <w:t xml:space="preserve"> Datasets</w:t>
      </w:r>
      <w:r w:rsidRPr="00A71381">
        <w:rPr>
          <w:sz w:val="20"/>
          <w:szCs w:val="20"/>
        </w:rPr>
        <w:t>. Cambridge: Centre for Business Research, University of Cambridge.</w:t>
      </w:r>
    </w:p>
    <w:p w14:paraId="4AD03E58" w14:textId="77777777" w:rsidR="00A71381" w:rsidRPr="00A71381" w:rsidRDefault="00A71381" w:rsidP="00A71381">
      <w:pPr>
        <w:pStyle w:val="NormalWeb"/>
        <w:rPr>
          <w:sz w:val="20"/>
          <w:szCs w:val="20"/>
        </w:rPr>
      </w:pPr>
      <w:r w:rsidRPr="00A71381">
        <w:rPr>
          <w:sz w:val="20"/>
          <w:szCs w:val="20"/>
        </w:rPr>
        <w:t xml:space="preserve">Ayres, I. and Braithwaite, J. (1992) </w:t>
      </w:r>
      <w:r w:rsidRPr="00A71381">
        <w:rPr>
          <w:rStyle w:val="Emphasis"/>
          <w:sz w:val="20"/>
          <w:szCs w:val="20"/>
        </w:rPr>
        <w:t>Responsive Regulation: Transcending the Deregulation Debate</w:t>
      </w:r>
      <w:r w:rsidRPr="00A71381">
        <w:rPr>
          <w:sz w:val="20"/>
          <w:szCs w:val="20"/>
        </w:rPr>
        <w:t>. New York: Oxford University Press.</w:t>
      </w:r>
    </w:p>
    <w:p w14:paraId="31F48A7D" w14:textId="77777777" w:rsidR="00A71381" w:rsidRPr="00A71381" w:rsidRDefault="00A71381" w:rsidP="00A71381">
      <w:pPr>
        <w:pStyle w:val="NormalWeb"/>
        <w:rPr>
          <w:sz w:val="20"/>
          <w:szCs w:val="20"/>
        </w:rPr>
      </w:pPr>
      <w:r w:rsidRPr="00A71381">
        <w:rPr>
          <w:sz w:val="20"/>
          <w:szCs w:val="20"/>
        </w:rPr>
        <w:t>Black, J. (2001) ‘</w:t>
      </w:r>
      <w:proofErr w:type="spellStart"/>
      <w:r w:rsidRPr="00A71381">
        <w:rPr>
          <w:sz w:val="20"/>
          <w:szCs w:val="20"/>
        </w:rPr>
        <w:t>Decentring</w:t>
      </w:r>
      <w:proofErr w:type="spellEnd"/>
      <w:r w:rsidRPr="00A71381">
        <w:rPr>
          <w:sz w:val="20"/>
          <w:szCs w:val="20"/>
        </w:rPr>
        <w:t xml:space="preserve"> regulation: understanding the role of regulation and self-regulation in a post-regulatory world’, </w:t>
      </w:r>
      <w:r w:rsidRPr="00A71381">
        <w:rPr>
          <w:rStyle w:val="Emphasis"/>
          <w:sz w:val="20"/>
          <w:szCs w:val="20"/>
        </w:rPr>
        <w:t>Current Legal Problems</w:t>
      </w:r>
      <w:r w:rsidRPr="00A71381">
        <w:rPr>
          <w:sz w:val="20"/>
          <w:szCs w:val="20"/>
        </w:rPr>
        <w:t>, 54(1), pp. 103–146.</w:t>
      </w:r>
    </w:p>
    <w:p w14:paraId="0D71B30E" w14:textId="77777777" w:rsidR="00A71381" w:rsidRPr="00A71381" w:rsidRDefault="00A71381" w:rsidP="00A71381">
      <w:pPr>
        <w:pStyle w:val="NormalWeb"/>
        <w:rPr>
          <w:sz w:val="20"/>
          <w:szCs w:val="20"/>
        </w:rPr>
      </w:pPr>
      <w:r w:rsidRPr="00A71381">
        <w:rPr>
          <w:sz w:val="20"/>
          <w:szCs w:val="20"/>
        </w:rPr>
        <w:t xml:space="preserve">Black, J. (2002) ‘Critical reflections on regulation’, </w:t>
      </w:r>
      <w:r w:rsidRPr="00A71381">
        <w:rPr>
          <w:rStyle w:val="Emphasis"/>
          <w:sz w:val="20"/>
          <w:szCs w:val="20"/>
        </w:rPr>
        <w:t>Australian Journal of Legal Philosophy</w:t>
      </w:r>
      <w:r w:rsidRPr="00A71381">
        <w:rPr>
          <w:sz w:val="20"/>
          <w:szCs w:val="20"/>
        </w:rPr>
        <w:t>, 27, pp. 1–35.</w:t>
      </w:r>
    </w:p>
    <w:p w14:paraId="5DEEEB2A" w14:textId="77777777" w:rsidR="00A71381" w:rsidRPr="00A71381" w:rsidRDefault="00A71381" w:rsidP="00A71381">
      <w:pPr>
        <w:pStyle w:val="NormalWeb"/>
        <w:rPr>
          <w:sz w:val="20"/>
          <w:szCs w:val="20"/>
        </w:rPr>
      </w:pPr>
      <w:r w:rsidRPr="00A71381">
        <w:rPr>
          <w:sz w:val="20"/>
          <w:szCs w:val="20"/>
        </w:rPr>
        <w:t xml:space="preserve">Crawford, S.E.S. and Ostrom, E. (1995) ‘A grammar of institutions’, </w:t>
      </w:r>
      <w:r w:rsidRPr="00A71381">
        <w:rPr>
          <w:rStyle w:val="Emphasis"/>
          <w:sz w:val="20"/>
          <w:szCs w:val="20"/>
        </w:rPr>
        <w:t>American Political Science Review</w:t>
      </w:r>
      <w:r w:rsidRPr="00A71381">
        <w:rPr>
          <w:sz w:val="20"/>
          <w:szCs w:val="20"/>
        </w:rPr>
        <w:t>, 89(3), pp. 582–600.</w:t>
      </w:r>
    </w:p>
    <w:p w14:paraId="31C0843F" w14:textId="77777777" w:rsidR="00A71381" w:rsidRPr="00A71381" w:rsidRDefault="00A71381" w:rsidP="00A71381">
      <w:pPr>
        <w:pStyle w:val="NormalWeb"/>
        <w:rPr>
          <w:sz w:val="20"/>
          <w:szCs w:val="20"/>
        </w:rPr>
      </w:pPr>
      <w:r w:rsidRPr="00A71381">
        <w:rPr>
          <w:sz w:val="20"/>
          <w:szCs w:val="20"/>
        </w:rPr>
        <w:t xml:space="preserve">Edelman, L.B., </w:t>
      </w:r>
      <w:proofErr w:type="spellStart"/>
      <w:r w:rsidRPr="00A71381">
        <w:rPr>
          <w:sz w:val="20"/>
          <w:szCs w:val="20"/>
        </w:rPr>
        <w:t>Uggen</w:t>
      </w:r>
      <w:proofErr w:type="spellEnd"/>
      <w:r w:rsidRPr="00A71381">
        <w:rPr>
          <w:sz w:val="20"/>
          <w:szCs w:val="20"/>
        </w:rPr>
        <w:t xml:space="preserve">, C. and Erlanger, H.S. (1999) ‘The endogeneity of legal regulation: grievance procedures as rational myth’, </w:t>
      </w:r>
      <w:r w:rsidRPr="00A71381">
        <w:rPr>
          <w:rStyle w:val="Emphasis"/>
          <w:sz w:val="20"/>
          <w:szCs w:val="20"/>
        </w:rPr>
        <w:t>American Journal of Sociology</w:t>
      </w:r>
      <w:r w:rsidRPr="00A71381">
        <w:rPr>
          <w:sz w:val="20"/>
          <w:szCs w:val="20"/>
        </w:rPr>
        <w:t>, 105(2), pp. 406–454.</w:t>
      </w:r>
    </w:p>
    <w:p w14:paraId="419E447F" w14:textId="77777777" w:rsidR="00A71381" w:rsidRPr="00A71381" w:rsidRDefault="00A71381" w:rsidP="00A71381">
      <w:pPr>
        <w:pStyle w:val="NormalWeb"/>
        <w:rPr>
          <w:sz w:val="20"/>
          <w:szCs w:val="20"/>
        </w:rPr>
      </w:pPr>
      <w:r w:rsidRPr="00A71381">
        <w:rPr>
          <w:sz w:val="20"/>
          <w:szCs w:val="20"/>
        </w:rPr>
        <w:t xml:space="preserve">Elkins, Z., Ginsburg, T. and Melton, J. (2009) </w:t>
      </w:r>
      <w:r w:rsidRPr="00A71381">
        <w:rPr>
          <w:rStyle w:val="Emphasis"/>
          <w:sz w:val="20"/>
          <w:szCs w:val="20"/>
        </w:rPr>
        <w:t>The Endurance of National Constitutions</w:t>
      </w:r>
      <w:r w:rsidRPr="00A71381">
        <w:rPr>
          <w:sz w:val="20"/>
          <w:szCs w:val="20"/>
        </w:rPr>
        <w:t>. Cambridge: Cambridge University Press.</w:t>
      </w:r>
    </w:p>
    <w:p w14:paraId="6FB68D48" w14:textId="77777777" w:rsidR="00A71381" w:rsidRPr="00A71381" w:rsidRDefault="00A71381" w:rsidP="00A71381">
      <w:pPr>
        <w:pStyle w:val="NormalWeb"/>
        <w:rPr>
          <w:sz w:val="20"/>
          <w:szCs w:val="20"/>
        </w:rPr>
      </w:pPr>
      <w:r w:rsidRPr="00A71381">
        <w:rPr>
          <w:sz w:val="20"/>
          <w:szCs w:val="20"/>
        </w:rPr>
        <w:t xml:space="preserve">Frantz, C.K. and </w:t>
      </w:r>
      <w:proofErr w:type="spellStart"/>
      <w:r w:rsidRPr="00A71381">
        <w:rPr>
          <w:sz w:val="20"/>
          <w:szCs w:val="20"/>
        </w:rPr>
        <w:t>Siddiki</w:t>
      </w:r>
      <w:proofErr w:type="spellEnd"/>
      <w:r w:rsidRPr="00A71381">
        <w:rPr>
          <w:sz w:val="20"/>
          <w:szCs w:val="20"/>
        </w:rPr>
        <w:t xml:space="preserve">, S.N. (2021) ‘Institutional Grammar 2.0: A specification for encoding and analyzing institutional design’, </w:t>
      </w:r>
      <w:r w:rsidRPr="00A71381">
        <w:rPr>
          <w:rStyle w:val="Emphasis"/>
          <w:sz w:val="20"/>
          <w:szCs w:val="20"/>
        </w:rPr>
        <w:t>Public Administration</w:t>
      </w:r>
      <w:r w:rsidRPr="00A71381">
        <w:rPr>
          <w:sz w:val="20"/>
          <w:szCs w:val="20"/>
        </w:rPr>
        <w:t>, 99(2), pp. 222–247.</w:t>
      </w:r>
    </w:p>
    <w:p w14:paraId="4956F87E" w14:textId="77777777" w:rsidR="00A71381" w:rsidRPr="00A71381" w:rsidRDefault="00A71381" w:rsidP="00A71381">
      <w:pPr>
        <w:pStyle w:val="NormalWeb"/>
        <w:rPr>
          <w:sz w:val="20"/>
          <w:szCs w:val="20"/>
        </w:rPr>
      </w:pPr>
      <w:r w:rsidRPr="00A71381">
        <w:rPr>
          <w:sz w:val="20"/>
          <w:szCs w:val="20"/>
        </w:rPr>
        <w:t xml:space="preserve">Frantz, C.K. and </w:t>
      </w:r>
      <w:proofErr w:type="spellStart"/>
      <w:r w:rsidRPr="00A71381">
        <w:rPr>
          <w:sz w:val="20"/>
          <w:szCs w:val="20"/>
        </w:rPr>
        <w:t>Siddiki</w:t>
      </w:r>
      <w:proofErr w:type="spellEnd"/>
      <w:r w:rsidRPr="00A71381">
        <w:rPr>
          <w:sz w:val="20"/>
          <w:szCs w:val="20"/>
        </w:rPr>
        <w:t xml:space="preserve">, S.N. (2022) </w:t>
      </w:r>
      <w:r w:rsidRPr="00A71381">
        <w:rPr>
          <w:rStyle w:val="Emphasis"/>
          <w:sz w:val="20"/>
          <w:szCs w:val="20"/>
        </w:rPr>
        <w:t>Institutional Grammar: Foundations and Applications for Institutional Analysis</w:t>
      </w:r>
      <w:r w:rsidRPr="00A71381">
        <w:rPr>
          <w:sz w:val="20"/>
          <w:szCs w:val="20"/>
        </w:rPr>
        <w:t>. Cham: Palgrave Macmillan.</w:t>
      </w:r>
    </w:p>
    <w:p w14:paraId="2887E4FF" w14:textId="77777777" w:rsidR="00A71381" w:rsidRPr="00A71381" w:rsidRDefault="00A71381" w:rsidP="00A71381">
      <w:pPr>
        <w:pStyle w:val="NormalWeb"/>
        <w:rPr>
          <w:sz w:val="20"/>
          <w:szCs w:val="20"/>
        </w:rPr>
      </w:pPr>
      <w:r w:rsidRPr="00A71381">
        <w:rPr>
          <w:sz w:val="20"/>
          <w:szCs w:val="20"/>
        </w:rPr>
        <w:t xml:space="preserve">Gunningham, N., </w:t>
      </w:r>
      <w:proofErr w:type="spellStart"/>
      <w:r w:rsidRPr="00A71381">
        <w:rPr>
          <w:sz w:val="20"/>
          <w:szCs w:val="20"/>
        </w:rPr>
        <w:t>Grabosky</w:t>
      </w:r>
      <w:proofErr w:type="spellEnd"/>
      <w:r w:rsidRPr="00A71381">
        <w:rPr>
          <w:sz w:val="20"/>
          <w:szCs w:val="20"/>
        </w:rPr>
        <w:t xml:space="preserve">, P. and Sinclair, D. (1998) </w:t>
      </w:r>
      <w:r w:rsidRPr="00A71381">
        <w:rPr>
          <w:rStyle w:val="Emphasis"/>
          <w:sz w:val="20"/>
          <w:szCs w:val="20"/>
        </w:rPr>
        <w:t>Smart Regulation: Designing Environmental Policy</w:t>
      </w:r>
      <w:r w:rsidRPr="00A71381">
        <w:rPr>
          <w:sz w:val="20"/>
          <w:szCs w:val="20"/>
        </w:rPr>
        <w:t>. Oxford: Clarendon Press.</w:t>
      </w:r>
    </w:p>
    <w:p w14:paraId="0068E1B5" w14:textId="77777777" w:rsidR="00A71381" w:rsidRPr="00A71381" w:rsidRDefault="00A71381" w:rsidP="00A71381">
      <w:pPr>
        <w:pStyle w:val="NormalWeb"/>
        <w:rPr>
          <w:sz w:val="20"/>
          <w:szCs w:val="20"/>
        </w:rPr>
      </w:pPr>
      <w:r w:rsidRPr="00A71381">
        <w:rPr>
          <w:sz w:val="20"/>
          <w:szCs w:val="20"/>
        </w:rPr>
        <w:lastRenderedPageBreak/>
        <w:t xml:space="preserve">Hall, P.A. and Soskice, D. (eds) (2001) </w:t>
      </w:r>
      <w:r w:rsidRPr="00A71381">
        <w:rPr>
          <w:rStyle w:val="Emphasis"/>
          <w:sz w:val="20"/>
          <w:szCs w:val="20"/>
        </w:rPr>
        <w:t>Varieties of Capitalism: The Institutional Foundations of Comparative Advantage</w:t>
      </w:r>
      <w:r w:rsidRPr="00A71381">
        <w:rPr>
          <w:sz w:val="20"/>
          <w:szCs w:val="20"/>
        </w:rPr>
        <w:t>. Oxford: Oxford University Press.</w:t>
      </w:r>
    </w:p>
    <w:p w14:paraId="52A792C7" w14:textId="77777777" w:rsidR="00A71381" w:rsidRPr="00A71381" w:rsidRDefault="00A71381" w:rsidP="00A71381">
      <w:pPr>
        <w:pStyle w:val="NormalWeb"/>
        <w:rPr>
          <w:sz w:val="20"/>
          <w:szCs w:val="20"/>
        </w:rPr>
      </w:pPr>
      <w:r w:rsidRPr="00A71381">
        <w:rPr>
          <w:sz w:val="20"/>
          <w:szCs w:val="20"/>
        </w:rPr>
        <w:t xml:space="preserve">Hood, C., James, O., Jones, G., Scott, C. and Travers, T. (1999) </w:t>
      </w:r>
      <w:r w:rsidRPr="00A71381">
        <w:rPr>
          <w:rStyle w:val="Emphasis"/>
          <w:sz w:val="20"/>
          <w:szCs w:val="20"/>
        </w:rPr>
        <w:t xml:space="preserve">Regulation Inside Government: Waste-Watchers, Quality Police, and </w:t>
      </w:r>
      <w:proofErr w:type="spellStart"/>
      <w:r w:rsidRPr="00A71381">
        <w:rPr>
          <w:rStyle w:val="Emphasis"/>
          <w:sz w:val="20"/>
          <w:szCs w:val="20"/>
        </w:rPr>
        <w:t>Sleazebusters</w:t>
      </w:r>
      <w:proofErr w:type="spellEnd"/>
      <w:r w:rsidRPr="00A71381">
        <w:rPr>
          <w:sz w:val="20"/>
          <w:szCs w:val="20"/>
        </w:rPr>
        <w:t>. Oxford: Oxford University Press.</w:t>
      </w:r>
    </w:p>
    <w:p w14:paraId="6A45FD83" w14:textId="1F027B8C" w:rsidR="00ED1D0E" w:rsidRPr="00ED1D0E" w:rsidRDefault="00ED1D0E" w:rsidP="00A71381">
      <w:pPr>
        <w:pStyle w:val="NormalWeb"/>
        <w:rPr>
          <w:rFonts w:asciiTheme="majorBidi" w:hAnsiTheme="majorBidi" w:cstheme="majorBidi"/>
          <w:sz w:val="20"/>
          <w:szCs w:val="20"/>
        </w:rPr>
      </w:pPr>
      <w:r w:rsidRPr="00ED1D0E">
        <w:rPr>
          <w:rFonts w:asciiTheme="majorBidi" w:hAnsiTheme="majorBidi" w:cstheme="majorBidi"/>
          <w:color w:val="222222"/>
          <w:sz w:val="20"/>
          <w:szCs w:val="20"/>
          <w:shd w:val="clear" w:color="auto" w:fill="FFFFFF"/>
        </w:rPr>
        <w:t xml:space="preserve">Howlett, M. (2010). </w:t>
      </w:r>
      <w:r w:rsidRPr="00ED1D0E">
        <w:rPr>
          <w:rFonts w:asciiTheme="majorBidi" w:hAnsiTheme="majorBidi" w:cstheme="majorBidi"/>
          <w:i/>
          <w:iCs/>
          <w:color w:val="222222"/>
          <w:sz w:val="20"/>
          <w:szCs w:val="20"/>
          <w:shd w:val="clear" w:color="auto" w:fill="FFFFFF"/>
        </w:rPr>
        <w:t>Designing public policies: Principles and instruments</w:t>
      </w:r>
      <w:r w:rsidRPr="00ED1D0E">
        <w:rPr>
          <w:rFonts w:asciiTheme="majorBidi" w:hAnsiTheme="majorBidi" w:cstheme="majorBidi"/>
          <w:color w:val="222222"/>
          <w:sz w:val="20"/>
          <w:szCs w:val="20"/>
          <w:shd w:val="clear" w:color="auto" w:fill="FFFFFF"/>
        </w:rPr>
        <w:t xml:space="preserve">. </w:t>
      </w:r>
      <w:proofErr w:type="spellStart"/>
      <w:r w:rsidRPr="00ED1D0E">
        <w:rPr>
          <w:rFonts w:asciiTheme="majorBidi" w:hAnsiTheme="majorBidi" w:cstheme="majorBidi"/>
          <w:color w:val="222222"/>
          <w:sz w:val="20"/>
          <w:szCs w:val="20"/>
          <w:shd w:val="clear" w:color="auto" w:fill="FFFFFF"/>
        </w:rPr>
        <w:t>routledge</w:t>
      </w:r>
      <w:proofErr w:type="spellEnd"/>
      <w:r w:rsidRPr="00ED1D0E">
        <w:rPr>
          <w:rFonts w:asciiTheme="majorBidi" w:hAnsiTheme="majorBidi" w:cstheme="majorBidi"/>
          <w:color w:val="222222"/>
          <w:sz w:val="20"/>
          <w:szCs w:val="20"/>
          <w:shd w:val="clear" w:color="auto" w:fill="FFFFFF"/>
        </w:rPr>
        <w:t>.</w:t>
      </w:r>
    </w:p>
    <w:p w14:paraId="01B6B4B7" w14:textId="6D517D6F" w:rsidR="00A71381" w:rsidRPr="00A71381" w:rsidRDefault="00A71381" w:rsidP="00A71381">
      <w:pPr>
        <w:pStyle w:val="NormalWeb"/>
        <w:rPr>
          <w:sz w:val="20"/>
          <w:szCs w:val="20"/>
        </w:rPr>
      </w:pPr>
      <w:proofErr w:type="spellStart"/>
      <w:r w:rsidRPr="00A71381">
        <w:rPr>
          <w:sz w:val="20"/>
          <w:szCs w:val="20"/>
        </w:rPr>
        <w:t>Lascoumes</w:t>
      </w:r>
      <w:proofErr w:type="spellEnd"/>
      <w:r w:rsidRPr="00A71381">
        <w:rPr>
          <w:sz w:val="20"/>
          <w:szCs w:val="20"/>
        </w:rPr>
        <w:t xml:space="preserve">, P. and Le </w:t>
      </w:r>
      <w:proofErr w:type="spellStart"/>
      <w:r w:rsidRPr="00A71381">
        <w:rPr>
          <w:sz w:val="20"/>
          <w:szCs w:val="20"/>
        </w:rPr>
        <w:t>Galès</w:t>
      </w:r>
      <w:proofErr w:type="spellEnd"/>
      <w:r w:rsidRPr="00A71381">
        <w:rPr>
          <w:sz w:val="20"/>
          <w:szCs w:val="20"/>
        </w:rPr>
        <w:t xml:space="preserve">, P. (2007) ‘Introduction: understanding public policy through its instruments’, </w:t>
      </w:r>
      <w:r w:rsidRPr="00A71381">
        <w:rPr>
          <w:rStyle w:val="Emphasis"/>
          <w:sz w:val="20"/>
          <w:szCs w:val="20"/>
        </w:rPr>
        <w:t>Governance</w:t>
      </w:r>
      <w:r w:rsidRPr="00A71381">
        <w:rPr>
          <w:sz w:val="20"/>
          <w:szCs w:val="20"/>
        </w:rPr>
        <w:t>, 20(1), pp. 1–21.</w:t>
      </w:r>
    </w:p>
    <w:p w14:paraId="593F78DE" w14:textId="77777777" w:rsidR="00A71381" w:rsidRPr="00A71381" w:rsidRDefault="00A71381" w:rsidP="00A71381">
      <w:pPr>
        <w:pStyle w:val="NormalWeb"/>
        <w:rPr>
          <w:sz w:val="20"/>
          <w:szCs w:val="20"/>
        </w:rPr>
      </w:pPr>
      <w:r w:rsidRPr="00A71381">
        <w:rPr>
          <w:sz w:val="20"/>
          <w:szCs w:val="20"/>
        </w:rPr>
        <w:t xml:space="preserve">Levi-Faur, D. (2005) ‘The global diffusion of regulatory capitalism’, </w:t>
      </w:r>
      <w:r w:rsidRPr="00A71381">
        <w:rPr>
          <w:rStyle w:val="Emphasis"/>
          <w:sz w:val="20"/>
          <w:szCs w:val="20"/>
        </w:rPr>
        <w:t>The ANNALS of the American Academy of Political and Social Science</w:t>
      </w:r>
      <w:r w:rsidRPr="00A71381">
        <w:rPr>
          <w:sz w:val="20"/>
          <w:szCs w:val="20"/>
        </w:rPr>
        <w:t>, 598(1), pp. 12–32.</w:t>
      </w:r>
    </w:p>
    <w:p w14:paraId="730CB2D1" w14:textId="77777777" w:rsidR="00A71381" w:rsidRPr="00A71381" w:rsidRDefault="00A71381" w:rsidP="00A71381">
      <w:pPr>
        <w:pStyle w:val="NormalWeb"/>
        <w:rPr>
          <w:sz w:val="20"/>
          <w:szCs w:val="20"/>
        </w:rPr>
      </w:pPr>
      <w:r w:rsidRPr="00A71381">
        <w:rPr>
          <w:sz w:val="20"/>
          <w:szCs w:val="20"/>
        </w:rPr>
        <w:t xml:space="preserve">Levi-Faur, D. (2009) ‘Regulatory capitalism and the reassertion of the public interest’, </w:t>
      </w:r>
      <w:r w:rsidRPr="00A71381">
        <w:rPr>
          <w:rStyle w:val="Emphasis"/>
          <w:sz w:val="20"/>
          <w:szCs w:val="20"/>
        </w:rPr>
        <w:t>Policy and Society</w:t>
      </w:r>
      <w:r w:rsidRPr="00A71381">
        <w:rPr>
          <w:sz w:val="20"/>
          <w:szCs w:val="20"/>
        </w:rPr>
        <w:t>, 27(3), pp. 181–191.</w:t>
      </w:r>
    </w:p>
    <w:p w14:paraId="4934E86C" w14:textId="77777777" w:rsidR="00A71381" w:rsidRPr="00A71381" w:rsidRDefault="00A71381" w:rsidP="00A71381">
      <w:pPr>
        <w:pStyle w:val="NormalWeb"/>
        <w:rPr>
          <w:sz w:val="20"/>
          <w:szCs w:val="20"/>
        </w:rPr>
      </w:pPr>
      <w:r w:rsidRPr="00A71381">
        <w:rPr>
          <w:sz w:val="20"/>
          <w:szCs w:val="20"/>
        </w:rPr>
        <w:t xml:space="preserve">Levi-Faur, D. (ed.) (2012) </w:t>
      </w:r>
      <w:r w:rsidRPr="00A71381">
        <w:rPr>
          <w:rStyle w:val="Emphasis"/>
          <w:sz w:val="20"/>
          <w:szCs w:val="20"/>
        </w:rPr>
        <w:t>The Oxford Handbook of Governance</w:t>
      </w:r>
      <w:r w:rsidRPr="00A71381">
        <w:rPr>
          <w:sz w:val="20"/>
          <w:szCs w:val="20"/>
        </w:rPr>
        <w:t>. Oxford: Oxford University Press.</w:t>
      </w:r>
    </w:p>
    <w:p w14:paraId="0DC551AD" w14:textId="77777777" w:rsidR="00A71381" w:rsidRPr="00A71381" w:rsidRDefault="00A71381" w:rsidP="00A71381">
      <w:pPr>
        <w:pStyle w:val="NormalWeb"/>
        <w:rPr>
          <w:sz w:val="20"/>
          <w:szCs w:val="20"/>
        </w:rPr>
      </w:pPr>
      <w:proofErr w:type="spellStart"/>
      <w:r w:rsidRPr="00A71381">
        <w:rPr>
          <w:sz w:val="20"/>
          <w:szCs w:val="20"/>
        </w:rPr>
        <w:t>Majone</w:t>
      </w:r>
      <w:proofErr w:type="spellEnd"/>
      <w:r w:rsidRPr="00A71381">
        <w:rPr>
          <w:sz w:val="20"/>
          <w:szCs w:val="20"/>
        </w:rPr>
        <w:t xml:space="preserve">, G. (1994) ‘The rise of the regulatory state in Europe’, </w:t>
      </w:r>
      <w:r w:rsidRPr="00A71381">
        <w:rPr>
          <w:rStyle w:val="Emphasis"/>
          <w:sz w:val="20"/>
          <w:szCs w:val="20"/>
        </w:rPr>
        <w:t>West European Politics</w:t>
      </w:r>
      <w:r w:rsidRPr="00A71381">
        <w:rPr>
          <w:sz w:val="20"/>
          <w:szCs w:val="20"/>
        </w:rPr>
        <w:t>, 17(3), pp. 77–101.</w:t>
      </w:r>
    </w:p>
    <w:p w14:paraId="65DB168A" w14:textId="77777777" w:rsidR="00A71381" w:rsidRPr="00A71381" w:rsidRDefault="00A71381" w:rsidP="00A71381">
      <w:pPr>
        <w:pStyle w:val="NormalWeb"/>
        <w:rPr>
          <w:sz w:val="20"/>
          <w:szCs w:val="20"/>
        </w:rPr>
      </w:pPr>
      <w:r w:rsidRPr="00A71381">
        <w:rPr>
          <w:sz w:val="20"/>
          <w:szCs w:val="20"/>
        </w:rPr>
        <w:t xml:space="preserve">Ostrom, E. (2005) </w:t>
      </w:r>
      <w:r w:rsidRPr="00A71381">
        <w:rPr>
          <w:rStyle w:val="Emphasis"/>
          <w:sz w:val="20"/>
          <w:szCs w:val="20"/>
        </w:rPr>
        <w:t>Understanding Institutional Diversity</w:t>
      </w:r>
      <w:r w:rsidRPr="00A71381">
        <w:rPr>
          <w:sz w:val="20"/>
          <w:szCs w:val="20"/>
        </w:rPr>
        <w:t>. Princeton, NJ: Princeton University Press.</w:t>
      </w:r>
    </w:p>
    <w:p w14:paraId="20FC8AEB" w14:textId="77777777" w:rsidR="00A71381" w:rsidRPr="00A71381" w:rsidRDefault="00A71381" w:rsidP="00A71381">
      <w:pPr>
        <w:pStyle w:val="NormalWeb"/>
        <w:rPr>
          <w:sz w:val="20"/>
          <w:szCs w:val="20"/>
        </w:rPr>
      </w:pPr>
      <w:r w:rsidRPr="00A71381">
        <w:rPr>
          <w:sz w:val="20"/>
          <w:szCs w:val="20"/>
        </w:rPr>
        <w:t xml:space="preserve">Rhodes, R.A.W. (1996) ‘The new governance: governing without government’, </w:t>
      </w:r>
      <w:r w:rsidRPr="00A71381">
        <w:rPr>
          <w:rStyle w:val="Emphasis"/>
          <w:sz w:val="20"/>
          <w:szCs w:val="20"/>
        </w:rPr>
        <w:t>Political Studies</w:t>
      </w:r>
      <w:r w:rsidRPr="00A71381">
        <w:rPr>
          <w:sz w:val="20"/>
          <w:szCs w:val="20"/>
        </w:rPr>
        <w:t>, 44(4), pp. 652–667.</w:t>
      </w:r>
    </w:p>
    <w:p w14:paraId="136A2A99" w14:textId="77777777" w:rsidR="00A71381" w:rsidRPr="00A71381" w:rsidRDefault="00A71381" w:rsidP="00A71381">
      <w:pPr>
        <w:pStyle w:val="NormalWeb"/>
        <w:rPr>
          <w:sz w:val="20"/>
          <w:szCs w:val="20"/>
        </w:rPr>
      </w:pPr>
      <w:proofErr w:type="spellStart"/>
      <w:r w:rsidRPr="00A71381">
        <w:rPr>
          <w:sz w:val="20"/>
          <w:szCs w:val="20"/>
        </w:rPr>
        <w:t>Sabel</w:t>
      </w:r>
      <w:proofErr w:type="spellEnd"/>
      <w:r w:rsidRPr="00A71381">
        <w:rPr>
          <w:sz w:val="20"/>
          <w:szCs w:val="20"/>
        </w:rPr>
        <w:t xml:space="preserve">, C.F. and Zeitlin, J. (2008) ‘Learning from difference: the new architecture of experimentalist governance in the EU’, </w:t>
      </w:r>
      <w:r w:rsidRPr="00A71381">
        <w:rPr>
          <w:rStyle w:val="Emphasis"/>
          <w:sz w:val="20"/>
          <w:szCs w:val="20"/>
        </w:rPr>
        <w:t>European Law Journal</w:t>
      </w:r>
      <w:r w:rsidRPr="00A71381">
        <w:rPr>
          <w:sz w:val="20"/>
          <w:szCs w:val="20"/>
        </w:rPr>
        <w:t>, 14(3), pp. 271–327.</w:t>
      </w:r>
    </w:p>
    <w:p w14:paraId="6AF0DF29" w14:textId="77777777" w:rsidR="00A71381" w:rsidRPr="00A71381" w:rsidRDefault="00A71381" w:rsidP="00A71381">
      <w:pPr>
        <w:pStyle w:val="NormalWeb"/>
        <w:rPr>
          <w:sz w:val="20"/>
          <w:szCs w:val="20"/>
        </w:rPr>
      </w:pPr>
      <w:proofErr w:type="spellStart"/>
      <w:r w:rsidRPr="00A71381">
        <w:rPr>
          <w:sz w:val="20"/>
          <w:szCs w:val="20"/>
        </w:rPr>
        <w:t>Sabel</w:t>
      </w:r>
      <w:proofErr w:type="spellEnd"/>
      <w:r w:rsidRPr="00A71381">
        <w:rPr>
          <w:sz w:val="20"/>
          <w:szCs w:val="20"/>
        </w:rPr>
        <w:t xml:space="preserve">, C.F. and Zeitlin, J. (2012) ‘Experimentalist governance’, in Levi-Faur, D. (ed.) </w:t>
      </w:r>
      <w:r w:rsidRPr="00A71381">
        <w:rPr>
          <w:rStyle w:val="Emphasis"/>
          <w:sz w:val="20"/>
          <w:szCs w:val="20"/>
        </w:rPr>
        <w:t>The Oxford Handbook of Governance</w:t>
      </w:r>
      <w:r w:rsidRPr="00A71381">
        <w:rPr>
          <w:sz w:val="20"/>
          <w:szCs w:val="20"/>
        </w:rPr>
        <w:t>. Oxford: Oxford University Press, pp. 169–184.</w:t>
      </w:r>
    </w:p>
    <w:p w14:paraId="35AE0ED9" w14:textId="77777777" w:rsidR="00A71381" w:rsidRPr="00A71381" w:rsidRDefault="00A71381" w:rsidP="00A71381">
      <w:pPr>
        <w:pStyle w:val="NormalWeb"/>
        <w:rPr>
          <w:sz w:val="20"/>
          <w:szCs w:val="20"/>
        </w:rPr>
      </w:pPr>
      <w:r w:rsidRPr="00A71381">
        <w:rPr>
          <w:sz w:val="20"/>
          <w:szCs w:val="20"/>
        </w:rPr>
        <w:t xml:space="preserve">Scott, C. (2004) ‘Regulation in the age of governance: the rise of the post-regulatory state’, in Jordana, J. and Levi-Faur, D. (eds) </w:t>
      </w:r>
      <w:r w:rsidRPr="00A71381">
        <w:rPr>
          <w:rStyle w:val="Emphasis"/>
          <w:sz w:val="20"/>
          <w:szCs w:val="20"/>
        </w:rPr>
        <w:t>The Politics of Regulation</w:t>
      </w:r>
      <w:r w:rsidRPr="00A71381">
        <w:rPr>
          <w:sz w:val="20"/>
          <w:szCs w:val="20"/>
        </w:rPr>
        <w:t>. Cheltenham: Edward Elgar.</w:t>
      </w:r>
    </w:p>
    <w:p w14:paraId="717C647C" w14:textId="77777777" w:rsidR="00A71381" w:rsidRPr="00A71381" w:rsidRDefault="00A71381" w:rsidP="00A71381">
      <w:pPr>
        <w:pStyle w:val="NormalWeb"/>
        <w:rPr>
          <w:sz w:val="20"/>
          <w:szCs w:val="20"/>
        </w:rPr>
      </w:pPr>
      <w:proofErr w:type="spellStart"/>
      <w:r w:rsidRPr="00A71381">
        <w:rPr>
          <w:sz w:val="20"/>
          <w:szCs w:val="20"/>
        </w:rPr>
        <w:t>Seidl</w:t>
      </w:r>
      <w:proofErr w:type="spellEnd"/>
      <w:r w:rsidRPr="00A71381">
        <w:rPr>
          <w:sz w:val="20"/>
          <w:szCs w:val="20"/>
        </w:rPr>
        <w:t xml:space="preserve">, T. and </w:t>
      </w:r>
      <w:proofErr w:type="spellStart"/>
      <w:r w:rsidRPr="00A71381">
        <w:rPr>
          <w:sz w:val="20"/>
          <w:szCs w:val="20"/>
        </w:rPr>
        <w:t>Kosti</w:t>
      </w:r>
      <w:proofErr w:type="spellEnd"/>
      <w:r w:rsidRPr="00A71381">
        <w:rPr>
          <w:sz w:val="20"/>
          <w:szCs w:val="20"/>
        </w:rPr>
        <w:t>, N. (2026) ‘Mapping Europe’s Digital Acquis: A Granular History of EU Digital Policymaking’, unpublished manuscript, 21 September 2026.</w:t>
      </w:r>
    </w:p>
    <w:p w14:paraId="4C27D817" w14:textId="77777777" w:rsidR="00A71381" w:rsidRPr="00A71381" w:rsidRDefault="00A71381" w:rsidP="00A71381">
      <w:pPr>
        <w:pStyle w:val="NormalWeb"/>
        <w:rPr>
          <w:sz w:val="20"/>
          <w:szCs w:val="20"/>
        </w:rPr>
      </w:pPr>
      <w:proofErr w:type="spellStart"/>
      <w:r w:rsidRPr="00A71381">
        <w:rPr>
          <w:sz w:val="20"/>
          <w:szCs w:val="20"/>
        </w:rPr>
        <w:t>Siddiki</w:t>
      </w:r>
      <w:proofErr w:type="spellEnd"/>
      <w:r w:rsidRPr="00A71381">
        <w:rPr>
          <w:sz w:val="20"/>
          <w:szCs w:val="20"/>
        </w:rPr>
        <w:t xml:space="preserve">, S. and Frantz, C.K. (2024) ‘Understanding regulation using the Institutional Grammar 2.0’, </w:t>
      </w:r>
      <w:r w:rsidRPr="00A71381">
        <w:rPr>
          <w:rStyle w:val="Emphasis"/>
          <w:sz w:val="20"/>
          <w:szCs w:val="20"/>
        </w:rPr>
        <w:t>Regulation &amp; Governance</w:t>
      </w:r>
      <w:r w:rsidRPr="00A71381">
        <w:rPr>
          <w:sz w:val="20"/>
          <w:szCs w:val="20"/>
        </w:rPr>
        <w:t>, 18(3), pp. 674–687.</w:t>
      </w:r>
    </w:p>
    <w:p w14:paraId="2F99CBB0" w14:textId="77777777" w:rsidR="00A71381" w:rsidRPr="00A71381" w:rsidRDefault="00A71381" w:rsidP="00A71381">
      <w:pPr>
        <w:pStyle w:val="NormalWeb"/>
        <w:rPr>
          <w:sz w:val="20"/>
          <w:szCs w:val="20"/>
        </w:rPr>
      </w:pPr>
      <w:proofErr w:type="spellStart"/>
      <w:r w:rsidRPr="00A71381">
        <w:rPr>
          <w:sz w:val="20"/>
          <w:szCs w:val="20"/>
        </w:rPr>
        <w:t>Treib</w:t>
      </w:r>
      <w:proofErr w:type="spellEnd"/>
      <w:r w:rsidRPr="00A71381">
        <w:rPr>
          <w:sz w:val="20"/>
          <w:szCs w:val="20"/>
        </w:rPr>
        <w:t xml:space="preserve">, O., </w:t>
      </w:r>
      <w:proofErr w:type="spellStart"/>
      <w:r w:rsidRPr="00A71381">
        <w:rPr>
          <w:sz w:val="20"/>
          <w:szCs w:val="20"/>
        </w:rPr>
        <w:t>Bähr</w:t>
      </w:r>
      <w:proofErr w:type="spellEnd"/>
      <w:r w:rsidRPr="00A71381">
        <w:rPr>
          <w:sz w:val="20"/>
          <w:szCs w:val="20"/>
        </w:rPr>
        <w:t xml:space="preserve">, H. and Falkner, G. (2007) ‘Modes of governance: towards a conceptual clarification’, </w:t>
      </w:r>
      <w:r w:rsidRPr="00A71381">
        <w:rPr>
          <w:rStyle w:val="Emphasis"/>
          <w:sz w:val="20"/>
          <w:szCs w:val="20"/>
        </w:rPr>
        <w:t>Journal of European Public Policy</w:t>
      </w:r>
      <w:r w:rsidRPr="00A71381">
        <w:rPr>
          <w:sz w:val="20"/>
          <w:szCs w:val="20"/>
        </w:rPr>
        <w:t>, 14(1), pp. 1–20.</w:t>
      </w:r>
    </w:p>
    <w:p w14:paraId="625B406E" w14:textId="77777777" w:rsidR="00A71381" w:rsidRPr="00BB24A5" w:rsidRDefault="00A71381" w:rsidP="00A71381">
      <w:pPr>
        <w:spacing w:line="276" w:lineRule="auto"/>
        <w:jc w:val="both"/>
        <w:rPr>
          <w:rFonts w:asciiTheme="majorBidi" w:hAnsiTheme="majorBidi" w:cstheme="majorBidi"/>
          <w:sz w:val="24"/>
          <w:szCs w:val="24"/>
        </w:rPr>
      </w:pPr>
    </w:p>
    <w:p w14:paraId="61AEFF62" w14:textId="77777777" w:rsidR="00A71381" w:rsidRDefault="00A71381" w:rsidP="00BB24A5">
      <w:pPr>
        <w:jc w:val="both"/>
        <w:rPr>
          <w:rFonts w:asciiTheme="majorBidi" w:hAnsiTheme="majorBidi" w:cstheme="majorBidi"/>
          <w:sz w:val="24"/>
          <w:szCs w:val="24"/>
        </w:rPr>
      </w:pPr>
    </w:p>
    <w:p w14:paraId="7081F8FF" w14:textId="77777777" w:rsidR="00FC6A57" w:rsidRDefault="00FC6A57">
      <w:pPr>
        <w:spacing w:after="200" w:line="276" w:lineRule="auto"/>
        <w:rPr>
          <w:rFonts w:asciiTheme="majorBidi" w:eastAsiaTheme="majorEastAsia" w:hAnsiTheme="majorBidi" w:cstheme="majorBidi"/>
          <w:b/>
          <w:bCs/>
          <w:color w:val="365F91" w:themeColor="accent1" w:themeShade="BF"/>
          <w:sz w:val="24"/>
          <w:szCs w:val="24"/>
        </w:rPr>
      </w:pPr>
      <w:r>
        <w:rPr>
          <w:rFonts w:asciiTheme="majorBidi" w:hAnsiTheme="majorBidi"/>
          <w:sz w:val="24"/>
          <w:szCs w:val="24"/>
        </w:rPr>
        <w:br w:type="page"/>
      </w:r>
    </w:p>
    <w:sectPr w:rsidR="00FC6A57" w:rsidSect="003D4F54">
      <w:type w:val="continuous"/>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137F9" w14:textId="77777777" w:rsidR="000B6BFF" w:rsidRDefault="000B6BFF" w:rsidP="00FC6A57">
      <w:pPr>
        <w:spacing w:after="0" w:line="240" w:lineRule="auto"/>
      </w:pPr>
      <w:r>
        <w:separator/>
      </w:r>
    </w:p>
  </w:endnote>
  <w:endnote w:type="continuationSeparator" w:id="0">
    <w:p w14:paraId="2F24C35D" w14:textId="77777777" w:rsidR="000B6BFF" w:rsidRDefault="000B6BFF" w:rsidP="00FC6A57">
      <w:pPr>
        <w:spacing w:after="0" w:line="240" w:lineRule="auto"/>
      </w:pPr>
      <w:r>
        <w:continuationSeparator/>
      </w:r>
    </w:p>
  </w:endnote>
  <w:endnote w:id="1">
    <w:p w14:paraId="27C7D726" w14:textId="77777777" w:rsidR="003D4F54" w:rsidRPr="00A71381" w:rsidRDefault="003D4F54" w:rsidP="003D4F54">
      <w:pPr>
        <w:autoSpaceDE w:val="0"/>
        <w:autoSpaceDN w:val="0"/>
        <w:adjustRightInd w:val="0"/>
        <w:spacing w:after="180" w:line="240" w:lineRule="auto"/>
        <w:rPr>
          <w:rFonts w:asciiTheme="majorBidi" w:hAnsiTheme="majorBidi" w:cstheme="majorBidi"/>
          <w:sz w:val="20"/>
          <w:szCs w:val="20"/>
        </w:rPr>
      </w:pPr>
      <w:r w:rsidRPr="00897A61">
        <w:rPr>
          <w:rStyle w:val="EndnoteReference"/>
        </w:rPr>
        <w:endnoteRef/>
      </w:r>
      <w:r>
        <w:rPr>
          <w:rFonts w:ascii="Helvetica" w:hAnsi="Helvetica"/>
          <w:sz w:val="24"/>
          <w:szCs w:val="24"/>
        </w:rPr>
        <w:t> </w:t>
      </w:r>
      <w:r w:rsidRPr="00A71381">
        <w:rPr>
          <w:rFonts w:asciiTheme="majorBidi" w:hAnsiTheme="majorBidi" w:cstheme="majorBidi"/>
          <w:sz w:val="20"/>
          <w:szCs w:val="20"/>
        </w:rPr>
        <w:t>The CCP requires coders to record the section or article supporting each response and normally codes each constitutional event independently twice before reconciliation.</w:t>
      </w:r>
    </w:p>
    <w:p w14:paraId="38959D0E" w14:textId="77777777" w:rsidR="003D4F54" w:rsidRPr="00A71381" w:rsidRDefault="003D4F54" w:rsidP="003D4F54">
      <w:pPr>
        <w:autoSpaceDE w:val="0"/>
        <w:autoSpaceDN w:val="0"/>
        <w:adjustRightInd w:val="0"/>
        <w:spacing w:after="0" w:line="240" w:lineRule="auto"/>
        <w:rPr>
          <w:rFonts w:asciiTheme="majorBidi" w:hAnsiTheme="majorBidi" w:cstheme="majorBidi"/>
          <w:sz w:val="20"/>
          <w:szCs w:val="20"/>
        </w:rPr>
      </w:pPr>
    </w:p>
  </w:endnote>
  <w:endnote w:id="2">
    <w:p w14:paraId="5EB6EA2A" w14:textId="77777777" w:rsidR="003D4F54" w:rsidRPr="00A71381" w:rsidRDefault="003D4F54" w:rsidP="003D4F54">
      <w:pPr>
        <w:autoSpaceDE w:val="0"/>
        <w:autoSpaceDN w:val="0"/>
        <w:adjustRightInd w:val="0"/>
        <w:spacing w:after="180" w:line="240" w:lineRule="auto"/>
        <w:rPr>
          <w:rFonts w:asciiTheme="majorBidi" w:hAnsiTheme="majorBidi" w:cstheme="majorBidi"/>
          <w:sz w:val="20"/>
          <w:szCs w:val="20"/>
        </w:rPr>
      </w:pPr>
      <w:r w:rsidRPr="00A71381">
        <w:rPr>
          <w:rStyle w:val="EndnoteReference"/>
          <w:rFonts w:asciiTheme="majorBidi" w:hAnsiTheme="majorBidi" w:cstheme="majorBidi"/>
          <w:sz w:val="20"/>
          <w:szCs w:val="20"/>
        </w:rPr>
        <w:endnoteRef/>
      </w:r>
      <w:r w:rsidRPr="00A71381">
        <w:rPr>
          <w:rFonts w:asciiTheme="majorBidi" w:hAnsiTheme="majorBidi" w:cstheme="majorBidi"/>
          <w:sz w:val="20"/>
          <w:szCs w:val="20"/>
        </w:rPr>
        <w:t> Seidl and Kosti define a provision as a recital or an operative (sub-)article unit. Where articles contain numbered paragraphs, these are separated because different paragraphs may contain distinct substantive or deontic content.</w:t>
      </w:r>
    </w:p>
    <w:p w14:paraId="2A42436C" w14:textId="77777777" w:rsidR="003D4F54" w:rsidRPr="00A71381" w:rsidRDefault="003D4F54" w:rsidP="003D4F54">
      <w:pPr>
        <w:autoSpaceDE w:val="0"/>
        <w:autoSpaceDN w:val="0"/>
        <w:adjustRightInd w:val="0"/>
        <w:spacing w:after="0" w:line="240" w:lineRule="auto"/>
        <w:rPr>
          <w:rFonts w:asciiTheme="majorBidi" w:hAnsiTheme="majorBidi" w:cstheme="majorBidi"/>
          <w:sz w:val="20"/>
          <w:szCs w:val="20"/>
        </w:rPr>
      </w:pPr>
    </w:p>
  </w:endnote>
  <w:endnote w:id="3">
    <w:p w14:paraId="4B214ADE" w14:textId="77777777" w:rsidR="003D4F54" w:rsidRPr="00A71381" w:rsidRDefault="003D4F54" w:rsidP="003D4F54">
      <w:pPr>
        <w:autoSpaceDE w:val="0"/>
        <w:autoSpaceDN w:val="0"/>
        <w:adjustRightInd w:val="0"/>
        <w:spacing w:after="180" w:line="240" w:lineRule="auto"/>
        <w:rPr>
          <w:rFonts w:asciiTheme="majorBidi" w:hAnsiTheme="majorBidi" w:cstheme="majorBidi"/>
          <w:sz w:val="20"/>
          <w:szCs w:val="20"/>
        </w:rPr>
      </w:pPr>
      <w:r w:rsidRPr="00A71381">
        <w:rPr>
          <w:rStyle w:val="EndnoteReference"/>
          <w:rFonts w:asciiTheme="majorBidi" w:hAnsiTheme="majorBidi" w:cstheme="majorBidi"/>
          <w:sz w:val="20"/>
          <w:szCs w:val="20"/>
        </w:rPr>
        <w:endnoteRef/>
      </w:r>
      <w:r w:rsidRPr="00A71381">
        <w:rPr>
          <w:rFonts w:asciiTheme="majorBidi" w:hAnsiTheme="majorBidi" w:cstheme="majorBidi"/>
          <w:sz w:val="20"/>
          <w:szCs w:val="20"/>
        </w:rPr>
        <w:t> This is a methodological synthesis rather than a claim that existing projects share a common ontology. Their coding objectives differ substantially: constitutional design, legal protection, regulatory burden, policy content, and institutional grammar are distinct research objects.</w:t>
      </w:r>
    </w:p>
    <w:p w14:paraId="57420F2C" w14:textId="77777777" w:rsidR="003D4F54" w:rsidRDefault="003D4F54" w:rsidP="003D4F54">
      <w:pPr>
        <w:autoSpaceDE w:val="0"/>
        <w:autoSpaceDN w:val="0"/>
        <w:adjustRightInd w:val="0"/>
        <w:spacing w:after="0" w:line="240" w:lineRule="auto"/>
        <w:rPr>
          <w:rFonts w:ascii="Helvetica" w:hAnsi="Helvetica"/>
          <w:sz w:val="24"/>
          <w:szCs w:val="2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3019035"/>
      <w:docPartObj>
        <w:docPartGallery w:val="Page Numbers (Bottom of Page)"/>
        <w:docPartUnique/>
      </w:docPartObj>
    </w:sdtPr>
    <w:sdtEndPr/>
    <w:sdtContent>
      <w:p w14:paraId="0BFE4DF9" w14:textId="03E41EED" w:rsidR="00FC6A57" w:rsidRDefault="00FC6A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2EC924" w14:textId="77777777" w:rsidR="00FC6A57" w:rsidRDefault="00FC6A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03F0C" w14:textId="77777777" w:rsidR="000B6BFF" w:rsidRDefault="000B6BFF" w:rsidP="00FC6A57">
      <w:pPr>
        <w:spacing w:after="0" w:line="240" w:lineRule="auto"/>
      </w:pPr>
      <w:r>
        <w:separator/>
      </w:r>
    </w:p>
  </w:footnote>
  <w:footnote w:type="continuationSeparator" w:id="0">
    <w:p w14:paraId="57A7C41B" w14:textId="77777777" w:rsidR="000B6BFF" w:rsidRDefault="000B6BFF" w:rsidP="00FC6A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E5B9E"/>
    <w:multiLevelType w:val="hybridMultilevel"/>
    <w:tmpl w:val="E86C30AA"/>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405994"/>
    <w:multiLevelType w:val="hybridMultilevel"/>
    <w:tmpl w:val="8FE0FF5E"/>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BB181B"/>
    <w:multiLevelType w:val="hybridMultilevel"/>
    <w:tmpl w:val="D1E034BA"/>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20F"/>
    <w:rsid w:val="0006063C"/>
    <w:rsid w:val="00094FA3"/>
    <w:rsid w:val="000B6BFF"/>
    <w:rsid w:val="000D3435"/>
    <w:rsid w:val="00131948"/>
    <w:rsid w:val="0015074B"/>
    <w:rsid w:val="00281531"/>
    <w:rsid w:val="002835F4"/>
    <w:rsid w:val="0029639D"/>
    <w:rsid w:val="00326F90"/>
    <w:rsid w:val="0033094E"/>
    <w:rsid w:val="003343B5"/>
    <w:rsid w:val="00356192"/>
    <w:rsid w:val="0036629B"/>
    <w:rsid w:val="00384178"/>
    <w:rsid w:val="003902C2"/>
    <w:rsid w:val="003D4F54"/>
    <w:rsid w:val="00430001"/>
    <w:rsid w:val="00444355"/>
    <w:rsid w:val="005219AB"/>
    <w:rsid w:val="00524B8E"/>
    <w:rsid w:val="006C4FF1"/>
    <w:rsid w:val="006E130A"/>
    <w:rsid w:val="007B18C5"/>
    <w:rsid w:val="00854980"/>
    <w:rsid w:val="00A71381"/>
    <w:rsid w:val="00AA1D8D"/>
    <w:rsid w:val="00B47730"/>
    <w:rsid w:val="00B746D2"/>
    <w:rsid w:val="00BB24A5"/>
    <w:rsid w:val="00CB0664"/>
    <w:rsid w:val="00CB41FD"/>
    <w:rsid w:val="00DF0FF2"/>
    <w:rsid w:val="00E23373"/>
    <w:rsid w:val="00E56F0F"/>
    <w:rsid w:val="00ED1D0E"/>
    <w:rsid w:val="00FC693F"/>
    <w:rsid w:val="00FC6A5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5E816"/>
  <w14:defaultImageDpi w14:val="300"/>
  <w15:docId w15:val="{7BA25E11-3640-43A1-BA11-F7E11B3EC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3B5"/>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C6A57"/>
    <w:pPr>
      <w:spacing w:before="100" w:beforeAutospacing="1" w:afterAutospacing="1" w:line="240" w:lineRule="auto"/>
    </w:pPr>
    <w:rPr>
      <w:rFonts w:ascii="Times New Roman" w:eastAsia="Times New Roman" w:hAnsi="Times New Roman" w:cs="Times New Roman"/>
      <w:sz w:val="24"/>
      <w:szCs w:val="24"/>
      <w:lang w:bidi="he-IL"/>
    </w:rPr>
  </w:style>
  <w:style w:type="character" w:styleId="EndnoteReference">
    <w:name w:val="endnote reference"/>
    <w:basedOn w:val="DefaultParagraphFont"/>
    <w:uiPriority w:val="99"/>
    <w:semiHidden/>
    <w:unhideWhenUsed/>
    <w:rsid w:val="003D4F54"/>
    <w:rPr>
      <w:vertAlign w:val="superscript"/>
    </w:rPr>
  </w:style>
  <w:style w:type="character" w:styleId="CommentReference">
    <w:name w:val="annotation reference"/>
    <w:basedOn w:val="DefaultParagraphFont"/>
    <w:uiPriority w:val="99"/>
    <w:semiHidden/>
    <w:unhideWhenUsed/>
    <w:rsid w:val="0033094E"/>
    <w:rPr>
      <w:sz w:val="16"/>
      <w:szCs w:val="16"/>
    </w:rPr>
  </w:style>
  <w:style w:type="paragraph" w:styleId="CommentText">
    <w:name w:val="annotation text"/>
    <w:basedOn w:val="Normal"/>
    <w:link w:val="CommentTextChar"/>
    <w:uiPriority w:val="99"/>
    <w:semiHidden/>
    <w:unhideWhenUsed/>
    <w:rsid w:val="0033094E"/>
    <w:pPr>
      <w:spacing w:line="240" w:lineRule="auto"/>
    </w:pPr>
    <w:rPr>
      <w:sz w:val="20"/>
      <w:szCs w:val="20"/>
    </w:rPr>
  </w:style>
  <w:style w:type="character" w:customStyle="1" w:styleId="CommentTextChar">
    <w:name w:val="Comment Text Char"/>
    <w:basedOn w:val="DefaultParagraphFont"/>
    <w:link w:val="CommentText"/>
    <w:uiPriority w:val="99"/>
    <w:semiHidden/>
    <w:rsid w:val="0033094E"/>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33094E"/>
    <w:rPr>
      <w:b/>
      <w:bCs/>
    </w:rPr>
  </w:style>
  <w:style w:type="character" w:customStyle="1" w:styleId="CommentSubjectChar">
    <w:name w:val="Comment Subject Char"/>
    <w:basedOn w:val="CommentTextChar"/>
    <w:link w:val="CommentSubject"/>
    <w:uiPriority w:val="99"/>
    <w:semiHidden/>
    <w:rsid w:val="0033094E"/>
    <w:rPr>
      <w:rFonts w:ascii="Aptos" w:hAnsi="Aptos"/>
      <w:b/>
      <w:bCs/>
      <w:sz w:val="20"/>
      <w:szCs w:val="20"/>
    </w:rPr>
  </w:style>
  <w:style w:type="character" w:styleId="Hyperlink">
    <w:name w:val="Hyperlink"/>
    <w:basedOn w:val="DefaultParagraphFont"/>
    <w:uiPriority w:val="99"/>
    <w:semiHidden/>
    <w:unhideWhenUsed/>
    <w:rsid w:val="0033094E"/>
    <w:rPr>
      <w:color w:val="0000FF"/>
      <w:u w:val="single"/>
    </w:rPr>
  </w:style>
  <w:style w:type="paragraph" w:customStyle="1" w:styleId="FirstParagraph">
    <w:name w:val="First Paragraph"/>
    <w:basedOn w:val="BodyText"/>
    <w:next w:val="BodyText"/>
    <w:uiPriority w:val="99"/>
    <w:rsid w:val="00356192"/>
    <w:pPr>
      <w:widowControl w:val="0"/>
      <w:autoSpaceDE w:val="0"/>
      <w:autoSpaceDN w:val="0"/>
      <w:adjustRightInd w:val="0"/>
      <w:spacing w:after="0" w:line="240" w:lineRule="auto"/>
    </w:pPr>
    <w:rPr>
      <w:rFonts w:ascii="Cambria" w:hAnsi="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02554">
      <w:bodyDiv w:val="1"/>
      <w:marLeft w:val="0"/>
      <w:marRight w:val="0"/>
      <w:marTop w:val="0"/>
      <w:marBottom w:val="0"/>
      <w:divBdr>
        <w:top w:val="none" w:sz="0" w:space="0" w:color="auto"/>
        <w:left w:val="none" w:sz="0" w:space="0" w:color="auto"/>
        <w:bottom w:val="none" w:sz="0" w:space="0" w:color="auto"/>
        <w:right w:val="none" w:sz="0" w:space="0" w:color="auto"/>
      </w:divBdr>
    </w:div>
    <w:div w:id="100301748">
      <w:bodyDiv w:val="1"/>
      <w:marLeft w:val="0"/>
      <w:marRight w:val="0"/>
      <w:marTop w:val="0"/>
      <w:marBottom w:val="0"/>
      <w:divBdr>
        <w:top w:val="none" w:sz="0" w:space="0" w:color="auto"/>
        <w:left w:val="none" w:sz="0" w:space="0" w:color="auto"/>
        <w:bottom w:val="none" w:sz="0" w:space="0" w:color="auto"/>
        <w:right w:val="none" w:sz="0" w:space="0" w:color="auto"/>
      </w:divBdr>
    </w:div>
    <w:div w:id="597953340">
      <w:bodyDiv w:val="1"/>
      <w:marLeft w:val="0"/>
      <w:marRight w:val="0"/>
      <w:marTop w:val="0"/>
      <w:marBottom w:val="0"/>
      <w:divBdr>
        <w:top w:val="none" w:sz="0" w:space="0" w:color="auto"/>
        <w:left w:val="none" w:sz="0" w:space="0" w:color="auto"/>
        <w:bottom w:val="none" w:sz="0" w:space="0" w:color="auto"/>
        <w:right w:val="none" w:sz="0" w:space="0" w:color="auto"/>
      </w:divBdr>
    </w:div>
    <w:div w:id="659969219">
      <w:bodyDiv w:val="1"/>
      <w:marLeft w:val="0"/>
      <w:marRight w:val="0"/>
      <w:marTop w:val="0"/>
      <w:marBottom w:val="0"/>
      <w:divBdr>
        <w:top w:val="none" w:sz="0" w:space="0" w:color="auto"/>
        <w:left w:val="none" w:sz="0" w:space="0" w:color="auto"/>
        <w:bottom w:val="none" w:sz="0" w:space="0" w:color="auto"/>
        <w:right w:val="none" w:sz="0" w:space="0" w:color="auto"/>
      </w:divBdr>
    </w:div>
    <w:div w:id="663751675">
      <w:bodyDiv w:val="1"/>
      <w:marLeft w:val="0"/>
      <w:marRight w:val="0"/>
      <w:marTop w:val="0"/>
      <w:marBottom w:val="0"/>
      <w:divBdr>
        <w:top w:val="none" w:sz="0" w:space="0" w:color="auto"/>
        <w:left w:val="none" w:sz="0" w:space="0" w:color="auto"/>
        <w:bottom w:val="none" w:sz="0" w:space="0" w:color="auto"/>
        <w:right w:val="none" w:sz="0" w:space="0" w:color="auto"/>
      </w:divBdr>
      <w:divsChild>
        <w:div w:id="820997569">
          <w:marLeft w:val="0"/>
          <w:marRight w:val="0"/>
          <w:marTop w:val="0"/>
          <w:marBottom w:val="0"/>
          <w:divBdr>
            <w:top w:val="none" w:sz="0" w:space="0" w:color="auto"/>
            <w:left w:val="none" w:sz="0" w:space="0" w:color="auto"/>
            <w:bottom w:val="none" w:sz="0" w:space="0" w:color="auto"/>
            <w:right w:val="none" w:sz="0" w:space="0" w:color="auto"/>
          </w:divBdr>
          <w:divsChild>
            <w:div w:id="178013740">
              <w:marLeft w:val="0"/>
              <w:marRight w:val="0"/>
              <w:marTop w:val="0"/>
              <w:marBottom w:val="0"/>
              <w:divBdr>
                <w:top w:val="none" w:sz="0" w:space="0" w:color="auto"/>
                <w:left w:val="none" w:sz="0" w:space="0" w:color="auto"/>
                <w:bottom w:val="none" w:sz="0" w:space="0" w:color="auto"/>
                <w:right w:val="none" w:sz="0" w:space="0" w:color="auto"/>
              </w:divBdr>
              <w:divsChild>
                <w:div w:id="6685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9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445564">
      <w:bodyDiv w:val="1"/>
      <w:marLeft w:val="0"/>
      <w:marRight w:val="0"/>
      <w:marTop w:val="0"/>
      <w:marBottom w:val="0"/>
      <w:divBdr>
        <w:top w:val="none" w:sz="0" w:space="0" w:color="auto"/>
        <w:left w:val="none" w:sz="0" w:space="0" w:color="auto"/>
        <w:bottom w:val="none" w:sz="0" w:space="0" w:color="auto"/>
        <w:right w:val="none" w:sz="0" w:space="0" w:color="auto"/>
      </w:divBdr>
    </w:div>
    <w:div w:id="933395928">
      <w:bodyDiv w:val="1"/>
      <w:marLeft w:val="0"/>
      <w:marRight w:val="0"/>
      <w:marTop w:val="0"/>
      <w:marBottom w:val="0"/>
      <w:divBdr>
        <w:top w:val="none" w:sz="0" w:space="0" w:color="auto"/>
        <w:left w:val="none" w:sz="0" w:space="0" w:color="auto"/>
        <w:bottom w:val="none" w:sz="0" w:space="0" w:color="auto"/>
        <w:right w:val="none" w:sz="0" w:space="0" w:color="auto"/>
      </w:divBdr>
    </w:div>
    <w:div w:id="1306012079">
      <w:bodyDiv w:val="1"/>
      <w:marLeft w:val="0"/>
      <w:marRight w:val="0"/>
      <w:marTop w:val="0"/>
      <w:marBottom w:val="0"/>
      <w:divBdr>
        <w:top w:val="none" w:sz="0" w:space="0" w:color="auto"/>
        <w:left w:val="none" w:sz="0" w:space="0" w:color="auto"/>
        <w:bottom w:val="none" w:sz="0" w:space="0" w:color="auto"/>
        <w:right w:val="none" w:sz="0" w:space="0" w:color="auto"/>
      </w:divBdr>
    </w:div>
    <w:div w:id="1325281985">
      <w:bodyDiv w:val="1"/>
      <w:marLeft w:val="0"/>
      <w:marRight w:val="0"/>
      <w:marTop w:val="0"/>
      <w:marBottom w:val="0"/>
      <w:divBdr>
        <w:top w:val="none" w:sz="0" w:space="0" w:color="auto"/>
        <w:left w:val="none" w:sz="0" w:space="0" w:color="auto"/>
        <w:bottom w:val="none" w:sz="0" w:space="0" w:color="auto"/>
        <w:right w:val="none" w:sz="0" w:space="0" w:color="auto"/>
      </w:divBdr>
    </w:div>
    <w:div w:id="1343311735">
      <w:bodyDiv w:val="1"/>
      <w:marLeft w:val="0"/>
      <w:marRight w:val="0"/>
      <w:marTop w:val="0"/>
      <w:marBottom w:val="0"/>
      <w:divBdr>
        <w:top w:val="none" w:sz="0" w:space="0" w:color="auto"/>
        <w:left w:val="none" w:sz="0" w:space="0" w:color="auto"/>
        <w:bottom w:val="none" w:sz="0" w:space="0" w:color="auto"/>
        <w:right w:val="none" w:sz="0" w:space="0" w:color="auto"/>
      </w:divBdr>
      <w:divsChild>
        <w:div w:id="2127658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3281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25</Pages>
  <Words>11585</Words>
  <Characters>57928</Characters>
  <Application>Microsoft Office Word</Application>
  <DocSecurity>0</DocSecurity>
  <Lines>482</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Levi Faur</cp:lastModifiedBy>
  <cp:revision>7</cp:revision>
  <cp:lastPrinted>2026-09-29T10:15:00Z</cp:lastPrinted>
  <dcterms:created xsi:type="dcterms:W3CDTF">2026-09-29T13:47:00Z</dcterms:created>
  <dcterms:modified xsi:type="dcterms:W3CDTF">2026-09-29T14:31:00Z</dcterms:modified>
  <cp:category/>
</cp:coreProperties>
</file>