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R3 Technical Note</w:t>
        <w:br/>
      </w:r>
      <w:r>
        <w:rPr>
          <w:color w:val="2F5597"/>
          <w:sz w:val="34"/>
        </w:rPr>
        <w:t>Clean-Room Reconstruction and Regulatory Intermediation Architecture Dataset</w:t>
      </w:r>
    </w:p>
    <w:p>
      <w:r>
        <w:rPr>
          <w:b/>
          <w:color w:val="444444"/>
          <w:sz w:val="24"/>
        </w:rPr>
        <w:t>Five EU Climate-Regulation Case Studies</w:t>
      </w:r>
    </w:p>
    <w:p>
      <w:r>
        <w:rPr>
          <w:b/>
        </w:rPr>
        <w:t>Prepared by: Igor Caires Machado</w:t>
        <w:br/>
      </w:r>
      <w:r>
        <w:t>For methodological and conceptual review by David Levi-Faur and Rotem Medzini</w:t>
        <w:br/>
      </w:r>
      <w:r>
        <w:t>R3 freeze date: 21 September 2026</w:t>
      </w:r>
    </w:p>
    <w:tbl>
      <w:tblPr>
        <w:tblW w:type="auto" w:w="0"/>
        <w:jc w:val="center"/>
        <w:tblLook w:firstColumn="1" w:firstRow="1" w:lastColumn="0" w:lastRow="0" w:noHBand="0" w:noVBand="1" w:val="04A0"/>
      </w:tblPr>
      <w:tblGrid>
        <w:gridCol w:w="9994"/>
      </w:tblGrid>
      <w:tr>
        <w:tc>
          <w:tcPr>
            <w:tcW w:type="dxa" w:w="9994"/>
            <w:shd w:fill="EAF2F8"/>
          </w:tcPr>
          <w:p>
            <w:pPr>
              <w:spacing w:after="0"/>
            </w:pPr>
            <w:r>
              <w:rPr>
                <w:rFonts w:ascii="Aptos" w:hAnsi="Aptos"/>
                <w:i/>
                <w:sz w:val="19"/>
              </w:rPr>
              <w:t>Status: five-case methodological calibration and dataset-architecture pilot. The study does not claim population-level prevalence, causal effects, observed governance outcomes, or a validated typology of regulatory capacities.</w:t>
            </w:r>
          </w:p>
        </w:tc>
      </w:tr>
    </w:tbl>
    <w:p>
      <w:pPr>
        <w:spacing w:after="20"/>
      </w:pPr>
    </w:p>
    <w:p>
      <w:r>
        <w:br w:type="page"/>
      </w:r>
    </w:p>
    <w:p>
      <w:pPr>
        <w:pStyle w:val="Heading1"/>
      </w:pPr>
      <w:r>
        <w:t>1. Executive summary</w:t>
      </w:r>
    </w:p>
    <w:p>
      <w:r>
        <w:t>R3 reconstructs a five-instrument pilot on regulatory intermediation in EU climate regulation through a clean-room, stage-gated and fully auditable workflow. The central methodological problem was that earlier work contained several relevant dimensions—laws, actors, institutional attributes, regulator–target relations, intermediaries, mechanisms and possible higher-order capacities—but these dimensions did not share the same unit of analysis or evidentiary status. R3 therefore rebuilt the empirical chain from official legal source to mechanism configuration, with each analytical layer frozen before the next one was introduced.</w:t>
      </w:r>
    </w:p>
    <w:p>
      <w:r>
        <w:t>The resulting dataset is organized around a relational rather than flat structure. It separates LAW, LAW × ACTOR, LAW × INTERMEDIARY, R–I–T RELATION, MECHANISM EVENT and MECHANISM CONFIGURATION, while keeping legal evidence and decision provenance as cross-cutting audit layers. A future REGULATORY_CAPACITY layer is intentionally empty.</w:t>
      </w:r>
    </w:p>
    <w:p>
      <w:r>
        <w:rPr>
          <w:b/>
        </w:rPr>
        <w:t xml:space="preserve">Primary empirical research question. </w:t>
      </w:r>
      <w:r>
        <w:t>How are regulatory intermediation mechanisms organized across actors and regulatory relations in EU climate regulation, and how do institutional characteristics of intermediaries relate to different mechanism configurations?</w:t>
      </w:r>
    </w:p>
    <w:p>
      <w:r>
        <w:rPr>
          <w:b/>
        </w:rPr>
        <w:t xml:space="preserve">Theoretical extension. </w:t>
      </w:r>
      <w:r>
        <w:t>Do recurrent configurations of intermediation mechanisms generate distinguishable regulatory capacities? Candidate ideas such as Knowing, Assuring and Steering remain hypotheses, not coded findings.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top"/>
            <w:shd w:fill="17365D"/>
          </w:tcPr>
          <w:p>
            <w:pPr>
              <w:spacing w:after="0" w:line="240" w:lineRule="auto"/>
            </w:pPr>
            <w:r/>
            <w:r>
              <w:rPr>
                <w:rFonts w:ascii="Aptos" w:hAnsi="Aptos"/>
                <w:b/>
                <w:color w:val="FFFFFF"/>
                <w:sz w:val="17"/>
              </w:rPr>
              <w:t>Empirical layer</w:t>
            </w:r>
          </w:p>
        </w:tc>
        <w:tc>
          <w:tcPr>
            <w:tcW w:type="dxa" w:w="1440"/>
            <w:vAlign w:val="top"/>
            <w:shd w:fill="17365D"/>
          </w:tcPr>
          <w:p>
            <w:pPr>
              <w:spacing w:after="0" w:line="240" w:lineRule="auto"/>
            </w:pPr>
            <w:r/>
            <w:r>
              <w:rPr>
                <w:rFonts w:ascii="Aptos" w:hAnsi="Aptos"/>
                <w:b/>
                <w:color w:val="FFFFFF"/>
                <w:sz w:val="17"/>
              </w:rPr>
              <w:t>R3 count</w:t>
            </w:r>
          </w:p>
        </w:tc>
        <w:tc>
          <w:tcPr>
            <w:tcW w:type="dxa" w:w="5904"/>
            <w:vAlign w:val="top"/>
            <w:shd w:fill="17365D"/>
          </w:tcPr>
          <w:p>
            <w:pPr>
              <w:spacing w:after="0" w:line="240" w:lineRule="auto"/>
            </w:pPr>
            <w:r/>
            <w:r>
              <w:rPr>
                <w:rFonts w:ascii="Aptos" w:hAnsi="Aptos"/>
                <w:b/>
                <w:color w:val="FFFFFF"/>
                <w:sz w:val="17"/>
              </w:rPr>
              <w:t>Interpretation</w:t>
            </w:r>
          </w:p>
        </w:tc>
      </w:tr>
      <w:tr>
        <w:tc>
          <w:tcPr>
            <w:tcW w:type="dxa" w:w="2880"/>
            <w:vAlign w:val="top"/>
            <w:shd w:fill="F2F6FA"/>
          </w:tcPr>
          <w:p>
            <w:pPr>
              <w:spacing w:after="0" w:line="240" w:lineRule="auto"/>
            </w:pPr>
            <w:r/>
            <w:r>
              <w:rPr>
                <w:rFonts w:ascii="Aptos" w:hAnsi="Aptos"/>
                <w:b w:val="0"/>
                <w:sz w:val="17"/>
              </w:rPr>
              <w:t>Legal instruments</w:t>
            </w:r>
          </w:p>
        </w:tc>
        <w:tc>
          <w:tcPr>
            <w:tcW w:type="dxa" w:w="1440"/>
            <w:vAlign w:val="top"/>
            <w:shd w:fill="F2F6FA"/>
          </w:tcPr>
          <w:p>
            <w:pPr>
              <w:spacing w:after="0" w:line="240" w:lineRule="auto"/>
            </w:pPr>
            <w:r/>
            <w:r>
              <w:rPr>
                <w:rFonts w:ascii="Aptos" w:hAnsi="Aptos"/>
                <w:b w:val="0"/>
                <w:sz w:val="17"/>
              </w:rPr>
              <w:t>5</w:t>
            </w:r>
          </w:p>
        </w:tc>
        <w:tc>
          <w:tcPr>
            <w:tcW w:type="dxa" w:w="5904"/>
            <w:vAlign w:val="top"/>
            <w:shd w:fill="F2F6FA"/>
          </w:tcPr>
          <w:p>
            <w:pPr>
              <w:spacing w:after="0" w:line="240" w:lineRule="auto"/>
            </w:pPr>
            <w:r/>
            <w:r>
              <w:rPr>
                <w:rFonts w:ascii="Aptos" w:hAnsi="Aptos"/>
                <w:b w:val="0"/>
                <w:sz w:val="17"/>
              </w:rPr>
              <w:t>Purposive calibration cases</w:t>
            </w:r>
          </w:p>
        </w:tc>
      </w:tr>
      <w:tr>
        <w:tc>
          <w:tcPr>
            <w:tcW w:type="dxa" w:w="2880"/>
            <w:vAlign w:val="top"/>
          </w:tcPr>
          <w:p>
            <w:pPr>
              <w:spacing w:after="0" w:line="240" w:lineRule="auto"/>
            </w:pPr>
            <w:r/>
            <w:r>
              <w:rPr>
                <w:rFonts w:ascii="Aptos" w:hAnsi="Aptos"/>
                <w:b w:val="0"/>
                <w:sz w:val="17"/>
              </w:rPr>
              <w:t>LAW × ACTOR</w:t>
            </w:r>
          </w:p>
        </w:tc>
        <w:tc>
          <w:tcPr>
            <w:tcW w:type="dxa" w:w="1440"/>
            <w:vAlign w:val="top"/>
          </w:tcPr>
          <w:p>
            <w:pPr>
              <w:spacing w:after="0" w:line="240" w:lineRule="auto"/>
            </w:pPr>
            <w:r/>
            <w:r>
              <w:rPr>
                <w:rFonts w:ascii="Aptos" w:hAnsi="Aptos"/>
                <w:b w:val="0"/>
                <w:sz w:val="17"/>
              </w:rPr>
              <w:t>89</w:t>
            </w:r>
          </w:p>
        </w:tc>
        <w:tc>
          <w:tcPr>
            <w:tcW w:type="dxa" w:w="5904"/>
            <w:vAlign w:val="top"/>
          </w:tcPr>
          <w:p>
            <w:pPr>
              <w:spacing w:after="0" w:line="240" w:lineRule="auto"/>
            </w:pPr>
            <w:r/>
            <w:r>
              <w:rPr>
                <w:rFonts w:ascii="Aptos" w:hAnsi="Aptos"/>
                <w:b w:val="0"/>
                <w:sz w:val="17"/>
              </w:rPr>
              <w:t>Actor universe before role adjudication</w:t>
            </w:r>
          </w:p>
        </w:tc>
      </w:tr>
      <w:tr>
        <w:tc>
          <w:tcPr>
            <w:tcW w:type="dxa" w:w="2880"/>
            <w:vAlign w:val="top"/>
            <w:shd w:fill="F2F6FA"/>
          </w:tcPr>
          <w:p>
            <w:pPr>
              <w:spacing w:after="0" w:line="240" w:lineRule="auto"/>
            </w:pPr>
            <w:r/>
            <w:r>
              <w:rPr>
                <w:rFonts w:ascii="Aptos" w:hAnsi="Aptos"/>
                <w:b w:val="0"/>
                <w:sz w:val="17"/>
              </w:rPr>
              <w:t>Adjudicated relations</w:t>
            </w:r>
          </w:p>
        </w:tc>
        <w:tc>
          <w:tcPr>
            <w:tcW w:type="dxa" w:w="1440"/>
            <w:vAlign w:val="top"/>
            <w:shd w:fill="F2F6FA"/>
          </w:tcPr>
          <w:p>
            <w:pPr>
              <w:spacing w:after="0" w:line="240" w:lineRule="auto"/>
            </w:pPr>
            <w:r/>
            <w:r>
              <w:rPr>
                <w:rFonts w:ascii="Aptos" w:hAnsi="Aptos"/>
                <w:b w:val="0"/>
                <w:sz w:val="17"/>
              </w:rPr>
              <w:t>56</w:t>
            </w:r>
          </w:p>
        </w:tc>
        <w:tc>
          <w:tcPr>
            <w:tcW w:type="dxa" w:w="5904"/>
            <w:vAlign w:val="top"/>
            <w:shd w:fill="F2F6FA"/>
          </w:tcPr>
          <w:p>
            <w:pPr>
              <w:spacing w:after="0" w:line="240" w:lineRule="auto"/>
            </w:pPr>
            <w:r/>
            <w:r>
              <w:rPr>
                <w:rFonts w:ascii="Aptos" w:hAnsi="Aptos"/>
                <w:b w:val="0"/>
                <w:sz w:val="17"/>
              </w:rPr>
              <w:t>24 DIRECT_R_T; 23 LEGAL_RELATION_NON_RIT; 9 SUPPORTED_INTERMEDIATION</w:t>
            </w:r>
          </w:p>
        </w:tc>
      </w:tr>
      <w:tr>
        <w:tc>
          <w:tcPr>
            <w:tcW w:type="dxa" w:w="2880"/>
            <w:vAlign w:val="top"/>
          </w:tcPr>
          <w:p>
            <w:pPr>
              <w:spacing w:after="0" w:line="240" w:lineRule="auto"/>
            </w:pPr>
            <w:r/>
            <w:r>
              <w:rPr>
                <w:rFonts w:ascii="Aptos" w:hAnsi="Aptos"/>
                <w:b w:val="0"/>
                <w:sz w:val="17"/>
              </w:rPr>
              <w:t>LAW × INTERMEDIARY</w:t>
            </w:r>
          </w:p>
        </w:tc>
        <w:tc>
          <w:tcPr>
            <w:tcW w:type="dxa" w:w="1440"/>
            <w:vAlign w:val="top"/>
          </w:tcPr>
          <w:p>
            <w:pPr>
              <w:spacing w:after="0" w:line="240" w:lineRule="auto"/>
            </w:pPr>
            <w:r/>
            <w:r>
              <w:rPr>
                <w:rFonts w:ascii="Aptos" w:hAnsi="Aptos"/>
                <w:b w:val="0"/>
                <w:sz w:val="17"/>
              </w:rPr>
              <w:t>7</w:t>
            </w:r>
          </w:p>
        </w:tc>
        <w:tc>
          <w:tcPr>
            <w:tcW w:type="dxa" w:w="5904"/>
            <w:vAlign w:val="top"/>
          </w:tcPr>
          <w:p>
            <w:pPr>
              <w:spacing w:after="0" w:line="240" w:lineRule="auto"/>
            </w:pPr>
            <w:r/>
            <w:r>
              <w:rPr>
                <w:rFonts w:ascii="Aptos" w:hAnsi="Aptos"/>
                <w:b w:val="0"/>
                <w:sz w:val="17"/>
              </w:rPr>
              <w:t>Primary human-facing comparative units</w:t>
            </w:r>
          </w:p>
        </w:tc>
      </w:tr>
      <w:tr>
        <w:tc>
          <w:tcPr>
            <w:tcW w:type="dxa" w:w="2880"/>
            <w:vAlign w:val="top"/>
            <w:shd w:fill="F2F6FA"/>
          </w:tcPr>
          <w:p>
            <w:pPr>
              <w:spacing w:after="0" w:line="240" w:lineRule="auto"/>
            </w:pPr>
            <w:r/>
            <w:r>
              <w:rPr>
                <w:rFonts w:ascii="Aptos" w:hAnsi="Aptos"/>
                <w:b w:val="0"/>
                <w:sz w:val="17"/>
              </w:rPr>
              <w:t>Mechanism events</w:t>
            </w:r>
          </w:p>
        </w:tc>
        <w:tc>
          <w:tcPr>
            <w:tcW w:type="dxa" w:w="1440"/>
            <w:vAlign w:val="top"/>
            <w:shd w:fill="F2F6FA"/>
          </w:tcPr>
          <w:p>
            <w:pPr>
              <w:spacing w:after="0" w:line="240" w:lineRule="auto"/>
            </w:pPr>
            <w:r/>
            <w:r>
              <w:rPr>
                <w:rFonts w:ascii="Aptos" w:hAnsi="Aptos"/>
                <w:b w:val="0"/>
                <w:sz w:val="17"/>
              </w:rPr>
              <w:t>10</w:t>
            </w:r>
          </w:p>
        </w:tc>
        <w:tc>
          <w:tcPr>
            <w:tcW w:type="dxa" w:w="5904"/>
            <w:vAlign w:val="top"/>
            <w:shd w:fill="F2F6FA"/>
          </w:tcPr>
          <w:p>
            <w:pPr>
              <w:spacing w:after="0" w:line="240" w:lineRule="auto"/>
            </w:pPr>
            <w:r/>
            <w:r>
              <w:rPr>
                <w:rFonts w:ascii="Aptos" w:hAnsi="Aptos"/>
                <w:b w:val="0"/>
                <w:sz w:val="17"/>
              </w:rPr>
              <w:t>4 VERIFICATION; 3 EVALUATION_ASSESSMENT; 3 IMPLEMENTATION</w:t>
            </w:r>
          </w:p>
        </w:tc>
      </w:tr>
      <w:tr>
        <w:tc>
          <w:tcPr>
            <w:tcW w:type="dxa" w:w="2880"/>
            <w:vAlign w:val="top"/>
          </w:tcPr>
          <w:p>
            <w:pPr>
              <w:spacing w:after="0" w:line="240" w:lineRule="auto"/>
            </w:pPr>
            <w:r/>
            <w:r>
              <w:rPr>
                <w:rFonts w:ascii="Aptos" w:hAnsi="Aptos"/>
                <w:b w:val="0"/>
                <w:sz w:val="17"/>
              </w:rPr>
              <w:t>Configurations</w:t>
            </w:r>
          </w:p>
        </w:tc>
        <w:tc>
          <w:tcPr>
            <w:tcW w:type="dxa" w:w="1440"/>
            <w:vAlign w:val="top"/>
          </w:tcPr>
          <w:p>
            <w:pPr>
              <w:spacing w:after="0" w:line="240" w:lineRule="auto"/>
            </w:pPr>
            <w:r/>
            <w:r>
              <w:rPr>
                <w:rFonts w:ascii="Aptos" w:hAnsi="Aptos"/>
                <w:b w:val="0"/>
                <w:sz w:val="17"/>
              </w:rPr>
              <w:t>9</w:t>
            </w:r>
          </w:p>
        </w:tc>
        <w:tc>
          <w:tcPr>
            <w:tcW w:type="dxa" w:w="5904"/>
            <w:vAlign w:val="top"/>
          </w:tcPr>
          <w:p>
            <w:pPr>
              <w:spacing w:after="0" w:line="240" w:lineRule="auto"/>
            </w:pPr>
            <w:r/>
            <w:r>
              <w:rPr>
                <w:rFonts w:ascii="Aptos" w:hAnsi="Aptos"/>
                <w:b w:val="0"/>
                <w:sz w:val="17"/>
              </w:rPr>
              <w:t>8 SINGLE_MECHANISM; 1 MULTI_MECHANISM_SEQUENTIAL</w:t>
            </w:r>
          </w:p>
        </w:tc>
      </w:tr>
      <w:tr>
        <w:tc>
          <w:tcPr>
            <w:tcW w:type="dxa" w:w="2880"/>
            <w:vAlign w:val="top"/>
            <w:shd w:fill="F2F6FA"/>
          </w:tcPr>
          <w:p>
            <w:pPr>
              <w:spacing w:after="0" w:line="240" w:lineRule="auto"/>
            </w:pPr>
            <w:r/>
            <w:r>
              <w:rPr>
                <w:rFonts w:ascii="Aptos" w:hAnsi="Aptos"/>
                <w:b w:val="0"/>
                <w:sz w:val="17"/>
              </w:rPr>
              <w:t>Confirmed mechanism edges</w:t>
            </w:r>
          </w:p>
        </w:tc>
        <w:tc>
          <w:tcPr>
            <w:tcW w:type="dxa" w:w="1440"/>
            <w:vAlign w:val="top"/>
            <w:shd w:fill="F2F6FA"/>
          </w:tcPr>
          <w:p>
            <w:pPr>
              <w:spacing w:after="0" w:line="240" w:lineRule="auto"/>
            </w:pPr>
            <w:r/>
            <w:r>
              <w:rPr>
                <w:rFonts w:ascii="Aptos" w:hAnsi="Aptos"/>
                <w:b w:val="0"/>
                <w:sz w:val="17"/>
              </w:rPr>
              <w:t>1</w:t>
            </w:r>
          </w:p>
        </w:tc>
        <w:tc>
          <w:tcPr>
            <w:tcW w:type="dxa" w:w="5904"/>
            <w:vAlign w:val="top"/>
            <w:shd w:fill="F2F6FA"/>
          </w:tcPr>
          <w:p>
            <w:pPr>
              <w:spacing w:after="0" w:line="240" w:lineRule="auto"/>
            </w:pPr>
            <w:r/>
            <w:r>
              <w:rPr>
                <w:rFonts w:ascii="Aptos" w:hAnsi="Aptos"/>
                <w:b w:val="0"/>
                <w:sz w:val="17"/>
              </w:rPr>
              <w:t>VERIFICATION → EVALUATION_ASSESSMENT</w:t>
            </w:r>
          </w:p>
        </w:tc>
      </w:tr>
      <w:tr>
        <w:tc>
          <w:tcPr>
            <w:tcW w:type="dxa" w:w="2880"/>
            <w:vAlign w:val="top"/>
          </w:tcPr>
          <w:p>
            <w:pPr>
              <w:spacing w:after="0" w:line="240" w:lineRule="auto"/>
            </w:pPr>
            <w:r/>
            <w:r>
              <w:rPr>
                <w:rFonts w:ascii="Aptos" w:hAnsi="Aptos"/>
                <w:b w:val="0"/>
                <w:sz w:val="17"/>
              </w:rPr>
              <w:t>Substantive-zero laws</w:t>
            </w:r>
          </w:p>
        </w:tc>
        <w:tc>
          <w:tcPr>
            <w:tcW w:type="dxa" w:w="1440"/>
            <w:vAlign w:val="top"/>
          </w:tcPr>
          <w:p>
            <w:pPr>
              <w:spacing w:after="0" w:line="240" w:lineRule="auto"/>
            </w:pPr>
            <w:r/>
            <w:r>
              <w:rPr>
                <w:rFonts w:ascii="Aptos" w:hAnsi="Aptos"/>
                <w:b w:val="0"/>
                <w:sz w:val="17"/>
              </w:rPr>
              <w:t>1</w:t>
            </w:r>
          </w:p>
        </w:tc>
        <w:tc>
          <w:tcPr>
            <w:tcW w:type="dxa" w:w="5904"/>
            <w:vAlign w:val="top"/>
          </w:tcPr>
          <w:p>
            <w:pPr>
              <w:spacing w:after="0" w:line="240" w:lineRule="auto"/>
            </w:pPr>
            <w:r/>
            <w:r>
              <w:rPr>
                <w:rFonts w:ascii="Aptos" w:hAnsi="Aptos"/>
                <w:b w:val="0"/>
                <w:sz w:val="17"/>
              </w:rPr>
              <w:t>CELEX 32015D1814; not missing data</w:t>
            </w:r>
          </w:p>
        </w:tc>
      </w:tr>
    </w:tbl>
    <w:p>
      <w:pPr>
        <w:spacing w:after="20"/>
      </w:pPr>
    </w:p>
    <w:p>
      <w:r>
        <w:t>The R3 contribution is therefore not a claim about how common specific intermediary mechanisms are in EU climate regulation. It is a validated dataset architecture and coding protocol capable of representing positive, negative and zero cases; multiple relations per intermediary; multiple events per relation; event sequencing; legal evidence; and researcher decisions without collapsing these into a single spreadsheet row.</w:t>
      </w:r>
    </w:p>
    <w:p>
      <w:pPr>
        <w:pStyle w:val="Heading1"/>
      </w:pPr>
      <w:r>
        <w:t>2. Research design and case universe</w:t>
      </w:r>
    </w:p>
    <w:p>
      <w:pPr>
        <w:pStyle w:val="Heading2"/>
      </w:pPr>
      <w:r>
        <w:t>2.1 Study purpose</w:t>
      </w:r>
    </w:p>
    <w:p>
      <w:r>
        <w:t>The R3 exercise is a methodological calibration intended to determine whether regulatory intermediation can be represented as a reproducible relational dataset derived from legal texts. The design prioritizes construct clarity, traceability and falsifiability over case volume. It is designed to support later population expansion rather than to substitute for it.</w:t>
      </w:r>
    </w:p>
    <w:p>
      <w:pPr>
        <w:pStyle w:val="Heading2"/>
      </w:pPr>
      <w:r>
        <w:t>2.2 Fixed five-case universe</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top"/>
            <w:shd w:fill="17365D"/>
          </w:tcPr>
          <w:p>
            <w:pPr>
              <w:spacing w:after="0" w:line="240" w:lineRule="auto"/>
            </w:pPr>
            <w:r/>
            <w:r>
              <w:rPr>
                <w:rFonts w:ascii="Aptos" w:hAnsi="Aptos"/>
                <w:b/>
                <w:color w:val="FFFFFF"/>
                <w:sz w:val="17"/>
              </w:rPr>
              <w:t>CELEX</w:t>
            </w:r>
          </w:p>
        </w:tc>
        <w:tc>
          <w:tcPr>
            <w:tcW w:type="dxa" w:w="5328"/>
            <w:vAlign w:val="top"/>
            <w:shd w:fill="17365D"/>
          </w:tcPr>
          <w:p>
            <w:pPr>
              <w:spacing w:after="0" w:line="240" w:lineRule="auto"/>
            </w:pPr>
            <w:r/>
            <w:r>
              <w:rPr>
                <w:rFonts w:ascii="Aptos" w:hAnsi="Aptos"/>
                <w:b/>
                <w:color w:val="FFFFFF"/>
                <w:sz w:val="17"/>
              </w:rPr>
              <w:t>Instrument</w:t>
            </w:r>
          </w:p>
        </w:tc>
        <w:tc>
          <w:tcPr>
            <w:tcW w:type="dxa" w:w="3312"/>
            <w:vAlign w:val="top"/>
            <w:shd w:fill="17365D"/>
          </w:tcPr>
          <w:p>
            <w:pPr>
              <w:spacing w:after="0" w:line="240" w:lineRule="auto"/>
            </w:pPr>
            <w:r/>
            <w:r>
              <w:rPr>
                <w:rFonts w:ascii="Aptos" w:hAnsi="Aptos"/>
                <w:b/>
                <w:color w:val="FFFFFF"/>
                <w:sz w:val="17"/>
              </w:rPr>
              <w:t>R3 role</w:t>
            </w:r>
          </w:p>
        </w:tc>
      </w:tr>
      <w:tr>
        <w:tc>
          <w:tcPr>
            <w:tcW w:type="dxa" w:w="1728"/>
            <w:vAlign w:val="top"/>
            <w:shd w:fill="F2F6FA"/>
          </w:tcPr>
          <w:p>
            <w:pPr>
              <w:spacing w:after="0" w:line="240" w:lineRule="auto"/>
            </w:pPr>
            <w:r/>
            <w:r>
              <w:rPr>
                <w:rFonts w:ascii="Aptos" w:hAnsi="Aptos"/>
                <w:b w:val="0"/>
                <w:sz w:val="17"/>
              </w:rPr>
              <w:t>32003L0087</w:t>
            </w:r>
          </w:p>
        </w:tc>
        <w:tc>
          <w:tcPr>
            <w:tcW w:type="dxa" w:w="5328"/>
            <w:vAlign w:val="top"/>
            <w:shd w:fill="F2F6FA"/>
          </w:tcPr>
          <w:p>
            <w:pPr>
              <w:spacing w:after="0" w:line="240" w:lineRule="auto"/>
            </w:pPr>
            <w:r/>
            <w:r>
              <w:rPr>
                <w:rFonts w:ascii="Aptos" w:hAnsi="Aptos"/>
                <w:b w:val="0"/>
                <w:sz w:val="17"/>
              </w:rPr>
              <w:t>Directive 2003/87/EC — EU Emissions Trading System</w:t>
            </w:r>
          </w:p>
        </w:tc>
        <w:tc>
          <w:tcPr>
            <w:tcW w:type="dxa" w:w="3312"/>
            <w:vAlign w:val="top"/>
            <w:shd w:fill="F2F6FA"/>
          </w:tcPr>
          <w:p>
            <w:pPr>
              <w:spacing w:after="0" w:line="240" w:lineRule="auto"/>
            </w:pPr>
            <w:r/>
            <w:r>
              <w:rPr>
                <w:rFonts w:ascii="Aptos" w:hAnsi="Aptos"/>
                <w:b w:val="0"/>
                <w:sz w:val="17"/>
              </w:rPr>
              <w:t>Calibration case with independent verification</w:t>
            </w:r>
          </w:p>
        </w:tc>
      </w:tr>
      <w:tr>
        <w:tc>
          <w:tcPr>
            <w:tcW w:type="dxa" w:w="1728"/>
            <w:vAlign w:val="top"/>
          </w:tcPr>
          <w:p>
            <w:pPr>
              <w:spacing w:after="0" w:line="240" w:lineRule="auto"/>
            </w:pPr>
            <w:r/>
            <w:r>
              <w:rPr>
                <w:rFonts w:ascii="Aptos" w:hAnsi="Aptos"/>
                <w:b w:val="0"/>
                <w:sz w:val="17"/>
              </w:rPr>
              <w:t>32015D1814</w:t>
            </w:r>
          </w:p>
        </w:tc>
        <w:tc>
          <w:tcPr>
            <w:tcW w:type="dxa" w:w="5328"/>
            <w:vAlign w:val="top"/>
          </w:tcPr>
          <w:p>
            <w:pPr>
              <w:spacing w:after="0" w:line="240" w:lineRule="auto"/>
            </w:pPr>
            <w:r/>
            <w:r>
              <w:rPr>
                <w:rFonts w:ascii="Aptos" w:hAnsi="Aptos"/>
                <w:b w:val="0"/>
                <w:sz w:val="17"/>
              </w:rPr>
              <w:t>Decision (EU) 2015/1814 — Market Stability Reserve</w:t>
            </w:r>
          </w:p>
        </w:tc>
        <w:tc>
          <w:tcPr>
            <w:tcW w:type="dxa" w:w="3312"/>
            <w:vAlign w:val="top"/>
          </w:tcPr>
          <w:p>
            <w:pPr>
              <w:spacing w:after="0" w:line="240" w:lineRule="auto"/>
            </w:pPr>
            <w:r/>
            <w:r>
              <w:rPr>
                <w:rFonts w:ascii="Aptos" w:hAnsi="Aptos"/>
                <w:b w:val="0"/>
                <w:sz w:val="17"/>
              </w:rPr>
              <w:t>Substantive zero for supported intermediation</w:t>
            </w:r>
          </w:p>
        </w:tc>
      </w:tr>
      <w:tr>
        <w:tc>
          <w:tcPr>
            <w:tcW w:type="dxa" w:w="1728"/>
            <w:vAlign w:val="top"/>
            <w:shd w:fill="F2F6FA"/>
          </w:tcPr>
          <w:p>
            <w:pPr>
              <w:spacing w:after="0" w:line="240" w:lineRule="auto"/>
            </w:pPr>
            <w:r/>
            <w:r>
              <w:rPr>
                <w:rFonts w:ascii="Aptos" w:hAnsi="Aptos"/>
                <w:b w:val="0"/>
                <w:sz w:val="17"/>
              </w:rPr>
              <w:t>32018R0842</w:t>
            </w:r>
          </w:p>
        </w:tc>
        <w:tc>
          <w:tcPr>
            <w:tcW w:type="dxa" w:w="5328"/>
            <w:vAlign w:val="top"/>
            <w:shd w:fill="F2F6FA"/>
          </w:tcPr>
          <w:p>
            <w:pPr>
              <w:spacing w:after="0" w:line="240" w:lineRule="auto"/>
            </w:pPr>
            <w:r/>
            <w:r>
              <w:rPr>
                <w:rFonts w:ascii="Aptos" w:hAnsi="Aptos"/>
                <w:b w:val="0"/>
                <w:sz w:val="17"/>
              </w:rPr>
              <w:t>Regulation (EU) 2018/842 — Effort Sharing Regulation</w:t>
            </w:r>
          </w:p>
        </w:tc>
        <w:tc>
          <w:tcPr>
            <w:tcW w:type="dxa" w:w="3312"/>
            <w:vAlign w:val="top"/>
            <w:shd w:fill="F2F6FA"/>
          </w:tcPr>
          <w:p>
            <w:pPr>
              <w:spacing w:after="0" w:line="240" w:lineRule="auto"/>
            </w:pPr>
            <w:r/>
            <w:r>
              <w:rPr>
                <w:rFonts w:ascii="Aptos" w:hAnsi="Aptos"/>
                <w:b w:val="0"/>
                <w:sz w:val="17"/>
              </w:rPr>
              <w:t>Registry verification and EEA assessment</w:t>
            </w:r>
          </w:p>
        </w:tc>
      </w:tr>
      <w:tr>
        <w:tc>
          <w:tcPr>
            <w:tcW w:type="dxa" w:w="1728"/>
            <w:vAlign w:val="top"/>
          </w:tcPr>
          <w:p>
            <w:pPr>
              <w:spacing w:after="0" w:line="240" w:lineRule="auto"/>
            </w:pPr>
            <w:r/>
            <w:r>
              <w:rPr>
                <w:rFonts w:ascii="Aptos" w:hAnsi="Aptos"/>
                <w:b w:val="0"/>
                <w:sz w:val="17"/>
              </w:rPr>
              <w:t>32021R1119</w:t>
            </w:r>
          </w:p>
        </w:tc>
        <w:tc>
          <w:tcPr>
            <w:tcW w:type="dxa" w:w="5328"/>
            <w:vAlign w:val="top"/>
          </w:tcPr>
          <w:p>
            <w:pPr>
              <w:spacing w:after="0" w:line="240" w:lineRule="auto"/>
            </w:pPr>
            <w:r/>
            <w:r>
              <w:rPr>
                <w:rFonts w:ascii="Aptos" w:hAnsi="Aptos"/>
                <w:b w:val="0"/>
                <w:sz w:val="17"/>
              </w:rPr>
              <w:t>Regulation (EU) 2021/1119 — European Climate Law</w:t>
            </w:r>
          </w:p>
        </w:tc>
        <w:tc>
          <w:tcPr>
            <w:tcW w:type="dxa" w:w="3312"/>
            <w:vAlign w:val="top"/>
          </w:tcPr>
          <w:p>
            <w:pPr>
              <w:spacing w:after="0" w:line="240" w:lineRule="auto"/>
            </w:pPr>
            <w:r/>
            <w:r>
              <w:rPr>
                <w:rFonts w:ascii="Aptos" w:hAnsi="Aptos"/>
                <w:b w:val="0"/>
                <w:sz w:val="17"/>
              </w:rPr>
              <w:t>EEA evaluative support</w:t>
            </w:r>
          </w:p>
        </w:tc>
      </w:tr>
      <w:tr>
        <w:tc>
          <w:tcPr>
            <w:tcW w:type="dxa" w:w="1728"/>
            <w:vAlign w:val="top"/>
            <w:shd w:fill="F2F6FA"/>
          </w:tcPr>
          <w:p>
            <w:pPr>
              <w:spacing w:after="0" w:line="240" w:lineRule="auto"/>
            </w:pPr>
            <w:r/>
            <w:r>
              <w:rPr>
                <w:rFonts w:ascii="Aptos" w:hAnsi="Aptos"/>
                <w:b w:val="0"/>
                <w:sz w:val="17"/>
              </w:rPr>
              <w:t>32023R0955</w:t>
            </w:r>
          </w:p>
        </w:tc>
        <w:tc>
          <w:tcPr>
            <w:tcW w:type="dxa" w:w="5328"/>
            <w:vAlign w:val="top"/>
            <w:shd w:fill="F2F6FA"/>
          </w:tcPr>
          <w:p>
            <w:pPr>
              <w:spacing w:after="0" w:line="240" w:lineRule="auto"/>
            </w:pPr>
            <w:r/>
            <w:r>
              <w:rPr>
                <w:rFonts w:ascii="Aptos" w:hAnsi="Aptos"/>
                <w:b w:val="0"/>
                <w:sz w:val="17"/>
              </w:rPr>
              <w:t>Regulation (EU) 2023/955 — Social Climate Fund</w:t>
            </w:r>
          </w:p>
        </w:tc>
        <w:tc>
          <w:tcPr>
            <w:tcW w:type="dxa" w:w="3312"/>
            <w:vAlign w:val="top"/>
            <w:shd w:fill="F2F6FA"/>
          </w:tcPr>
          <w:p>
            <w:pPr>
              <w:spacing w:after="0" w:line="240" w:lineRule="auto"/>
            </w:pPr>
            <w:r/>
            <w:r>
              <w:rPr>
                <w:rFonts w:ascii="Aptos" w:hAnsi="Aptos"/>
                <w:b w:val="0"/>
                <w:sz w:val="17"/>
              </w:rPr>
              <w:t>Implementation, verification and sequential evaluation</w:t>
            </w:r>
          </w:p>
        </w:tc>
      </w:tr>
    </w:tbl>
    <w:p>
      <w:pPr>
        <w:spacing w:after="20"/>
      </w:pPr>
    </w:p>
    <w:p>
      <w:r>
        <w:t>The five cases were treated as a frozen calibration corpus. R3 did not add or remove instruments after the clean-room workflow began. CELEX 32000D0293, previously encountered as a historical false positive, was explicitly excluded before R3.</w:t>
      </w:r>
    </w:p>
    <w:p>
      <w:pPr>
        <w:pStyle w:val="Heading2"/>
      </w:pPr>
      <w:r>
        <w:t>2.3 Clean-room principle</w:t>
      </w:r>
    </w:p>
    <w:p>
      <w:r>
        <w:t>R3 did not use prior empirical coding from Pilot A, R2, R2.1 or earlier workbook versions as ground truth. The permitted inputs were: methodological learning retained in governance materials; authorized theoretical definitions; newly acquired official legal sources; new R3 outputs; and explicit researcher decisions. Earlier empirical outputs could be compared only after the R3 chain was independently reconstructed.</w:t>
      </w:r>
    </w:p>
    <w:p>
      <w:pPr>
        <w:pStyle w:val="ListBullet"/>
        <w:spacing w:after="40"/>
      </w:pPr>
      <w:r>
        <w:rPr>
          <w:b/>
        </w:rPr>
        <w:t xml:space="preserve">Purpose: </w:t>
      </w:r>
      <w:r>
        <w:t>reduce path dependence and confirmation bias from earlier coding.</w:t>
      </w:r>
    </w:p>
    <w:p>
      <w:pPr>
        <w:pStyle w:val="ListBullet"/>
        <w:spacing w:after="40"/>
      </w:pPr>
      <w:r>
        <w:rPr>
          <w:b/>
        </w:rPr>
        <w:t xml:space="preserve">Operational effect: </w:t>
      </w:r>
      <w:r>
        <w:t>every empirical claim had to be regenerated from the official legal text.</w:t>
      </w:r>
    </w:p>
    <w:p>
      <w:pPr>
        <w:pStyle w:val="ListBullet"/>
        <w:spacing w:after="40"/>
      </w:pPr>
      <w:r>
        <w:rPr>
          <w:b/>
        </w:rPr>
        <w:t xml:space="preserve">Audit effect: </w:t>
      </w:r>
      <w:r>
        <w:t>each phase generated separate outputs and a gate before downstream analysis.</w:t>
      </w:r>
    </w:p>
    <w:p>
      <w:pPr>
        <w:pStyle w:val="ListBullet"/>
        <w:spacing w:after="40"/>
      </w:pPr>
      <w:r>
        <w:rPr>
          <w:b/>
        </w:rPr>
        <w:t xml:space="preserve">Interpretive effect: </w:t>
      </w:r>
      <w:r>
        <w:t>later conceptual layers could not retroactively determine earlier coding.</w:t>
      </w:r>
    </w:p>
    <w:p>
      <w:pPr>
        <w:pStyle w:val="Heading1"/>
      </w:pPr>
      <w:r>
        <w:t>3. Source acquisition, corpus construction and validation</w:t>
      </w:r>
    </w:p>
    <w:p>
      <w:pPr>
        <w:pStyle w:val="Heading2"/>
      </w:pPr>
      <w:r>
        <w:t>3.1 Official-source acquisition</w:t>
      </w:r>
    </w:p>
    <w:p>
      <w:r>
        <w:t>All five instruments were freshly acquired from EUR-Lex in English as original adopted acts. Official-source files were preserved with source registers, manifests and SHA-256 hashes. Consolidated versions were treated as reference information rather than as the empirical text used for the clean-room extraction.</w:t>
      </w:r>
    </w:p>
    <w:p>
      <w:r>
        <w:t>This choice matters because later amendments can alter actor roles, obligations and institutional relationships. Using the original adopted act keeps the legal baseline stable and permits a clear version statement for every coded claim.</w:t>
      </w:r>
    </w:p>
    <w:p>
      <w:pPr>
        <w:pStyle w:val="Heading2"/>
      </w:pPr>
      <w:r>
        <w:t>3.2 Corpus reconstruction</w:t>
      </w:r>
    </w:p>
    <w:p>
      <w:r>
        <w:t>Each act was transformed into a searchable, structured corpus while preserving recitals, operative provisions, article numbering, annexes, tables and legally meaningful symbols. Each case package included a full text, recital text, operative text, numbered text, article index and corpus manifest.</w:t>
      </w:r>
    </w:p>
    <w:p>
      <w:pPr>
        <w:pStyle w:val="Heading2"/>
      </w:pPr>
      <w:r>
        <w:t>3.3 Corpus validation</w:t>
      </w:r>
    </w:p>
    <w:p>
      <w:r>
        <w:t>The corpus was not accepted automatically after extraction. A dedicated validation phase compared structured outputs to the official source. All five cases were classified as validated with documented limitations. One substantive extraction error was detected in CELEX 32023R0955: a missing character in an Annex I formula. The error was corrected, logged and re-hashed. The other four acts produced no substantive correction.</w:t>
      </w:r>
    </w:p>
    <w:tbl>
      <w:tblPr>
        <w:tblW w:type="auto" w:w="0"/>
        <w:jc w:val="center"/>
        <w:tblLook w:firstColumn="1" w:firstRow="1" w:lastColumn="0" w:lastRow="0" w:noHBand="0" w:noVBand="1" w:val="04A0"/>
      </w:tblPr>
      <w:tblGrid>
        <w:gridCol w:w="9994"/>
      </w:tblGrid>
      <w:tr>
        <w:tc>
          <w:tcPr>
            <w:tcW w:type="dxa" w:w="9994"/>
            <w:shd w:fill="EAF2F8"/>
          </w:tcPr>
          <w:p>
            <w:pPr>
              <w:spacing w:after="0"/>
            </w:pPr>
            <w:r>
              <w:rPr>
                <w:rFonts w:ascii="Aptos" w:hAnsi="Aptos"/>
                <w:i/>
                <w:sz w:val="19"/>
              </w:rPr>
              <w:t>This correction is methodologically important: corpus validation was capable of changing the empirical substrate before coding, rather than merely documenting formatting quality.</w:t>
            </w:r>
          </w:p>
        </w:tc>
      </w:tr>
    </w:tbl>
    <w:p>
      <w:pPr>
        <w:spacing w:after="20"/>
      </w:pPr>
    </w:p>
    <w:p>
      <w:pPr>
        <w:pStyle w:val="Heading1"/>
      </w:pPr>
      <w:r>
        <w:t>4. Whole-instrument reconstruction and actor universe</w:t>
      </w:r>
    </w:p>
    <w:p>
      <w:pPr>
        <w:pStyle w:val="Heading2"/>
      </w:pPr>
      <w:r>
        <w:t>4.1 Whole-instrument profiles</w:t>
      </w:r>
    </w:p>
    <w:p>
      <w:r>
        <w:t>R3 deliberately reconstructed each instrument before identifying intermediaries. The profiles described objective, regulatory object, target classes, principal authorities, obligation clusters, governance components, structural logic and declared orientation. No R/I/T roles or mechanisms were assigned at this stage.</w:t>
      </w:r>
    </w:p>
    <w:p>
      <w:r>
        <w:t>This sequence prevents individual provisions from being coded without understanding how they function within the legal instrument as a system.</w:t>
      </w:r>
    </w:p>
    <w:p>
      <w:pPr>
        <w:pStyle w:val="Heading2"/>
      </w:pPr>
      <w:r>
        <w:t>4.2 Actor register</w:t>
      </w:r>
    </w:p>
    <w:p>
      <w:r>
        <w:t>All legally relevant actors were registered before regulatory roles were adjudicated. The actor stage produced 89 LAW × ACTOR records, 173 legal-action records and 38 alias normalizations. Roles were intentionally left unadjudicated. This creates a law-scoped actor universe from which R, I and T positions can later be assigned relation by relation.</w:t>
      </w:r>
    </w:p>
    <w:p>
      <w:r>
        <w:t>The distinction between actor identity and regulatory role is essential. The same organization may occupy different roles in different relations or laws; actor identity therefore cannot itself determine intermediary status.</w:t>
      </w:r>
    </w:p>
    <w:p>
      <w:pPr>
        <w:pStyle w:val="Heading1"/>
      </w:pPr>
      <w:r>
        <w:t>5. Regulatory relations and the R–I–T gate</w:t>
      </w:r>
    </w:p>
    <w:p>
      <w:pPr>
        <w:pStyle w:val="Heading2"/>
      </w:pPr>
      <w:r>
        <w:t>5.1 Candidate relation reconstruction</w:t>
      </w:r>
    </w:p>
    <w:p>
      <w:r>
        <w:t>Using the actor universe and validated legal provisions, R3 reconstructed 56 legally relevant candidate relations. These were not initially classified as intermediation. Each candidate recorded provisional R, possible I, T, regulatory object, output and supporting legal components.</w:t>
      </w:r>
    </w:p>
    <w:p>
      <w:pPr>
        <w:pStyle w:val="Heading2"/>
      </w:pPr>
      <w:r>
        <w:t>5.2 Operational definition of regulatory intermediation</w:t>
      </w:r>
    </w:p>
    <w:p>
      <w:r>
        <w:t>A candidate relation entered the positive intermediation universe only if it satisfied three conditions:</w:t>
      </w:r>
    </w:p>
    <w:p>
      <w:pPr>
        <w:pStyle w:val="ListBullet"/>
        <w:spacing w:after="40"/>
      </w:pPr>
      <w:r>
        <w:t>C1 — an identifiable regulator–target (R–T) regulatory relationship exists;</w:t>
      </w:r>
    </w:p>
    <w:p>
      <w:pPr>
        <w:pStyle w:val="ListBullet"/>
        <w:spacing w:after="40"/>
      </w:pPr>
      <w:r>
        <w:t>C2 — a third actor is institutionally distinct from R and T and occupies a legally structured role;</w:t>
      </w:r>
    </w:p>
    <w:p>
      <w:pPr>
        <w:pStyle w:val="ListBullet"/>
        <w:spacing w:after="40"/>
      </w:pPr>
      <w:r>
        <w:t>C3 — that actor performs a mediating function that transmits, translates, aggregates, interprets, evaluates, classifies, represents, monitors, verifies, implements, or otherwise transforms something relevant to the R–T relationship.</w:t>
      </w:r>
    </w:p>
    <w:p>
      <w:r>
        <w:t>The gate excludes the broader proposition that every third actor influencing regulation is an intermediary. Formal presence, consultation, expertise or institutionalization is insufficient without a demonstrable mediating transformation.</w:t>
      </w:r>
    </w:p>
    <w:p>
      <w:pPr>
        <w:pStyle w:val="Heading2"/>
      </w:pPr>
      <w:r>
        <w:t>5.3 Adjudication outcome and negative baseline</w:t>
      </w:r>
    </w:p>
    <w:tbl>
      <w:tblPr>
        <w:tblStyle w:val="TableGrid"/>
        <w:tblW w:type="auto" w:w="0"/>
        <w:jc w:val="center"/>
        <w:tblLook w:firstColumn="1" w:firstRow="1" w:lastColumn="0" w:lastRow="0" w:noHBand="0" w:noVBand="1" w:val="04A0"/>
      </w:tblPr>
      <w:tblGrid>
        <w:gridCol w:w="3331"/>
        <w:gridCol w:w="3331"/>
        <w:gridCol w:w="3331"/>
      </w:tblGrid>
      <w:tr>
        <w:tc>
          <w:tcPr>
            <w:tcW w:type="dxa" w:w="3168"/>
            <w:vAlign w:val="top"/>
            <w:shd w:fill="17365D"/>
          </w:tcPr>
          <w:p>
            <w:pPr>
              <w:spacing w:after="0" w:line="240" w:lineRule="auto"/>
            </w:pPr>
            <w:r/>
            <w:r>
              <w:rPr>
                <w:rFonts w:ascii="Aptos" w:hAnsi="Aptos"/>
                <w:b/>
                <w:color w:val="FFFFFF"/>
                <w:sz w:val="17"/>
              </w:rPr>
              <w:t>Final relation class</w:t>
            </w:r>
          </w:p>
        </w:tc>
        <w:tc>
          <w:tcPr>
            <w:tcW w:type="dxa" w:w="864"/>
            <w:vAlign w:val="top"/>
            <w:shd w:fill="17365D"/>
          </w:tcPr>
          <w:p>
            <w:pPr>
              <w:spacing w:after="0" w:line="240" w:lineRule="auto"/>
            </w:pPr>
            <w:r/>
            <w:r>
              <w:rPr>
                <w:rFonts w:ascii="Aptos" w:hAnsi="Aptos"/>
                <w:b/>
                <w:color w:val="FFFFFF"/>
                <w:sz w:val="17"/>
              </w:rPr>
              <w:t>N</w:t>
            </w:r>
          </w:p>
        </w:tc>
        <w:tc>
          <w:tcPr>
            <w:tcW w:type="dxa" w:w="6480"/>
            <w:vAlign w:val="top"/>
            <w:shd w:fill="17365D"/>
          </w:tcPr>
          <w:p>
            <w:pPr>
              <w:spacing w:after="0" w:line="240" w:lineRule="auto"/>
            </w:pPr>
            <w:r/>
            <w:r>
              <w:rPr>
                <w:rFonts w:ascii="Aptos" w:hAnsi="Aptos"/>
                <w:b/>
                <w:color w:val="FFFFFF"/>
                <w:sz w:val="17"/>
              </w:rPr>
              <w:t>Meaning</w:t>
            </w:r>
          </w:p>
        </w:tc>
      </w:tr>
      <w:tr>
        <w:tc>
          <w:tcPr>
            <w:tcW w:type="dxa" w:w="3168"/>
            <w:vAlign w:val="top"/>
            <w:shd w:fill="F2F6FA"/>
          </w:tcPr>
          <w:p>
            <w:pPr>
              <w:spacing w:after="0" w:line="240" w:lineRule="auto"/>
            </w:pPr>
            <w:r/>
            <w:r>
              <w:rPr>
                <w:rFonts w:ascii="Aptos" w:hAnsi="Aptos"/>
                <w:b w:val="0"/>
                <w:sz w:val="17"/>
              </w:rPr>
              <w:t>SUPPORTED_INTERMEDIATION</w:t>
            </w:r>
          </w:p>
        </w:tc>
        <w:tc>
          <w:tcPr>
            <w:tcW w:type="dxa" w:w="864"/>
            <w:vAlign w:val="top"/>
            <w:shd w:fill="F2F6FA"/>
          </w:tcPr>
          <w:p>
            <w:pPr>
              <w:spacing w:after="0" w:line="240" w:lineRule="auto"/>
            </w:pPr>
            <w:r/>
            <w:r>
              <w:rPr>
                <w:rFonts w:ascii="Aptos" w:hAnsi="Aptos"/>
                <w:b w:val="0"/>
                <w:sz w:val="17"/>
              </w:rPr>
              <w:t>9</w:t>
            </w:r>
          </w:p>
        </w:tc>
        <w:tc>
          <w:tcPr>
            <w:tcW w:type="dxa" w:w="6480"/>
            <w:vAlign w:val="top"/>
            <w:shd w:fill="F2F6FA"/>
          </w:tcPr>
          <w:p>
            <w:pPr>
              <w:spacing w:after="0" w:line="240" w:lineRule="auto"/>
            </w:pPr>
            <w:r/>
            <w:r>
              <w:rPr>
                <w:rFonts w:ascii="Aptos" w:hAnsi="Aptos"/>
                <w:b w:val="0"/>
                <w:sz w:val="17"/>
              </w:rPr>
              <w:t>C1, C2 and C3 satisfied</w:t>
            </w:r>
          </w:p>
        </w:tc>
      </w:tr>
      <w:tr>
        <w:tc>
          <w:tcPr>
            <w:tcW w:type="dxa" w:w="3168"/>
            <w:vAlign w:val="top"/>
          </w:tcPr>
          <w:p>
            <w:pPr>
              <w:spacing w:after="0" w:line="240" w:lineRule="auto"/>
            </w:pPr>
            <w:r/>
            <w:r>
              <w:rPr>
                <w:rFonts w:ascii="Aptos" w:hAnsi="Aptos"/>
                <w:b w:val="0"/>
                <w:sz w:val="17"/>
              </w:rPr>
              <w:t>DIRECT_R_T</w:t>
            </w:r>
          </w:p>
        </w:tc>
        <w:tc>
          <w:tcPr>
            <w:tcW w:type="dxa" w:w="864"/>
            <w:vAlign w:val="top"/>
          </w:tcPr>
          <w:p>
            <w:pPr>
              <w:spacing w:after="0" w:line="240" w:lineRule="auto"/>
            </w:pPr>
            <w:r/>
            <w:r>
              <w:rPr>
                <w:rFonts w:ascii="Aptos" w:hAnsi="Aptos"/>
                <w:b w:val="0"/>
                <w:sz w:val="17"/>
              </w:rPr>
              <w:t>24</w:t>
            </w:r>
          </w:p>
        </w:tc>
        <w:tc>
          <w:tcPr>
            <w:tcW w:type="dxa" w:w="6480"/>
            <w:vAlign w:val="top"/>
          </w:tcPr>
          <w:p>
            <w:pPr>
              <w:spacing w:after="0" w:line="240" w:lineRule="auto"/>
            </w:pPr>
            <w:r/>
            <w:r>
              <w:rPr>
                <w:rFonts w:ascii="Aptos" w:hAnsi="Aptos"/>
                <w:b w:val="0"/>
                <w:sz w:val="17"/>
              </w:rPr>
              <w:t>Legally meaningful R–T relation without a qualifying intermediary</w:t>
            </w:r>
          </w:p>
        </w:tc>
      </w:tr>
      <w:tr>
        <w:tc>
          <w:tcPr>
            <w:tcW w:type="dxa" w:w="3168"/>
            <w:vAlign w:val="top"/>
            <w:shd w:fill="F2F6FA"/>
          </w:tcPr>
          <w:p>
            <w:pPr>
              <w:spacing w:after="0" w:line="240" w:lineRule="auto"/>
            </w:pPr>
            <w:r/>
            <w:r>
              <w:rPr>
                <w:rFonts w:ascii="Aptos" w:hAnsi="Aptos"/>
                <w:b w:val="0"/>
                <w:sz w:val="17"/>
              </w:rPr>
              <w:t>LEGAL_RELATION_NON_RIT</w:t>
            </w:r>
          </w:p>
        </w:tc>
        <w:tc>
          <w:tcPr>
            <w:tcW w:type="dxa" w:w="864"/>
            <w:vAlign w:val="top"/>
            <w:shd w:fill="F2F6FA"/>
          </w:tcPr>
          <w:p>
            <w:pPr>
              <w:spacing w:after="0" w:line="240" w:lineRule="auto"/>
            </w:pPr>
            <w:r/>
            <w:r>
              <w:rPr>
                <w:rFonts w:ascii="Aptos" w:hAnsi="Aptos"/>
                <w:b w:val="0"/>
                <w:sz w:val="17"/>
              </w:rPr>
              <w:t>23</w:t>
            </w:r>
          </w:p>
        </w:tc>
        <w:tc>
          <w:tcPr>
            <w:tcW w:type="dxa" w:w="6480"/>
            <w:vAlign w:val="top"/>
            <w:shd w:fill="F2F6FA"/>
          </w:tcPr>
          <w:p>
            <w:pPr>
              <w:spacing w:after="0" w:line="240" w:lineRule="auto"/>
            </w:pPr>
            <w:r/>
            <w:r>
              <w:rPr>
                <w:rFonts w:ascii="Aptos" w:hAnsi="Aptos"/>
                <w:b w:val="0"/>
                <w:sz w:val="17"/>
              </w:rPr>
              <w:t>Legally relevant actor relationship that does not constitute an R–I–T relation</w:t>
            </w:r>
          </w:p>
        </w:tc>
      </w:tr>
      <w:tr>
        <w:tc>
          <w:tcPr>
            <w:tcW w:type="dxa" w:w="3168"/>
            <w:vAlign w:val="top"/>
          </w:tcPr>
          <w:p>
            <w:pPr>
              <w:spacing w:after="0" w:line="240" w:lineRule="auto"/>
            </w:pPr>
            <w:r/>
            <w:r>
              <w:rPr>
                <w:rFonts w:ascii="Aptos" w:hAnsi="Aptos"/>
                <w:b w:val="0"/>
                <w:sz w:val="17"/>
              </w:rPr>
              <w:t>Total</w:t>
            </w:r>
          </w:p>
        </w:tc>
        <w:tc>
          <w:tcPr>
            <w:tcW w:type="dxa" w:w="864"/>
            <w:vAlign w:val="top"/>
          </w:tcPr>
          <w:p>
            <w:pPr>
              <w:spacing w:after="0" w:line="240" w:lineRule="auto"/>
            </w:pPr>
            <w:r/>
            <w:r>
              <w:rPr>
                <w:rFonts w:ascii="Aptos" w:hAnsi="Aptos"/>
                <w:b w:val="0"/>
                <w:sz w:val="17"/>
              </w:rPr>
              <w:t>56</w:t>
            </w:r>
          </w:p>
        </w:tc>
        <w:tc>
          <w:tcPr>
            <w:tcW w:type="dxa" w:w="6480"/>
            <w:vAlign w:val="top"/>
          </w:tcPr>
          <w:p>
            <w:pPr>
              <w:spacing w:after="0" w:line="240" w:lineRule="auto"/>
            </w:pPr>
            <w:r/>
            <w:r>
              <w:rPr>
                <w:rFonts w:ascii="Aptos" w:hAnsi="Aptos"/>
                <w:b w:val="0"/>
                <w:sz w:val="17"/>
              </w:rPr>
              <w:t>Complete adjudicated relation universe</w:t>
            </w:r>
          </w:p>
        </w:tc>
      </w:tr>
    </w:tbl>
    <w:p>
      <w:pPr>
        <w:spacing w:after="20"/>
      </w:pPr>
    </w:p>
    <w:p>
      <w:r>
        <w:t>The 47 negative/baseline relations are retained in the dataset architecture. Their retention is necessary for construct validity because the positive class is meaningful only if plausible non-intermediation relations remain observable.</w:t>
      </w:r>
    </w:p>
    <w:p>
      <w:pPr>
        <w:pStyle w:val="Heading2"/>
      </w:pPr>
      <w:r>
        <w:t>5.4 Boundary adjudication: OLAF and cross-provision evidence</w:t>
      </w:r>
    </w:p>
    <w:p>
      <w:r>
        <w:t>A targeted Phase 6B addressed residual uncertainty rather than forcing closure in the initial pass. An OLAF relation was reclassified from uncertain to DIRECT_R_T because its investigative/oversight role did not demonstrate a mediating transformation between R and T. Three auction-platform relations retained their substantive classification, but their evidence was explicitly marked as cross-provision reconstructed. No silent change was made to upstream evidence levels.</w:t>
      </w:r>
    </w:p>
    <w:p>
      <w:pPr>
        <w:pStyle w:val="Heading1"/>
      </w:pPr>
      <w:r>
        <w:t>6. LAW × INTERMEDIARY as the comparative parent unit</w:t>
      </w:r>
    </w:p>
    <w:p>
      <w:r>
        <w:t>The nine supported relations consolidate into seven LAW × INTERMEDIARY units. This unit is the most useful human-facing comparator because institutional attributes such as status, independence, orientation, participation, output legal effect and accountability attach to the intermediary within a given law. It is not, however, the sole analytical unit. Relations and mechanism events remain child records.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vAlign w:val="top"/>
            <w:shd w:fill="17365D"/>
          </w:tcPr>
          <w:p>
            <w:pPr>
              <w:spacing w:after="0" w:line="240" w:lineRule="auto"/>
            </w:pPr>
            <w:r/>
            <w:r>
              <w:rPr>
                <w:rFonts w:ascii="Aptos" w:hAnsi="Aptos"/>
                <w:b/>
                <w:color w:val="FFFFFF"/>
                <w:sz w:val="17"/>
              </w:rPr>
              <w:t>Law</w:t>
            </w:r>
          </w:p>
        </w:tc>
        <w:tc>
          <w:tcPr>
            <w:tcW w:type="dxa" w:w="3744"/>
            <w:vAlign w:val="top"/>
            <w:shd w:fill="17365D"/>
          </w:tcPr>
          <w:p>
            <w:pPr>
              <w:spacing w:after="0" w:line="240" w:lineRule="auto"/>
            </w:pPr>
            <w:r/>
            <w:r>
              <w:rPr>
                <w:rFonts w:ascii="Aptos" w:hAnsi="Aptos"/>
                <w:b/>
                <w:color w:val="FFFFFF"/>
                <w:sz w:val="17"/>
              </w:rPr>
              <w:t>Intermediary</w:t>
            </w:r>
          </w:p>
        </w:tc>
        <w:tc>
          <w:tcPr>
            <w:tcW w:type="dxa" w:w="1440"/>
            <w:vAlign w:val="top"/>
            <w:shd w:fill="17365D"/>
          </w:tcPr>
          <w:p>
            <w:pPr>
              <w:spacing w:after="0" w:line="240" w:lineRule="auto"/>
            </w:pPr>
            <w:r/>
            <w:r>
              <w:rPr>
                <w:rFonts w:ascii="Aptos" w:hAnsi="Aptos"/>
                <w:b/>
                <w:color w:val="FFFFFF"/>
                <w:sz w:val="17"/>
              </w:rPr>
              <w:t>Supported relations</w:t>
            </w:r>
          </w:p>
        </w:tc>
        <w:tc>
          <w:tcPr>
            <w:tcW w:type="dxa" w:w="4464"/>
            <w:vAlign w:val="top"/>
            <w:shd w:fill="17365D"/>
          </w:tcPr>
          <w:p>
            <w:pPr>
              <w:spacing w:after="0" w:line="240" w:lineRule="auto"/>
            </w:pPr>
            <w:r/>
            <w:r>
              <w:rPr>
                <w:rFonts w:ascii="Aptos" w:hAnsi="Aptos"/>
                <w:b/>
                <w:color w:val="FFFFFF"/>
                <w:sz w:val="17"/>
              </w:rPr>
              <w:t>Observed mechanism(s)</w:t>
            </w:r>
          </w:p>
        </w:tc>
      </w:tr>
      <w:tr>
        <w:tc>
          <w:tcPr>
            <w:tcW w:type="dxa" w:w="1656"/>
            <w:vAlign w:val="top"/>
            <w:shd w:fill="F2F6FA"/>
          </w:tcPr>
          <w:p>
            <w:pPr>
              <w:spacing w:after="0" w:line="240" w:lineRule="auto"/>
            </w:pPr>
            <w:r/>
            <w:r>
              <w:rPr>
                <w:rFonts w:ascii="Aptos" w:hAnsi="Aptos"/>
                <w:b w:val="0"/>
                <w:sz w:val="17"/>
              </w:rPr>
              <w:t>32003L0087</w:t>
            </w:r>
          </w:p>
        </w:tc>
        <w:tc>
          <w:tcPr>
            <w:tcW w:type="dxa" w:w="3744"/>
            <w:vAlign w:val="top"/>
            <w:shd w:fill="F2F6FA"/>
          </w:tcPr>
          <w:p>
            <w:pPr>
              <w:spacing w:after="0" w:line="240" w:lineRule="auto"/>
            </w:pPr>
            <w:r/>
            <w:r>
              <w:rPr>
                <w:rFonts w:ascii="Aptos" w:hAnsi="Aptos"/>
                <w:b w:val="0"/>
                <w:sz w:val="17"/>
              </w:rPr>
              <w:t>Independent verifiers</w:t>
            </w:r>
          </w:p>
        </w:tc>
        <w:tc>
          <w:tcPr>
            <w:tcW w:type="dxa" w:w="1440"/>
            <w:vAlign w:val="top"/>
            <w:shd w:fill="F2F6FA"/>
          </w:tcPr>
          <w:p>
            <w:pPr>
              <w:spacing w:after="0" w:line="240" w:lineRule="auto"/>
            </w:pPr>
            <w:r/>
            <w:r>
              <w:rPr>
                <w:rFonts w:ascii="Aptos" w:hAnsi="Aptos"/>
                <w:b w:val="0"/>
                <w:sz w:val="17"/>
              </w:rPr>
              <w:t>1</w:t>
            </w:r>
          </w:p>
        </w:tc>
        <w:tc>
          <w:tcPr>
            <w:tcW w:type="dxa" w:w="4464"/>
            <w:vAlign w:val="top"/>
            <w:shd w:fill="F2F6FA"/>
          </w:tcPr>
          <w:p>
            <w:pPr>
              <w:spacing w:after="0" w:line="240" w:lineRule="auto"/>
            </w:pPr>
            <w:r/>
            <w:r>
              <w:rPr>
                <w:rFonts w:ascii="Aptos" w:hAnsi="Aptos"/>
                <w:b w:val="0"/>
                <w:sz w:val="17"/>
              </w:rPr>
              <w:t>VERIFICATION</w:t>
            </w:r>
          </w:p>
        </w:tc>
      </w:tr>
      <w:tr>
        <w:tc>
          <w:tcPr>
            <w:tcW w:type="dxa" w:w="1656"/>
            <w:vAlign w:val="top"/>
          </w:tcPr>
          <w:p>
            <w:pPr>
              <w:spacing w:after="0" w:line="240" w:lineRule="auto"/>
            </w:pPr>
            <w:r/>
            <w:r>
              <w:rPr>
                <w:rFonts w:ascii="Aptos" w:hAnsi="Aptos"/>
                <w:b w:val="0"/>
                <w:sz w:val="17"/>
              </w:rPr>
              <w:t>32018R0842</w:t>
            </w:r>
          </w:p>
        </w:tc>
        <w:tc>
          <w:tcPr>
            <w:tcW w:type="dxa" w:w="3744"/>
            <w:vAlign w:val="top"/>
          </w:tcPr>
          <w:p>
            <w:pPr>
              <w:spacing w:after="0" w:line="240" w:lineRule="auto"/>
            </w:pPr>
            <w:r/>
            <w:r>
              <w:rPr>
                <w:rFonts w:ascii="Aptos" w:hAnsi="Aptos"/>
                <w:b w:val="0"/>
                <w:sz w:val="17"/>
              </w:rPr>
              <w:t>Central Administrator</w:t>
            </w:r>
          </w:p>
        </w:tc>
        <w:tc>
          <w:tcPr>
            <w:tcW w:type="dxa" w:w="1440"/>
            <w:vAlign w:val="top"/>
          </w:tcPr>
          <w:p>
            <w:pPr>
              <w:spacing w:after="0" w:line="240" w:lineRule="auto"/>
            </w:pPr>
            <w:r/>
            <w:r>
              <w:rPr>
                <w:rFonts w:ascii="Aptos" w:hAnsi="Aptos"/>
                <w:b w:val="0"/>
                <w:sz w:val="17"/>
              </w:rPr>
              <w:t>1</w:t>
            </w:r>
          </w:p>
        </w:tc>
        <w:tc>
          <w:tcPr>
            <w:tcW w:type="dxa" w:w="4464"/>
            <w:vAlign w:val="top"/>
          </w:tcPr>
          <w:p>
            <w:pPr>
              <w:spacing w:after="0" w:line="240" w:lineRule="auto"/>
            </w:pPr>
            <w:r/>
            <w:r>
              <w:rPr>
                <w:rFonts w:ascii="Aptos" w:hAnsi="Aptos"/>
                <w:b w:val="0"/>
                <w:sz w:val="17"/>
              </w:rPr>
              <w:t>VERIFICATION</w:t>
            </w:r>
          </w:p>
        </w:tc>
      </w:tr>
      <w:tr>
        <w:tc>
          <w:tcPr>
            <w:tcW w:type="dxa" w:w="1656"/>
            <w:vAlign w:val="top"/>
            <w:shd w:fill="F2F6FA"/>
          </w:tcPr>
          <w:p>
            <w:pPr>
              <w:spacing w:after="0" w:line="240" w:lineRule="auto"/>
            </w:pPr>
            <w:r/>
            <w:r>
              <w:rPr>
                <w:rFonts w:ascii="Aptos" w:hAnsi="Aptos"/>
                <w:b w:val="0"/>
                <w:sz w:val="17"/>
              </w:rPr>
              <w:t>32018R0842</w:t>
            </w:r>
          </w:p>
        </w:tc>
        <w:tc>
          <w:tcPr>
            <w:tcW w:type="dxa" w:w="3744"/>
            <w:vAlign w:val="top"/>
            <w:shd w:fill="F2F6FA"/>
          </w:tcPr>
          <w:p>
            <w:pPr>
              <w:spacing w:after="0" w:line="240" w:lineRule="auto"/>
            </w:pPr>
            <w:r/>
            <w:r>
              <w:rPr>
                <w:rFonts w:ascii="Aptos" w:hAnsi="Aptos"/>
                <w:b w:val="0"/>
                <w:sz w:val="17"/>
              </w:rPr>
              <w:t>European Environment Agency</w:t>
            </w:r>
          </w:p>
        </w:tc>
        <w:tc>
          <w:tcPr>
            <w:tcW w:type="dxa" w:w="1440"/>
            <w:vAlign w:val="top"/>
            <w:shd w:fill="F2F6FA"/>
          </w:tcPr>
          <w:p>
            <w:pPr>
              <w:spacing w:after="0" w:line="240" w:lineRule="auto"/>
            </w:pPr>
            <w:r/>
            <w:r>
              <w:rPr>
                <w:rFonts w:ascii="Aptos" w:hAnsi="Aptos"/>
                <w:b w:val="0"/>
                <w:sz w:val="17"/>
              </w:rPr>
              <w:t>1</w:t>
            </w:r>
          </w:p>
        </w:tc>
        <w:tc>
          <w:tcPr>
            <w:tcW w:type="dxa" w:w="4464"/>
            <w:vAlign w:val="top"/>
            <w:shd w:fill="F2F6FA"/>
          </w:tcPr>
          <w:p>
            <w:pPr>
              <w:spacing w:after="0" w:line="240" w:lineRule="auto"/>
            </w:pPr>
            <w:r/>
            <w:r>
              <w:rPr>
                <w:rFonts w:ascii="Aptos" w:hAnsi="Aptos"/>
                <w:b w:val="0"/>
                <w:sz w:val="17"/>
              </w:rPr>
              <w:t>EVALUATION_ASSESSMENT</w:t>
            </w:r>
          </w:p>
        </w:tc>
      </w:tr>
      <w:tr>
        <w:tc>
          <w:tcPr>
            <w:tcW w:type="dxa" w:w="1656"/>
            <w:vAlign w:val="top"/>
          </w:tcPr>
          <w:p>
            <w:pPr>
              <w:spacing w:after="0" w:line="240" w:lineRule="auto"/>
            </w:pPr>
            <w:r/>
            <w:r>
              <w:rPr>
                <w:rFonts w:ascii="Aptos" w:hAnsi="Aptos"/>
                <w:b w:val="0"/>
                <w:sz w:val="17"/>
              </w:rPr>
              <w:t>32021R1119</w:t>
            </w:r>
          </w:p>
        </w:tc>
        <w:tc>
          <w:tcPr>
            <w:tcW w:type="dxa" w:w="3744"/>
            <w:vAlign w:val="top"/>
          </w:tcPr>
          <w:p>
            <w:pPr>
              <w:spacing w:after="0" w:line="240" w:lineRule="auto"/>
            </w:pPr>
            <w:r/>
            <w:r>
              <w:rPr>
                <w:rFonts w:ascii="Aptos" w:hAnsi="Aptos"/>
                <w:b w:val="0"/>
                <w:sz w:val="17"/>
              </w:rPr>
              <w:t>European Environment Agency</w:t>
            </w:r>
          </w:p>
        </w:tc>
        <w:tc>
          <w:tcPr>
            <w:tcW w:type="dxa" w:w="1440"/>
            <w:vAlign w:val="top"/>
          </w:tcPr>
          <w:p>
            <w:pPr>
              <w:spacing w:after="0" w:line="240" w:lineRule="auto"/>
            </w:pPr>
            <w:r/>
            <w:r>
              <w:rPr>
                <w:rFonts w:ascii="Aptos" w:hAnsi="Aptos"/>
                <w:b w:val="0"/>
                <w:sz w:val="17"/>
              </w:rPr>
              <w:t>1</w:t>
            </w:r>
          </w:p>
        </w:tc>
        <w:tc>
          <w:tcPr>
            <w:tcW w:type="dxa" w:w="4464"/>
            <w:vAlign w:val="top"/>
          </w:tcPr>
          <w:p>
            <w:pPr>
              <w:spacing w:after="0" w:line="240" w:lineRule="auto"/>
            </w:pPr>
            <w:r/>
            <w:r>
              <w:rPr>
                <w:rFonts w:ascii="Aptos" w:hAnsi="Aptos"/>
                <w:b w:val="0"/>
                <w:sz w:val="17"/>
              </w:rPr>
              <w:t>EVALUATION_ASSESSMENT</w:t>
            </w:r>
          </w:p>
        </w:tc>
      </w:tr>
      <w:tr>
        <w:tc>
          <w:tcPr>
            <w:tcW w:type="dxa" w:w="1656"/>
            <w:vAlign w:val="top"/>
            <w:shd w:fill="F2F6FA"/>
          </w:tcPr>
          <w:p>
            <w:pPr>
              <w:spacing w:after="0" w:line="240" w:lineRule="auto"/>
            </w:pPr>
            <w:r/>
            <w:r>
              <w:rPr>
                <w:rFonts w:ascii="Aptos" w:hAnsi="Aptos"/>
                <w:b w:val="0"/>
                <w:sz w:val="17"/>
              </w:rPr>
              <w:t>32023R0955</w:t>
            </w:r>
          </w:p>
        </w:tc>
        <w:tc>
          <w:tcPr>
            <w:tcW w:type="dxa" w:w="3744"/>
            <w:vAlign w:val="top"/>
            <w:shd w:fill="F2F6FA"/>
          </w:tcPr>
          <w:p>
            <w:pPr>
              <w:spacing w:after="0" w:line="240" w:lineRule="auto"/>
            </w:pPr>
            <w:r/>
            <w:r>
              <w:rPr>
                <w:rFonts w:ascii="Aptos" w:hAnsi="Aptos"/>
                <w:b w:val="0"/>
                <w:sz w:val="17"/>
              </w:rPr>
              <w:t>Public or private implementing entities</w:t>
            </w:r>
          </w:p>
        </w:tc>
        <w:tc>
          <w:tcPr>
            <w:tcW w:type="dxa" w:w="1440"/>
            <w:vAlign w:val="top"/>
            <w:shd w:fill="F2F6FA"/>
          </w:tcPr>
          <w:p>
            <w:pPr>
              <w:spacing w:after="0" w:line="240" w:lineRule="auto"/>
            </w:pPr>
            <w:r/>
            <w:r>
              <w:rPr>
                <w:rFonts w:ascii="Aptos" w:hAnsi="Aptos"/>
                <w:b w:val="0"/>
                <w:sz w:val="17"/>
              </w:rPr>
              <w:t>3</w:t>
            </w:r>
          </w:p>
        </w:tc>
        <w:tc>
          <w:tcPr>
            <w:tcW w:type="dxa" w:w="4464"/>
            <w:vAlign w:val="top"/>
            <w:shd w:fill="F2F6FA"/>
          </w:tcPr>
          <w:p>
            <w:pPr>
              <w:spacing w:after="0" w:line="240" w:lineRule="auto"/>
            </w:pPr>
            <w:r/>
            <w:r>
              <w:rPr>
                <w:rFonts w:ascii="Aptos" w:hAnsi="Aptos"/>
                <w:b w:val="0"/>
                <w:sz w:val="17"/>
              </w:rPr>
              <w:t>IMPLEMENTATION repeated across target classes</w:t>
            </w:r>
          </w:p>
        </w:tc>
      </w:tr>
      <w:tr>
        <w:tc>
          <w:tcPr>
            <w:tcW w:type="dxa" w:w="1656"/>
            <w:vAlign w:val="top"/>
          </w:tcPr>
          <w:p>
            <w:pPr>
              <w:spacing w:after="0" w:line="240" w:lineRule="auto"/>
            </w:pPr>
            <w:r/>
            <w:r>
              <w:rPr>
                <w:rFonts w:ascii="Aptos" w:hAnsi="Aptos"/>
                <w:b w:val="0"/>
                <w:sz w:val="17"/>
              </w:rPr>
              <w:t>32023R0955</w:t>
            </w:r>
          </w:p>
        </w:tc>
        <w:tc>
          <w:tcPr>
            <w:tcW w:type="dxa" w:w="3744"/>
            <w:vAlign w:val="top"/>
          </w:tcPr>
          <w:p>
            <w:pPr>
              <w:spacing w:after="0" w:line="240" w:lineRule="auto"/>
            </w:pPr>
            <w:r/>
            <w:r>
              <w:rPr>
                <w:rFonts w:ascii="Aptos" w:hAnsi="Aptos"/>
                <w:b w:val="0"/>
                <w:sz w:val="17"/>
              </w:rPr>
              <w:t>Implementing authorities</w:t>
            </w:r>
          </w:p>
        </w:tc>
        <w:tc>
          <w:tcPr>
            <w:tcW w:type="dxa" w:w="1440"/>
            <w:vAlign w:val="top"/>
          </w:tcPr>
          <w:p>
            <w:pPr>
              <w:spacing w:after="0" w:line="240" w:lineRule="auto"/>
            </w:pPr>
            <w:r/>
            <w:r>
              <w:rPr>
                <w:rFonts w:ascii="Aptos" w:hAnsi="Aptos"/>
                <w:b w:val="0"/>
                <w:sz w:val="17"/>
              </w:rPr>
              <w:t>1</w:t>
            </w:r>
          </w:p>
        </w:tc>
        <w:tc>
          <w:tcPr>
            <w:tcW w:type="dxa" w:w="4464"/>
            <w:vAlign w:val="top"/>
          </w:tcPr>
          <w:p>
            <w:pPr>
              <w:spacing w:after="0" w:line="240" w:lineRule="auto"/>
            </w:pPr>
            <w:r/>
            <w:r>
              <w:rPr>
                <w:rFonts w:ascii="Aptos" w:hAnsi="Aptos"/>
                <w:b w:val="0"/>
                <w:sz w:val="17"/>
              </w:rPr>
              <w:t>VERIFICATION</w:t>
            </w:r>
          </w:p>
        </w:tc>
      </w:tr>
      <w:tr>
        <w:tc>
          <w:tcPr>
            <w:tcW w:type="dxa" w:w="1656"/>
            <w:vAlign w:val="top"/>
            <w:shd w:fill="F2F6FA"/>
          </w:tcPr>
          <w:p>
            <w:pPr>
              <w:spacing w:after="0" w:line="240" w:lineRule="auto"/>
            </w:pPr>
            <w:r/>
            <w:r>
              <w:rPr>
                <w:rFonts w:ascii="Aptos" w:hAnsi="Aptos"/>
                <w:b w:val="0"/>
                <w:sz w:val="17"/>
              </w:rPr>
              <w:t>32023R0955</w:t>
            </w:r>
          </w:p>
        </w:tc>
        <w:tc>
          <w:tcPr>
            <w:tcW w:type="dxa" w:w="3744"/>
            <w:vAlign w:val="top"/>
            <w:shd w:fill="F2F6FA"/>
          </w:tcPr>
          <w:p>
            <w:pPr>
              <w:spacing w:after="0" w:line="240" w:lineRule="auto"/>
            </w:pPr>
            <w:r/>
            <w:r>
              <w:rPr>
                <w:rFonts w:ascii="Aptos" w:hAnsi="Aptos"/>
                <w:b w:val="0"/>
                <w:sz w:val="17"/>
              </w:rPr>
              <w:t>Audit bodies</w:t>
            </w:r>
          </w:p>
        </w:tc>
        <w:tc>
          <w:tcPr>
            <w:tcW w:type="dxa" w:w="1440"/>
            <w:vAlign w:val="top"/>
            <w:shd w:fill="F2F6FA"/>
          </w:tcPr>
          <w:p>
            <w:pPr>
              <w:spacing w:after="0" w:line="240" w:lineRule="auto"/>
            </w:pPr>
            <w:r/>
            <w:r>
              <w:rPr>
                <w:rFonts w:ascii="Aptos" w:hAnsi="Aptos"/>
                <w:b w:val="0"/>
                <w:sz w:val="17"/>
              </w:rPr>
              <w:t>1</w:t>
            </w:r>
          </w:p>
        </w:tc>
        <w:tc>
          <w:tcPr>
            <w:tcW w:type="dxa" w:w="4464"/>
            <w:vAlign w:val="top"/>
            <w:shd w:fill="F2F6FA"/>
          </w:tcPr>
          <w:p>
            <w:pPr>
              <w:spacing w:after="0" w:line="240" w:lineRule="auto"/>
            </w:pPr>
            <w:r/>
            <w:r>
              <w:rPr>
                <w:rFonts w:ascii="Aptos" w:hAnsi="Aptos"/>
                <w:b w:val="0"/>
                <w:sz w:val="17"/>
              </w:rPr>
              <w:t>VERIFICATION → EVALUATION_ASSESSMENT</w:t>
            </w:r>
          </w:p>
        </w:tc>
      </w:tr>
    </w:tbl>
    <w:p>
      <w:pPr>
        <w:spacing w:after="20"/>
      </w:pPr>
    </w:p>
    <w:p>
      <w:r>
        <w:t>CELEX 32015D1814 has no LAW × INTERMEDIARY row because zero is represented by absence of positive child records plus an explicit substantive-zero indicator at law level.</w:t>
      </w:r>
    </w:p>
    <w:p>
      <w:pPr>
        <w:pStyle w:val="Heading1"/>
      </w:pPr>
      <w:r>
        <w:t>7. Elementary mechanisms: coding, adversarial review and researcher adjudication</w:t>
      </w:r>
    </w:p>
    <w:p>
      <w:pPr>
        <w:pStyle w:val="Heading2"/>
      </w:pPr>
      <w:r>
        <w:t>7.1 Unit definition</w:t>
      </w:r>
    </w:p>
    <w:p>
      <w:r>
        <w:t>A mechanism event is defined as one elementary transformation within a supported R–I–T relation. It is not an actor label, not a legal action, and not a higher-order capacity. Each event is reconstructed as input → mediated object → transformation → output → recipient → connection to the R–T relation.</w:t>
      </w:r>
    </w:p>
    <w:p>
      <w:pPr>
        <w:pStyle w:val="Heading2"/>
      </w:pPr>
      <w:r>
        <w:t>7.2 Provisional mechanism vocabulary</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top"/>
            <w:shd w:fill="17365D"/>
          </w:tcPr>
          <w:p>
            <w:pPr>
              <w:spacing w:after="0" w:line="240" w:lineRule="auto"/>
            </w:pPr>
            <w:r/>
            <w:r>
              <w:rPr>
                <w:rFonts w:ascii="Aptos" w:hAnsi="Aptos"/>
                <w:b/>
                <w:color w:val="FFFFFF"/>
                <w:sz w:val="17"/>
              </w:rPr>
              <w:t>Family</w:t>
            </w:r>
          </w:p>
        </w:tc>
        <w:tc>
          <w:tcPr>
            <w:tcW w:type="dxa" w:w="5760"/>
            <w:vAlign w:val="top"/>
            <w:shd w:fill="17365D"/>
          </w:tcPr>
          <w:p>
            <w:pPr>
              <w:spacing w:after="0" w:line="240" w:lineRule="auto"/>
            </w:pPr>
            <w:r/>
            <w:r>
              <w:rPr>
                <w:rFonts w:ascii="Aptos" w:hAnsi="Aptos"/>
                <w:b/>
                <w:color w:val="FFFFFF"/>
                <w:sz w:val="17"/>
              </w:rPr>
              <w:t>Mechanisms</w:t>
            </w:r>
          </w:p>
        </w:tc>
        <w:tc>
          <w:tcPr>
            <w:tcW w:type="dxa" w:w="2304"/>
            <w:vAlign w:val="top"/>
            <w:shd w:fill="17365D"/>
          </w:tcPr>
          <w:p>
            <w:pPr>
              <w:spacing w:after="0" w:line="240" w:lineRule="auto"/>
            </w:pPr>
            <w:r/>
            <w:r>
              <w:rPr>
                <w:rFonts w:ascii="Aptos" w:hAnsi="Aptos"/>
                <w:b/>
                <w:color w:val="FFFFFF"/>
                <w:sz w:val="17"/>
              </w:rPr>
              <w:t>Status</w:t>
            </w:r>
          </w:p>
        </w:tc>
      </w:tr>
      <w:tr>
        <w:tc>
          <w:tcPr>
            <w:tcW w:type="dxa" w:w="2880"/>
            <w:vAlign w:val="top"/>
            <w:shd w:fill="F2F6FA"/>
          </w:tcPr>
          <w:p>
            <w:pPr>
              <w:spacing w:after="0" w:line="240" w:lineRule="auto"/>
            </w:pPr>
            <w:r/>
            <w:r>
              <w:rPr>
                <w:rFonts w:ascii="Aptos" w:hAnsi="Aptos"/>
                <w:b w:val="0"/>
                <w:sz w:val="17"/>
              </w:rPr>
              <w:t>ARTICULATION</w:t>
            </w:r>
          </w:p>
        </w:tc>
        <w:tc>
          <w:tcPr>
            <w:tcW w:type="dxa" w:w="5760"/>
            <w:vAlign w:val="top"/>
            <w:shd w:fill="F2F6FA"/>
          </w:tcPr>
          <w:p>
            <w:pPr>
              <w:spacing w:after="0" w:line="240" w:lineRule="auto"/>
            </w:pPr>
            <w:r/>
            <w:r>
              <w:rPr>
                <w:rFonts w:ascii="Aptos" w:hAnsi="Aptos"/>
                <w:b w:val="0"/>
                <w:sz w:val="17"/>
              </w:rPr>
              <w:t>TRANSMISSION; AGGREGATION; REPRESENTATION</w:t>
            </w:r>
          </w:p>
        </w:tc>
        <w:tc>
          <w:tcPr>
            <w:tcW w:type="dxa" w:w="2304"/>
            <w:vAlign w:val="top"/>
            <w:shd w:fill="F2F6FA"/>
          </w:tcPr>
          <w:p>
            <w:pPr>
              <w:spacing w:after="0" w:line="240" w:lineRule="auto"/>
            </w:pPr>
            <w:r/>
            <w:r>
              <w:rPr>
                <w:rFonts w:ascii="Aptos" w:hAnsi="Aptos"/>
                <w:b w:val="0"/>
                <w:sz w:val="17"/>
              </w:rPr>
              <w:t>Provisional operational family</w:t>
            </w:r>
          </w:p>
        </w:tc>
      </w:tr>
      <w:tr>
        <w:tc>
          <w:tcPr>
            <w:tcW w:type="dxa" w:w="2880"/>
            <w:vAlign w:val="top"/>
          </w:tcPr>
          <w:p>
            <w:pPr>
              <w:spacing w:after="0" w:line="240" w:lineRule="auto"/>
            </w:pPr>
            <w:r/>
            <w:r>
              <w:rPr>
                <w:rFonts w:ascii="Aptos" w:hAnsi="Aptos"/>
                <w:b w:val="0"/>
                <w:sz w:val="17"/>
              </w:rPr>
              <w:t>INFORMATION_TREATMENT</w:t>
            </w:r>
          </w:p>
        </w:tc>
        <w:tc>
          <w:tcPr>
            <w:tcW w:type="dxa" w:w="5760"/>
            <w:vAlign w:val="top"/>
          </w:tcPr>
          <w:p>
            <w:pPr>
              <w:spacing w:after="0" w:line="240" w:lineRule="auto"/>
            </w:pPr>
            <w:r/>
            <w:r>
              <w:rPr>
                <w:rFonts w:ascii="Aptos" w:hAnsi="Aptos"/>
                <w:b w:val="0"/>
                <w:sz w:val="17"/>
              </w:rPr>
              <w:t>TRANSLATION; INTERPRETATION; EVALUATION_ASSESSMENT; CLASSIFICATION_RANKING</w:t>
            </w:r>
          </w:p>
        </w:tc>
        <w:tc>
          <w:tcPr>
            <w:tcW w:type="dxa" w:w="2304"/>
            <w:vAlign w:val="top"/>
          </w:tcPr>
          <w:p>
            <w:pPr>
              <w:spacing w:after="0" w:line="240" w:lineRule="auto"/>
            </w:pPr>
            <w:r/>
            <w:r>
              <w:rPr>
                <w:rFonts w:ascii="Aptos" w:hAnsi="Aptos"/>
                <w:b w:val="0"/>
                <w:sz w:val="17"/>
              </w:rPr>
              <w:t>Provisional operational family</w:t>
            </w:r>
          </w:p>
        </w:tc>
      </w:tr>
      <w:tr>
        <w:tc>
          <w:tcPr>
            <w:tcW w:type="dxa" w:w="2880"/>
            <w:vAlign w:val="top"/>
            <w:shd w:fill="F2F6FA"/>
          </w:tcPr>
          <w:p>
            <w:pPr>
              <w:spacing w:after="0" w:line="240" w:lineRule="auto"/>
            </w:pPr>
            <w:r/>
            <w:r>
              <w:rPr>
                <w:rFonts w:ascii="Aptos" w:hAnsi="Aptos"/>
                <w:b w:val="0"/>
                <w:sz w:val="17"/>
              </w:rPr>
              <w:t>REGULATORY_RELIABILITY</w:t>
            </w:r>
          </w:p>
        </w:tc>
        <w:tc>
          <w:tcPr>
            <w:tcW w:type="dxa" w:w="5760"/>
            <w:vAlign w:val="top"/>
            <w:shd w:fill="F2F6FA"/>
          </w:tcPr>
          <w:p>
            <w:pPr>
              <w:spacing w:after="0" w:line="240" w:lineRule="auto"/>
            </w:pPr>
            <w:r/>
            <w:r>
              <w:rPr>
                <w:rFonts w:ascii="Aptos" w:hAnsi="Aptos"/>
                <w:b w:val="0"/>
                <w:sz w:val="17"/>
              </w:rPr>
              <w:t>MONITORING; VERIFICATION</w:t>
            </w:r>
          </w:p>
        </w:tc>
        <w:tc>
          <w:tcPr>
            <w:tcW w:type="dxa" w:w="2304"/>
            <w:vAlign w:val="top"/>
            <w:shd w:fill="F2F6FA"/>
          </w:tcPr>
          <w:p>
            <w:pPr>
              <w:spacing w:after="0" w:line="240" w:lineRule="auto"/>
            </w:pPr>
            <w:r/>
            <w:r>
              <w:rPr>
                <w:rFonts w:ascii="Aptos" w:hAnsi="Aptos"/>
                <w:b w:val="0"/>
                <w:sz w:val="17"/>
              </w:rPr>
              <w:t>Provisional operational family</w:t>
            </w:r>
          </w:p>
        </w:tc>
      </w:tr>
      <w:tr>
        <w:tc>
          <w:tcPr>
            <w:tcW w:type="dxa" w:w="2880"/>
            <w:vAlign w:val="top"/>
          </w:tcPr>
          <w:p>
            <w:pPr>
              <w:spacing w:after="0" w:line="240" w:lineRule="auto"/>
            </w:pPr>
            <w:r/>
            <w:r>
              <w:rPr>
                <w:rFonts w:ascii="Aptos" w:hAnsi="Aptos"/>
                <w:b w:val="0"/>
                <w:sz w:val="17"/>
              </w:rPr>
              <w:t>FAMILY_UNASSIGNED_PROVISIONAL</w:t>
            </w:r>
          </w:p>
        </w:tc>
        <w:tc>
          <w:tcPr>
            <w:tcW w:type="dxa" w:w="5760"/>
            <w:vAlign w:val="top"/>
          </w:tcPr>
          <w:p>
            <w:pPr>
              <w:spacing w:after="0" w:line="240" w:lineRule="auto"/>
            </w:pPr>
            <w:r/>
            <w:r>
              <w:rPr>
                <w:rFonts w:ascii="Aptos" w:hAnsi="Aptos"/>
                <w:b w:val="0"/>
                <w:sz w:val="17"/>
              </w:rPr>
              <w:t>IMPLEMENTATION</w:t>
            </w:r>
          </w:p>
        </w:tc>
        <w:tc>
          <w:tcPr>
            <w:tcW w:type="dxa" w:w="2304"/>
            <w:vAlign w:val="top"/>
          </w:tcPr>
          <w:p>
            <w:pPr>
              <w:spacing w:after="0" w:line="240" w:lineRule="auto"/>
            </w:pPr>
            <w:r/>
            <w:r>
              <w:rPr>
                <w:rFonts w:ascii="Aptos" w:hAnsi="Aptos"/>
                <w:b w:val="0"/>
                <w:sz w:val="17"/>
              </w:rPr>
              <w:t>Researcher-added boundary mechanism</w:t>
            </w:r>
          </w:p>
        </w:tc>
      </w:tr>
    </w:tbl>
    <w:p>
      <w:pPr>
        <w:spacing w:after="20"/>
      </w:pPr>
    </w:p>
    <w:p>
      <w:r>
        <w:t>The vocabulary is R3-specific and operational. It is not presented as a published Levi-Faur taxonomy, a universal ontology or an exhaustive set.</w:t>
      </w:r>
    </w:p>
    <w:p>
      <w:pPr>
        <w:pStyle w:val="Heading2"/>
      </w:pPr>
      <w:r>
        <w:t>7.3 Phase 8 event reconstruction</w:t>
      </w:r>
    </w:p>
    <w:p>
      <w:r>
        <w:t>Ten mechanism events were reconstructed from the nine supported relations. Seven fit the original vocabulary with defensible mechanism labels. Three events in the Social Climate Fund remained unresolved because the intermediary transformed authorized programme resources and measures into material services, investments or financial benefits rather than translating content.</w:t>
      </w:r>
    </w:p>
    <w:p>
      <w:pPr>
        <w:pStyle w:val="Heading2"/>
      </w:pPr>
      <w:r>
        <w:t>7.4 Adversarial mechanism review</w:t>
      </w:r>
    </w:p>
    <w:p>
      <w:r>
        <w:t>Phase 8B independently reconstructed each event before comparing the Phase 8 label to the strongest alternative. The review preserved seven mechanisms and identified the three material-delivery cases as CODEBOOK_BOUNDARY rather than stretching TRANSLATION. Crucially, no relationship was automatically reopened simply because the mechanism ontology was insufficient.</w:t>
      </w:r>
    </w:p>
    <w:p>
      <w:pPr>
        <w:pStyle w:val="Heading2"/>
      </w:pPr>
      <w:r>
        <w:t>7.5 Researcher decision R3-D08-IMPLEMENTATION</w:t>
      </w:r>
    </w:p>
    <w:p>
      <w:r>
        <w:t>The researcher then made an explicit substantive decision: the three relations remain supported intermediation and receive a provisional tenth mechanism, IMPLEMENTATION. The rationale is that their transformation is operational/material: a legally structured programme, measure or resource is converted by a formally assigned third actor into concrete action or delivery toward T.</w:t>
      </w:r>
    </w:p>
    <w:tbl>
      <w:tblPr>
        <w:tblW w:type="auto" w:w="0"/>
        <w:jc w:val="center"/>
        <w:tblLook w:firstColumn="1" w:firstRow="1" w:lastColumn="0" w:lastRow="0" w:noHBand="0" w:noVBand="1" w:val="04A0"/>
      </w:tblPr>
      <w:tblGrid>
        <w:gridCol w:w="9994"/>
      </w:tblGrid>
      <w:tr>
        <w:tc>
          <w:tcPr>
            <w:tcW w:type="dxa" w:w="9994"/>
            <w:shd w:fill="EAF2F8"/>
          </w:tcPr>
          <w:p>
            <w:pPr>
              <w:spacing w:after="0"/>
            </w:pPr>
            <w:r>
              <w:rPr>
                <w:rFonts w:ascii="Aptos" w:hAnsi="Aptos"/>
                <w:i/>
                <w:sz w:val="19"/>
              </w:rPr>
              <w:t>IMPLEMENTATION remains FAMILY_UNASSIGNED_PROVISIONAL. The decision does not imply that all implementation actors are intermediaries; the R–I–T gate remains logically prior.</w:t>
            </w:r>
          </w:p>
        </w:tc>
      </w:tr>
    </w:tbl>
    <w:p>
      <w:pPr>
        <w:spacing w:after="20"/>
      </w:pPr>
    </w:p>
    <w:p>
      <w:r>
        <w:t>Historical provenance was preserved rather than overwritten: Phase 8 MECHANISM_UNRESOLVED → Phase 8B CODEBOOK_BOUNDARY → researcher decision R3-D08-IMPLEMENTATION → Phase 8C IMPLEMENTATION.</w:t>
      </w:r>
    </w:p>
    <w:p>
      <w:pPr>
        <w:pStyle w:val="Heading1"/>
      </w:pPr>
      <w:r>
        <w:t>8. Mechanism configurations</w:t>
      </w:r>
    </w:p>
    <w:p>
      <w:r>
        <w:t>After event-level coding was frozen, R3 asked a different question: how are mechanism events organized within a supported relation? This phase explicitly distinguishes event identity from configuration.</w:t>
      </w:r>
    </w:p>
    <w:tbl>
      <w:tblPr>
        <w:tblStyle w:val="TableGrid"/>
        <w:tblW w:type="auto" w:w="0"/>
        <w:jc w:val="center"/>
        <w:tblLook w:firstColumn="1" w:firstRow="1" w:lastColumn="0" w:lastRow="0" w:noHBand="0" w:noVBand="1" w:val="04A0"/>
      </w:tblPr>
      <w:tblGrid>
        <w:gridCol w:w="3331"/>
        <w:gridCol w:w="3331"/>
        <w:gridCol w:w="3331"/>
      </w:tblGrid>
      <w:tr>
        <w:tc>
          <w:tcPr>
            <w:tcW w:type="dxa" w:w="3744"/>
            <w:vAlign w:val="top"/>
            <w:shd w:fill="17365D"/>
          </w:tcPr>
          <w:p>
            <w:pPr>
              <w:spacing w:after="0" w:line="240" w:lineRule="auto"/>
            </w:pPr>
            <w:r/>
            <w:r>
              <w:rPr>
                <w:rFonts w:ascii="Aptos" w:hAnsi="Aptos"/>
                <w:b/>
                <w:color w:val="FFFFFF"/>
                <w:sz w:val="17"/>
              </w:rPr>
              <w:t>Configuration result</w:t>
            </w:r>
          </w:p>
        </w:tc>
        <w:tc>
          <w:tcPr>
            <w:tcW w:type="dxa" w:w="1008"/>
            <w:vAlign w:val="top"/>
            <w:shd w:fill="17365D"/>
          </w:tcPr>
          <w:p>
            <w:pPr>
              <w:spacing w:after="0" w:line="240" w:lineRule="auto"/>
            </w:pPr>
            <w:r/>
            <w:r>
              <w:rPr>
                <w:rFonts w:ascii="Aptos" w:hAnsi="Aptos"/>
                <w:b/>
                <w:color w:val="FFFFFF"/>
                <w:sz w:val="17"/>
              </w:rPr>
              <w:t>N</w:t>
            </w:r>
          </w:p>
        </w:tc>
        <w:tc>
          <w:tcPr>
            <w:tcW w:type="dxa" w:w="5760"/>
            <w:vAlign w:val="top"/>
            <w:shd w:fill="17365D"/>
          </w:tcPr>
          <w:p>
            <w:pPr>
              <w:spacing w:after="0" w:line="240" w:lineRule="auto"/>
            </w:pPr>
            <w:r/>
            <w:r>
              <w:rPr>
                <w:rFonts w:ascii="Aptos" w:hAnsi="Aptos"/>
                <w:b/>
                <w:color w:val="FFFFFF"/>
                <w:sz w:val="17"/>
              </w:rPr>
              <w:t>Interpretation</w:t>
            </w:r>
          </w:p>
        </w:tc>
      </w:tr>
      <w:tr>
        <w:tc>
          <w:tcPr>
            <w:tcW w:type="dxa" w:w="3744"/>
            <w:vAlign w:val="top"/>
            <w:shd w:fill="F2F6FA"/>
          </w:tcPr>
          <w:p>
            <w:pPr>
              <w:spacing w:after="0" w:line="240" w:lineRule="auto"/>
            </w:pPr>
            <w:r/>
            <w:r>
              <w:rPr>
                <w:rFonts w:ascii="Aptos" w:hAnsi="Aptos"/>
                <w:b w:val="0"/>
                <w:sz w:val="17"/>
              </w:rPr>
              <w:t>SINGLE_MECHANISM</w:t>
            </w:r>
          </w:p>
        </w:tc>
        <w:tc>
          <w:tcPr>
            <w:tcW w:type="dxa" w:w="1008"/>
            <w:vAlign w:val="top"/>
            <w:shd w:fill="F2F6FA"/>
          </w:tcPr>
          <w:p>
            <w:pPr>
              <w:spacing w:after="0" w:line="240" w:lineRule="auto"/>
            </w:pPr>
            <w:r/>
            <w:r>
              <w:rPr>
                <w:rFonts w:ascii="Aptos" w:hAnsi="Aptos"/>
                <w:b w:val="0"/>
                <w:sz w:val="17"/>
              </w:rPr>
              <w:t>8</w:t>
            </w:r>
          </w:p>
        </w:tc>
        <w:tc>
          <w:tcPr>
            <w:tcW w:type="dxa" w:w="5760"/>
            <w:vAlign w:val="top"/>
            <w:shd w:fill="F2F6FA"/>
          </w:tcPr>
          <w:p>
            <w:pPr>
              <w:spacing w:after="0" w:line="240" w:lineRule="auto"/>
            </w:pPr>
            <w:r/>
            <w:r>
              <w:rPr>
                <w:rFonts w:ascii="Aptos" w:hAnsi="Aptos"/>
                <w:b w:val="0"/>
                <w:sz w:val="17"/>
              </w:rPr>
              <w:t>Exactly one elementary mechanism event in the relation</w:t>
            </w:r>
          </w:p>
        </w:tc>
      </w:tr>
      <w:tr>
        <w:tc>
          <w:tcPr>
            <w:tcW w:type="dxa" w:w="3744"/>
            <w:vAlign w:val="top"/>
          </w:tcPr>
          <w:p>
            <w:pPr>
              <w:spacing w:after="0" w:line="240" w:lineRule="auto"/>
            </w:pPr>
            <w:r/>
            <w:r>
              <w:rPr>
                <w:rFonts w:ascii="Aptos" w:hAnsi="Aptos"/>
                <w:b w:val="0"/>
                <w:sz w:val="17"/>
              </w:rPr>
              <w:t>MULTI_MECHANISM_SEQUENTIAL</w:t>
            </w:r>
          </w:p>
        </w:tc>
        <w:tc>
          <w:tcPr>
            <w:tcW w:type="dxa" w:w="1008"/>
            <w:vAlign w:val="top"/>
          </w:tcPr>
          <w:p>
            <w:pPr>
              <w:spacing w:after="0" w:line="240" w:lineRule="auto"/>
            </w:pPr>
            <w:r/>
            <w:r>
              <w:rPr>
                <w:rFonts w:ascii="Aptos" w:hAnsi="Aptos"/>
                <w:b w:val="0"/>
                <w:sz w:val="17"/>
              </w:rPr>
              <w:t>1</w:t>
            </w:r>
          </w:p>
        </w:tc>
        <w:tc>
          <w:tcPr>
            <w:tcW w:type="dxa" w:w="5760"/>
            <w:vAlign w:val="top"/>
          </w:tcPr>
          <w:p>
            <w:pPr>
              <w:spacing w:after="0" w:line="240" w:lineRule="auto"/>
            </w:pPr>
            <w:r/>
            <w:r>
              <w:rPr>
                <w:rFonts w:ascii="Aptos" w:hAnsi="Aptos"/>
                <w:b w:val="0"/>
                <w:sz w:val="17"/>
              </w:rPr>
              <w:t>Two events with legally supported functional dependency</w:t>
            </w:r>
          </w:p>
        </w:tc>
      </w:tr>
      <w:tr>
        <w:tc>
          <w:tcPr>
            <w:tcW w:type="dxa" w:w="3744"/>
            <w:vAlign w:val="top"/>
            <w:shd w:fill="F2F6FA"/>
          </w:tcPr>
          <w:p>
            <w:pPr>
              <w:spacing w:after="0" w:line="240" w:lineRule="auto"/>
            </w:pPr>
            <w:r/>
            <w:r>
              <w:rPr>
                <w:rFonts w:ascii="Aptos" w:hAnsi="Aptos"/>
                <w:b w:val="0"/>
                <w:sz w:val="17"/>
              </w:rPr>
              <w:t>Confirmed edge</w:t>
            </w:r>
          </w:p>
        </w:tc>
        <w:tc>
          <w:tcPr>
            <w:tcW w:type="dxa" w:w="1008"/>
            <w:vAlign w:val="top"/>
            <w:shd w:fill="F2F6FA"/>
          </w:tcPr>
          <w:p>
            <w:pPr>
              <w:spacing w:after="0" w:line="240" w:lineRule="auto"/>
            </w:pPr>
            <w:r/>
            <w:r>
              <w:rPr>
                <w:rFonts w:ascii="Aptos" w:hAnsi="Aptos"/>
                <w:b w:val="0"/>
                <w:sz w:val="17"/>
              </w:rPr>
              <w:t>1</w:t>
            </w:r>
          </w:p>
        </w:tc>
        <w:tc>
          <w:tcPr>
            <w:tcW w:type="dxa" w:w="5760"/>
            <w:vAlign w:val="top"/>
            <w:shd w:fill="F2F6FA"/>
          </w:tcPr>
          <w:p>
            <w:pPr>
              <w:spacing w:after="0" w:line="240" w:lineRule="auto"/>
            </w:pPr>
            <w:r/>
            <w:r>
              <w:rPr>
                <w:rFonts w:ascii="Aptos" w:hAnsi="Aptos"/>
                <w:b w:val="0"/>
                <w:sz w:val="17"/>
              </w:rPr>
              <w:t>VERIFICATION → EVALUATION_ASSESSMENT in REL-32023-014</w:t>
            </w:r>
          </w:p>
        </w:tc>
      </w:tr>
    </w:tbl>
    <w:p>
      <w:pPr>
        <w:spacing w:after="20"/>
      </w:pPr>
    </w:p>
    <w:p>
      <w:r>
        <w:t>The sequential audit-body relation is supported because verification findings and identified weaknesses become necessary inputs to a distinct evaluation of weaknesses and corrective actions. By contrast, the three IMPLEMENTATION events are separate target-specific relations. Repetition across relations is not treated as a chain.</w:t>
      </w:r>
    </w:p>
    <w:p>
      <w:pPr>
        <w:pStyle w:val="Heading1"/>
      </w:pPr>
      <w:r>
        <w:t>9. Regulatory Intermediation Architecture dataset</w:t>
      </w:r>
    </w:p>
    <w:p>
      <w:pPr>
        <w:pStyle w:val="Heading2"/>
      </w:pPr>
      <w:r>
        <w:t>9.1 Primary empirical question</w:t>
      </w:r>
    </w:p>
    <w:p>
      <w:r>
        <w:rPr>
          <w:b/>
        </w:rPr>
        <w:t xml:space="preserve">How are regulatory intermediation mechanisms organized across actors and regulatory relations in EU climate regulation, </w:t>
      </w:r>
      <w:r>
        <w:t>and how do institutional characteristics of intermediaries relate to different mechanism configurations?</w:t>
      </w:r>
    </w:p>
    <w:p>
      <w:pPr>
        <w:pStyle w:val="Heading2"/>
      </w:pPr>
      <w:r>
        <w:t>9.2 Analytical hierarchy</w:t>
      </w:r>
    </w:p>
    <w:p>
      <w:r>
        <w:t>The dataset answers the question through distinct but linked levels:</w:t>
      </w:r>
    </w:p>
    <w:p>
      <w:pPr>
        <w:pStyle w:val="ListBullet"/>
        <w:spacing w:after="40"/>
      </w:pPr>
      <w:r>
        <w:rPr>
          <w:b/>
        </w:rPr>
        <w:t xml:space="preserve">LAW: </w:t>
      </w:r>
      <w:r>
        <w:t>what the instrument regulates and how it is structured.</w:t>
      </w:r>
    </w:p>
    <w:p>
      <w:pPr>
        <w:pStyle w:val="ListBullet"/>
        <w:spacing w:after="40"/>
      </w:pPr>
      <w:r>
        <w:rPr>
          <w:b/>
        </w:rPr>
        <w:t xml:space="preserve">LAW × ACTOR: </w:t>
      </w:r>
      <w:r>
        <w:t>the law-scoped institutional universe before role adjudication.</w:t>
      </w:r>
    </w:p>
    <w:p>
      <w:pPr>
        <w:pStyle w:val="ListBullet"/>
        <w:spacing w:after="40"/>
      </w:pPr>
      <w:r>
        <w:rPr>
          <w:b/>
        </w:rPr>
        <w:t xml:space="preserve">LAW × INTERMEDIARY: </w:t>
      </w:r>
      <w:r>
        <w:t>who functions as an intermediary and with which institutional characteristics.</w:t>
      </w:r>
    </w:p>
    <w:p>
      <w:pPr>
        <w:pStyle w:val="ListBullet"/>
        <w:spacing w:after="40"/>
      </w:pPr>
      <w:r>
        <w:rPr>
          <w:b/>
        </w:rPr>
        <w:t xml:space="preserve">R–I–T RELATION: </w:t>
      </w:r>
      <w:r>
        <w:t>who regulates whom through whom and concerning which regulatory object.</w:t>
      </w:r>
    </w:p>
    <w:p>
      <w:pPr>
        <w:pStyle w:val="ListBullet"/>
        <w:spacing w:after="40"/>
      </w:pPr>
      <w:r>
        <w:rPr>
          <w:b/>
        </w:rPr>
        <w:t xml:space="preserve">MECHANISM EVENT: </w:t>
      </w:r>
      <w:r>
        <w:t>how the intermediary transforms an input into a legally relevant output.</w:t>
      </w:r>
    </w:p>
    <w:p>
      <w:pPr>
        <w:pStyle w:val="ListBullet"/>
        <w:spacing w:after="40"/>
      </w:pPr>
      <w:r>
        <w:rPr>
          <w:b/>
        </w:rPr>
        <w:t xml:space="preserve">MECHANISM CONFIGURATION: </w:t>
      </w:r>
      <w:r>
        <w:t>whether events are single, parallel, sequential, mixed or order-unresolved.</w:t>
      </w:r>
    </w:p>
    <w:p>
      <w:pPr>
        <w:pStyle w:val="ListBullet"/>
        <w:spacing w:after="40"/>
      </w:pPr>
      <w:r>
        <w:rPr>
          <w:b/>
        </w:rPr>
        <w:t xml:space="preserve">MECHANISM EDGE: </w:t>
      </w:r>
      <w:r>
        <w:t>the directed dependency between events where sequence is legally supported.</w:t>
      </w:r>
    </w:p>
    <w:p>
      <w:pPr>
        <w:pStyle w:val="ListBullet"/>
        <w:spacing w:after="40"/>
      </w:pPr>
      <w:r>
        <w:rPr>
          <w:b/>
        </w:rPr>
        <w:t xml:space="preserve">LEGAL EVIDENCE: </w:t>
      </w:r>
      <w:r>
        <w:t>the textual support for coded analytical claims.</w:t>
      </w:r>
    </w:p>
    <w:p>
      <w:pPr>
        <w:pStyle w:val="ListBullet"/>
        <w:spacing w:after="40"/>
      </w:pPr>
      <w:r>
        <w:rPr>
          <w:b/>
        </w:rPr>
        <w:t xml:space="preserve">DECISION PROVENANCE: </w:t>
      </w:r>
      <w:r>
        <w:t>how initial coding, adversarial review and researcher adjudication produced the final value.</w:t>
      </w:r>
    </w:p>
    <w:p>
      <w:pPr>
        <w:pStyle w:val="ListBullet"/>
        <w:spacing w:after="40"/>
      </w:pPr>
      <w:r>
        <w:rPr>
          <w:b/>
        </w:rPr>
        <w:t xml:space="preserve">REGULATORY CAPACITY: </w:t>
      </w:r>
      <w:r>
        <w:t>future derived layer; intentionally unpopulated in R3.</w:t>
      </w:r>
    </w:p>
    <w:p>
      <w:r>
        <w:t>The normalized tables are the analytical source of truth. The Excel workbook is a human-facing view centered on LAW × INTERMEDIARY, with child relation rows and mechanism-event subrows.</w:t>
      </w:r>
    </w:p>
    <w:p>
      <w:pPr>
        <w:pStyle w:val="Heading2"/>
      </w:pPr>
      <w:r>
        <w:t>9.3 Variable architecture</w:t>
      </w:r>
    </w:p>
    <w:p>
      <w:r>
        <w:t>Phase 10 mapped variables to research questions rather than retaining all extractable attributes as co-equal columns. The candidate catalog contains 137 variables: 43 CORE, 30 EXPLANATORY, 34 PROVENANCE, 15 DERIVED, 13 FUTURE_THEORETICAL and 2 DROP_CANDIDATE. Variables were not deleted in the architecture phase; instead, their analytical role and future treatment were made explicit.</w:t>
      </w:r>
    </w:p>
    <w:p>
      <w:pPr>
        <w:pStyle w:val="Heading2"/>
      </w:pPr>
      <w:r>
        <w:t>9.4 What the dataset can answer now</w:t>
      </w:r>
    </w:p>
    <w:p>
      <w:pPr>
        <w:pStyle w:val="ListBullet"/>
        <w:spacing w:after="40"/>
      </w:pPr>
      <w:r>
        <w:t>Which actors function as intermediaries in the five selected laws?</w:t>
      </w:r>
    </w:p>
    <w:p>
      <w:pPr>
        <w:pStyle w:val="ListBullet"/>
        <w:spacing w:after="40"/>
      </w:pPr>
      <w:r>
        <w:t>Which elementary mechanisms do those intermediaries perform?</w:t>
      </w:r>
    </w:p>
    <w:p>
      <w:pPr>
        <w:pStyle w:val="ListBullet"/>
        <w:spacing w:after="40"/>
      </w:pPr>
      <w:r>
        <w:t>How do mechanisms vary descriptively across intermediary types and institutional attributes?</w:t>
      </w:r>
    </w:p>
    <w:p>
      <w:pPr>
        <w:pStyle w:val="ListBullet"/>
        <w:spacing w:after="40"/>
      </w:pPr>
      <w:r>
        <w:t>When does one relation contain more than one mechanism?</w:t>
      </w:r>
    </w:p>
    <w:p>
      <w:pPr>
        <w:pStyle w:val="ListBullet"/>
        <w:spacing w:after="40"/>
      </w:pPr>
      <w:r>
        <w:t>When is a functional mechanism sequence legally supported?</w:t>
      </w:r>
    </w:p>
    <w:p>
      <w:pPr>
        <w:pStyle w:val="ListBullet"/>
        <w:spacing w:after="40"/>
      </w:pPr>
      <w:r>
        <w:t>When does the same intermediary repeat the same mechanism across different target relations?</w:t>
      </w:r>
    </w:p>
    <w:p>
      <w:pPr>
        <w:pStyle w:val="ListBullet"/>
        <w:spacing w:after="40"/>
      </w:pPr>
      <w:r>
        <w:t>How do positive, negative and zero intermediation structures differ across the five instruments?</w:t>
      </w:r>
    </w:p>
    <w:p>
      <w:pPr>
        <w:pStyle w:val="Heading2"/>
      </w:pPr>
      <w:r>
        <w:t>9.5 What the dataset cannot answer now</w:t>
      </w:r>
    </w:p>
    <w:p>
      <w:pPr>
        <w:pStyle w:val="ListBullet"/>
        <w:spacing w:after="40"/>
      </w:pPr>
      <w:r>
        <w:t>EU-wide prevalence or frequency of specific intermediary types or mechanisms.</w:t>
      </w:r>
    </w:p>
    <w:p>
      <w:pPr>
        <w:pStyle w:val="ListBullet"/>
        <w:spacing w:after="40"/>
      </w:pPr>
      <w:r>
        <w:t>Causal effects of intermediary design on compliance, effectiveness, legitimacy, trust or other governance outcomes.</w:t>
      </w:r>
    </w:p>
    <w:p>
      <w:pPr>
        <w:pStyle w:val="ListBullet"/>
        <w:spacing w:after="40"/>
      </w:pPr>
      <w:r>
        <w:t>Robust statistical associations between institutional attributes and mechanism type.</w:t>
      </w:r>
    </w:p>
    <w:p>
      <w:pPr>
        <w:pStyle w:val="ListBullet"/>
        <w:spacing w:after="40"/>
      </w:pPr>
      <w:r>
        <w:t>Exhaustiveness of the ten-mechanism vocabulary.</w:t>
      </w:r>
    </w:p>
    <w:p>
      <w:pPr>
        <w:pStyle w:val="ListBullet"/>
        <w:spacing w:after="40"/>
      </w:pPr>
      <w:r>
        <w:t>Validated higher-order regulatory capacities.</w:t>
      </w:r>
    </w:p>
    <w:p>
      <w:pPr>
        <w:pStyle w:val="ListBullet"/>
        <w:spacing w:after="40"/>
      </w:pPr>
      <w:r>
        <w:t>A validated typology of Regulatory Intermediation Architecture.</w:t>
      </w:r>
    </w:p>
    <w:p>
      <w:pPr>
        <w:pStyle w:val="Heading1"/>
      </w:pPr>
      <w:r>
        <w:t>10. Hypotheses generated by R3</w:t>
      </w:r>
    </w:p>
    <w:p>
      <w:r>
        <w:t>The five-case pilot is appropriate for generating and refining hypotheses, not for confirming general associations. The following propositions are therefore framed as testable extensions for a larger population. Where the pilot provides an illustrative case, this is treated as a signal rather than as confirmation.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720"/>
            <w:vAlign w:val="top"/>
            <w:shd w:fill="17365D"/>
          </w:tcPr>
          <w:p>
            <w:pPr>
              <w:spacing w:after="0" w:line="240" w:lineRule="auto"/>
            </w:pPr>
            <w:r/>
            <w:r>
              <w:rPr>
                <w:rFonts w:ascii="Aptos" w:hAnsi="Aptos"/>
                <w:b/>
                <w:color w:val="FFFFFF"/>
                <w:sz w:val="17"/>
              </w:rPr>
              <w:t>ID</w:t>
            </w:r>
          </w:p>
        </w:tc>
        <w:tc>
          <w:tcPr>
            <w:tcW w:type="dxa" w:w="2304"/>
            <w:vAlign w:val="top"/>
            <w:shd w:fill="17365D"/>
          </w:tcPr>
          <w:p>
            <w:pPr>
              <w:spacing w:after="0" w:line="240" w:lineRule="auto"/>
            </w:pPr>
            <w:r/>
            <w:r>
              <w:rPr>
                <w:rFonts w:ascii="Aptos" w:hAnsi="Aptos"/>
                <w:b/>
                <w:color w:val="FFFFFF"/>
                <w:sz w:val="17"/>
              </w:rPr>
              <w:t>Label</w:t>
            </w:r>
          </w:p>
        </w:tc>
        <w:tc>
          <w:tcPr>
            <w:tcW w:type="dxa" w:w="6912"/>
            <w:vAlign w:val="top"/>
            <w:shd w:fill="17365D"/>
          </w:tcPr>
          <w:p>
            <w:pPr>
              <w:spacing w:after="0" w:line="240" w:lineRule="auto"/>
            </w:pPr>
            <w:r/>
            <w:r>
              <w:rPr>
                <w:rFonts w:ascii="Aptos" w:hAnsi="Aptos"/>
                <w:b/>
                <w:color w:val="FFFFFF"/>
                <w:sz w:val="17"/>
              </w:rPr>
              <w:t>Testable proposition</w:t>
            </w:r>
          </w:p>
        </w:tc>
        <w:tc>
          <w:tcPr>
            <w:tcW w:type="dxa" w:w="2304"/>
            <w:vAlign w:val="top"/>
            <w:shd w:fill="17365D"/>
          </w:tcPr>
          <w:p>
            <w:pPr>
              <w:spacing w:after="0" w:line="240" w:lineRule="auto"/>
            </w:pPr>
            <w:r/>
            <w:r>
              <w:rPr>
                <w:rFonts w:ascii="Aptos" w:hAnsi="Aptos"/>
                <w:b/>
                <w:color w:val="FFFFFF"/>
                <w:sz w:val="17"/>
              </w:rPr>
              <w:t>Primary unit</w:t>
            </w:r>
          </w:p>
        </w:tc>
      </w:tr>
      <w:tr>
        <w:tc>
          <w:tcPr>
            <w:tcW w:type="dxa" w:w="720"/>
            <w:vAlign w:val="top"/>
            <w:shd w:fill="F2F6FA"/>
          </w:tcPr>
          <w:p>
            <w:pPr>
              <w:spacing w:after="0" w:line="240" w:lineRule="auto"/>
            </w:pPr>
            <w:r/>
            <w:r>
              <w:rPr>
                <w:rFonts w:ascii="Aptos" w:hAnsi="Aptos"/>
                <w:b w:val="0"/>
                <w:sz w:val="17"/>
              </w:rPr>
              <w:t>H1</w:t>
            </w:r>
          </w:p>
        </w:tc>
        <w:tc>
          <w:tcPr>
            <w:tcW w:type="dxa" w:w="2304"/>
            <w:vAlign w:val="top"/>
            <w:shd w:fill="F2F6FA"/>
          </w:tcPr>
          <w:p>
            <w:pPr>
              <w:spacing w:after="0" w:line="240" w:lineRule="auto"/>
            </w:pPr>
            <w:r/>
            <w:r>
              <w:rPr>
                <w:rFonts w:ascii="Aptos" w:hAnsi="Aptos"/>
                <w:b w:val="0"/>
                <w:sz w:val="17"/>
              </w:rPr>
              <w:t>Institutional specialization</w:t>
            </w:r>
          </w:p>
        </w:tc>
        <w:tc>
          <w:tcPr>
            <w:tcW w:type="dxa" w:w="6912"/>
            <w:vAlign w:val="top"/>
            <w:shd w:fill="F2F6FA"/>
          </w:tcPr>
          <w:p>
            <w:pPr>
              <w:spacing w:after="0" w:line="240" w:lineRule="auto"/>
            </w:pPr>
            <w:r/>
            <w:r>
              <w:rPr>
                <w:rFonts w:ascii="Aptos" w:hAnsi="Aptos"/>
                <w:b w:val="0"/>
                <w:sz w:val="17"/>
              </w:rPr>
              <w:t>Intermediary institutional types are associated with different distributions of elementary mechanisms.</w:t>
            </w:r>
          </w:p>
        </w:tc>
        <w:tc>
          <w:tcPr>
            <w:tcW w:type="dxa" w:w="2304"/>
            <w:vAlign w:val="top"/>
            <w:shd w:fill="F2F6FA"/>
          </w:tcPr>
          <w:p>
            <w:pPr>
              <w:spacing w:after="0" w:line="240" w:lineRule="auto"/>
            </w:pPr>
            <w:r/>
            <w:r>
              <w:rPr>
                <w:rFonts w:ascii="Aptos" w:hAnsi="Aptos"/>
                <w:b w:val="0"/>
                <w:sz w:val="17"/>
              </w:rPr>
              <w:t>LAW × INTERMEDIARY &lt;-&gt; MECHANISM EVENT</w:t>
            </w:r>
          </w:p>
        </w:tc>
      </w:tr>
      <w:tr>
        <w:tc>
          <w:tcPr>
            <w:tcW w:type="dxa" w:w="720"/>
            <w:vAlign w:val="top"/>
          </w:tcPr>
          <w:p>
            <w:pPr>
              <w:spacing w:after="0" w:line="240" w:lineRule="auto"/>
            </w:pPr>
            <w:r/>
            <w:r>
              <w:rPr>
                <w:rFonts w:ascii="Aptos" w:hAnsi="Aptos"/>
                <w:b w:val="0"/>
                <w:sz w:val="17"/>
              </w:rPr>
              <w:t>H2</w:t>
            </w:r>
          </w:p>
        </w:tc>
        <w:tc>
          <w:tcPr>
            <w:tcW w:type="dxa" w:w="2304"/>
            <w:vAlign w:val="top"/>
          </w:tcPr>
          <w:p>
            <w:pPr>
              <w:spacing w:after="0" w:line="240" w:lineRule="auto"/>
            </w:pPr>
            <w:r/>
            <w:r>
              <w:rPr>
                <w:rFonts w:ascii="Aptos" w:hAnsi="Aptos"/>
                <w:b w:val="0"/>
                <w:sz w:val="17"/>
              </w:rPr>
              <w:t>Independence–mechanism</w:t>
            </w:r>
          </w:p>
        </w:tc>
        <w:tc>
          <w:tcPr>
            <w:tcW w:type="dxa" w:w="6912"/>
            <w:vAlign w:val="top"/>
          </w:tcPr>
          <w:p>
            <w:pPr>
              <w:spacing w:after="0" w:line="240" w:lineRule="auto"/>
            </w:pPr>
            <w:r/>
            <w:r>
              <w:rPr>
                <w:rFonts w:ascii="Aptos" w:hAnsi="Aptos"/>
                <w:b w:val="0"/>
                <w:sz w:val="17"/>
              </w:rPr>
              <w:t>Stronger formal independence requirements are more often associated with verification/evaluation than with implementation.</w:t>
            </w:r>
          </w:p>
        </w:tc>
        <w:tc>
          <w:tcPr>
            <w:tcW w:type="dxa" w:w="2304"/>
            <w:vAlign w:val="top"/>
          </w:tcPr>
          <w:p>
            <w:pPr>
              <w:spacing w:after="0" w:line="240" w:lineRule="auto"/>
            </w:pPr>
            <w:r/>
            <w:r>
              <w:rPr>
                <w:rFonts w:ascii="Aptos" w:hAnsi="Aptos"/>
                <w:b w:val="0"/>
                <w:sz w:val="17"/>
              </w:rPr>
              <w:t>LAW × INTERMEDIARY</w:t>
            </w:r>
          </w:p>
        </w:tc>
      </w:tr>
      <w:tr>
        <w:tc>
          <w:tcPr>
            <w:tcW w:type="dxa" w:w="720"/>
            <w:vAlign w:val="top"/>
            <w:shd w:fill="F2F6FA"/>
          </w:tcPr>
          <w:p>
            <w:pPr>
              <w:spacing w:after="0" w:line="240" w:lineRule="auto"/>
            </w:pPr>
            <w:r/>
            <w:r>
              <w:rPr>
                <w:rFonts w:ascii="Aptos" w:hAnsi="Aptos"/>
                <w:b w:val="0"/>
                <w:sz w:val="17"/>
              </w:rPr>
              <w:t>H3</w:t>
            </w:r>
          </w:p>
        </w:tc>
        <w:tc>
          <w:tcPr>
            <w:tcW w:type="dxa" w:w="2304"/>
            <w:vAlign w:val="top"/>
            <w:shd w:fill="F2F6FA"/>
          </w:tcPr>
          <w:p>
            <w:pPr>
              <w:spacing w:after="0" w:line="240" w:lineRule="auto"/>
            </w:pPr>
            <w:r/>
            <w:r>
              <w:rPr>
                <w:rFonts w:ascii="Aptos" w:hAnsi="Aptos"/>
                <w:b w:val="0"/>
                <w:sz w:val="17"/>
              </w:rPr>
              <w:t>Accountability–consequence</w:t>
            </w:r>
          </w:p>
        </w:tc>
        <w:tc>
          <w:tcPr>
            <w:tcW w:type="dxa" w:w="6912"/>
            <w:vAlign w:val="top"/>
            <w:shd w:fill="F2F6FA"/>
          </w:tcPr>
          <w:p>
            <w:pPr>
              <w:spacing w:after="0" w:line="240" w:lineRule="auto"/>
            </w:pPr>
            <w:r/>
            <w:r>
              <w:rPr>
                <w:rFonts w:ascii="Aptos" w:hAnsi="Aptos"/>
                <w:b w:val="0"/>
                <w:sz w:val="17"/>
              </w:rPr>
              <w:t>More legally consequential intermediary outputs are associated with more formalized accountability, oversight or review.</w:t>
            </w:r>
          </w:p>
        </w:tc>
        <w:tc>
          <w:tcPr>
            <w:tcW w:type="dxa" w:w="2304"/>
            <w:vAlign w:val="top"/>
            <w:shd w:fill="F2F6FA"/>
          </w:tcPr>
          <w:p>
            <w:pPr>
              <w:spacing w:after="0" w:line="240" w:lineRule="auto"/>
            </w:pPr>
            <w:r/>
            <w:r>
              <w:rPr>
                <w:rFonts w:ascii="Aptos" w:hAnsi="Aptos"/>
                <w:b w:val="0"/>
                <w:sz w:val="17"/>
              </w:rPr>
              <w:t>LAW × INTERMEDIARY</w:t>
            </w:r>
          </w:p>
        </w:tc>
      </w:tr>
      <w:tr>
        <w:tc>
          <w:tcPr>
            <w:tcW w:type="dxa" w:w="720"/>
            <w:vAlign w:val="top"/>
          </w:tcPr>
          <w:p>
            <w:pPr>
              <w:spacing w:after="0" w:line="240" w:lineRule="auto"/>
            </w:pPr>
            <w:r/>
            <w:r>
              <w:rPr>
                <w:rFonts w:ascii="Aptos" w:hAnsi="Aptos"/>
                <w:b w:val="0"/>
                <w:sz w:val="17"/>
              </w:rPr>
              <w:t>H4</w:t>
            </w:r>
          </w:p>
        </w:tc>
        <w:tc>
          <w:tcPr>
            <w:tcW w:type="dxa" w:w="2304"/>
            <w:vAlign w:val="top"/>
          </w:tcPr>
          <w:p>
            <w:pPr>
              <w:spacing w:after="0" w:line="240" w:lineRule="auto"/>
            </w:pPr>
            <w:r/>
            <w:r>
              <w:rPr>
                <w:rFonts w:ascii="Aptos" w:hAnsi="Aptos"/>
                <w:b w:val="0"/>
                <w:sz w:val="17"/>
              </w:rPr>
              <w:t>Orientation–mechanism</w:t>
            </w:r>
          </w:p>
        </w:tc>
        <w:tc>
          <w:tcPr>
            <w:tcW w:type="dxa" w:w="6912"/>
            <w:vAlign w:val="top"/>
          </w:tcPr>
          <w:p>
            <w:pPr>
              <w:spacing w:after="0" w:line="240" w:lineRule="auto"/>
            </w:pPr>
            <w:r/>
            <w:r>
              <w:rPr>
                <w:rFonts w:ascii="Aptos" w:hAnsi="Aptos"/>
                <w:b w:val="0"/>
                <w:sz w:val="17"/>
              </w:rPr>
              <w:t>Regulator-facing intermediaries are more often evaluative/verificatory; target-facing or delivery-oriented intermediaries are more often implementational.</w:t>
            </w:r>
          </w:p>
        </w:tc>
        <w:tc>
          <w:tcPr>
            <w:tcW w:type="dxa" w:w="2304"/>
            <w:vAlign w:val="top"/>
          </w:tcPr>
          <w:p>
            <w:pPr>
              <w:spacing w:after="0" w:line="240" w:lineRule="auto"/>
            </w:pPr>
            <w:r/>
            <w:r>
              <w:rPr>
                <w:rFonts w:ascii="Aptos" w:hAnsi="Aptos"/>
                <w:b w:val="0"/>
                <w:sz w:val="17"/>
              </w:rPr>
              <w:t>LAW × INTERMEDIARY &lt;-&gt; MECHANISM EVENT</w:t>
            </w:r>
          </w:p>
        </w:tc>
      </w:tr>
      <w:tr>
        <w:tc>
          <w:tcPr>
            <w:tcW w:type="dxa" w:w="720"/>
            <w:vAlign w:val="top"/>
            <w:shd w:fill="F2F6FA"/>
          </w:tcPr>
          <w:p>
            <w:pPr>
              <w:spacing w:after="0" w:line="240" w:lineRule="auto"/>
            </w:pPr>
            <w:r/>
            <w:r>
              <w:rPr>
                <w:rFonts w:ascii="Aptos" w:hAnsi="Aptos"/>
                <w:b w:val="0"/>
                <w:sz w:val="17"/>
              </w:rPr>
              <w:t>H5</w:t>
            </w:r>
          </w:p>
        </w:tc>
        <w:tc>
          <w:tcPr>
            <w:tcW w:type="dxa" w:w="2304"/>
            <w:vAlign w:val="top"/>
            <w:shd w:fill="F2F6FA"/>
          </w:tcPr>
          <w:p>
            <w:pPr>
              <w:spacing w:after="0" w:line="240" w:lineRule="auto"/>
            </w:pPr>
            <w:r/>
            <w:r>
              <w:rPr>
                <w:rFonts w:ascii="Aptos" w:hAnsi="Aptos"/>
                <w:b w:val="0"/>
                <w:sz w:val="17"/>
              </w:rPr>
              <w:t>Functional sequencing</w:t>
            </w:r>
          </w:p>
        </w:tc>
        <w:tc>
          <w:tcPr>
            <w:tcW w:type="dxa" w:w="6912"/>
            <w:vAlign w:val="top"/>
            <w:shd w:fill="F2F6FA"/>
          </w:tcPr>
          <w:p>
            <w:pPr>
              <w:spacing w:after="0" w:line="240" w:lineRule="auto"/>
            </w:pPr>
            <w:r/>
            <w:r>
              <w:rPr>
                <w:rFonts w:ascii="Aptos" w:hAnsi="Aptos"/>
                <w:b w:val="0"/>
                <w:sz w:val="17"/>
              </w:rPr>
              <w:t>Multi-mechanism relations can form recurrent functional sequences in which one mechanism's output becomes another mechanism's input.</w:t>
            </w:r>
          </w:p>
        </w:tc>
        <w:tc>
          <w:tcPr>
            <w:tcW w:type="dxa" w:w="2304"/>
            <w:vAlign w:val="top"/>
            <w:shd w:fill="F2F6FA"/>
          </w:tcPr>
          <w:p>
            <w:pPr>
              <w:spacing w:after="0" w:line="240" w:lineRule="auto"/>
            </w:pPr>
            <w:r/>
            <w:r>
              <w:rPr>
                <w:rFonts w:ascii="Aptos" w:hAnsi="Aptos"/>
                <w:b w:val="0"/>
                <w:sz w:val="17"/>
              </w:rPr>
              <w:t>MECHANISM CONFIGURATION / EDGE</w:t>
            </w:r>
          </w:p>
        </w:tc>
      </w:tr>
      <w:tr>
        <w:tc>
          <w:tcPr>
            <w:tcW w:type="dxa" w:w="720"/>
            <w:vAlign w:val="top"/>
          </w:tcPr>
          <w:p>
            <w:pPr>
              <w:spacing w:after="0" w:line="240" w:lineRule="auto"/>
            </w:pPr>
            <w:r/>
            <w:r>
              <w:rPr>
                <w:rFonts w:ascii="Aptos" w:hAnsi="Aptos"/>
                <w:b w:val="0"/>
                <w:sz w:val="17"/>
              </w:rPr>
              <w:t>H6</w:t>
            </w:r>
          </w:p>
        </w:tc>
        <w:tc>
          <w:tcPr>
            <w:tcW w:type="dxa" w:w="2304"/>
            <w:vAlign w:val="top"/>
          </w:tcPr>
          <w:p>
            <w:pPr>
              <w:spacing w:after="0" w:line="240" w:lineRule="auto"/>
            </w:pPr>
            <w:r/>
            <w:r>
              <w:rPr>
                <w:rFonts w:ascii="Aptos" w:hAnsi="Aptos"/>
                <w:b w:val="0"/>
                <w:sz w:val="17"/>
              </w:rPr>
              <w:t>Relation-specific repetition</w:t>
            </w:r>
          </w:p>
        </w:tc>
        <w:tc>
          <w:tcPr>
            <w:tcW w:type="dxa" w:w="6912"/>
            <w:vAlign w:val="top"/>
          </w:tcPr>
          <w:p>
            <w:pPr>
              <w:spacing w:after="0" w:line="240" w:lineRule="auto"/>
            </w:pPr>
            <w:r/>
            <w:r>
              <w:rPr>
                <w:rFonts w:ascii="Aptos" w:hAnsi="Aptos"/>
                <w:b w:val="0"/>
                <w:sz w:val="17"/>
              </w:rPr>
              <w:t>The same intermediary can repeat the same mechanism across distinct target relations without those relations forming a chain.</w:t>
            </w:r>
          </w:p>
        </w:tc>
        <w:tc>
          <w:tcPr>
            <w:tcW w:type="dxa" w:w="2304"/>
            <w:vAlign w:val="top"/>
          </w:tcPr>
          <w:p>
            <w:pPr>
              <w:spacing w:after="0" w:line="240" w:lineRule="auto"/>
            </w:pPr>
            <w:r/>
            <w:r>
              <w:rPr>
                <w:rFonts w:ascii="Aptos" w:hAnsi="Aptos"/>
                <w:b w:val="0"/>
                <w:sz w:val="17"/>
              </w:rPr>
              <w:t>LAW × INTERMEDIARY &lt;-&gt; RELATION</w:t>
            </w:r>
          </w:p>
        </w:tc>
      </w:tr>
      <w:tr>
        <w:tc>
          <w:tcPr>
            <w:tcW w:type="dxa" w:w="720"/>
            <w:vAlign w:val="top"/>
            <w:shd w:fill="F2F6FA"/>
          </w:tcPr>
          <w:p>
            <w:pPr>
              <w:spacing w:after="0" w:line="240" w:lineRule="auto"/>
            </w:pPr>
            <w:r/>
            <w:r>
              <w:rPr>
                <w:rFonts w:ascii="Aptos" w:hAnsi="Aptos"/>
                <w:b w:val="0"/>
                <w:sz w:val="17"/>
              </w:rPr>
              <w:t>H7</w:t>
            </w:r>
          </w:p>
        </w:tc>
        <w:tc>
          <w:tcPr>
            <w:tcW w:type="dxa" w:w="2304"/>
            <w:vAlign w:val="top"/>
            <w:shd w:fill="F2F6FA"/>
          </w:tcPr>
          <w:p>
            <w:pPr>
              <w:spacing w:after="0" w:line="240" w:lineRule="auto"/>
            </w:pPr>
            <w:r/>
            <w:r>
              <w:rPr>
                <w:rFonts w:ascii="Aptos" w:hAnsi="Aptos"/>
                <w:b w:val="0"/>
                <w:sz w:val="17"/>
              </w:rPr>
              <w:t>Implementation distinctness</w:t>
            </w:r>
          </w:p>
        </w:tc>
        <w:tc>
          <w:tcPr>
            <w:tcW w:type="dxa" w:w="6912"/>
            <w:vAlign w:val="top"/>
            <w:shd w:fill="F2F6FA"/>
          </w:tcPr>
          <w:p>
            <w:pPr>
              <w:spacing w:after="0" w:line="240" w:lineRule="auto"/>
            </w:pPr>
            <w:r/>
            <w:r>
              <w:rPr>
                <w:rFonts w:ascii="Aptos" w:hAnsi="Aptos"/>
                <w:b w:val="0"/>
                <w:sz w:val="17"/>
              </w:rPr>
              <w:t>Operational implementation can constitute a distinct elementary mechanism when a formally assigned third actor converts a legally structured programme or measure into concrete action toward T.</w:t>
            </w:r>
          </w:p>
        </w:tc>
        <w:tc>
          <w:tcPr>
            <w:tcW w:type="dxa" w:w="2304"/>
            <w:vAlign w:val="top"/>
            <w:shd w:fill="F2F6FA"/>
          </w:tcPr>
          <w:p>
            <w:pPr>
              <w:spacing w:after="0" w:line="240" w:lineRule="auto"/>
            </w:pPr>
            <w:r/>
            <w:r>
              <w:rPr>
                <w:rFonts w:ascii="Aptos" w:hAnsi="Aptos"/>
                <w:b w:val="0"/>
                <w:sz w:val="17"/>
              </w:rPr>
              <w:t>MECHANISM EVENT</w:t>
            </w:r>
          </w:p>
        </w:tc>
      </w:tr>
      <w:tr>
        <w:tc>
          <w:tcPr>
            <w:tcW w:type="dxa" w:w="720"/>
            <w:vAlign w:val="top"/>
          </w:tcPr>
          <w:p>
            <w:pPr>
              <w:spacing w:after="0" w:line="240" w:lineRule="auto"/>
            </w:pPr>
            <w:r/>
            <w:r>
              <w:rPr>
                <w:rFonts w:ascii="Aptos" w:hAnsi="Aptos"/>
                <w:b w:val="0"/>
                <w:sz w:val="17"/>
              </w:rPr>
              <w:t>H7a</w:t>
            </w:r>
          </w:p>
        </w:tc>
        <w:tc>
          <w:tcPr>
            <w:tcW w:type="dxa" w:w="2304"/>
            <w:vAlign w:val="top"/>
          </w:tcPr>
          <w:p>
            <w:pPr>
              <w:spacing w:after="0" w:line="240" w:lineRule="auto"/>
            </w:pPr>
            <w:r/>
            <w:r>
              <w:rPr>
                <w:rFonts w:ascii="Aptos" w:hAnsi="Aptos"/>
                <w:b w:val="0"/>
                <w:sz w:val="17"/>
              </w:rPr>
              <w:t>Rival implementation hypothesis</w:t>
            </w:r>
          </w:p>
        </w:tc>
        <w:tc>
          <w:tcPr>
            <w:tcW w:type="dxa" w:w="6912"/>
            <w:vAlign w:val="top"/>
          </w:tcPr>
          <w:p>
            <w:pPr>
              <w:spacing w:after="0" w:line="240" w:lineRule="auto"/>
            </w:pPr>
            <w:r/>
            <w:r>
              <w:rPr>
                <w:rFonts w:ascii="Aptos" w:hAnsi="Aptos"/>
                <w:b w:val="0"/>
                <w:sz w:val="17"/>
              </w:rPr>
              <w:t>The same cases are better understood as delegated execution/service delivery and therefore fall outside regulatory intermediation.</w:t>
            </w:r>
          </w:p>
        </w:tc>
        <w:tc>
          <w:tcPr>
            <w:tcW w:type="dxa" w:w="2304"/>
            <w:vAlign w:val="top"/>
          </w:tcPr>
          <w:p>
            <w:pPr>
              <w:spacing w:after="0" w:line="240" w:lineRule="auto"/>
            </w:pPr>
            <w:r/>
            <w:r>
              <w:rPr>
                <w:rFonts w:ascii="Aptos" w:hAnsi="Aptos"/>
                <w:b w:val="0"/>
                <w:sz w:val="17"/>
              </w:rPr>
              <w:t>MECHANISM EVENT / RIT gate</w:t>
            </w:r>
          </w:p>
        </w:tc>
      </w:tr>
      <w:tr>
        <w:tc>
          <w:tcPr>
            <w:tcW w:type="dxa" w:w="720"/>
            <w:vAlign w:val="top"/>
            <w:shd w:fill="F2F6FA"/>
          </w:tcPr>
          <w:p>
            <w:pPr>
              <w:spacing w:after="0" w:line="240" w:lineRule="auto"/>
            </w:pPr>
            <w:r/>
            <w:r>
              <w:rPr>
                <w:rFonts w:ascii="Aptos" w:hAnsi="Aptos"/>
                <w:b w:val="0"/>
                <w:sz w:val="17"/>
              </w:rPr>
              <w:t>H8</w:t>
            </w:r>
          </w:p>
        </w:tc>
        <w:tc>
          <w:tcPr>
            <w:tcW w:type="dxa" w:w="2304"/>
            <w:vAlign w:val="top"/>
            <w:shd w:fill="F2F6FA"/>
          </w:tcPr>
          <w:p>
            <w:pPr>
              <w:spacing w:after="0" w:line="240" w:lineRule="auto"/>
            </w:pPr>
            <w:r/>
            <w:r>
              <w:rPr>
                <w:rFonts w:ascii="Aptos" w:hAnsi="Aptos"/>
                <w:b w:val="0"/>
                <w:sz w:val="17"/>
              </w:rPr>
              <w:t>Cross-instrument variation</w:t>
            </w:r>
          </w:p>
        </w:tc>
        <w:tc>
          <w:tcPr>
            <w:tcW w:type="dxa" w:w="6912"/>
            <w:vAlign w:val="top"/>
            <w:shd w:fill="F2F6FA"/>
          </w:tcPr>
          <w:p>
            <w:pPr>
              <w:spacing w:after="0" w:line="240" w:lineRule="auto"/>
            </w:pPr>
            <w:r/>
            <w:r>
              <w:rPr>
                <w:rFonts w:ascii="Aptos" w:hAnsi="Aptos"/>
                <w:b w:val="0"/>
                <w:sz w:val="17"/>
              </w:rPr>
              <w:t>Instruments within the same broad policy domain vary systematically in whether, where and how they organize regulatory intermediation.</w:t>
            </w:r>
          </w:p>
        </w:tc>
        <w:tc>
          <w:tcPr>
            <w:tcW w:type="dxa" w:w="2304"/>
            <w:vAlign w:val="top"/>
            <w:shd w:fill="F2F6FA"/>
          </w:tcPr>
          <w:p>
            <w:pPr>
              <w:spacing w:after="0" w:line="240" w:lineRule="auto"/>
            </w:pPr>
            <w:r/>
            <w:r>
              <w:rPr>
                <w:rFonts w:ascii="Aptos" w:hAnsi="Aptos"/>
                <w:b w:val="0"/>
                <w:sz w:val="17"/>
              </w:rPr>
              <w:t>LAW</w:t>
            </w:r>
          </w:p>
        </w:tc>
      </w:tr>
      <w:tr>
        <w:tc>
          <w:tcPr>
            <w:tcW w:type="dxa" w:w="720"/>
            <w:vAlign w:val="top"/>
          </w:tcPr>
          <w:p>
            <w:pPr>
              <w:spacing w:after="0" w:line="240" w:lineRule="auto"/>
            </w:pPr>
            <w:r/>
            <w:r>
              <w:rPr>
                <w:rFonts w:ascii="Aptos" w:hAnsi="Aptos"/>
                <w:b w:val="0"/>
                <w:sz w:val="17"/>
              </w:rPr>
              <w:t>H9</w:t>
            </w:r>
          </w:p>
        </w:tc>
        <w:tc>
          <w:tcPr>
            <w:tcW w:type="dxa" w:w="2304"/>
            <w:vAlign w:val="top"/>
          </w:tcPr>
          <w:p>
            <w:pPr>
              <w:spacing w:after="0" w:line="240" w:lineRule="auto"/>
            </w:pPr>
            <w:r/>
            <w:r>
              <w:rPr>
                <w:rFonts w:ascii="Aptos" w:hAnsi="Aptos"/>
                <w:b w:val="0"/>
                <w:sz w:val="17"/>
              </w:rPr>
              <w:t>Higher-order capacity</w:t>
            </w:r>
          </w:p>
        </w:tc>
        <w:tc>
          <w:tcPr>
            <w:tcW w:type="dxa" w:w="6912"/>
            <w:vAlign w:val="top"/>
          </w:tcPr>
          <w:p>
            <w:pPr>
              <w:spacing w:after="0" w:line="240" w:lineRule="auto"/>
            </w:pPr>
            <w:r/>
            <w:r>
              <w:rPr>
                <w:rFonts w:ascii="Aptos" w:hAnsi="Aptos"/>
                <w:b w:val="0"/>
                <w:sz w:val="17"/>
              </w:rPr>
              <w:t>Recurrent configurations may map onto distinguishable regulatory capacities, but the capacity structure should be derived from evidence rather than imposed ex ante.</w:t>
            </w:r>
          </w:p>
        </w:tc>
        <w:tc>
          <w:tcPr>
            <w:tcW w:type="dxa" w:w="2304"/>
            <w:vAlign w:val="top"/>
          </w:tcPr>
          <w:p>
            <w:pPr>
              <w:spacing w:after="0" w:line="240" w:lineRule="auto"/>
            </w:pPr>
            <w:r/>
            <w:r>
              <w:rPr>
                <w:rFonts w:ascii="Aptos" w:hAnsi="Aptos"/>
                <w:b w:val="0"/>
                <w:sz w:val="17"/>
              </w:rPr>
              <w:t>Future REGULATORY_CAPACITY</w:t>
            </w:r>
          </w:p>
        </w:tc>
      </w:tr>
    </w:tbl>
    <w:p>
      <w:pPr>
        <w:spacing w:after="20"/>
      </w:pPr>
    </w:p>
    <w:p>
      <w:r>
        <w:t>The most theoretically consequential propositions are H5, H7/H7a, H8 and H9. H5 shifts the analysis from mechanism counts to functional sequences; H7/H7a establishes a falsifiable boundary test for implementation; H8 motivates cross-instrument comparison; and H9 provides a disciplined route from mechanisms to possible regulatory capacities without pre-coding the desired theoretical result.</w:t>
      </w:r>
    </w:p>
    <w:p>
      <w:pPr>
        <w:pStyle w:val="Heading1"/>
      </w:pPr>
      <w:r>
        <w:t>11. Methodological quality, validity and reproducibility</w:t>
      </w:r>
    </w:p>
    <w:p>
      <w:pPr>
        <w:pStyle w:val="Heading2"/>
      </w:pPr>
      <w:r>
        <w:t>11.1 Construct validity</w:t>
      </w:r>
    </w:p>
    <w:p>
      <w:pPr>
        <w:pStyle w:val="ListBullet"/>
        <w:spacing w:after="40"/>
      </w:pPr>
      <w:r>
        <w:rPr>
          <w:b/>
        </w:rPr>
        <w:t xml:space="preserve">Role separation: </w:t>
      </w:r>
      <w:r>
        <w:t>actor identity, R/I/T position, legal action, mechanism and capacity are coded at different levels.</w:t>
      </w:r>
    </w:p>
    <w:p>
      <w:pPr>
        <w:pStyle w:val="ListBullet"/>
        <w:spacing w:after="40"/>
      </w:pPr>
      <w:r>
        <w:rPr>
          <w:b/>
        </w:rPr>
        <w:t xml:space="preserve">Positive-case discipline: </w:t>
      </w:r>
      <w:r>
        <w:t>intermediation requires the three-condition R–I–T gate rather than mere third-actor presence.</w:t>
      </w:r>
    </w:p>
    <w:p>
      <w:pPr>
        <w:pStyle w:val="ListBullet"/>
        <w:spacing w:after="40"/>
      </w:pPr>
      <w:r>
        <w:rPr>
          <w:b/>
        </w:rPr>
        <w:t xml:space="preserve">Negative-case preservation: </w:t>
      </w:r>
      <w:r>
        <w:t>47 non-positive relations remain queryable.</w:t>
      </w:r>
    </w:p>
    <w:p>
      <w:pPr>
        <w:pStyle w:val="ListBullet"/>
        <w:spacing w:after="40"/>
      </w:pPr>
      <w:r>
        <w:rPr>
          <w:b/>
        </w:rPr>
        <w:t xml:space="preserve">Boundary preservation: </w:t>
      </w:r>
      <w:r>
        <w:t>uncertain or codebook-boundary cases are logged rather than forced into existing categories.</w:t>
      </w:r>
    </w:p>
    <w:p>
      <w:pPr>
        <w:pStyle w:val="ListBullet"/>
        <w:spacing w:after="40"/>
      </w:pPr>
      <w:r>
        <w:rPr>
          <w:b/>
        </w:rPr>
        <w:t xml:space="preserve">Zero preservation: </w:t>
      </w:r>
      <w:r>
        <w:t>the absence of supported intermediation in 32015D1814 is encoded as a substantive result.</w:t>
      </w:r>
    </w:p>
    <w:p>
      <w:pPr>
        <w:pStyle w:val="Heading2"/>
      </w:pPr>
      <w:r>
        <w:t>11.2 Reliability and adjudication</w:t>
      </w:r>
    </w:p>
    <w:p>
      <w:r>
        <w:t>R3 does not treat a single model output as an authoritative code. Mechanism events underwent independent adversarial reconstruction and rival-code comparison. Material conceptual changes were attributed to the researcher. Historical versions were preserved so that agreement, revision and codebook expansion remain visible.</w:t>
      </w:r>
    </w:p>
    <w:p>
      <w:pPr>
        <w:pStyle w:val="Heading2"/>
      </w:pPr>
      <w:r>
        <w:t>11.3 Evidence validity</w:t>
      </w:r>
    </w:p>
    <w:p>
      <w:r>
        <w:t>Empirical claims originate in official legal texts, with stable CELEX identifiers, provisions and source anchors. Cross-provision reconstruction is permitted when the legal relation is distributed across provisions, but the evidence level remains explicit. Mechanism sequencing requires functional dependency, not textual proximity.</w:t>
      </w:r>
    </w:p>
    <w:p>
      <w:pPr>
        <w:pStyle w:val="Heading2"/>
      </w:pPr>
      <w:r>
        <w:t>11.4 Reproducibility and provenance</w:t>
      </w:r>
    </w:p>
    <w:p>
      <w:pPr>
        <w:pStyle w:val="ListBullet"/>
        <w:spacing w:after="40"/>
      </w:pPr>
      <w:r>
        <w:t>Official-source acquisition manifests and hashes.</w:t>
      </w:r>
    </w:p>
    <w:p>
      <w:pPr>
        <w:pStyle w:val="ListBullet"/>
        <w:spacing w:after="40"/>
      </w:pPr>
      <w:r>
        <w:t>Validated corpus manifests and correction logs.</w:t>
      </w:r>
    </w:p>
    <w:p>
      <w:pPr>
        <w:pStyle w:val="ListBullet"/>
        <w:spacing w:after="40"/>
      </w:pPr>
      <w:r>
        <w:t>Stable identifiers for laws, actors, relations, intermediary units and events.</w:t>
      </w:r>
    </w:p>
    <w:p>
      <w:pPr>
        <w:pStyle w:val="ListBullet"/>
        <w:spacing w:after="40"/>
      </w:pPr>
      <w:r>
        <w:t>Separate evidence and decision-provenance structures.</w:t>
      </w:r>
    </w:p>
    <w:p>
      <w:pPr>
        <w:pStyle w:val="ListBullet"/>
        <w:spacing w:after="40"/>
      </w:pPr>
      <w:r>
        <w:t>Frozen outputs at phase boundaries.</w:t>
      </w:r>
    </w:p>
    <w:p>
      <w:pPr>
        <w:pStyle w:val="ListBullet"/>
        <w:spacing w:after="40"/>
      </w:pPr>
      <w:r>
        <w:t>No destructive overwriting of prior adjudication stages.</w:t>
      </w:r>
    </w:p>
    <w:p>
      <w:pPr>
        <w:pStyle w:val="ListBullet"/>
        <w:spacing w:after="40"/>
      </w:pPr>
      <w:r>
        <w:t>Researcher decision IDs for material conceptual changes.</w:t>
      </w:r>
    </w:p>
    <w:p>
      <w:pPr>
        <w:pStyle w:val="Heading2"/>
      </w:pPr>
      <w:r>
        <w:t>11.5 Role of AI-assisted analysis</w:t>
      </w:r>
    </w:p>
    <w:p>
      <w:r>
        <w:t>AI was used as a structured research assistant for extraction, reconstruction, coding proposals, adversarial review and file consistency checks. The workflow was deliberately designed so that model output could not silently become a final conceptual decision. Material interpretive choices are separately attributable to the researcher, and the legal evidence remains inspectable independently of the model-generated label.</w:t>
      </w:r>
    </w:p>
    <w:p>
      <w:r>
        <w:t>This design does not by itself establish inter-coder reliability in the conventional sense. A larger population study should add a pre-specified human/independent-coder reliability protocol, sampling strategy, disagreement statistics appropriate to the coding structure, and versioned codebook calibration.</w:t>
      </w:r>
    </w:p>
    <w:p>
      <w:pPr>
        <w:pStyle w:val="Heading1"/>
      </w:pPr>
      <w:r>
        <w:t>12. Limitations</w:t>
      </w:r>
    </w:p>
    <w:p>
      <w:pPr>
        <w:pStyle w:val="ListBullet"/>
        <w:spacing w:after="40"/>
      </w:pPr>
      <w:r>
        <w:rPr>
          <w:b/>
        </w:rPr>
        <w:t xml:space="preserve">Case selection: </w:t>
      </w:r>
      <w:r>
        <w:t>the five instruments are a purposive calibration corpus, not a probability sample or complete EU climate-law population.</w:t>
      </w:r>
    </w:p>
    <w:p>
      <w:pPr>
        <w:pStyle w:val="ListBullet"/>
        <w:spacing w:after="40"/>
      </w:pPr>
      <w:r>
        <w:rPr>
          <w:b/>
        </w:rPr>
        <w:t xml:space="preserve">Small event universe: </w:t>
      </w:r>
      <w:r>
        <w:t>ten mechanism events are sufficient for schema testing but not for stable frequency or association estimates.</w:t>
      </w:r>
    </w:p>
    <w:p>
      <w:pPr>
        <w:pStyle w:val="ListBullet"/>
        <w:spacing w:after="40"/>
      </w:pPr>
      <w:r>
        <w:rPr>
          <w:b/>
        </w:rPr>
        <w:t xml:space="preserve">Legal design versus practice: </w:t>
      </w:r>
      <w:r>
        <w:t>the dataset observes legally designed roles and transformations, not how intermediaries behave in implementation.</w:t>
      </w:r>
    </w:p>
    <w:p>
      <w:pPr>
        <w:pStyle w:val="ListBullet"/>
        <w:spacing w:after="40"/>
      </w:pPr>
      <w:r>
        <w:rPr>
          <w:b/>
        </w:rPr>
        <w:t xml:space="preserve">Ontology incompleteness: </w:t>
      </w:r>
      <w:r>
        <w:t>the ten-mechanism vocabulary remains provisional; IMPLEMENTATION arose precisely because the original vocabulary was incomplete for three cases.</w:t>
      </w:r>
    </w:p>
    <w:p>
      <w:pPr>
        <w:pStyle w:val="ListBullet"/>
        <w:spacing w:after="40"/>
      </w:pPr>
      <w:r>
        <w:rPr>
          <w:b/>
        </w:rPr>
        <w:t xml:space="preserve">Institutional attributes: </w:t>
      </w:r>
      <w:r>
        <w:t>some attributes may require more refined operational scales before comparative statistical testing.</w:t>
      </w:r>
    </w:p>
    <w:p>
      <w:pPr>
        <w:pStyle w:val="ListBullet"/>
        <w:spacing w:after="40"/>
      </w:pPr>
      <w:r>
        <w:rPr>
          <w:b/>
        </w:rPr>
        <w:t xml:space="preserve">Temporal scope: </w:t>
      </w:r>
      <w:r>
        <w:t>coding the original adopted acts provides a stable baseline but does not yet model subsequent amendments or institutional evolution.</w:t>
      </w:r>
    </w:p>
    <w:p>
      <w:pPr>
        <w:pStyle w:val="ListBullet"/>
        <w:spacing w:after="40"/>
      </w:pPr>
      <w:r>
        <w:rPr>
          <w:b/>
        </w:rPr>
        <w:t xml:space="preserve">Capacity theory: </w:t>
      </w:r>
      <w:r>
        <w:t>higher-order capacities are not coded and candidate labels may prove incomplete or overlapping.</w:t>
      </w:r>
    </w:p>
    <w:p>
      <w:pPr>
        <w:pStyle w:val="Heading1"/>
      </w:pPr>
      <w:r>
        <w:t>13. Interpretation for the next research discussion</w:t>
      </w:r>
    </w:p>
    <w:p>
      <w:r>
        <w:t>R3 is ready to be discussed as a dataset proposal rather than as an unresolved coding exercise. The key question for review is no longer whether individual cells are correct in isolation. The stronger methodological issue is whether the proposed units and their relationships capture the phenomenon at the right level of abstraction.</w:t>
      </w:r>
    </w:p>
    <w:p>
      <w:pPr>
        <w:pStyle w:val="ListBullet"/>
        <w:spacing w:after="40"/>
      </w:pPr>
      <w:r>
        <w:t>Is LAW × INTERMEDIARY the right parent comparator while relations and mechanism events remain child units?</w:t>
      </w:r>
    </w:p>
    <w:p>
      <w:pPr>
        <w:pStyle w:val="ListBullet"/>
        <w:spacing w:after="40"/>
      </w:pPr>
      <w:r>
        <w:t>Is an elementary mechanism defined at the appropriate level between legal action and higher-order regulatory capacity?</w:t>
      </w:r>
    </w:p>
    <w:p>
      <w:pPr>
        <w:pStyle w:val="ListBullet"/>
        <w:spacing w:after="40"/>
      </w:pPr>
      <w:r>
        <w:t>Should IMPLEMENTATION remain a distinct mechanism, or does the rival delegated-execution interpretation better define the conceptual boundary?</w:t>
      </w:r>
    </w:p>
    <w:p>
      <w:pPr>
        <w:pStyle w:val="ListBullet"/>
        <w:spacing w:after="40"/>
      </w:pPr>
      <w:r>
        <w:t>Are independence, accountability, orientation and output legal effect the most theoretically useful institutional attributes for explaining mechanism variation?</w:t>
      </w:r>
    </w:p>
    <w:p>
      <w:pPr>
        <w:pStyle w:val="ListBullet"/>
        <w:spacing w:after="40"/>
      </w:pPr>
      <w:r>
        <w:t>Should a subsequent phase derive capacities from recurrent configurations, and what derivation criteria would prevent circularity?</w:t>
      </w:r>
    </w:p>
    <w:p>
      <w:pPr>
        <w:pStyle w:val="Heading1"/>
      </w:pPr>
      <w:r>
        <w:t>14. R3 phase ledger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792"/>
            <w:vAlign w:val="top"/>
            <w:shd w:fill="17365D"/>
          </w:tcPr>
          <w:p>
            <w:pPr>
              <w:spacing w:after="0" w:line="240" w:lineRule="auto"/>
            </w:pPr>
            <w:r/>
            <w:r>
              <w:rPr>
                <w:rFonts w:ascii="Aptos" w:hAnsi="Aptos"/>
                <w:b/>
                <w:color w:val="FFFFFF"/>
                <w:sz w:val="17"/>
              </w:rPr>
              <w:t>Phase</w:t>
            </w:r>
          </w:p>
        </w:tc>
        <w:tc>
          <w:tcPr>
            <w:tcW w:type="dxa" w:w="2736"/>
            <w:vAlign w:val="top"/>
            <w:shd w:fill="17365D"/>
          </w:tcPr>
          <w:p>
            <w:pPr>
              <w:spacing w:after="0" w:line="240" w:lineRule="auto"/>
            </w:pPr>
            <w:r/>
            <w:r>
              <w:rPr>
                <w:rFonts w:ascii="Aptos" w:hAnsi="Aptos"/>
                <w:b/>
                <w:color w:val="FFFFFF"/>
                <w:sz w:val="17"/>
              </w:rPr>
              <w:t>Purpose</w:t>
            </w:r>
          </w:p>
        </w:tc>
        <w:tc>
          <w:tcPr>
            <w:tcW w:type="dxa" w:w="4320"/>
            <w:vAlign w:val="top"/>
            <w:shd w:fill="17365D"/>
          </w:tcPr>
          <w:p>
            <w:pPr>
              <w:spacing w:after="0" w:line="240" w:lineRule="auto"/>
            </w:pPr>
            <w:r/>
            <w:r>
              <w:rPr>
                <w:rFonts w:ascii="Aptos" w:hAnsi="Aptos"/>
                <w:b/>
                <w:color w:val="FFFFFF"/>
                <w:sz w:val="17"/>
              </w:rPr>
              <w:t>Core decision</w:t>
            </w:r>
          </w:p>
        </w:tc>
        <w:tc>
          <w:tcPr>
            <w:tcW w:type="dxa" w:w="3456"/>
            <w:vAlign w:val="top"/>
            <w:shd w:fill="17365D"/>
          </w:tcPr>
          <w:p>
            <w:pPr>
              <w:spacing w:after="0" w:line="240" w:lineRule="auto"/>
            </w:pPr>
            <w:r/>
            <w:r>
              <w:rPr>
                <w:rFonts w:ascii="Aptos" w:hAnsi="Aptos"/>
                <w:b/>
                <w:color w:val="FFFFFF"/>
                <w:sz w:val="17"/>
              </w:rPr>
              <w:t>Main output</w:t>
            </w:r>
          </w:p>
        </w:tc>
      </w:tr>
      <w:tr>
        <w:tc>
          <w:tcPr>
            <w:tcW w:type="dxa" w:w="792"/>
            <w:vAlign w:val="top"/>
            <w:shd w:fill="F2F6FA"/>
          </w:tcPr>
          <w:p>
            <w:pPr>
              <w:spacing w:after="0" w:line="240" w:lineRule="auto"/>
            </w:pPr>
            <w:r/>
            <w:r>
              <w:rPr>
                <w:rFonts w:ascii="Aptos" w:hAnsi="Aptos"/>
                <w:b w:val="0"/>
                <w:sz w:val="17"/>
              </w:rPr>
              <w:t>0</w:t>
            </w:r>
          </w:p>
        </w:tc>
        <w:tc>
          <w:tcPr>
            <w:tcW w:type="dxa" w:w="2736"/>
            <w:vAlign w:val="top"/>
            <w:shd w:fill="F2F6FA"/>
          </w:tcPr>
          <w:p>
            <w:pPr>
              <w:spacing w:after="0" w:line="240" w:lineRule="auto"/>
            </w:pPr>
            <w:r/>
            <w:r>
              <w:rPr>
                <w:rFonts w:ascii="Aptos" w:hAnsi="Aptos"/>
                <w:b w:val="0"/>
                <w:sz w:val="17"/>
              </w:rPr>
              <w:t>Governance / clean-room setup</w:t>
            </w:r>
          </w:p>
        </w:tc>
        <w:tc>
          <w:tcPr>
            <w:tcW w:type="dxa" w:w="4320"/>
            <w:vAlign w:val="top"/>
            <w:shd w:fill="F2F6FA"/>
          </w:tcPr>
          <w:p>
            <w:pPr>
              <w:spacing w:after="0" w:line="240" w:lineRule="auto"/>
            </w:pPr>
            <w:r/>
            <w:r>
              <w:rPr>
                <w:rFonts w:ascii="Aptos" w:hAnsi="Aptos"/>
                <w:b w:val="0"/>
                <w:sz w:val="17"/>
              </w:rPr>
              <w:t>Fix cases, inputs, exclusions and stop rules</w:t>
            </w:r>
          </w:p>
        </w:tc>
        <w:tc>
          <w:tcPr>
            <w:tcW w:type="dxa" w:w="3456"/>
            <w:vAlign w:val="top"/>
            <w:shd w:fill="F2F6FA"/>
          </w:tcPr>
          <w:p>
            <w:pPr>
              <w:spacing w:after="0" w:line="240" w:lineRule="auto"/>
            </w:pPr>
            <w:r/>
            <w:r>
              <w:rPr>
                <w:rFonts w:ascii="Aptos" w:hAnsi="Aptos"/>
                <w:b w:val="0"/>
                <w:sz w:val="17"/>
              </w:rPr>
              <w:t>Clean-room workspace and governance files</w:t>
            </w:r>
          </w:p>
        </w:tc>
      </w:tr>
      <w:tr>
        <w:tc>
          <w:tcPr>
            <w:tcW w:type="dxa" w:w="792"/>
            <w:vAlign w:val="top"/>
          </w:tcPr>
          <w:p>
            <w:pPr>
              <w:spacing w:after="0" w:line="240" w:lineRule="auto"/>
            </w:pPr>
            <w:r/>
            <w:r>
              <w:rPr>
                <w:rFonts w:ascii="Aptos" w:hAnsi="Aptos"/>
                <w:b w:val="0"/>
                <w:sz w:val="17"/>
              </w:rPr>
              <w:t>1</w:t>
            </w:r>
          </w:p>
        </w:tc>
        <w:tc>
          <w:tcPr>
            <w:tcW w:type="dxa" w:w="2736"/>
            <w:vAlign w:val="top"/>
          </w:tcPr>
          <w:p>
            <w:pPr>
              <w:spacing w:after="0" w:line="240" w:lineRule="auto"/>
            </w:pPr>
            <w:r/>
            <w:r>
              <w:rPr>
                <w:rFonts w:ascii="Aptos" w:hAnsi="Aptos"/>
                <w:b w:val="0"/>
                <w:sz w:val="17"/>
              </w:rPr>
              <w:t>Fresh source acquisition</w:t>
            </w:r>
          </w:p>
        </w:tc>
        <w:tc>
          <w:tcPr>
            <w:tcW w:type="dxa" w:w="4320"/>
            <w:vAlign w:val="top"/>
          </w:tcPr>
          <w:p>
            <w:pPr>
              <w:spacing w:after="0" w:line="240" w:lineRule="auto"/>
            </w:pPr>
            <w:r/>
            <w:r>
              <w:rPr>
                <w:rFonts w:ascii="Aptos" w:hAnsi="Aptos"/>
                <w:b w:val="0"/>
                <w:sz w:val="17"/>
              </w:rPr>
              <w:t>Acquire official original acts</w:t>
            </w:r>
          </w:p>
        </w:tc>
        <w:tc>
          <w:tcPr>
            <w:tcW w:type="dxa" w:w="3456"/>
            <w:vAlign w:val="top"/>
          </w:tcPr>
          <w:p>
            <w:pPr>
              <w:spacing w:after="0" w:line="240" w:lineRule="auto"/>
            </w:pPr>
            <w:r/>
            <w:r>
              <w:rPr>
                <w:rFonts w:ascii="Aptos" w:hAnsi="Aptos"/>
                <w:b w:val="0"/>
                <w:sz w:val="17"/>
              </w:rPr>
              <w:t>5 verified EUR-Lex source packages</w:t>
            </w:r>
          </w:p>
        </w:tc>
      </w:tr>
      <w:tr>
        <w:tc>
          <w:tcPr>
            <w:tcW w:type="dxa" w:w="792"/>
            <w:vAlign w:val="top"/>
            <w:shd w:fill="F2F6FA"/>
          </w:tcPr>
          <w:p>
            <w:pPr>
              <w:spacing w:after="0" w:line="240" w:lineRule="auto"/>
            </w:pPr>
            <w:r/>
            <w:r>
              <w:rPr>
                <w:rFonts w:ascii="Aptos" w:hAnsi="Aptos"/>
                <w:b w:val="0"/>
                <w:sz w:val="17"/>
              </w:rPr>
              <w:t>2</w:t>
            </w:r>
          </w:p>
        </w:tc>
        <w:tc>
          <w:tcPr>
            <w:tcW w:type="dxa" w:w="2736"/>
            <w:vAlign w:val="top"/>
            <w:shd w:fill="F2F6FA"/>
          </w:tcPr>
          <w:p>
            <w:pPr>
              <w:spacing w:after="0" w:line="240" w:lineRule="auto"/>
            </w:pPr>
            <w:r/>
            <w:r>
              <w:rPr>
                <w:rFonts w:ascii="Aptos" w:hAnsi="Aptos"/>
                <w:b w:val="0"/>
                <w:sz w:val="17"/>
              </w:rPr>
              <w:t>Corpus construction</w:t>
            </w:r>
          </w:p>
        </w:tc>
        <w:tc>
          <w:tcPr>
            <w:tcW w:type="dxa" w:w="4320"/>
            <w:vAlign w:val="top"/>
            <w:shd w:fill="F2F6FA"/>
          </w:tcPr>
          <w:p>
            <w:pPr>
              <w:spacing w:after="0" w:line="240" w:lineRule="auto"/>
            </w:pPr>
            <w:r/>
            <w:r>
              <w:rPr>
                <w:rFonts w:ascii="Aptos" w:hAnsi="Aptos"/>
                <w:b w:val="0"/>
                <w:sz w:val="17"/>
              </w:rPr>
              <w:t>Create structured searchable legal corpus</w:t>
            </w:r>
          </w:p>
        </w:tc>
        <w:tc>
          <w:tcPr>
            <w:tcW w:type="dxa" w:w="3456"/>
            <w:vAlign w:val="top"/>
            <w:shd w:fill="F2F6FA"/>
          </w:tcPr>
          <w:p>
            <w:pPr>
              <w:spacing w:after="0" w:line="240" w:lineRule="auto"/>
            </w:pPr>
            <w:r/>
            <w:r>
              <w:rPr>
                <w:rFonts w:ascii="Aptos" w:hAnsi="Aptos"/>
                <w:b w:val="0"/>
                <w:sz w:val="17"/>
              </w:rPr>
              <w:t>Per-act corpus packages</w:t>
            </w:r>
          </w:p>
        </w:tc>
      </w:tr>
      <w:tr>
        <w:tc>
          <w:tcPr>
            <w:tcW w:type="dxa" w:w="792"/>
            <w:vAlign w:val="top"/>
          </w:tcPr>
          <w:p>
            <w:pPr>
              <w:spacing w:after="0" w:line="240" w:lineRule="auto"/>
            </w:pPr>
            <w:r/>
            <w:r>
              <w:rPr>
                <w:rFonts w:ascii="Aptos" w:hAnsi="Aptos"/>
                <w:b w:val="0"/>
                <w:sz w:val="17"/>
              </w:rPr>
              <w:t>2B</w:t>
            </w:r>
          </w:p>
        </w:tc>
        <w:tc>
          <w:tcPr>
            <w:tcW w:type="dxa" w:w="2736"/>
            <w:vAlign w:val="top"/>
          </w:tcPr>
          <w:p>
            <w:pPr>
              <w:spacing w:after="0" w:line="240" w:lineRule="auto"/>
            </w:pPr>
            <w:r/>
            <w:r>
              <w:rPr>
                <w:rFonts w:ascii="Aptos" w:hAnsi="Aptos"/>
                <w:b w:val="0"/>
                <w:sz w:val="17"/>
              </w:rPr>
              <w:t>Corpus validation</w:t>
            </w:r>
          </w:p>
        </w:tc>
        <w:tc>
          <w:tcPr>
            <w:tcW w:type="dxa" w:w="4320"/>
            <w:vAlign w:val="top"/>
          </w:tcPr>
          <w:p>
            <w:pPr>
              <w:spacing w:after="0" w:line="240" w:lineRule="auto"/>
            </w:pPr>
            <w:r/>
            <w:r>
              <w:rPr>
                <w:rFonts w:ascii="Aptos" w:hAnsi="Aptos"/>
                <w:b w:val="0"/>
                <w:sz w:val="17"/>
              </w:rPr>
              <w:t>Compare corpus to official text; correct errors</w:t>
            </w:r>
          </w:p>
        </w:tc>
        <w:tc>
          <w:tcPr>
            <w:tcW w:type="dxa" w:w="3456"/>
            <w:vAlign w:val="top"/>
          </w:tcPr>
          <w:p>
            <w:pPr>
              <w:spacing w:after="0" w:line="240" w:lineRule="auto"/>
            </w:pPr>
            <w:r/>
            <w:r>
              <w:rPr>
                <w:rFonts w:ascii="Aptos" w:hAnsi="Aptos"/>
                <w:b w:val="0"/>
                <w:sz w:val="17"/>
              </w:rPr>
              <w:t>5 validated corpora; 1 logged substantive correction</w:t>
            </w:r>
          </w:p>
        </w:tc>
      </w:tr>
      <w:tr>
        <w:tc>
          <w:tcPr>
            <w:tcW w:type="dxa" w:w="792"/>
            <w:vAlign w:val="top"/>
            <w:shd w:fill="F2F6FA"/>
          </w:tcPr>
          <w:p>
            <w:pPr>
              <w:spacing w:after="0" w:line="240" w:lineRule="auto"/>
            </w:pPr>
            <w:r/>
            <w:r>
              <w:rPr>
                <w:rFonts w:ascii="Aptos" w:hAnsi="Aptos"/>
                <w:b w:val="0"/>
                <w:sz w:val="17"/>
              </w:rPr>
              <w:t>3</w:t>
            </w:r>
          </w:p>
        </w:tc>
        <w:tc>
          <w:tcPr>
            <w:tcW w:type="dxa" w:w="2736"/>
            <w:vAlign w:val="top"/>
            <w:shd w:fill="F2F6FA"/>
          </w:tcPr>
          <w:p>
            <w:pPr>
              <w:spacing w:after="0" w:line="240" w:lineRule="auto"/>
            </w:pPr>
            <w:r/>
            <w:r>
              <w:rPr>
                <w:rFonts w:ascii="Aptos" w:hAnsi="Aptos"/>
                <w:b w:val="0"/>
                <w:sz w:val="17"/>
              </w:rPr>
              <w:t>Whole-instrument reconstruction</w:t>
            </w:r>
          </w:p>
        </w:tc>
        <w:tc>
          <w:tcPr>
            <w:tcW w:type="dxa" w:w="4320"/>
            <w:vAlign w:val="top"/>
            <w:shd w:fill="F2F6FA"/>
          </w:tcPr>
          <w:p>
            <w:pPr>
              <w:spacing w:after="0" w:line="240" w:lineRule="auto"/>
            </w:pPr>
            <w:r/>
            <w:r>
              <w:rPr>
                <w:rFonts w:ascii="Aptos" w:hAnsi="Aptos"/>
                <w:b w:val="0"/>
                <w:sz w:val="17"/>
              </w:rPr>
              <w:t>Understand each law before actor coding</w:t>
            </w:r>
          </w:p>
        </w:tc>
        <w:tc>
          <w:tcPr>
            <w:tcW w:type="dxa" w:w="3456"/>
            <w:vAlign w:val="top"/>
            <w:shd w:fill="F2F6FA"/>
          </w:tcPr>
          <w:p>
            <w:pPr>
              <w:spacing w:after="0" w:line="240" w:lineRule="auto"/>
            </w:pPr>
            <w:r/>
            <w:r>
              <w:rPr>
                <w:rFonts w:ascii="Aptos" w:hAnsi="Aptos"/>
                <w:b w:val="0"/>
                <w:sz w:val="17"/>
              </w:rPr>
              <w:t>Instrument profiles and memos</w:t>
            </w:r>
          </w:p>
        </w:tc>
      </w:tr>
      <w:tr>
        <w:tc>
          <w:tcPr>
            <w:tcW w:type="dxa" w:w="792"/>
            <w:vAlign w:val="top"/>
          </w:tcPr>
          <w:p>
            <w:pPr>
              <w:spacing w:after="0" w:line="240" w:lineRule="auto"/>
            </w:pPr>
            <w:r/>
            <w:r>
              <w:rPr>
                <w:rFonts w:ascii="Aptos" w:hAnsi="Aptos"/>
                <w:b w:val="0"/>
                <w:sz w:val="17"/>
              </w:rPr>
              <w:t>4</w:t>
            </w:r>
          </w:p>
        </w:tc>
        <w:tc>
          <w:tcPr>
            <w:tcW w:type="dxa" w:w="2736"/>
            <w:vAlign w:val="top"/>
          </w:tcPr>
          <w:p>
            <w:pPr>
              <w:spacing w:after="0" w:line="240" w:lineRule="auto"/>
            </w:pPr>
            <w:r/>
            <w:r>
              <w:rPr>
                <w:rFonts w:ascii="Aptos" w:hAnsi="Aptos"/>
                <w:b w:val="0"/>
                <w:sz w:val="17"/>
              </w:rPr>
              <w:t>Actor register</w:t>
            </w:r>
          </w:p>
        </w:tc>
        <w:tc>
          <w:tcPr>
            <w:tcW w:type="dxa" w:w="4320"/>
            <w:vAlign w:val="top"/>
          </w:tcPr>
          <w:p>
            <w:pPr>
              <w:spacing w:after="0" w:line="240" w:lineRule="auto"/>
            </w:pPr>
            <w:r/>
            <w:r>
              <w:rPr>
                <w:rFonts w:ascii="Aptos" w:hAnsi="Aptos"/>
                <w:b w:val="0"/>
                <w:sz w:val="17"/>
              </w:rPr>
              <w:t>Register actors before R/I/T roles</w:t>
            </w:r>
          </w:p>
        </w:tc>
        <w:tc>
          <w:tcPr>
            <w:tcW w:type="dxa" w:w="3456"/>
            <w:vAlign w:val="top"/>
          </w:tcPr>
          <w:p>
            <w:pPr>
              <w:spacing w:after="0" w:line="240" w:lineRule="auto"/>
            </w:pPr>
            <w:r/>
            <w:r>
              <w:rPr>
                <w:rFonts w:ascii="Aptos" w:hAnsi="Aptos"/>
                <w:b w:val="0"/>
                <w:sz w:val="17"/>
              </w:rPr>
              <w:t>89 LAW × ACTOR records</w:t>
            </w:r>
          </w:p>
        </w:tc>
      </w:tr>
      <w:tr>
        <w:tc>
          <w:tcPr>
            <w:tcW w:type="dxa" w:w="792"/>
            <w:vAlign w:val="top"/>
            <w:shd w:fill="F2F6FA"/>
          </w:tcPr>
          <w:p>
            <w:pPr>
              <w:spacing w:after="0" w:line="240" w:lineRule="auto"/>
            </w:pPr>
            <w:r/>
            <w:r>
              <w:rPr>
                <w:rFonts w:ascii="Aptos" w:hAnsi="Aptos"/>
                <w:b w:val="0"/>
                <w:sz w:val="17"/>
              </w:rPr>
              <w:t>5</w:t>
            </w:r>
          </w:p>
        </w:tc>
        <w:tc>
          <w:tcPr>
            <w:tcW w:type="dxa" w:w="2736"/>
            <w:vAlign w:val="top"/>
            <w:shd w:fill="F2F6FA"/>
          </w:tcPr>
          <w:p>
            <w:pPr>
              <w:spacing w:after="0" w:line="240" w:lineRule="auto"/>
            </w:pPr>
            <w:r/>
            <w:r>
              <w:rPr>
                <w:rFonts w:ascii="Aptos" w:hAnsi="Aptos"/>
                <w:b w:val="0"/>
                <w:sz w:val="17"/>
              </w:rPr>
              <w:t>Relation reconstruction</w:t>
            </w:r>
          </w:p>
        </w:tc>
        <w:tc>
          <w:tcPr>
            <w:tcW w:type="dxa" w:w="4320"/>
            <w:vAlign w:val="top"/>
            <w:shd w:fill="F2F6FA"/>
          </w:tcPr>
          <w:p>
            <w:pPr>
              <w:spacing w:after="0" w:line="240" w:lineRule="auto"/>
            </w:pPr>
            <w:r/>
            <w:r>
              <w:rPr>
                <w:rFonts w:ascii="Aptos" w:hAnsi="Aptos"/>
                <w:b w:val="0"/>
                <w:sz w:val="17"/>
              </w:rPr>
              <w:t>Generate candidate legal relations</w:t>
            </w:r>
          </w:p>
        </w:tc>
        <w:tc>
          <w:tcPr>
            <w:tcW w:type="dxa" w:w="3456"/>
            <w:vAlign w:val="top"/>
            <w:shd w:fill="F2F6FA"/>
          </w:tcPr>
          <w:p>
            <w:pPr>
              <w:spacing w:after="0" w:line="240" w:lineRule="auto"/>
            </w:pPr>
            <w:r/>
            <w:r>
              <w:rPr>
                <w:rFonts w:ascii="Aptos" w:hAnsi="Aptos"/>
                <w:b w:val="0"/>
                <w:sz w:val="17"/>
              </w:rPr>
              <w:t>56 candidate relations</w:t>
            </w:r>
          </w:p>
        </w:tc>
      </w:tr>
      <w:tr>
        <w:tc>
          <w:tcPr>
            <w:tcW w:type="dxa" w:w="792"/>
            <w:vAlign w:val="top"/>
          </w:tcPr>
          <w:p>
            <w:pPr>
              <w:spacing w:after="0" w:line="240" w:lineRule="auto"/>
            </w:pPr>
            <w:r/>
            <w:r>
              <w:rPr>
                <w:rFonts w:ascii="Aptos" w:hAnsi="Aptos"/>
                <w:b w:val="0"/>
                <w:sz w:val="17"/>
              </w:rPr>
              <w:t>6/6B</w:t>
            </w:r>
          </w:p>
        </w:tc>
        <w:tc>
          <w:tcPr>
            <w:tcW w:type="dxa" w:w="2736"/>
            <w:vAlign w:val="top"/>
          </w:tcPr>
          <w:p>
            <w:pPr>
              <w:spacing w:after="0" w:line="240" w:lineRule="auto"/>
            </w:pPr>
            <w:r/>
            <w:r>
              <w:rPr>
                <w:rFonts w:ascii="Aptos" w:hAnsi="Aptos"/>
                <w:b w:val="0"/>
                <w:sz w:val="17"/>
              </w:rPr>
              <w:t>RIT adjudication</w:t>
            </w:r>
          </w:p>
        </w:tc>
        <w:tc>
          <w:tcPr>
            <w:tcW w:type="dxa" w:w="4320"/>
            <w:vAlign w:val="top"/>
          </w:tcPr>
          <w:p>
            <w:pPr>
              <w:spacing w:after="0" w:line="240" w:lineRule="auto"/>
            </w:pPr>
            <w:r/>
            <w:r>
              <w:rPr>
                <w:rFonts w:ascii="Aptos" w:hAnsi="Aptos"/>
                <w:b w:val="0"/>
                <w:sz w:val="17"/>
              </w:rPr>
              <w:t>Apply three-condition intermediation gate</w:t>
            </w:r>
          </w:p>
        </w:tc>
        <w:tc>
          <w:tcPr>
            <w:tcW w:type="dxa" w:w="3456"/>
            <w:vAlign w:val="top"/>
          </w:tcPr>
          <w:p>
            <w:pPr>
              <w:spacing w:after="0" w:line="240" w:lineRule="auto"/>
            </w:pPr>
            <w:r/>
            <w:r>
              <w:rPr>
                <w:rFonts w:ascii="Aptos" w:hAnsi="Aptos"/>
                <w:b w:val="0"/>
                <w:sz w:val="17"/>
              </w:rPr>
              <w:t>9 supported; 24 direct; 23 legal non-RIT</w:t>
            </w:r>
          </w:p>
        </w:tc>
      </w:tr>
      <w:tr>
        <w:tc>
          <w:tcPr>
            <w:tcW w:type="dxa" w:w="792"/>
            <w:vAlign w:val="top"/>
            <w:shd w:fill="F2F6FA"/>
          </w:tcPr>
          <w:p>
            <w:pPr>
              <w:spacing w:after="0" w:line="240" w:lineRule="auto"/>
            </w:pPr>
            <w:r/>
            <w:r>
              <w:rPr>
                <w:rFonts w:ascii="Aptos" w:hAnsi="Aptos"/>
                <w:b w:val="0"/>
                <w:sz w:val="17"/>
              </w:rPr>
              <w:t>7</w:t>
            </w:r>
          </w:p>
        </w:tc>
        <w:tc>
          <w:tcPr>
            <w:tcW w:type="dxa" w:w="2736"/>
            <w:vAlign w:val="top"/>
            <w:shd w:fill="F2F6FA"/>
          </w:tcPr>
          <w:p>
            <w:pPr>
              <w:spacing w:after="0" w:line="240" w:lineRule="auto"/>
            </w:pPr>
            <w:r/>
            <w:r>
              <w:rPr>
                <w:rFonts w:ascii="Aptos" w:hAnsi="Aptos"/>
                <w:b w:val="0"/>
                <w:sz w:val="17"/>
              </w:rPr>
              <w:t>LAW × INTERMEDIARY</w:t>
            </w:r>
          </w:p>
        </w:tc>
        <w:tc>
          <w:tcPr>
            <w:tcW w:type="dxa" w:w="4320"/>
            <w:vAlign w:val="top"/>
            <w:shd w:fill="F2F6FA"/>
          </w:tcPr>
          <w:p>
            <w:pPr>
              <w:spacing w:after="0" w:line="240" w:lineRule="auto"/>
            </w:pPr>
            <w:r/>
            <w:r>
              <w:rPr>
                <w:rFonts w:ascii="Aptos" w:hAnsi="Aptos"/>
                <w:b w:val="0"/>
                <w:sz w:val="17"/>
              </w:rPr>
              <w:t>Consolidate intermediary parent units</w:t>
            </w:r>
          </w:p>
        </w:tc>
        <w:tc>
          <w:tcPr>
            <w:tcW w:type="dxa" w:w="3456"/>
            <w:vAlign w:val="top"/>
            <w:shd w:fill="F2F6FA"/>
          </w:tcPr>
          <w:p>
            <w:pPr>
              <w:spacing w:after="0" w:line="240" w:lineRule="auto"/>
            </w:pPr>
            <w:r/>
            <w:r>
              <w:rPr>
                <w:rFonts w:ascii="Aptos" w:hAnsi="Aptos"/>
                <w:b w:val="0"/>
                <w:sz w:val="17"/>
              </w:rPr>
              <w:t>7 units</w:t>
            </w:r>
          </w:p>
        </w:tc>
      </w:tr>
      <w:tr>
        <w:tc>
          <w:tcPr>
            <w:tcW w:type="dxa" w:w="792"/>
            <w:vAlign w:val="top"/>
          </w:tcPr>
          <w:p>
            <w:pPr>
              <w:spacing w:after="0" w:line="240" w:lineRule="auto"/>
            </w:pPr>
            <w:r/>
            <w:r>
              <w:rPr>
                <w:rFonts w:ascii="Aptos" w:hAnsi="Aptos"/>
                <w:b w:val="0"/>
                <w:sz w:val="17"/>
              </w:rPr>
              <w:t>8</w:t>
            </w:r>
          </w:p>
        </w:tc>
        <w:tc>
          <w:tcPr>
            <w:tcW w:type="dxa" w:w="2736"/>
            <w:vAlign w:val="top"/>
          </w:tcPr>
          <w:p>
            <w:pPr>
              <w:spacing w:after="0" w:line="240" w:lineRule="auto"/>
            </w:pPr>
            <w:r/>
            <w:r>
              <w:rPr>
                <w:rFonts w:ascii="Aptos" w:hAnsi="Aptos"/>
                <w:b w:val="0"/>
                <w:sz w:val="17"/>
              </w:rPr>
              <w:t>Mechanism events</w:t>
            </w:r>
          </w:p>
        </w:tc>
        <w:tc>
          <w:tcPr>
            <w:tcW w:type="dxa" w:w="4320"/>
            <w:vAlign w:val="top"/>
          </w:tcPr>
          <w:p>
            <w:pPr>
              <w:spacing w:after="0" w:line="240" w:lineRule="auto"/>
            </w:pPr>
            <w:r/>
            <w:r>
              <w:rPr>
                <w:rFonts w:ascii="Aptos" w:hAnsi="Aptos"/>
                <w:b w:val="0"/>
                <w:sz w:val="17"/>
              </w:rPr>
              <w:t>Trace elementary transformations</w:t>
            </w:r>
          </w:p>
        </w:tc>
        <w:tc>
          <w:tcPr>
            <w:tcW w:type="dxa" w:w="3456"/>
            <w:vAlign w:val="top"/>
          </w:tcPr>
          <w:p>
            <w:pPr>
              <w:spacing w:after="0" w:line="240" w:lineRule="auto"/>
            </w:pPr>
            <w:r/>
            <w:r>
              <w:rPr>
                <w:rFonts w:ascii="Aptos" w:hAnsi="Aptos"/>
                <w:b w:val="0"/>
                <w:sz w:val="17"/>
              </w:rPr>
              <w:t>10 events; 3 unresolved</w:t>
            </w:r>
          </w:p>
        </w:tc>
      </w:tr>
      <w:tr>
        <w:tc>
          <w:tcPr>
            <w:tcW w:type="dxa" w:w="792"/>
            <w:vAlign w:val="top"/>
            <w:shd w:fill="F2F6FA"/>
          </w:tcPr>
          <w:p>
            <w:pPr>
              <w:spacing w:after="0" w:line="240" w:lineRule="auto"/>
            </w:pPr>
            <w:r/>
            <w:r>
              <w:rPr>
                <w:rFonts w:ascii="Aptos" w:hAnsi="Aptos"/>
                <w:b w:val="0"/>
                <w:sz w:val="17"/>
              </w:rPr>
              <w:t>8B</w:t>
            </w:r>
          </w:p>
        </w:tc>
        <w:tc>
          <w:tcPr>
            <w:tcW w:type="dxa" w:w="2736"/>
            <w:vAlign w:val="top"/>
            <w:shd w:fill="F2F6FA"/>
          </w:tcPr>
          <w:p>
            <w:pPr>
              <w:spacing w:after="0" w:line="240" w:lineRule="auto"/>
            </w:pPr>
            <w:r/>
            <w:r>
              <w:rPr>
                <w:rFonts w:ascii="Aptos" w:hAnsi="Aptos"/>
                <w:b w:val="0"/>
                <w:sz w:val="17"/>
              </w:rPr>
              <w:t>Adversarial mechanism review</w:t>
            </w:r>
          </w:p>
        </w:tc>
        <w:tc>
          <w:tcPr>
            <w:tcW w:type="dxa" w:w="4320"/>
            <w:vAlign w:val="top"/>
            <w:shd w:fill="F2F6FA"/>
          </w:tcPr>
          <w:p>
            <w:pPr>
              <w:spacing w:after="0" w:line="240" w:lineRule="auto"/>
            </w:pPr>
            <w:r/>
            <w:r>
              <w:rPr>
                <w:rFonts w:ascii="Aptos" w:hAnsi="Aptos"/>
                <w:b w:val="0"/>
                <w:sz w:val="17"/>
              </w:rPr>
              <w:t>Challenge each mechanism and codebook boundary</w:t>
            </w:r>
          </w:p>
        </w:tc>
        <w:tc>
          <w:tcPr>
            <w:tcW w:type="dxa" w:w="3456"/>
            <w:vAlign w:val="top"/>
            <w:shd w:fill="F2F6FA"/>
          </w:tcPr>
          <w:p>
            <w:pPr>
              <w:spacing w:after="0" w:line="240" w:lineRule="auto"/>
            </w:pPr>
            <w:r/>
            <w:r>
              <w:rPr>
                <w:rFonts w:ascii="Aptos" w:hAnsi="Aptos"/>
                <w:b w:val="0"/>
                <w:sz w:val="17"/>
              </w:rPr>
              <w:t>7 confirmed; 3 CODEBOOK_BOUNDARY</w:t>
            </w:r>
          </w:p>
        </w:tc>
      </w:tr>
      <w:tr>
        <w:tc>
          <w:tcPr>
            <w:tcW w:type="dxa" w:w="792"/>
            <w:vAlign w:val="top"/>
          </w:tcPr>
          <w:p>
            <w:pPr>
              <w:spacing w:after="0" w:line="240" w:lineRule="auto"/>
            </w:pPr>
            <w:r/>
            <w:r>
              <w:rPr>
                <w:rFonts w:ascii="Aptos" w:hAnsi="Aptos"/>
                <w:b w:val="0"/>
                <w:sz w:val="17"/>
              </w:rPr>
              <w:t>8C</w:t>
            </w:r>
          </w:p>
        </w:tc>
        <w:tc>
          <w:tcPr>
            <w:tcW w:type="dxa" w:w="2736"/>
            <w:vAlign w:val="top"/>
          </w:tcPr>
          <w:p>
            <w:pPr>
              <w:spacing w:after="0" w:line="240" w:lineRule="auto"/>
            </w:pPr>
            <w:r/>
            <w:r>
              <w:rPr>
                <w:rFonts w:ascii="Aptos" w:hAnsi="Aptos"/>
                <w:b w:val="0"/>
                <w:sz w:val="17"/>
              </w:rPr>
              <w:t>Researcher adjudication</w:t>
            </w:r>
          </w:p>
        </w:tc>
        <w:tc>
          <w:tcPr>
            <w:tcW w:type="dxa" w:w="4320"/>
            <w:vAlign w:val="top"/>
          </w:tcPr>
          <w:p>
            <w:pPr>
              <w:spacing w:after="0" w:line="240" w:lineRule="auto"/>
            </w:pPr>
            <w:r/>
            <w:r>
              <w:rPr>
                <w:rFonts w:ascii="Aptos" w:hAnsi="Aptos"/>
                <w:b w:val="0"/>
                <w:sz w:val="17"/>
              </w:rPr>
              <w:t>Implement R3-D08-IMPLEMENTATION</w:t>
            </w:r>
          </w:p>
        </w:tc>
        <w:tc>
          <w:tcPr>
            <w:tcW w:type="dxa" w:w="3456"/>
            <w:vAlign w:val="top"/>
          </w:tcPr>
          <w:p>
            <w:pPr>
              <w:spacing w:after="0" w:line="240" w:lineRule="auto"/>
            </w:pPr>
            <w:r/>
            <w:r>
              <w:rPr>
                <w:rFonts w:ascii="Aptos" w:hAnsi="Aptos"/>
                <w:b w:val="0"/>
                <w:sz w:val="17"/>
              </w:rPr>
              <w:t>4 verification; 3 evaluation; 3 implementation</w:t>
            </w:r>
          </w:p>
        </w:tc>
      </w:tr>
      <w:tr>
        <w:tc>
          <w:tcPr>
            <w:tcW w:type="dxa" w:w="792"/>
            <w:vAlign w:val="top"/>
            <w:shd w:fill="F2F6FA"/>
          </w:tcPr>
          <w:p>
            <w:pPr>
              <w:spacing w:after="0" w:line="240" w:lineRule="auto"/>
            </w:pPr>
            <w:r/>
            <w:r>
              <w:rPr>
                <w:rFonts w:ascii="Aptos" w:hAnsi="Aptos"/>
                <w:b w:val="0"/>
                <w:sz w:val="17"/>
              </w:rPr>
              <w:t>9</w:t>
            </w:r>
          </w:p>
        </w:tc>
        <w:tc>
          <w:tcPr>
            <w:tcW w:type="dxa" w:w="2736"/>
            <w:vAlign w:val="top"/>
            <w:shd w:fill="F2F6FA"/>
          </w:tcPr>
          <w:p>
            <w:pPr>
              <w:spacing w:after="0" w:line="240" w:lineRule="auto"/>
            </w:pPr>
            <w:r/>
            <w:r>
              <w:rPr>
                <w:rFonts w:ascii="Aptos" w:hAnsi="Aptos"/>
                <w:b w:val="0"/>
                <w:sz w:val="17"/>
              </w:rPr>
              <w:t>Mechanism configuration</w:t>
            </w:r>
          </w:p>
        </w:tc>
        <w:tc>
          <w:tcPr>
            <w:tcW w:type="dxa" w:w="4320"/>
            <w:vAlign w:val="top"/>
            <w:shd w:fill="F2F6FA"/>
          </w:tcPr>
          <w:p>
            <w:pPr>
              <w:spacing w:after="0" w:line="240" w:lineRule="auto"/>
            </w:pPr>
            <w:r/>
            <w:r>
              <w:rPr>
                <w:rFonts w:ascii="Aptos" w:hAnsi="Aptos"/>
                <w:b w:val="0"/>
                <w:sz w:val="17"/>
              </w:rPr>
              <w:t>Distinguish single, repeated and sequential structures</w:t>
            </w:r>
          </w:p>
        </w:tc>
        <w:tc>
          <w:tcPr>
            <w:tcW w:type="dxa" w:w="3456"/>
            <w:vAlign w:val="top"/>
            <w:shd w:fill="F2F6FA"/>
          </w:tcPr>
          <w:p>
            <w:pPr>
              <w:spacing w:after="0" w:line="240" w:lineRule="auto"/>
            </w:pPr>
            <w:r/>
            <w:r>
              <w:rPr>
                <w:rFonts w:ascii="Aptos" w:hAnsi="Aptos"/>
                <w:b w:val="0"/>
                <w:sz w:val="17"/>
              </w:rPr>
              <w:t>8 single; 1 sequential; 1 edge</w:t>
            </w:r>
          </w:p>
        </w:tc>
      </w:tr>
      <w:tr>
        <w:tc>
          <w:tcPr>
            <w:tcW w:type="dxa" w:w="792"/>
            <w:vAlign w:val="top"/>
          </w:tcPr>
          <w:p>
            <w:pPr>
              <w:spacing w:after="0" w:line="240" w:lineRule="auto"/>
            </w:pPr>
            <w:r/>
            <w:r>
              <w:rPr>
                <w:rFonts w:ascii="Aptos" w:hAnsi="Aptos"/>
                <w:b w:val="0"/>
                <w:sz w:val="17"/>
              </w:rPr>
              <w:t>10</w:t>
            </w:r>
          </w:p>
        </w:tc>
        <w:tc>
          <w:tcPr>
            <w:tcW w:type="dxa" w:w="2736"/>
            <w:vAlign w:val="top"/>
          </w:tcPr>
          <w:p>
            <w:pPr>
              <w:spacing w:after="0" w:line="240" w:lineRule="auto"/>
            </w:pPr>
            <w:r/>
            <w:r>
              <w:rPr>
                <w:rFonts w:ascii="Aptos" w:hAnsi="Aptos"/>
                <w:b w:val="0"/>
                <w:sz w:val="17"/>
              </w:rPr>
              <w:t>Dataset architecture</w:t>
            </w:r>
          </w:p>
        </w:tc>
        <w:tc>
          <w:tcPr>
            <w:tcW w:type="dxa" w:w="4320"/>
            <w:vAlign w:val="top"/>
          </w:tcPr>
          <w:p>
            <w:pPr>
              <w:spacing w:after="0" w:line="240" w:lineRule="auto"/>
            </w:pPr>
            <w:r/>
            <w:r>
              <w:rPr>
                <w:rFonts w:ascii="Aptos" w:hAnsi="Aptos"/>
                <w:b w:val="0"/>
                <w:sz w:val="17"/>
              </w:rPr>
              <w:t>Map questions, units, variables and normalized schema</w:t>
            </w:r>
          </w:p>
        </w:tc>
        <w:tc>
          <w:tcPr>
            <w:tcW w:type="dxa" w:w="3456"/>
            <w:vAlign w:val="top"/>
          </w:tcPr>
          <w:p>
            <w:pPr>
              <w:spacing w:after="0" w:line="240" w:lineRule="auto"/>
            </w:pPr>
            <w:r/>
            <w:r>
              <w:rPr>
                <w:rFonts w:ascii="Aptos" w:hAnsi="Aptos"/>
                <w:b w:val="0"/>
                <w:sz w:val="17"/>
              </w:rPr>
              <w:t>137-variable architecture; 20 gates passed</w:t>
            </w:r>
          </w:p>
        </w:tc>
      </w:tr>
      <w:tr>
        <w:tc>
          <w:tcPr>
            <w:tcW w:type="dxa" w:w="792"/>
            <w:vAlign w:val="top"/>
            <w:shd w:fill="F2F6FA"/>
          </w:tcPr>
          <w:p>
            <w:pPr>
              <w:spacing w:after="0" w:line="240" w:lineRule="auto"/>
            </w:pPr>
            <w:r/>
            <w:r>
              <w:rPr>
                <w:rFonts w:ascii="Aptos" w:hAnsi="Aptos"/>
                <w:b w:val="0"/>
                <w:sz w:val="17"/>
              </w:rPr>
              <w:t>10B</w:t>
            </w:r>
          </w:p>
        </w:tc>
        <w:tc>
          <w:tcPr>
            <w:tcW w:type="dxa" w:w="2736"/>
            <w:vAlign w:val="top"/>
            <w:shd w:fill="F2F6FA"/>
          </w:tcPr>
          <w:p>
            <w:pPr>
              <w:spacing w:after="0" w:line="240" w:lineRule="auto"/>
            </w:pPr>
            <w:r/>
            <w:r>
              <w:rPr>
                <w:rFonts w:ascii="Aptos" w:hAnsi="Aptos"/>
                <w:b w:val="0"/>
                <w:sz w:val="17"/>
              </w:rPr>
              <w:t>David proposal package</w:t>
            </w:r>
          </w:p>
        </w:tc>
        <w:tc>
          <w:tcPr>
            <w:tcW w:type="dxa" w:w="4320"/>
            <w:vAlign w:val="top"/>
            <w:shd w:fill="F2F6FA"/>
          </w:tcPr>
          <w:p>
            <w:pPr>
              <w:spacing w:after="0" w:line="240" w:lineRule="auto"/>
            </w:pPr>
            <w:r/>
            <w:r>
              <w:rPr>
                <w:rFonts w:ascii="Aptos" w:hAnsi="Aptos"/>
                <w:b w:val="0"/>
                <w:sz w:val="17"/>
              </w:rPr>
              <w:t>Create human-facing package without new coding</w:t>
            </w:r>
          </w:p>
        </w:tc>
        <w:tc>
          <w:tcPr>
            <w:tcW w:type="dxa" w:w="3456"/>
            <w:vAlign w:val="top"/>
            <w:shd w:fill="F2F6FA"/>
          </w:tcPr>
          <w:p>
            <w:pPr>
              <w:spacing w:after="0" w:line="240" w:lineRule="auto"/>
            </w:pPr>
            <w:r/>
            <w:r>
              <w:rPr>
                <w:rFonts w:ascii="Aptos" w:hAnsi="Aptos"/>
                <w:b w:val="0"/>
                <w:sz w:val="17"/>
              </w:rPr>
              <w:t>Memo, workbooks, method pipeline and reconciled package</w:t>
            </w:r>
          </w:p>
        </w:tc>
      </w:tr>
    </w:tbl>
    <w:p>
      <w:pPr>
        <w:spacing w:after="20"/>
      </w:pPr>
    </w:p>
    <w:p>
      <w:pPr>
        <w:pStyle w:val="Heading1"/>
      </w:pPr>
      <w:r>
        <w:t>15. Conclusion</w:t>
      </w:r>
    </w:p>
    <w:p>
      <w:r>
        <w:t>R3 demonstrates that regulatory intermediation in legal texts can be represented more rigorously when actors, relations, mechanisms and configurations are treated as linked but non-equivalent analytical levels. The resulting Regulatory Intermediation Architecture dataset is therefore best understood as an auditable research infrastructure: it makes the empirical chain from legal source to conceptual claim explicit, preserves negative and zero cases, and creates a disciplined basis for larger-N testing.</w:t>
      </w:r>
    </w:p>
    <w:p>
      <w:r>
        <w:t>The immediate empirical question is now answerable within the pilot: who intermediates, between whom, through what mechanism, in what configuration and under which institutional characteristics. The next theoretical question—whether recurrent configurations generate regulatory capacities—should be addressed only after conceptual review and population expansion.</w:t>
      </w:r>
    </w:p>
    <w:p>
      <w:pPr>
        <w:pStyle w:val="Heading1"/>
      </w:pPr>
      <w:r>
        <w:t>Appendix A. Core R3 identifiers and current frozen totals</w:t>
      </w:r>
    </w:p>
    <w:tbl>
      <w:tblPr>
        <w:tblStyle w:val="TableGrid"/>
        <w:tblW w:type="auto" w:w="0"/>
        <w:jc w:val="center"/>
        <w:tblLook w:firstColumn="1" w:firstRow="1" w:lastColumn="0" w:lastRow="0" w:noHBand="0" w:noVBand="1" w:val="04A0"/>
      </w:tblPr>
      <w:tblGrid>
        <w:gridCol w:w="4997"/>
        <w:gridCol w:w="4997"/>
      </w:tblGrid>
      <w:tr>
        <w:tc>
          <w:tcPr>
            <w:tcW w:type="dxa" w:w="5472"/>
            <w:vAlign w:val="top"/>
            <w:shd w:fill="17365D"/>
          </w:tcPr>
          <w:p>
            <w:pPr>
              <w:spacing w:after="0" w:line="240" w:lineRule="auto"/>
            </w:pPr>
            <w:r/>
            <w:r>
              <w:rPr>
                <w:rFonts w:ascii="Aptos" w:hAnsi="Aptos"/>
                <w:b/>
                <w:color w:val="FFFFFF"/>
                <w:sz w:val="17"/>
              </w:rPr>
              <w:t>Item</w:t>
            </w:r>
          </w:p>
        </w:tc>
        <w:tc>
          <w:tcPr>
            <w:tcW w:type="dxa" w:w="5040"/>
            <w:vAlign w:val="top"/>
            <w:shd w:fill="17365D"/>
          </w:tcPr>
          <w:p>
            <w:pPr>
              <w:spacing w:after="0" w:line="240" w:lineRule="auto"/>
            </w:pPr>
            <w:r/>
            <w:r>
              <w:rPr>
                <w:rFonts w:ascii="Aptos" w:hAnsi="Aptos"/>
                <w:b/>
                <w:color w:val="FFFFFF"/>
                <w:sz w:val="17"/>
              </w:rPr>
              <w:t>Frozen value</w:t>
            </w:r>
          </w:p>
        </w:tc>
      </w:tr>
      <w:tr>
        <w:tc>
          <w:tcPr>
            <w:tcW w:type="dxa" w:w="5472"/>
            <w:vAlign w:val="top"/>
            <w:shd w:fill="F2F6FA"/>
          </w:tcPr>
          <w:p>
            <w:pPr>
              <w:spacing w:after="0" w:line="240" w:lineRule="auto"/>
            </w:pPr>
            <w:r/>
            <w:r>
              <w:rPr>
                <w:rFonts w:ascii="Aptos" w:hAnsi="Aptos"/>
                <w:b w:val="0"/>
                <w:sz w:val="17"/>
              </w:rPr>
              <w:t>Laws</w:t>
            </w:r>
          </w:p>
        </w:tc>
        <w:tc>
          <w:tcPr>
            <w:tcW w:type="dxa" w:w="5040"/>
            <w:vAlign w:val="top"/>
            <w:shd w:fill="F2F6FA"/>
          </w:tcPr>
          <w:p>
            <w:pPr>
              <w:spacing w:after="0" w:line="240" w:lineRule="auto"/>
            </w:pPr>
            <w:r/>
            <w:r>
              <w:rPr>
                <w:rFonts w:ascii="Aptos" w:hAnsi="Aptos"/>
                <w:b w:val="0"/>
                <w:sz w:val="17"/>
              </w:rPr>
              <w:t>5</w:t>
            </w:r>
          </w:p>
        </w:tc>
      </w:tr>
      <w:tr>
        <w:tc>
          <w:tcPr>
            <w:tcW w:type="dxa" w:w="5472"/>
            <w:vAlign w:val="top"/>
          </w:tcPr>
          <w:p>
            <w:pPr>
              <w:spacing w:after="0" w:line="240" w:lineRule="auto"/>
            </w:pPr>
            <w:r/>
            <w:r>
              <w:rPr>
                <w:rFonts w:ascii="Aptos" w:hAnsi="Aptos"/>
                <w:b w:val="0"/>
                <w:sz w:val="17"/>
              </w:rPr>
              <w:t>LAW × ACTOR records</w:t>
            </w:r>
          </w:p>
        </w:tc>
        <w:tc>
          <w:tcPr>
            <w:tcW w:type="dxa" w:w="5040"/>
            <w:vAlign w:val="top"/>
          </w:tcPr>
          <w:p>
            <w:pPr>
              <w:spacing w:after="0" w:line="240" w:lineRule="auto"/>
            </w:pPr>
            <w:r/>
            <w:r>
              <w:rPr>
                <w:rFonts w:ascii="Aptos" w:hAnsi="Aptos"/>
                <w:b w:val="0"/>
                <w:sz w:val="17"/>
              </w:rPr>
              <w:t>89</w:t>
            </w:r>
          </w:p>
        </w:tc>
      </w:tr>
      <w:tr>
        <w:tc>
          <w:tcPr>
            <w:tcW w:type="dxa" w:w="5472"/>
            <w:vAlign w:val="top"/>
            <w:shd w:fill="F2F6FA"/>
          </w:tcPr>
          <w:p>
            <w:pPr>
              <w:spacing w:after="0" w:line="240" w:lineRule="auto"/>
            </w:pPr>
            <w:r/>
            <w:r>
              <w:rPr>
                <w:rFonts w:ascii="Aptos" w:hAnsi="Aptos"/>
                <w:b w:val="0"/>
                <w:sz w:val="17"/>
              </w:rPr>
              <w:t>Adjudicated relations</w:t>
            </w:r>
          </w:p>
        </w:tc>
        <w:tc>
          <w:tcPr>
            <w:tcW w:type="dxa" w:w="5040"/>
            <w:vAlign w:val="top"/>
            <w:shd w:fill="F2F6FA"/>
          </w:tcPr>
          <w:p>
            <w:pPr>
              <w:spacing w:after="0" w:line="240" w:lineRule="auto"/>
            </w:pPr>
            <w:r/>
            <w:r>
              <w:rPr>
                <w:rFonts w:ascii="Aptos" w:hAnsi="Aptos"/>
                <w:b w:val="0"/>
                <w:sz w:val="17"/>
              </w:rPr>
              <w:t>56</w:t>
            </w:r>
          </w:p>
        </w:tc>
      </w:tr>
      <w:tr>
        <w:tc>
          <w:tcPr>
            <w:tcW w:type="dxa" w:w="5472"/>
            <w:vAlign w:val="top"/>
          </w:tcPr>
          <w:p>
            <w:pPr>
              <w:spacing w:after="0" w:line="240" w:lineRule="auto"/>
            </w:pPr>
            <w:r/>
            <w:r>
              <w:rPr>
                <w:rFonts w:ascii="Aptos" w:hAnsi="Aptos"/>
                <w:b w:val="0"/>
                <w:sz w:val="17"/>
              </w:rPr>
              <w:t>DIRECT_R_T</w:t>
            </w:r>
          </w:p>
        </w:tc>
        <w:tc>
          <w:tcPr>
            <w:tcW w:type="dxa" w:w="5040"/>
            <w:vAlign w:val="top"/>
          </w:tcPr>
          <w:p>
            <w:pPr>
              <w:spacing w:after="0" w:line="240" w:lineRule="auto"/>
            </w:pPr>
            <w:r/>
            <w:r>
              <w:rPr>
                <w:rFonts w:ascii="Aptos" w:hAnsi="Aptos"/>
                <w:b w:val="0"/>
                <w:sz w:val="17"/>
              </w:rPr>
              <w:t>24</w:t>
            </w:r>
          </w:p>
        </w:tc>
      </w:tr>
      <w:tr>
        <w:tc>
          <w:tcPr>
            <w:tcW w:type="dxa" w:w="5472"/>
            <w:vAlign w:val="top"/>
            <w:shd w:fill="F2F6FA"/>
          </w:tcPr>
          <w:p>
            <w:pPr>
              <w:spacing w:after="0" w:line="240" w:lineRule="auto"/>
            </w:pPr>
            <w:r/>
            <w:r>
              <w:rPr>
                <w:rFonts w:ascii="Aptos" w:hAnsi="Aptos"/>
                <w:b w:val="0"/>
                <w:sz w:val="17"/>
              </w:rPr>
              <w:t>LEGAL_RELATION_NON_RIT</w:t>
            </w:r>
          </w:p>
        </w:tc>
        <w:tc>
          <w:tcPr>
            <w:tcW w:type="dxa" w:w="5040"/>
            <w:vAlign w:val="top"/>
            <w:shd w:fill="F2F6FA"/>
          </w:tcPr>
          <w:p>
            <w:pPr>
              <w:spacing w:after="0" w:line="240" w:lineRule="auto"/>
            </w:pPr>
            <w:r/>
            <w:r>
              <w:rPr>
                <w:rFonts w:ascii="Aptos" w:hAnsi="Aptos"/>
                <w:b w:val="0"/>
                <w:sz w:val="17"/>
              </w:rPr>
              <w:t>23</w:t>
            </w:r>
          </w:p>
        </w:tc>
      </w:tr>
      <w:tr>
        <w:tc>
          <w:tcPr>
            <w:tcW w:type="dxa" w:w="5472"/>
            <w:vAlign w:val="top"/>
          </w:tcPr>
          <w:p>
            <w:pPr>
              <w:spacing w:after="0" w:line="240" w:lineRule="auto"/>
            </w:pPr>
            <w:r/>
            <w:r>
              <w:rPr>
                <w:rFonts w:ascii="Aptos" w:hAnsi="Aptos"/>
                <w:b w:val="0"/>
                <w:sz w:val="17"/>
              </w:rPr>
              <w:t>SUPPORTED_INTERMEDIATION</w:t>
            </w:r>
          </w:p>
        </w:tc>
        <w:tc>
          <w:tcPr>
            <w:tcW w:type="dxa" w:w="5040"/>
            <w:vAlign w:val="top"/>
          </w:tcPr>
          <w:p>
            <w:pPr>
              <w:spacing w:after="0" w:line="240" w:lineRule="auto"/>
            </w:pPr>
            <w:r/>
            <w:r>
              <w:rPr>
                <w:rFonts w:ascii="Aptos" w:hAnsi="Aptos"/>
                <w:b w:val="0"/>
                <w:sz w:val="17"/>
              </w:rPr>
              <w:t>9</w:t>
            </w:r>
          </w:p>
        </w:tc>
      </w:tr>
      <w:tr>
        <w:tc>
          <w:tcPr>
            <w:tcW w:type="dxa" w:w="5472"/>
            <w:vAlign w:val="top"/>
            <w:shd w:fill="F2F6FA"/>
          </w:tcPr>
          <w:p>
            <w:pPr>
              <w:spacing w:after="0" w:line="240" w:lineRule="auto"/>
            </w:pPr>
            <w:r/>
            <w:r>
              <w:rPr>
                <w:rFonts w:ascii="Aptos" w:hAnsi="Aptos"/>
                <w:b w:val="0"/>
                <w:sz w:val="17"/>
              </w:rPr>
              <w:t>LAW × INTERMEDIARY units</w:t>
            </w:r>
          </w:p>
        </w:tc>
        <w:tc>
          <w:tcPr>
            <w:tcW w:type="dxa" w:w="5040"/>
            <w:vAlign w:val="top"/>
            <w:shd w:fill="F2F6FA"/>
          </w:tcPr>
          <w:p>
            <w:pPr>
              <w:spacing w:after="0" w:line="240" w:lineRule="auto"/>
            </w:pPr>
            <w:r/>
            <w:r>
              <w:rPr>
                <w:rFonts w:ascii="Aptos" w:hAnsi="Aptos"/>
                <w:b w:val="0"/>
                <w:sz w:val="17"/>
              </w:rPr>
              <w:t>7</w:t>
            </w:r>
          </w:p>
        </w:tc>
      </w:tr>
      <w:tr>
        <w:tc>
          <w:tcPr>
            <w:tcW w:type="dxa" w:w="5472"/>
            <w:vAlign w:val="top"/>
          </w:tcPr>
          <w:p>
            <w:pPr>
              <w:spacing w:after="0" w:line="240" w:lineRule="auto"/>
            </w:pPr>
            <w:r/>
            <w:r>
              <w:rPr>
                <w:rFonts w:ascii="Aptos" w:hAnsi="Aptos"/>
                <w:b w:val="0"/>
                <w:sz w:val="17"/>
              </w:rPr>
              <w:t>Mechanism events</w:t>
            </w:r>
          </w:p>
        </w:tc>
        <w:tc>
          <w:tcPr>
            <w:tcW w:type="dxa" w:w="5040"/>
            <w:vAlign w:val="top"/>
          </w:tcPr>
          <w:p>
            <w:pPr>
              <w:spacing w:after="0" w:line="240" w:lineRule="auto"/>
            </w:pPr>
            <w:r/>
            <w:r>
              <w:rPr>
                <w:rFonts w:ascii="Aptos" w:hAnsi="Aptos"/>
                <w:b w:val="0"/>
                <w:sz w:val="17"/>
              </w:rPr>
              <w:t>10</w:t>
            </w:r>
          </w:p>
        </w:tc>
      </w:tr>
      <w:tr>
        <w:tc>
          <w:tcPr>
            <w:tcW w:type="dxa" w:w="5472"/>
            <w:vAlign w:val="top"/>
            <w:shd w:fill="F2F6FA"/>
          </w:tcPr>
          <w:p>
            <w:pPr>
              <w:spacing w:after="0" w:line="240" w:lineRule="auto"/>
            </w:pPr>
            <w:r/>
            <w:r>
              <w:rPr>
                <w:rFonts w:ascii="Aptos" w:hAnsi="Aptos"/>
                <w:b w:val="0"/>
                <w:sz w:val="17"/>
              </w:rPr>
              <w:t>VERIFICATION</w:t>
            </w:r>
          </w:p>
        </w:tc>
        <w:tc>
          <w:tcPr>
            <w:tcW w:type="dxa" w:w="5040"/>
            <w:vAlign w:val="top"/>
            <w:shd w:fill="F2F6FA"/>
          </w:tcPr>
          <w:p>
            <w:pPr>
              <w:spacing w:after="0" w:line="240" w:lineRule="auto"/>
            </w:pPr>
            <w:r/>
            <w:r>
              <w:rPr>
                <w:rFonts w:ascii="Aptos" w:hAnsi="Aptos"/>
                <w:b w:val="0"/>
                <w:sz w:val="17"/>
              </w:rPr>
              <w:t>4</w:t>
            </w:r>
          </w:p>
        </w:tc>
      </w:tr>
      <w:tr>
        <w:tc>
          <w:tcPr>
            <w:tcW w:type="dxa" w:w="5472"/>
            <w:vAlign w:val="top"/>
          </w:tcPr>
          <w:p>
            <w:pPr>
              <w:spacing w:after="0" w:line="240" w:lineRule="auto"/>
            </w:pPr>
            <w:r/>
            <w:r>
              <w:rPr>
                <w:rFonts w:ascii="Aptos" w:hAnsi="Aptos"/>
                <w:b w:val="0"/>
                <w:sz w:val="17"/>
              </w:rPr>
              <w:t>EVALUATION_ASSESSMENT</w:t>
            </w:r>
          </w:p>
        </w:tc>
        <w:tc>
          <w:tcPr>
            <w:tcW w:type="dxa" w:w="5040"/>
            <w:vAlign w:val="top"/>
          </w:tcPr>
          <w:p>
            <w:pPr>
              <w:spacing w:after="0" w:line="240" w:lineRule="auto"/>
            </w:pPr>
            <w:r/>
            <w:r>
              <w:rPr>
                <w:rFonts w:ascii="Aptos" w:hAnsi="Aptos"/>
                <w:b w:val="0"/>
                <w:sz w:val="17"/>
              </w:rPr>
              <w:t>3</w:t>
            </w:r>
          </w:p>
        </w:tc>
      </w:tr>
      <w:tr>
        <w:tc>
          <w:tcPr>
            <w:tcW w:type="dxa" w:w="5472"/>
            <w:vAlign w:val="top"/>
            <w:shd w:fill="F2F6FA"/>
          </w:tcPr>
          <w:p>
            <w:pPr>
              <w:spacing w:after="0" w:line="240" w:lineRule="auto"/>
            </w:pPr>
            <w:r/>
            <w:r>
              <w:rPr>
                <w:rFonts w:ascii="Aptos" w:hAnsi="Aptos"/>
                <w:b w:val="0"/>
                <w:sz w:val="17"/>
              </w:rPr>
              <w:t>IMPLEMENTATION</w:t>
            </w:r>
          </w:p>
        </w:tc>
        <w:tc>
          <w:tcPr>
            <w:tcW w:type="dxa" w:w="5040"/>
            <w:vAlign w:val="top"/>
            <w:shd w:fill="F2F6FA"/>
          </w:tcPr>
          <w:p>
            <w:pPr>
              <w:spacing w:after="0" w:line="240" w:lineRule="auto"/>
            </w:pPr>
            <w:r/>
            <w:r>
              <w:rPr>
                <w:rFonts w:ascii="Aptos" w:hAnsi="Aptos"/>
                <w:b w:val="0"/>
                <w:sz w:val="17"/>
              </w:rPr>
              <w:t>3</w:t>
            </w:r>
          </w:p>
        </w:tc>
      </w:tr>
      <w:tr>
        <w:tc>
          <w:tcPr>
            <w:tcW w:type="dxa" w:w="5472"/>
            <w:vAlign w:val="top"/>
          </w:tcPr>
          <w:p>
            <w:pPr>
              <w:spacing w:after="0" w:line="240" w:lineRule="auto"/>
            </w:pPr>
            <w:r/>
            <w:r>
              <w:rPr>
                <w:rFonts w:ascii="Aptos" w:hAnsi="Aptos"/>
                <w:b w:val="0"/>
                <w:sz w:val="17"/>
              </w:rPr>
              <w:t>SINGLE_MECHANISM relations</w:t>
            </w:r>
          </w:p>
        </w:tc>
        <w:tc>
          <w:tcPr>
            <w:tcW w:type="dxa" w:w="5040"/>
            <w:vAlign w:val="top"/>
          </w:tcPr>
          <w:p>
            <w:pPr>
              <w:spacing w:after="0" w:line="240" w:lineRule="auto"/>
            </w:pPr>
            <w:r/>
            <w:r>
              <w:rPr>
                <w:rFonts w:ascii="Aptos" w:hAnsi="Aptos"/>
                <w:b w:val="0"/>
                <w:sz w:val="17"/>
              </w:rPr>
              <w:t>8</w:t>
            </w:r>
          </w:p>
        </w:tc>
      </w:tr>
      <w:tr>
        <w:tc>
          <w:tcPr>
            <w:tcW w:type="dxa" w:w="5472"/>
            <w:vAlign w:val="top"/>
            <w:shd w:fill="F2F6FA"/>
          </w:tcPr>
          <w:p>
            <w:pPr>
              <w:spacing w:after="0" w:line="240" w:lineRule="auto"/>
            </w:pPr>
            <w:r/>
            <w:r>
              <w:rPr>
                <w:rFonts w:ascii="Aptos" w:hAnsi="Aptos"/>
                <w:b w:val="0"/>
                <w:sz w:val="17"/>
              </w:rPr>
              <w:t>MULTI_MECHANISM_SEQUENTIAL relations</w:t>
            </w:r>
          </w:p>
        </w:tc>
        <w:tc>
          <w:tcPr>
            <w:tcW w:type="dxa" w:w="5040"/>
            <w:vAlign w:val="top"/>
            <w:shd w:fill="F2F6FA"/>
          </w:tcPr>
          <w:p>
            <w:pPr>
              <w:spacing w:after="0" w:line="240" w:lineRule="auto"/>
            </w:pPr>
            <w:r/>
            <w:r>
              <w:rPr>
                <w:rFonts w:ascii="Aptos" w:hAnsi="Aptos"/>
                <w:b w:val="0"/>
                <w:sz w:val="17"/>
              </w:rPr>
              <w:t>1</w:t>
            </w:r>
          </w:p>
        </w:tc>
      </w:tr>
      <w:tr>
        <w:tc>
          <w:tcPr>
            <w:tcW w:type="dxa" w:w="5472"/>
            <w:vAlign w:val="top"/>
          </w:tcPr>
          <w:p>
            <w:pPr>
              <w:spacing w:after="0" w:line="240" w:lineRule="auto"/>
            </w:pPr>
            <w:r/>
            <w:r>
              <w:rPr>
                <w:rFonts w:ascii="Aptos" w:hAnsi="Aptos"/>
                <w:b w:val="0"/>
                <w:sz w:val="17"/>
              </w:rPr>
              <w:t>Confirmed mechanism edges</w:t>
            </w:r>
          </w:p>
        </w:tc>
        <w:tc>
          <w:tcPr>
            <w:tcW w:type="dxa" w:w="5040"/>
            <w:vAlign w:val="top"/>
          </w:tcPr>
          <w:p>
            <w:pPr>
              <w:spacing w:after="0" w:line="240" w:lineRule="auto"/>
            </w:pPr>
            <w:r/>
            <w:r>
              <w:rPr>
                <w:rFonts w:ascii="Aptos" w:hAnsi="Aptos"/>
                <w:b w:val="0"/>
                <w:sz w:val="17"/>
              </w:rPr>
              <w:t>1</w:t>
            </w:r>
          </w:p>
        </w:tc>
      </w:tr>
      <w:tr>
        <w:tc>
          <w:tcPr>
            <w:tcW w:type="dxa" w:w="5472"/>
            <w:vAlign w:val="top"/>
            <w:shd w:fill="F2F6FA"/>
          </w:tcPr>
          <w:p>
            <w:pPr>
              <w:spacing w:after="0" w:line="240" w:lineRule="auto"/>
            </w:pPr>
            <w:r/>
            <w:r>
              <w:rPr>
                <w:rFonts w:ascii="Aptos" w:hAnsi="Aptos"/>
                <w:b w:val="0"/>
                <w:sz w:val="17"/>
              </w:rPr>
              <w:t>Substantive-zero laws</w:t>
            </w:r>
          </w:p>
        </w:tc>
        <w:tc>
          <w:tcPr>
            <w:tcW w:type="dxa" w:w="5040"/>
            <w:vAlign w:val="top"/>
            <w:shd w:fill="F2F6FA"/>
          </w:tcPr>
          <w:p>
            <w:pPr>
              <w:spacing w:after="0" w:line="240" w:lineRule="auto"/>
            </w:pPr>
            <w:r/>
            <w:r>
              <w:rPr>
                <w:rFonts w:ascii="Aptos" w:hAnsi="Aptos"/>
                <w:b w:val="0"/>
                <w:sz w:val="17"/>
              </w:rPr>
              <w:t>1 (32015D1814)</w:t>
            </w:r>
          </w:p>
        </w:tc>
      </w:tr>
      <w:tr>
        <w:tc>
          <w:tcPr>
            <w:tcW w:type="dxa" w:w="5472"/>
            <w:vAlign w:val="top"/>
          </w:tcPr>
          <w:p>
            <w:pPr>
              <w:spacing w:after="0" w:line="240" w:lineRule="auto"/>
            </w:pPr>
            <w:r/>
            <w:r>
              <w:rPr>
                <w:rFonts w:ascii="Aptos" w:hAnsi="Aptos"/>
                <w:b w:val="0"/>
                <w:sz w:val="17"/>
              </w:rPr>
              <w:t>Candidate variables in Phase 10</w:t>
            </w:r>
          </w:p>
        </w:tc>
        <w:tc>
          <w:tcPr>
            <w:tcW w:type="dxa" w:w="5040"/>
            <w:vAlign w:val="top"/>
          </w:tcPr>
          <w:p>
            <w:pPr>
              <w:spacing w:after="0" w:line="240" w:lineRule="auto"/>
            </w:pPr>
            <w:r/>
            <w:r>
              <w:rPr>
                <w:rFonts w:ascii="Aptos" w:hAnsi="Aptos"/>
                <w:b w:val="0"/>
                <w:sz w:val="17"/>
              </w:rPr>
              <w:t>137</w:t>
            </w:r>
          </w:p>
        </w:tc>
      </w:tr>
    </w:tbl>
    <w:p>
      <w:pPr>
        <w:spacing w:after="20"/>
      </w:pP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R3 Technical Note | Regulatory Intermediation Architecture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