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Aptos" w:hAnsi="Aptos"/>
          <w:b/>
          <w:color w:val="17365D"/>
          <w:sz w:val="21"/>
        </w:rPr>
        <w:t>Subject: R3 – Regulatory Intermediation Architecture: five-case dataset proposal</w:t>
      </w:r>
    </w:p>
    <w:p>
      <w:pPr>
        <w:spacing w:after="100" w:line="240" w:lineRule="auto"/>
      </w:pPr>
    </w:p>
    <w:p>
      <w:pPr>
        <w:spacing w:after="100" w:line="240" w:lineRule="auto"/>
      </w:pPr>
      <w:r>
        <w:rPr>
          <w:b w:val="0"/>
        </w:rPr>
        <w:t>Dear David,</w:t>
      </w:r>
    </w:p>
    <w:p>
      <w:pPr>
        <w:spacing w:after="100" w:line="240" w:lineRule="auto"/>
      </w:pPr>
      <w:r>
        <w:rPr>
          <w:b w:val="0"/>
        </w:rPr>
        <w:t>I am sending you the result of the R3 reconstruction of the five EU climate-law cases and a revised proposal for the dataset architecture.</w:t>
      </w:r>
    </w:p>
    <w:p>
      <w:pPr>
        <w:spacing w:after="100" w:line="240" w:lineRule="auto"/>
      </w:pPr>
      <w:r>
        <w:rPr>
          <w:b w:val="0"/>
        </w:rPr>
        <w:t>I rebuilt the pilot from fresh official legal sources and separated the analytical levels that had previously been competing within the same dataset: the law, actors, the LAW × INTERMEDIARY unit, R–I–T regulatory relations, elementary mechanism events, and configurations among mechanisms.</w:t>
      </w:r>
    </w:p>
    <w:p>
      <w:pPr>
        <w:spacing w:after="100" w:line="240" w:lineRule="auto"/>
      </w:pPr>
      <w:r>
        <w:rPr>
          <w:b w:val="0"/>
        </w:rPr>
        <w:t>The dataset is now organized primarily around the following empirical question:</w:t>
      </w:r>
    </w:p>
    <w:p>
      <w:pPr>
        <w:spacing w:after="100" w:line="240" w:lineRule="auto"/>
        <w:ind w:left="360" w:right="360"/>
      </w:pPr>
      <w:r>
        <w:rPr>
          <w:b/>
          <w:i/>
        </w:rPr>
        <w:t>How are regulatory intermediation mechanisms organized across actors and regulatory relations in EU climate regulation, and how do institutional characteristics of intermediaries relate to different mechanism configurations?</w:t>
      </w:r>
    </w:p>
    <w:p>
      <w:pPr>
        <w:spacing w:after="100" w:line="240" w:lineRule="auto"/>
      </w:pPr>
      <w:r>
        <w:t>The five-case pilot contains 56 adjudicated regulatory relations, of which 9 are supported intermediation relations. These resolve into 7 LAW × INTERMEDIARY units and 10 mechanism events: 4 VERIFICATION, 3 EVALUATION_ASSESSMENT, and 3 IMPLEMENTATION. Eight relations contain a single mechanism, while one contains an evidenced sequence from VERIFICATION to EVALUATION_ASSESSMENT. One of the five laws remains a substantive zero for regulatory intermediation.</w:t>
      </w:r>
    </w:p>
    <w:p>
      <w:pPr>
        <w:spacing w:after="100" w:line="240" w:lineRule="auto"/>
      </w:pPr>
      <w:r>
        <w:t>One conceptual decision deserves particular attention. During the adversarial review, three supported relations involving material programme implementation did not fit the original nine-mechanism vocabulary without stretching TRANSLATION. I therefore decided provisionally to add IMPLEMENTATION as a tenth elementary mechanism. This is explicitly recorded as my researcher decision, not as a category attributed to you, and the alternative interpretation — delegated implementation rather than regulatory intermediation — remains visible for theoretical scrutiny.</w:t>
      </w:r>
    </w:p>
    <w:p>
      <w:pPr>
        <w:spacing w:after="100" w:line="240" w:lineRule="auto"/>
      </w:pPr>
      <w:r>
        <w:t>I am attaching the new Regulatory Intermediation Architecture — Case Study Dataset and a technical note documenting the complete R3 methodology and audit trail. I have also included a set of hypotheses generated by the pilot for subsequent testing in a larger population.</w:t>
      </w:r>
    </w:p>
    <w:p>
      <w:pPr>
        <w:spacing w:after="100" w:line="240" w:lineRule="auto"/>
      </w:pPr>
      <w:r>
        <w:t>I would particularly value your and Rotem's views on whether the analytical levels are correctly distinguished, whether the elementary mechanism is defined at the appropriate level of abstraction, whether IMPLEMENTATION belongs at mechanism level, and which of the proposed hypotheses should guide the next population-building stage.</w:t>
      </w:r>
    </w:p>
    <w:p>
      <w:pPr>
        <w:spacing w:after="100" w:line="240" w:lineRule="auto"/>
      </w:pPr>
      <w:r>
        <w:t>I would also be interested in your view on a later theoretical question: whether recurrent configurations of mechanisms can be used to derive higher-order regulatory capacities, rather than defining those capacities in advance.</w:t>
      </w:r>
    </w:p>
    <w:p>
      <w:pPr>
        <w:spacing w:after="100" w:line="240" w:lineRule="auto"/>
      </w:pPr>
      <w:r>
        <w:t>Best,</w:t>
      </w:r>
    </w:p>
    <w:p>
      <w:pPr>
        <w:spacing w:after="100" w:line="240" w:lineRule="auto"/>
      </w:pPr>
      <w:r>
        <w:t>Igor</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