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0171C" w14:textId="2AA84038" w:rsidR="00E56F0F" w:rsidRPr="00544663" w:rsidRDefault="00544663" w:rsidP="00BB24A5">
      <w:pPr>
        <w:rPr>
          <w:rFonts w:asciiTheme="majorBidi" w:hAnsiTheme="majorBidi" w:cstheme="majorBidi"/>
          <w:b/>
          <w:bCs/>
          <w:sz w:val="26"/>
          <w:szCs w:val="26"/>
        </w:rPr>
      </w:pPr>
      <w:r w:rsidRPr="00544663">
        <w:rPr>
          <w:rFonts w:asciiTheme="majorBidi" w:hAnsiTheme="majorBidi" w:cstheme="majorBidi"/>
          <w:b/>
          <w:bCs/>
          <w:sz w:val="26"/>
          <w:szCs w:val="26"/>
        </w:rPr>
        <w:t>Law and the Architectures of Governance: Towards a Relational Leximetrics Approach</w:t>
      </w:r>
    </w:p>
    <w:p w14:paraId="3ED8A68A" w14:textId="77777777" w:rsidR="00544663" w:rsidRDefault="00544663" w:rsidP="00BB24A5">
      <w:pPr>
        <w:rPr>
          <w:rFonts w:asciiTheme="majorBidi" w:hAnsiTheme="majorBidi" w:cstheme="majorBidi"/>
          <w:b/>
          <w:bCs/>
          <w:sz w:val="24"/>
          <w:szCs w:val="24"/>
        </w:rPr>
      </w:pPr>
    </w:p>
    <w:p w14:paraId="00BB8648" w14:textId="2C7C7D1E" w:rsidR="003902C2" w:rsidRPr="00BB24A5" w:rsidRDefault="00BB24A5" w:rsidP="00BB24A5">
      <w:pPr>
        <w:rPr>
          <w:rFonts w:asciiTheme="majorBidi" w:hAnsiTheme="majorBidi" w:cstheme="majorBidi"/>
          <w:b/>
          <w:bCs/>
          <w:sz w:val="24"/>
          <w:szCs w:val="24"/>
        </w:rPr>
      </w:pPr>
      <w:r w:rsidRPr="00BB24A5">
        <w:rPr>
          <w:rFonts w:asciiTheme="majorBidi" w:hAnsiTheme="majorBidi" w:cstheme="majorBidi"/>
          <w:b/>
          <w:bCs/>
          <w:sz w:val="24"/>
          <w:szCs w:val="24"/>
        </w:rPr>
        <w:t>Abstract</w:t>
      </w:r>
    </w:p>
    <w:p w14:paraId="697682F5" w14:textId="3D7F233E" w:rsidR="00DF0AFA" w:rsidRPr="00115660" w:rsidRDefault="00DF0AFA" w:rsidP="00DF0AFA">
      <w:pPr>
        <w:spacing w:before="100" w:beforeAutospacing="1" w:afterAutospacing="1" w:line="360" w:lineRule="auto"/>
        <w:jc w:val="both"/>
        <w:rPr>
          <w:rFonts w:asciiTheme="majorBidi" w:eastAsia="Times New Roman" w:hAnsiTheme="majorBidi" w:cstheme="majorBidi"/>
          <w:sz w:val="24"/>
          <w:szCs w:val="24"/>
        </w:rPr>
      </w:pPr>
      <w:r w:rsidRPr="00115660">
        <w:rPr>
          <w:rFonts w:asciiTheme="majorBidi" w:eastAsia="Times New Roman" w:hAnsiTheme="majorBidi" w:cstheme="majorBidi"/>
          <w:sz w:val="24"/>
          <w:szCs w:val="24"/>
        </w:rPr>
        <w:t>Law does more than prescribe, prohibit, authorize, or sanction conduct. It also constitutes and structures systems of governance by defining objects of intervention, creating and recognizing actors, allocating regulatory functions, organizing relationships, and distributing authority, discretion, and accountability. Yet comparative legal research has developed much stronger tools for measuring the substantive content, coverage, and stringency of law than for reconstructing the governance systems that legal rules help to constitute.</w:t>
      </w:r>
      <w:r>
        <w:rPr>
          <w:rFonts w:asciiTheme="majorBidi" w:eastAsia="Times New Roman" w:hAnsiTheme="majorBidi" w:cstheme="majorBidi"/>
          <w:sz w:val="24"/>
          <w:szCs w:val="24"/>
        </w:rPr>
        <w:t xml:space="preserve">  </w:t>
      </w:r>
      <w:r w:rsidRPr="00115660">
        <w:rPr>
          <w:rFonts w:asciiTheme="majorBidi" w:eastAsia="Times New Roman" w:hAnsiTheme="majorBidi" w:cstheme="majorBidi"/>
          <w:sz w:val="24"/>
          <w:szCs w:val="24"/>
        </w:rPr>
        <w:t xml:space="preserve">This paper develops a framework for </w:t>
      </w:r>
      <w:r w:rsidR="00050328" w:rsidRPr="00115660">
        <w:rPr>
          <w:rFonts w:asciiTheme="majorBidi" w:eastAsia="Times New Roman" w:hAnsiTheme="majorBidi" w:cstheme="majorBidi"/>
          <w:sz w:val="24"/>
          <w:szCs w:val="24"/>
        </w:rPr>
        <w:t>analyzing</w:t>
      </w:r>
      <w:r w:rsidRPr="00115660">
        <w:rPr>
          <w:rFonts w:asciiTheme="majorBidi" w:eastAsia="Times New Roman" w:hAnsiTheme="majorBidi" w:cstheme="majorBidi"/>
          <w:sz w:val="24"/>
          <w:szCs w:val="24"/>
        </w:rPr>
        <w:t xml:space="preserve"> this neglected structural dimension of law. It distinguishes regulatory regimes from governance architectures. Regulatory regimes are broader institutional systems comprising norms, rules, decision procedures, organizations, knowledge practices, and public and non-state actors. Governance architecture refers more narrowly to the patterned structural organization through which governing work, authority, discretion, and accountability are distributed within those systems. A law may constitute or modify one or more architectures, while a regulatory regime may extend across several laws, standards, administrative bodies, judicial doctrines, and non-state institutions. Regulatory regimes may themselves contain nested, overlapping, cross-cutting, or latent functional regimes.</w:t>
      </w:r>
      <w:r>
        <w:rPr>
          <w:rFonts w:asciiTheme="majorBidi" w:eastAsia="Times New Roman" w:hAnsiTheme="majorBidi" w:cstheme="majorBidi"/>
          <w:sz w:val="24"/>
          <w:szCs w:val="24"/>
        </w:rPr>
        <w:t xml:space="preserve">  </w:t>
      </w:r>
      <w:r w:rsidRPr="00115660">
        <w:rPr>
          <w:rFonts w:asciiTheme="majorBidi" w:eastAsia="Times New Roman" w:hAnsiTheme="majorBidi" w:cstheme="majorBidi"/>
          <w:sz w:val="24"/>
          <w:szCs w:val="24"/>
        </w:rPr>
        <w:t>Methodologically, the paper develops relational leximetrics, a multilevel approach for reconstructing governance architecture from legal text. It distinguishes directly observable governance elements—objects, actors, functions, mechanisms, instruments, and relationships—from relational attributes—authority, discretion, and accountability—and from higher-order constructs such as regulatory strategies, governance architectures, governance logics, and regulatory regimes. Relationships provide the pivotal bridge between legal text and higher-order institutional inference.</w:t>
      </w:r>
      <w:r>
        <w:rPr>
          <w:rFonts w:asciiTheme="majorBidi" w:eastAsia="Times New Roman" w:hAnsiTheme="majorBidi" w:cstheme="majorBidi"/>
          <w:sz w:val="24"/>
          <w:szCs w:val="24"/>
        </w:rPr>
        <w:t xml:space="preserve">  </w:t>
      </w:r>
      <w:r w:rsidRPr="00115660">
        <w:rPr>
          <w:rFonts w:asciiTheme="majorBidi" w:eastAsia="Times New Roman" w:hAnsiTheme="majorBidi" w:cstheme="majorBidi"/>
          <w:sz w:val="24"/>
          <w:szCs w:val="24"/>
        </w:rPr>
        <w:t>The approach emphasizes configurational rather than purely additive aggregation, distinguishes prevalence from architectural significance, and requires higher-order classifications to remain vertically traceable to their legal foundations. It thereby enables systematic comparison not only of what laws regulate or how strongly they regulate, but of how law organizes the work, capacity, and accountability of governing.</w:t>
      </w:r>
    </w:p>
    <w:tbl>
      <w:tblPr>
        <w:tblStyle w:val="TableGrid"/>
        <w:tblW w:w="0" w:type="auto"/>
        <w:tblLook w:val="04A0" w:firstRow="1" w:lastRow="0" w:firstColumn="1" w:lastColumn="0" w:noHBand="0" w:noVBand="1"/>
      </w:tblPr>
      <w:tblGrid>
        <w:gridCol w:w="9984"/>
      </w:tblGrid>
      <w:tr w:rsidR="007D3006" w14:paraId="36769083" w14:textId="77777777" w:rsidTr="007D3006">
        <w:tc>
          <w:tcPr>
            <w:tcW w:w="9984" w:type="dxa"/>
          </w:tcPr>
          <w:p w14:paraId="78F47B7E" w14:textId="2B43B326" w:rsidR="007D3006" w:rsidRPr="007D3006" w:rsidRDefault="007D3006" w:rsidP="007D3006">
            <w:pPr>
              <w:pStyle w:val="NormalWeb"/>
              <w:ind w:left="720"/>
              <w:rPr>
                <w:rStyle w:val="Strong"/>
                <w:b w:val="0"/>
                <w:bCs w:val="0"/>
              </w:rPr>
            </w:pPr>
            <w:r>
              <w:rPr>
                <w:rStyle w:val="Strong"/>
                <w:b w:val="0"/>
                <w:bCs w:val="0"/>
              </w:rPr>
              <w:t>T</w:t>
            </w:r>
            <w:r>
              <w:rPr>
                <w:rStyle w:val="Strong"/>
              </w:rPr>
              <w:t xml:space="preserve">o do least </w:t>
            </w:r>
          </w:p>
          <w:p w14:paraId="552FD134" w14:textId="2E442CCE" w:rsidR="007D3006" w:rsidRPr="00DF0AFA" w:rsidRDefault="007D3006" w:rsidP="00DF0AFA">
            <w:pPr>
              <w:rPr>
                <w:rFonts w:asciiTheme="majorBidi" w:hAnsiTheme="majorBidi" w:cstheme="majorBidi"/>
              </w:rPr>
            </w:pPr>
            <w:r w:rsidRPr="00DF0AFA">
              <w:rPr>
                <w:rFonts w:asciiTheme="majorBidi" w:hAnsiTheme="majorBidi" w:cstheme="majorBidi"/>
              </w:rPr>
              <w:t xml:space="preserve">A real empirical demonstration. For </w:t>
            </w:r>
            <w:proofErr w:type="gramStart"/>
            <w:r w:rsidRPr="00DF0AFA">
              <w:rPr>
                <w:rFonts w:asciiTheme="majorBidi" w:hAnsiTheme="majorBidi" w:cstheme="majorBidi"/>
              </w:rPr>
              <w:t>appendix ?</w:t>
            </w:r>
            <w:proofErr w:type="gramEnd"/>
          </w:p>
          <w:p w14:paraId="57175DCE" w14:textId="281821B3" w:rsidR="007D3006" w:rsidRDefault="007D3006" w:rsidP="00DF0AFA">
            <w:pPr>
              <w:rPr>
                <w:rFonts w:asciiTheme="majorBidi" w:hAnsiTheme="majorBidi" w:cstheme="majorBidi"/>
              </w:rPr>
            </w:pPr>
            <w:r w:rsidRPr="00DF0AFA">
              <w:rPr>
                <w:rFonts w:asciiTheme="majorBidi" w:hAnsiTheme="majorBidi" w:cstheme="majorBidi"/>
              </w:rPr>
              <w:t>Final consolidation of the coding ontology. Some categories, especially the mechanisms section, remain unfinished or overlap with functions/instruments</w:t>
            </w:r>
            <w:r w:rsidR="00DF0AFA">
              <w:rPr>
                <w:rFonts w:asciiTheme="majorBidi" w:hAnsiTheme="majorBidi" w:cstheme="majorBidi"/>
              </w:rPr>
              <w:t xml:space="preserve">, </w:t>
            </w:r>
            <w:proofErr w:type="gramStart"/>
            <w:r w:rsidRPr="00DF0AFA">
              <w:rPr>
                <w:rFonts w:asciiTheme="majorBidi" w:hAnsiTheme="majorBidi" w:cstheme="majorBidi"/>
              </w:rPr>
              <w:t>Of</w:t>
            </w:r>
            <w:proofErr w:type="gramEnd"/>
            <w:r w:rsidRPr="00DF0AFA">
              <w:rPr>
                <w:rFonts w:asciiTheme="majorBidi" w:hAnsiTheme="majorBidi" w:cstheme="majorBidi"/>
              </w:rPr>
              <w:t xml:space="preserve"> these, I would prioritize #2—the real-law demonstration. It would do the most to turn the paper from a conceptual proposal into a convincing methodological contribution.</w:t>
            </w:r>
          </w:p>
        </w:tc>
      </w:tr>
    </w:tbl>
    <w:p w14:paraId="49753839" w14:textId="77777777" w:rsidR="007D3006" w:rsidRPr="00544663" w:rsidRDefault="007D3006" w:rsidP="00544663">
      <w:pPr>
        <w:spacing w:line="360" w:lineRule="auto"/>
        <w:jc w:val="both"/>
        <w:rPr>
          <w:rFonts w:asciiTheme="majorBidi" w:hAnsiTheme="majorBidi" w:cstheme="majorBidi"/>
          <w:sz w:val="24"/>
          <w:szCs w:val="24"/>
        </w:rPr>
      </w:pPr>
    </w:p>
    <w:p w14:paraId="58BC8826" w14:textId="77777777" w:rsidR="00050328" w:rsidRPr="00050328" w:rsidRDefault="000D3435" w:rsidP="00050328">
      <w:pPr>
        <w:pStyle w:val="Heading1"/>
        <w:jc w:val="center"/>
        <w:rPr>
          <w:rFonts w:asciiTheme="majorBidi" w:hAnsiTheme="majorBidi"/>
          <w:color w:val="auto"/>
        </w:rPr>
      </w:pPr>
      <w:r>
        <w:rPr>
          <w:rFonts w:asciiTheme="majorBidi" w:hAnsiTheme="majorBidi"/>
          <w:sz w:val="24"/>
          <w:szCs w:val="24"/>
        </w:rPr>
        <w:br w:type="page"/>
      </w:r>
      <w:r w:rsidR="00050328" w:rsidRPr="00050328">
        <w:rPr>
          <w:rFonts w:asciiTheme="majorBidi" w:hAnsiTheme="majorBidi"/>
          <w:color w:val="auto"/>
        </w:rPr>
        <w:lastRenderedPageBreak/>
        <w:t>Table of Contents</w:t>
      </w:r>
    </w:p>
    <w:p w14:paraId="53C00E9E" w14:textId="77777777" w:rsidR="00050328" w:rsidRPr="00F73C9A" w:rsidRDefault="00050328" w:rsidP="00050328">
      <w:pPr>
        <w:pStyle w:val="NormalWeb"/>
        <w:rPr>
          <w:rFonts w:asciiTheme="majorBidi" w:hAnsiTheme="majorBidi" w:cstheme="majorBidi"/>
        </w:rPr>
      </w:pPr>
      <w:r w:rsidRPr="00F73C9A">
        <w:rPr>
          <w:rStyle w:val="Strong"/>
          <w:rFonts w:asciiTheme="majorBidi" w:hAnsiTheme="majorBidi" w:cstheme="majorBidi"/>
          <w:b w:val="0"/>
          <w:bCs w:val="0"/>
        </w:rPr>
        <w:t>Abstract</w:t>
      </w:r>
    </w:p>
    <w:p w14:paraId="09FDA40F" w14:textId="77777777" w:rsidR="00050328" w:rsidRPr="00050328" w:rsidRDefault="00050328" w:rsidP="00050328">
      <w:pPr>
        <w:pStyle w:val="Heading3"/>
        <w:rPr>
          <w:rFonts w:asciiTheme="majorBidi" w:hAnsiTheme="majorBidi"/>
          <w:color w:val="auto"/>
          <w:sz w:val="24"/>
          <w:szCs w:val="24"/>
        </w:rPr>
      </w:pPr>
      <w:r w:rsidRPr="00050328">
        <w:rPr>
          <w:rFonts w:asciiTheme="majorBidi" w:hAnsiTheme="majorBidi"/>
          <w:color w:val="auto"/>
          <w:sz w:val="24"/>
          <w:szCs w:val="24"/>
        </w:rPr>
        <w:t>1. Introduction: What Kind of Governance Does Law Construct?</w:t>
      </w:r>
    </w:p>
    <w:p w14:paraId="628B9310" w14:textId="77777777" w:rsidR="00050328" w:rsidRPr="00050328" w:rsidRDefault="00050328" w:rsidP="00050328">
      <w:pPr>
        <w:pStyle w:val="Heading3"/>
        <w:rPr>
          <w:rFonts w:asciiTheme="majorBidi" w:hAnsiTheme="majorBidi"/>
          <w:color w:val="auto"/>
          <w:sz w:val="24"/>
          <w:szCs w:val="24"/>
        </w:rPr>
      </w:pPr>
      <w:r w:rsidRPr="00050328">
        <w:rPr>
          <w:rFonts w:asciiTheme="majorBidi" w:hAnsiTheme="majorBidi"/>
          <w:color w:val="auto"/>
          <w:sz w:val="24"/>
          <w:szCs w:val="24"/>
        </w:rPr>
        <w:t>2. Review: Coding Law</w:t>
      </w:r>
    </w:p>
    <w:p w14:paraId="4C60783E" w14:textId="145F387A" w:rsidR="00050328" w:rsidRPr="005A3BC0" w:rsidRDefault="005A3BC0" w:rsidP="00050328">
      <w:pPr>
        <w:pStyle w:val="Heading3"/>
        <w:rPr>
          <w:rFonts w:asciiTheme="majorBidi" w:hAnsiTheme="majorBidi"/>
          <w:b w:val="0"/>
          <w:bCs w:val="0"/>
          <w:color w:val="auto"/>
          <w:sz w:val="24"/>
          <w:szCs w:val="24"/>
        </w:rPr>
      </w:pPr>
      <w:r w:rsidRPr="005A3BC0">
        <w:rPr>
          <w:rFonts w:asciiTheme="majorBidi" w:hAnsiTheme="majorBidi"/>
          <w:b w:val="0"/>
          <w:bCs w:val="0"/>
          <w:color w:val="auto"/>
          <w:sz w:val="24"/>
          <w:szCs w:val="24"/>
        </w:rPr>
        <w:t>2.1 Legal Indicators and the Emergence of Leximetrics</w:t>
      </w:r>
      <w:r w:rsidRPr="005A3BC0">
        <w:rPr>
          <w:rFonts w:asciiTheme="majorBidi" w:hAnsiTheme="majorBidi"/>
          <w:b w:val="0"/>
          <w:bCs w:val="0"/>
          <w:color w:val="auto"/>
          <w:sz w:val="24"/>
          <w:szCs w:val="24"/>
        </w:rPr>
        <w:br/>
        <w:t>2.2 Act-Level Coding: Comparability through Abstraction</w:t>
      </w:r>
      <w:r w:rsidRPr="005A3BC0">
        <w:rPr>
          <w:rFonts w:asciiTheme="majorBidi" w:hAnsiTheme="majorBidi"/>
          <w:b w:val="0"/>
          <w:bCs w:val="0"/>
          <w:color w:val="auto"/>
          <w:sz w:val="24"/>
          <w:szCs w:val="24"/>
        </w:rPr>
        <w:br/>
        <w:t>2.3 Provision-Level Coding and Computational Scale</w:t>
      </w:r>
      <w:r w:rsidRPr="005A3BC0">
        <w:rPr>
          <w:rFonts w:asciiTheme="majorBidi" w:hAnsiTheme="majorBidi"/>
          <w:b w:val="0"/>
          <w:bCs w:val="0"/>
          <w:color w:val="auto"/>
          <w:sz w:val="24"/>
          <w:szCs w:val="24"/>
        </w:rPr>
        <w:br/>
        <w:t>2.4 Statement-Level Coding: From Legal Provisions to Institutional Grammar</w:t>
      </w:r>
      <w:r w:rsidRPr="005A3BC0">
        <w:rPr>
          <w:rFonts w:asciiTheme="majorBidi" w:hAnsiTheme="majorBidi"/>
          <w:b w:val="0"/>
          <w:bCs w:val="0"/>
          <w:color w:val="auto"/>
          <w:sz w:val="24"/>
          <w:szCs w:val="24"/>
        </w:rPr>
        <w:br/>
        <w:t>2.5 From Granularity to Relationality</w:t>
      </w:r>
      <w:r w:rsidR="00050328" w:rsidRPr="005A3BC0">
        <w:rPr>
          <w:rFonts w:asciiTheme="majorBidi" w:hAnsiTheme="majorBidi"/>
          <w:b w:val="0"/>
          <w:bCs w:val="0"/>
          <w:color w:val="auto"/>
          <w:sz w:val="24"/>
          <w:szCs w:val="24"/>
        </w:rPr>
        <w:t>3. Core Dimensions: Level I:  Observable Governance Elements</w:t>
      </w:r>
    </w:p>
    <w:p w14:paraId="2BF1C714" w14:textId="77777777" w:rsidR="00050328" w:rsidRPr="00F73C9A" w:rsidRDefault="00050328" w:rsidP="00050328">
      <w:pPr>
        <w:pStyle w:val="NormalWeb"/>
        <w:rPr>
          <w:rFonts w:asciiTheme="majorBidi" w:hAnsiTheme="majorBidi" w:cstheme="majorBidi"/>
        </w:rPr>
      </w:pPr>
      <w:r w:rsidRPr="00050328">
        <w:rPr>
          <w:rFonts w:asciiTheme="majorBidi" w:hAnsiTheme="majorBidi" w:cstheme="majorBidi"/>
          <w:b/>
          <w:bCs/>
        </w:rPr>
        <w:t>3.1 Objects: What Does Law Govern?</w:t>
      </w:r>
      <w:r w:rsidRPr="00050328">
        <w:rPr>
          <w:rFonts w:asciiTheme="majorBidi" w:hAnsiTheme="majorBidi" w:cstheme="majorBidi"/>
          <w:b/>
          <w:bCs/>
        </w:rPr>
        <w:br/>
      </w:r>
      <w:r w:rsidRPr="00F73C9A">
        <w:rPr>
          <w:rFonts w:asciiTheme="majorBidi" w:hAnsiTheme="majorBidi" w:cstheme="majorBidi"/>
        </w:rPr>
        <w:t>3.2 Actors: Who Governs and Who Is Governed?</w:t>
      </w:r>
      <w:r w:rsidRPr="00F73C9A">
        <w:rPr>
          <w:rFonts w:asciiTheme="majorBidi" w:hAnsiTheme="majorBidi" w:cstheme="majorBidi"/>
        </w:rPr>
        <w:br/>
        <w:t>3.3 Functions: What Governance Work Is Performed?</w:t>
      </w:r>
      <w:r w:rsidRPr="00F73C9A">
        <w:rPr>
          <w:rFonts w:asciiTheme="majorBidi" w:hAnsiTheme="majorBidi" w:cstheme="majorBidi"/>
        </w:rPr>
        <w:br/>
        <w:t>3.4 Mechanisms: How Does Governance Operate?</w:t>
      </w:r>
      <w:r w:rsidRPr="00F73C9A">
        <w:rPr>
          <w:rFonts w:asciiTheme="majorBidi" w:hAnsiTheme="majorBidi" w:cstheme="majorBidi"/>
        </w:rPr>
        <w:br/>
        <w:t>3.5 Instruments: The Institutional Devices through Which Governance Is Organized</w:t>
      </w:r>
      <w:r w:rsidRPr="00F73C9A">
        <w:rPr>
          <w:rFonts w:asciiTheme="majorBidi" w:hAnsiTheme="majorBidi" w:cstheme="majorBidi"/>
        </w:rPr>
        <w:br/>
        <w:t xml:space="preserve">3.6 Relationships: How Are Governance Actors Connected? </w:t>
      </w:r>
    </w:p>
    <w:p w14:paraId="756F1AF6" w14:textId="31E10DA1" w:rsidR="00050328" w:rsidRPr="00050328" w:rsidRDefault="00050328" w:rsidP="00050328">
      <w:pPr>
        <w:pStyle w:val="Heading3"/>
        <w:rPr>
          <w:rFonts w:asciiTheme="majorBidi" w:hAnsiTheme="majorBidi"/>
          <w:color w:val="auto"/>
          <w:sz w:val="24"/>
          <w:szCs w:val="24"/>
        </w:rPr>
      </w:pPr>
      <w:r w:rsidRPr="00050328">
        <w:rPr>
          <w:rFonts w:asciiTheme="majorBidi" w:hAnsiTheme="majorBidi"/>
          <w:color w:val="auto"/>
          <w:sz w:val="24"/>
          <w:szCs w:val="24"/>
        </w:rPr>
        <w:t>4. Level II:  Relational Attributes</w:t>
      </w:r>
    </w:p>
    <w:p w14:paraId="426A4142" w14:textId="77777777" w:rsidR="00050328" w:rsidRPr="00F73C9A" w:rsidRDefault="00050328" w:rsidP="00050328">
      <w:pPr>
        <w:pStyle w:val="NormalWeb"/>
        <w:rPr>
          <w:rFonts w:asciiTheme="majorBidi" w:hAnsiTheme="majorBidi" w:cstheme="majorBidi"/>
        </w:rPr>
      </w:pPr>
      <w:r w:rsidRPr="00F73C9A">
        <w:rPr>
          <w:rFonts w:asciiTheme="majorBidi" w:hAnsiTheme="majorBidi" w:cstheme="majorBidi"/>
        </w:rPr>
        <w:t>4.1 Authority: The Legally Constituted Capacity to Govern</w:t>
      </w:r>
      <w:r w:rsidRPr="00F73C9A">
        <w:rPr>
          <w:rFonts w:asciiTheme="majorBidi" w:hAnsiTheme="majorBidi" w:cstheme="majorBidi"/>
        </w:rPr>
        <w:br/>
        <w:t>4.2 Discretion: The Legally Structured Space for Choice</w:t>
      </w:r>
      <w:r w:rsidRPr="00F73C9A">
        <w:rPr>
          <w:rFonts w:asciiTheme="majorBidi" w:hAnsiTheme="majorBidi" w:cstheme="majorBidi"/>
        </w:rPr>
        <w:br/>
        <w:t xml:space="preserve">4.3 Accountability: Answerability, Assessment and Consequences </w:t>
      </w:r>
    </w:p>
    <w:p w14:paraId="01565E6B" w14:textId="4EE24C12" w:rsidR="00050328" w:rsidRPr="00050328" w:rsidRDefault="00050328" w:rsidP="00050328">
      <w:pPr>
        <w:pStyle w:val="Heading3"/>
        <w:rPr>
          <w:rFonts w:asciiTheme="majorBidi" w:hAnsiTheme="majorBidi"/>
          <w:color w:val="auto"/>
          <w:sz w:val="24"/>
          <w:szCs w:val="24"/>
        </w:rPr>
      </w:pPr>
      <w:r w:rsidRPr="00050328">
        <w:rPr>
          <w:rFonts w:asciiTheme="majorBidi" w:hAnsiTheme="majorBidi"/>
          <w:color w:val="auto"/>
          <w:sz w:val="24"/>
          <w:szCs w:val="24"/>
        </w:rPr>
        <w:t xml:space="preserve">5. Level </w:t>
      </w:r>
      <w:proofErr w:type="spellStart"/>
      <w:proofErr w:type="gramStart"/>
      <w:r w:rsidRPr="00050328">
        <w:rPr>
          <w:rFonts w:asciiTheme="majorBidi" w:hAnsiTheme="majorBidi"/>
          <w:color w:val="auto"/>
          <w:sz w:val="24"/>
          <w:szCs w:val="24"/>
        </w:rPr>
        <w:t>III</w:t>
      </w:r>
      <w:r>
        <w:rPr>
          <w:rFonts w:asciiTheme="majorBidi" w:hAnsiTheme="majorBidi"/>
          <w:color w:val="auto"/>
          <w:sz w:val="24"/>
          <w:szCs w:val="24"/>
        </w:rPr>
        <w:t>:</w:t>
      </w:r>
      <w:r w:rsidRPr="00050328">
        <w:rPr>
          <w:rFonts w:asciiTheme="majorBidi" w:hAnsiTheme="majorBidi"/>
          <w:color w:val="auto"/>
          <w:sz w:val="24"/>
          <w:szCs w:val="24"/>
        </w:rPr>
        <w:t>Higher</w:t>
      </w:r>
      <w:proofErr w:type="gramEnd"/>
      <w:r w:rsidRPr="00050328">
        <w:rPr>
          <w:rFonts w:asciiTheme="majorBidi" w:hAnsiTheme="majorBidi"/>
          <w:color w:val="auto"/>
          <w:sz w:val="24"/>
          <w:szCs w:val="24"/>
        </w:rPr>
        <w:t>-Order</w:t>
      </w:r>
      <w:proofErr w:type="spellEnd"/>
      <w:r w:rsidRPr="00050328">
        <w:rPr>
          <w:rFonts w:asciiTheme="majorBidi" w:hAnsiTheme="majorBidi"/>
          <w:color w:val="auto"/>
          <w:sz w:val="24"/>
          <w:szCs w:val="24"/>
        </w:rPr>
        <w:t xml:space="preserve"> Constructs: Strategies, Architectures, Regimes and Governance Logics</w:t>
      </w:r>
    </w:p>
    <w:p w14:paraId="6970CF63" w14:textId="77777777" w:rsidR="00050328" w:rsidRPr="00F73C9A" w:rsidRDefault="00050328" w:rsidP="00050328">
      <w:pPr>
        <w:pStyle w:val="NormalWeb"/>
        <w:rPr>
          <w:rFonts w:asciiTheme="majorBidi" w:hAnsiTheme="majorBidi" w:cstheme="majorBidi"/>
        </w:rPr>
      </w:pPr>
      <w:r w:rsidRPr="00F73C9A">
        <w:rPr>
          <w:rFonts w:asciiTheme="majorBidi" w:hAnsiTheme="majorBidi" w:cstheme="majorBidi"/>
        </w:rPr>
        <w:t xml:space="preserve">5.1 Regulatory Strategies: Patterned Approaches to Intervention </w:t>
      </w:r>
    </w:p>
    <w:p w14:paraId="27D102BA" w14:textId="77777777" w:rsidR="00050328" w:rsidRPr="00F73C9A" w:rsidRDefault="00050328" w:rsidP="00050328">
      <w:pPr>
        <w:pStyle w:val="NormalWeb"/>
        <w:rPr>
          <w:rFonts w:asciiTheme="majorBidi" w:hAnsiTheme="majorBidi" w:cstheme="majorBidi"/>
        </w:rPr>
      </w:pPr>
      <w:r w:rsidRPr="00F73C9A">
        <w:rPr>
          <w:rFonts w:asciiTheme="majorBidi" w:hAnsiTheme="majorBidi" w:cstheme="majorBidi"/>
        </w:rPr>
        <w:t>5.2 Governance Architecture: The Structural Configuration</w:t>
      </w:r>
      <w:r w:rsidRPr="00F73C9A">
        <w:rPr>
          <w:rFonts w:asciiTheme="majorBidi" w:hAnsiTheme="majorBidi" w:cstheme="majorBidi"/>
        </w:rPr>
        <w:br/>
      </w:r>
      <w:r w:rsidRPr="00F73C9A">
        <w:rPr>
          <w:rFonts w:asciiTheme="majorBidi" w:hAnsiTheme="majorBidi" w:cstheme="majorBidi"/>
        </w:rPr>
        <w:t> </w:t>
      </w:r>
      <w:r w:rsidRPr="00F73C9A">
        <w:rPr>
          <w:rFonts w:asciiTheme="majorBidi" w:hAnsiTheme="majorBidi" w:cstheme="majorBidi"/>
        </w:rPr>
        <w:t>5.2.1 Architectural Dimensions</w:t>
      </w:r>
      <w:r w:rsidRPr="00F73C9A">
        <w:rPr>
          <w:rFonts w:asciiTheme="majorBidi" w:hAnsiTheme="majorBidi" w:cstheme="majorBidi"/>
        </w:rPr>
        <w:br/>
      </w:r>
      <w:r w:rsidRPr="00F73C9A">
        <w:rPr>
          <w:rFonts w:asciiTheme="majorBidi" w:hAnsiTheme="majorBidi" w:cstheme="majorBidi"/>
        </w:rPr>
        <w:t> </w:t>
      </w:r>
      <w:r w:rsidRPr="00F73C9A">
        <w:rPr>
          <w:rFonts w:asciiTheme="majorBidi" w:hAnsiTheme="majorBidi" w:cstheme="majorBidi"/>
        </w:rPr>
        <w:t>5.2.2 Recurrent Architectural Configurations</w:t>
      </w:r>
      <w:r w:rsidRPr="00F73C9A">
        <w:rPr>
          <w:rFonts w:asciiTheme="majorBidi" w:hAnsiTheme="majorBidi" w:cstheme="majorBidi"/>
        </w:rPr>
        <w:br/>
      </w:r>
      <w:r w:rsidRPr="00F73C9A">
        <w:rPr>
          <w:rFonts w:asciiTheme="majorBidi" w:hAnsiTheme="majorBidi" w:cstheme="majorBidi"/>
        </w:rPr>
        <w:t> </w:t>
      </w:r>
      <w:r w:rsidRPr="00F73C9A">
        <w:rPr>
          <w:rFonts w:asciiTheme="majorBidi" w:hAnsiTheme="majorBidi" w:cstheme="majorBidi"/>
        </w:rPr>
        <w:t xml:space="preserve">5.2.3 Mixed and Overlapping Architectures </w:t>
      </w:r>
    </w:p>
    <w:p w14:paraId="18625EE2" w14:textId="77777777" w:rsidR="00050328" w:rsidRPr="00F73C9A" w:rsidRDefault="00050328" w:rsidP="00050328">
      <w:pPr>
        <w:pStyle w:val="NormalWeb"/>
        <w:rPr>
          <w:rFonts w:asciiTheme="majorBidi" w:hAnsiTheme="majorBidi" w:cstheme="majorBidi"/>
        </w:rPr>
      </w:pPr>
      <w:r w:rsidRPr="00F73C9A">
        <w:rPr>
          <w:rFonts w:asciiTheme="majorBidi" w:hAnsiTheme="majorBidi" w:cstheme="majorBidi"/>
        </w:rPr>
        <w:t>5.3 Regimes within Regimes: Nested, Embedded and Cross-Cutting Governance</w:t>
      </w:r>
      <w:r w:rsidRPr="00F73C9A">
        <w:rPr>
          <w:rFonts w:asciiTheme="majorBidi" w:hAnsiTheme="majorBidi" w:cstheme="majorBidi"/>
        </w:rPr>
        <w:br/>
      </w:r>
      <w:r w:rsidRPr="00F73C9A">
        <w:rPr>
          <w:rFonts w:asciiTheme="majorBidi" w:hAnsiTheme="majorBidi" w:cstheme="majorBidi"/>
        </w:rPr>
        <w:t> </w:t>
      </w:r>
      <w:r w:rsidRPr="00F73C9A">
        <w:rPr>
          <w:rFonts w:asciiTheme="majorBidi" w:hAnsiTheme="majorBidi" w:cstheme="majorBidi"/>
        </w:rPr>
        <w:t>5.3.1 Regulatory Regimes and Their Relation to Law</w:t>
      </w:r>
      <w:r w:rsidRPr="00F73C9A">
        <w:rPr>
          <w:rFonts w:asciiTheme="majorBidi" w:hAnsiTheme="majorBidi" w:cstheme="majorBidi"/>
        </w:rPr>
        <w:br/>
      </w:r>
      <w:r w:rsidRPr="00F73C9A">
        <w:rPr>
          <w:rFonts w:asciiTheme="majorBidi" w:hAnsiTheme="majorBidi" w:cstheme="majorBidi"/>
        </w:rPr>
        <w:t> </w:t>
      </w:r>
      <w:r w:rsidRPr="00F73C9A">
        <w:rPr>
          <w:rFonts w:asciiTheme="majorBidi" w:hAnsiTheme="majorBidi" w:cstheme="majorBidi"/>
        </w:rPr>
        <w:t>5.3.2 Relations among Regimes: Nested, Embedded, Layered and Overlapping</w:t>
      </w:r>
      <w:r w:rsidRPr="00F73C9A">
        <w:rPr>
          <w:rFonts w:asciiTheme="majorBidi" w:hAnsiTheme="majorBidi" w:cstheme="majorBidi"/>
        </w:rPr>
        <w:br/>
      </w:r>
      <w:r w:rsidRPr="00F73C9A">
        <w:rPr>
          <w:rFonts w:asciiTheme="majorBidi" w:hAnsiTheme="majorBidi" w:cstheme="majorBidi"/>
        </w:rPr>
        <w:t> </w:t>
      </w:r>
      <w:r w:rsidRPr="00F73C9A">
        <w:rPr>
          <w:rFonts w:asciiTheme="majorBidi" w:hAnsiTheme="majorBidi" w:cstheme="majorBidi"/>
        </w:rPr>
        <w:t>5.3.3 Latent and Functional Regimes</w:t>
      </w:r>
      <w:r w:rsidRPr="00F73C9A">
        <w:rPr>
          <w:rFonts w:asciiTheme="majorBidi" w:hAnsiTheme="majorBidi" w:cstheme="majorBidi"/>
        </w:rPr>
        <w:br/>
      </w:r>
      <w:r w:rsidRPr="00F73C9A">
        <w:rPr>
          <w:rFonts w:asciiTheme="majorBidi" w:hAnsiTheme="majorBidi" w:cstheme="majorBidi"/>
        </w:rPr>
        <w:t> </w:t>
      </w:r>
      <w:r w:rsidRPr="00F73C9A">
        <w:rPr>
          <w:rFonts w:asciiTheme="majorBidi" w:hAnsiTheme="majorBidi" w:cstheme="majorBidi"/>
        </w:rPr>
        <w:t>5.3.4 From Governance Architecture to Regime Architecture</w:t>
      </w:r>
      <w:r w:rsidRPr="00F73C9A">
        <w:rPr>
          <w:rFonts w:asciiTheme="majorBidi" w:hAnsiTheme="majorBidi" w:cstheme="majorBidi"/>
        </w:rPr>
        <w:br/>
      </w:r>
      <w:r w:rsidRPr="00F73C9A">
        <w:rPr>
          <w:rFonts w:asciiTheme="majorBidi" w:hAnsiTheme="majorBidi" w:cstheme="majorBidi"/>
        </w:rPr>
        <w:t> </w:t>
      </w:r>
      <w:r w:rsidRPr="00F73C9A">
        <w:rPr>
          <w:rFonts w:asciiTheme="majorBidi" w:hAnsiTheme="majorBidi" w:cstheme="majorBidi"/>
        </w:rPr>
        <w:t xml:space="preserve">5.3.5 Coding Multiple and Overlapping Regime Membership </w:t>
      </w:r>
    </w:p>
    <w:p w14:paraId="10DEB841" w14:textId="77777777" w:rsidR="00050328" w:rsidRPr="00F73C9A" w:rsidRDefault="00050328" w:rsidP="00050328">
      <w:pPr>
        <w:pStyle w:val="NormalWeb"/>
        <w:rPr>
          <w:rFonts w:asciiTheme="majorBidi" w:hAnsiTheme="majorBidi" w:cstheme="majorBidi"/>
        </w:rPr>
      </w:pPr>
      <w:r w:rsidRPr="00F73C9A">
        <w:rPr>
          <w:rFonts w:asciiTheme="majorBidi" w:hAnsiTheme="majorBidi" w:cstheme="majorBidi"/>
        </w:rPr>
        <w:t>5.4 Governance Logics</w:t>
      </w:r>
      <w:r w:rsidRPr="00F73C9A">
        <w:rPr>
          <w:rFonts w:asciiTheme="majorBidi" w:hAnsiTheme="majorBidi" w:cstheme="majorBidi"/>
        </w:rPr>
        <w:br/>
      </w:r>
      <w:r w:rsidRPr="00F73C9A">
        <w:rPr>
          <w:rFonts w:asciiTheme="majorBidi" w:hAnsiTheme="majorBidi" w:cstheme="majorBidi"/>
        </w:rPr>
        <w:t> </w:t>
      </w:r>
      <w:r w:rsidRPr="00F73C9A">
        <w:rPr>
          <w:rFonts w:asciiTheme="majorBidi" w:hAnsiTheme="majorBidi" w:cstheme="majorBidi"/>
        </w:rPr>
        <w:t>5.4.1 Hierarchical Logic</w:t>
      </w:r>
      <w:r w:rsidRPr="00F73C9A">
        <w:rPr>
          <w:rFonts w:asciiTheme="majorBidi" w:hAnsiTheme="majorBidi" w:cstheme="majorBidi"/>
        </w:rPr>
        <w:br/>
      </w:r>
      <w:r w:rsidRPr="00F73C9A">
        <w:rPr>
          <w:rFonts w:asciiTheme="majorBidi" w:hAnsiTheme="majorBidi" w:cstheme="majorBidi"/>
        </w:rPr>
        <w:t> </w:t>
      </w:r>
      <w:r w:rsidRPr="00F73C9A">
        <w:rPr>
          <w:rFonts w:asciiTheme="majorBidi" w:hAnsiTheme="majorBidi" w:cstheme="majorBidi"/>
        </w:rPr>
        <w:t>5.4.2 Market Logic</w:t>
      </w:r>
      <w:r w:rsidRPr="00F73C9A">
        <w:rPr>
          <w:rFonts w:asciiTheme="majorBidi" w:hAnsiTheme="majorBidi" w:cstheme="majorBidi"/>
        </w:rPr>
        <w:br/>
      </w:r>
      <w:r w:rsidRPr="00F73C9A">
        <w:rPr>
          <w:rFonts w:asciiTheme="majorBidi" w:hAnsiTheme="majorBidi" w:cstheme="majorBidi"/>
        </w:rPr>
        <w:t> </w:t>
      </w:r>
      <w:r w:rsidRPr="00F73C9A">
        <w:rPr>
          <w:rFonts w:asciiTheme="majorBidi" w:hAnsiTheme="majorBidi" w:cstheme="majorBidi"/>
        </w:rPr>
        <w:t>5.4.3 Associational Logic</w:t>
      </w:r>
      <w:r w:rsidRPr="00F73C9A">
        <w:rPr>
          <w:rFonts w:asciiTheme="majorBidi" w:hAnsiTheme="majorBidi" w:cstheme="majorBidi"/>
        </w:rPr>
        <w:br/>
      </w:r>
      <w:r w:rsidRPr="00F73C9A">
        <w:rPr>
          <w:rFonts w:asciiTheme="majorBidi" w:hAnsiTheme="majorBidi" w:cstheme="majorBidi"/>
        </w:rPr>
        <w:t> </w:t>
      </w:r>
      <w:r w:rsidRPr="00F73C9A">
        <w:rPr>
          <w:rFonts w:asciiTheme="majorBidi" w:hAnsiTheme="majorBidi" w:cstheme="majorBidi"/>
        </w:rPr>
        <w:t>5.4.4 Professional Logic</w:t>
      </w:r>
      <w:r w:rsidRPr="00F73C9A">
        <w:rPr>
          <w:rFonts w:asciiTheme="majorBidi" w:hAnsiTheme="majorBidi" w:cstheme="majorBidi"/>
        </w:rPr>
        <w:br/>
      </w:r>
      <w:r w:rsidRPr="00F73C9A">
        <w:rPr>
          <w:rFonts w:asciiTheme="majorBidi" w:hAnsiTheme="majorBidi" w:cstheme="majorBidi"/>
        </w:rPr>
        <w:lastRenderedPageBreak/>
        <w:t> </w:t>
      </w:r>
      <w:r w:rsidRPr="00F73C9A">
        <w:rPr>
          <w:rFonts w:asciiTheme="majorBidi" w:hAnsiTheme="majorBidi" w:cstheme="majorBidi"/>
        </w:rPr>
        <w:t>5.4.5 Network Logic</w:t>
      </w:r>
      <w:r w:rsidRPr="00F73C9A">
        <w:rPr>
          <w:rFonts w:asciiTheme="majorBidi" w:hAnsiTheme="majorBidi" w:cstheme="majorBidi"/>
        </w:rPr>
        <w:br/>
      </w:r>
      <w:r w:rsidRPr="00F73C9A">
        <w:rPr>
          <w:rFonts w:asciiTheme="majorBidi" w:hAnsiTheme="majorBidi" w:cstheme="majorBidi"/>
        </w:rPr>
        <w:t> </w:t>
      </w:r>
      <w:r w:rsidRPr="00F73C9A">
        <w:rPr>
          <w:rFonts w:asciiTheme="majorBidi" w:hAnsiTheme="majorBidi" w:cstheme="majorBidi"/>
        </w:rPr>
        <w:t>5.4.6 Experimentalist Logic</w:t>
      </w:r>
      <w:r w:rsidRPr="00F73C9A">
        <w:rPr>
          <w:rFonts w:asciiTheme="majorBidi" w:hAnsiTheme="majorBidi" w:cstheme="majorBidi"/>
        </w:rPr>
        <w:br/>
      </w:r>
      <w:r w:rsidRPr="00F73C9A">
        <w:rPr>
          <w:rFonts w:asciiTheme="majorBidi" w:hAnsiTheme="majorBidi" w:cstheme="majorBidi"/>
        </w:rPr>
        <w:t> </w:t>
      </w:r>
      <w:r w:rsidRPr="00F73C9A">
        <w:rPr>
          <w:rFonts w:asciiTheme="majorBidi" w:hAnsiTheme="majorBidi" w:cstheme="majorBidi"/>
        </w:rPr>
        <w:t xml:space="preserve">5.4.7 Hybrid and Competing Governance Logics </w:t>
      </w:r>
    </w:p>
    <w:p w14:paraId="3E20AD18" w14:textId="77777777" w:rsidR="00050328" w:rsidRPr="00050328" w:rsidRDefault="00050328" w:rsidP="00050328">
      <w:pPr>
        <w:pStyle w:val="Heading3"/>
        <w:rPr>
          <w:rFonts w:asciiTheme="majorBidi" w:hAnsiTheme="majorBidi"/>
          <w:color w:val="auto"/>
          <w:sz w:val="24"/>
          <w:szCs w:val="24"/>
        </w:rPr>
      </w:pPr>
      <w:r w:rsidRPr="00050328">
        <w:rPr>
          <w:rFonts w:asciiTheme="majorBidi" w:hAnsiTheme="majorBidi"/>
          <w:color w:val="auto"/>
          <w:sz w:val="24"/>
          <w:szCs w:val="24"/>
        </w:rPr>
        <w:t>6. A Methodology of Relational Leximetrics: From Legal Text to Governance Architecture</w:t>
      </w:r>
    </w:p>
    <w:p w14:paraId="069D4352" w14:textId="77777777" w:rsidR="00050328" w:rsidRPr="00F73C9A" w:rsidRDefault="00050328" w:rsidP="00050328">
      <w:pPr>
        <w:pStyle w:val="NormalWeb"/>
        <w:rPr>
          <w:rFonts w:asciiTheme="majorBidi" w:hAnsiTheme="majorBidi" w:cstheme="majorBidi"/>
        </w:rPr>
      </w:pPr>
      <w:r w:rsidRPr="00F73C9A">
        <w:rPr>
          <w:rFonts w:asciiTheme="majorBidi" w:hAnsiTheme="majorBidi" w:cstheme="majorBidi"/>
        </w:rPr>
        <w:t>6.1 Units of Coding, Analysis and Inference</w:t>
      </w:r>
      <w:r w:rsidRPr="00F73C9A">
        <w:rPr>
          <w:rFonts w:asciiTheme="majorBidi" w:hAnsiTheme="majorBidi" w:cstheme="majorBidi"/>
        </w:rPr>
        <w:br/>
        <w:t>6.2 Levels of Analysis and the Legal-Governance Inference Ladder</w:t>
      </w:r>
      <w:r w:rsidRPr="00F73C9A">
        <w:rPr>
          <w:rFonts w:asciiTheme="majorBidi" w:hAnsiTheme="majorBidi" w:cstheme="majorBidi"/>
        </w:rPr>
        <w:br/>
        <w:t>6.3 The Relationship as the Pivotal Bridge</w:t>
      </w:r>
      <w:r w:rsidRPr="00F73C9A">
        <w:rPr>
          <w:rFonts w:asciiTheme="majorBidi" w:hAnsiTheme="majorBidi" w:cstheme="majorBidi"/>
        </w:rPr>
        <w:br/>
        <w:t>6.4 Direct Coding and Theoretical Inference</w:t>
      </w:r>
      <w:r w:rsidRPr="00F73C9A">
        <w:rPr>
          <w:rFonts w:asciiTheme="majorBidi" w:hAnsiTheme="majorBidi" w:cstheme="majorBidi"/>
        </w:rPr>
        <w:br/>
        <w:t>6.5 From Individual Relationships to Governance Configurations</w:t>
      </w:r>
      <w:r w:rsidRPr="00F73C9A">
        <w:rPr>
          <w:rFonts w:asciiTheme="majorBidi" w:hAnsiTheme="majorBidi" w:cstheme="majorBidi"/>
        </w:rPr>
        <w:br/>
        <w:t>6.6 Aggregation and Architectural Significance</w:t>
      </w:r>
      <w:r w:rsidRPr="00F73C9A">
        <w:rPr>
          <w:rFonts w:asciiTheme="majorBidi" w:hAnsiTheme="majorBidi" w:cstheme="majorBidi"/>
        </w:rPr>
        <w:br/>
        <w:t>6.7 Explicit Rules of Cross-Level Inference</w:t>
      </w:r>
      <w:r w:rsidRPr="00F73C9A">
        <w:rPr>
          <w:rFonts w:asciiTheme="majorBidi" w:hAnsiTheme="majorBidi" w:cstheme="majorBidi"/>
        </w:rPr>
        <w:br/>
        <w:t>6.8 Cross-Level Inferential Errors</w:t>
      </w:r>
      <w:r w:rsidRPr="00F73C9A">
        <w:rPr>
          <w:rFonts w:asciiTheme="majorBidi" w:hAnsiTheme="majorBidi" w:cstheme="majorBidi"/>
        </w:rPr>
        <w:br/>
        <w:t>6.9 Vertical Traceability</w:t>
      </w:r>
      <w:r w:rsidRPr="00F73C9A">
        <w:rPr>
          <w:rFonts w:asciiTheme="majorBidi" w:hAnsiTheme="majorBidi" w:cstheme="majorBidi"/>
        </w:rPr>
        <w:br/>
        <w:t>6.10 The Stopping Rule</w:t>
      </w:r>
      <w:r w:rsidRPr="00F73C9A">
        <w:rPr>
          <w:rFonts w:asciiTheme="majorBidi" w:hAnsiTheme="majorBidi" w:cstheme="majorBidi"/>
        </w:rPr>
        <w:br/>
        <w:t>6.11 Multidimensional Comparison of Governance Architectures</w:t>
      </w:r>
      <w:r w:rsidRPr="00F73C9A">
        <w:rPr>
          <w:rFonts w:asciiTheme="majorBidi" w:hAnsiTheme="majorBidi" w:cstheme="majorBidi"/>
        </w:rPr>
        <w:br/>
        <w:t>6.12 Intermediation Centrality as an Architectural Property</w:t>
      </w:r>
      <w:r w:rsidRPr="00F73C9A">
        <w:rPr>
          <w:rFonts w:asciiTheme="majorBidi" w:hAnsiTheme="majorBidi" w:cstheme="majorBidi"/>
        </w:rPr>
        <w:br/>
        <w:t>6.13 Validation and Reliability across Levels</w:t>
      </w:r>
      <w:r w:rsidRPr="00F73C9A">
        <w:rPr>
          <w:rFonts w:asciiTheme="majorBidi" w:hAnsiTheme="majorBidi" w:cstheme="majorBidi"/>
        </w:rPr>
        <w:br/>
        <w:t>6.14 Formal, Implemented and Operational Architectures</w:t>
      </w:r>
      <w:r w:rsidRPr="00F73C9A">
        <w:rPr>
          <w:rFonts w:asciiTheme="majorBidi" w:hAnsiTheme="majorBidi" w:cstheme="majorBidi"/>
        </w:rPr>
        <w:br/>
        <w:t xml:space="preserve">6.15 Illustration: Moving from Provisions to an Architectural Claim </w:t>
      </w:r>
    </w:p>
    <w:p w14:paraId="5A2C4CD8" w14:textId="77777777" w:rsidR="00050328" w:rsidRPr="00050328" w:rsidRDefault="00050328" w:rsidP="00050328">
      <w:pPr>
        <w:pStyle w:val="Heading3"/>
        <w:rPr>
          <w:rFonts w:asciiTheme="majorBidi" w:hAnsiTheme="majorBidi"/>
          <w:color w:val="auto"/>
          <w:sz w:val="24"/>
          <w:szCs w:val="24"/>
        </w:rPr>
      </w:pPr>
      <w:r w:rsidRPr="00050328">
        <w:rPr>
          <w:rFonts w:asciiTheme="majorBidi" w:hAnsiTheme="majorBidi"/>
          <w:color w:val="auto"/>
          <w:sz w:val="24"/>
          <w:szCs w:val="24"/>
        </w:rPr>
        <w:t>7. Conclusion: From Legal Text to the Architecture of Regulatory Regimes</w:t>
      </w:r>
    </w:p>
    <w:p w14:paraId="708CF32D" w14:textId="77777777" w:rsidR="00050328" w:rsidRPr="00F73C9A" w:rsidRDefault="00050328" w:rsidP="00050328">
      <w:pPr>
        <w:pStyle w:val="NormalWeb"/>
      </w:pPr>
      <w:r w:rsidRPr="00F73C9A">
        <w:rPr>
          <w:rStyle w:val="Strong"/>
        </w:rPr>
        <w:t>Bibliography</w:t>
      </w:r>
    </w:p>
    <w:p w14:paraId="6A59F716" w14:textId="77777777" w:rsidR="00050328" w:rsidRPr="00F73C9A" w:rsidRDefault="00050328" w:rsidP="00050328">
      <w:pPr>
        <w:rPr>
          <w:rFonts w:asciiTheme="majorBidi" w:hAnsiTheme="majorBidi" w:cstheme="majorBidi"/>
          <w:sz w:val="24"/>
          <w:szCs w:val="24"/>
        </w:rPr>
      </w:pPr>
    </w:p>
    <w:p w14:paraId="6EE16A6B" w14:textId="1868FD02" w:rsidR="00050328" w:rsidRDefault="00050328">
      <w:pPr>
        <w:spacing w:after="200" w:line="276" w:lineRule="auto"/>
        <w:rPr>
          <w:rFonts w:asciiTheme="majorBidi" w:hAnsiTheme="majorBidi" w:cstheme="majorBidi"/>
          <w:b/>
          <w:bCs/>
          <w:sz w:val="24"/>
          <w:szCs w:val="24"/>
        </w:rPr>
      </w:pPr>
      <w:r>
        <w:rPr>
          <w:rFonts w:asciiTheme="majorBidi" w:hAnsiTheme="majorBidi" w:cstheme="majorBidi"/>
          <w:b/>
          <w:bCs/>
          <w:sz w:val="24"/>
          <w:szCs w:val="24"/>
        </w:rPr>
        <w:br w:type="page"/>
      </w:r>
    </w:p>
    <w:p w14:paraId="6CFE67B0" w14:textId="369AE21E" w:rsidR="003902C2" w:rsidRPr="00BB24A5" w:rsidRDefault="00BB24A5" w:rsidP="007D3006">
      <w:pPr>
        <w:spacing w:after="200" w:line="276" w:lineRule="auto"/>
        <w:rPr>
          <w:rFonts w:asciiTheme="majorBidi" w:hAnsiTheme="majorBidi" w:cstheme="majorBidi"/>
          <w:b/>
          <w:bCs/>
          <w:sz w:val="24"/>
          <w:szCs w:val="24"/>
        </w:rPr>
      </w:pPr>
      <w:r w:rsidRPr="00BB24A5">
        <w:rPr>
          <w:rFonts w:asciiTheme="majorBidi" w:hAnsiTheme="majorBidi" w:cstheme="majorBidi"/>
          <w:b/>
          <w:bCs/>
          <w:sz w:val="24"/>
          <w:szCs w:val="24"/>
        </w:rPr>
        <w:lastRenderedPageBreak/>
        <w:t>1. Introduction: What Kind of Governance Does a Law Build?</w:t>
      </w:r>
    </w:p>
    <w:p w14:paraId="40D19BC8" w14:textId="77777777" w:rsidR="00DF0AFA" w:rsidRPr="00115660" w:rsidRDefault="00DF0AFA" w:rsidP="00DF0AFA">
      <w:pPr>
        <w:spacing w:before="100" w:beforeAutospacing="1" w:afterAutospacing="1" w:line="276" w:lineRule="auto"/>
        <w:jc w:val="both"/>
        <w:rPr>
          <w:rFonts w:asciiTheme="majorBidi" w:eastAsia="Times New Roman" w:hAnsiTheme="majorBidi" w:cstheme="majorBidi"/>
          <w:sz w:val="24"/>
          <w:szCs w:val="24"/>
        </w:rPr>
      </w:pPr>
      <w:r w:rsidRPr="00115660">
        <w:rPr>
          <w:rFonts w:asciiTheme="majorBidi" w:eastAsia="Times New Roman" w:hAnsiTheme="majorBidi" w:cstheme="majorBidi"/>
          <w:sz w:val="24"/>
          <w:szCs w:val="24"/>
        </w:rPr>
        <w:t>What does a law create? The conventional answer begins with rules. Laws prohibit conduct, establish obligations, confer rights, authorize action, and impose sanctions. Comparative legal scholarship has consequently developed sophisticated methods for measuring legal content, coverage, restrictiveness, rights, obligations, and substantive policy change. Yet legislation performs another function that is equally important for understanding contemporary government: law organizes governance.</w:t>
      </w:r>
      <w:r w:rsidRPr="00DF0AFA">
        <w:rPr>
          <w:rFonts w:asciiTheme="majorBidi" w:eastAsia="Times New Roman" w:hAnsiTheme="majorBidi" w:cstheme="majorBidi"/>
          <w:sz w:val="24"/>
          <w:szCs w:val="24"/>
        </w:rPr>
        <w:t xml:space="preserve"> </w:t>
      </w:r>
      <w:r w:rsidRPr="00115660">
        <w:rPr>
          <w:rFonts w:asciiTheme="majorBidi" w:eastAsia="Times New Roman" w:hAnsiTheme="majorBidi" w:cstheme="majorBidi"/>
          <w:sz w:val="24"/>
          <w:szCs w:val="24"/>
        </w:rPr>
        <w:t>A statute may create an agency, recognize a professional association, require firms to establish internal compliance systems, authorize standards organizations, assign verification to auditors or conformity-assessment bodies, establish reporting and accountability relationships, enlist consumers or citizens through disclosure, and distribute authority and discretion among public and private actors. Law therefore does not simply specify what regulated actors should do. It helps determine who governs, through whom, by what means, with what authority and discretion, and subject to what forms of accountability.</w:t>
      </w:r>
    </w:p>
    <w:p w14:paraId="445213A2" w14:textId="77777777" w:rsidR="00DF0AFA" w:rsidRPr="00115660" w:rsidRDefault="00DF0AFA" w:rsidP="00DF0AFA">
      <w:pPr>
        <w:spacing w:before="100" w:beforeAutospacing="1" w:afterAutospacing="1" w:line="276" w:lineRule="auto"/>
        <w:jc w:val="both"/>
        <w:rPr>
          <w:rFonts w:asciiTheme="majorBidi" w:eastAsia="Times New Roman" w:hAnsiTheme="majorBidi" w:cstheme="majorBidi"/>
          <w:sz w:val="24"/>
          <w:szCs w:val="24"/>
        </w:rPr>
      </w:pPr>
      <w:r w:rsidRPr="00115660">
        <w:rPr>
          <w:rFonts w:asciiTheme="majorBidi" w:eastAsia="Times New Roman" w:hAnsiTheme="majorBidi" w:cstheme="majorBidi"/>
          <w:sz w:val="24"/>
          <w:szCs w:val="24"/>
        </w:rPr>
        <w:t>This constitutive dimension becomes particularly visible when laws addressing similar substantive problems are compared. Two statutes may impose similar environmental, financial, health, or digital requirements while organizing compliance in fundamentally different ways. One may rely predominantly on direct public inspection and enforcement. Another may require regulated organizations to design internal risk-management and monitoring systems. A third may make market access conditional upon certification by accredited private organizations. A fourth may combine public regulators, standards bodies, professional associations, firms, auditors, and beneficiaries in extended chains of authorization, verification, monitoring, and review. Similar substantive obligations can therefore be embedded in quite different structures of governance. Conversely, similar governance arrangements can recur across very different regulatory domains.</w:t>
      </w:r>
    </w:p>
    <w:p w14:paraId="1BC80EBD" w14:textId="77777777" w:rsidR="00DF0AFA" w:rsidRPr="00115660" w:rsidRDefault="00DF0AFA" w:rsidP="00DF0AFA">
      <w:pPr>
        <w:spacing w:before="100" w:beforeAutospacing="1" w:afterAutospacing="1" w:line="276" w:lineRule="auto"/>
        <w:jc w:val="both"/>
        <w:rPr>
          <w:rFonts w:asciiTheme="majorBidi" w:eastAsia="Times New Roman" w:hAnsiTheme="majorBidi" w:cstheme="majorBidi"/>
          <w:sz w:val="24"/>
          <w:szCs w:val="24"/>
        </w:rPr>
      </w:pPr>
      <w:r w:rsidRPr="00115660">
        <w:rPr>
          <w:rFonts w:asciiTheme="majorBidi" w:eastAsia="Times New Roman" w:hAnsiTheme="majorBidi" w:cstheme="majorBidi"/>
          <w:sz w:val="24"/>
          <w:szCs w:val="24"/>
        </w:rPr>
        <w:t>The relevant comparative question is consequently not only what does law require? It is also what kind of governance does law construct?</w:t>
      </w:r>
      <w:r w:rsidRPr="00DF0AFA">
        <w:rPr>
          <w:rFonts w:asciiTheme="majorBidi" w:eastAsia="Times New Roman" w:hAnsiTheme="majorBidi" w:cstheme="majorBidi"/>
          <w:sz w:val="24"/>
          <w:szCs w:val="24"/>
        </w:rPr>
        <w:t xml:space="preserve">  </w:t>
      </w:r>
      <w:r w:rsidRPr="00115660">
        <w:rPr>
          <w:rFonts w:asciiTheme="majorBidi" w:eastAsia="Times New Roman" w:hAnsiTheme="majorBidi" w:cstheme="majorBidi"/>
          <w:sz w:val="24"/>
          <w:szCs w:val="24"/>
        </w:rPr>
        <w:t xml:space="preserve">A large interdisciplinary literature provides elements of an answer. Public administration examines jurisdiction, delegation, administrative discretion, oversight, and the organization of public authority. Policy-instrument research emphasizes that governments act through heterogeneous instruments and that such instruments embody particular relations between governors and governed (Hood 1983; </w:t>
      </w:r>
      <w:proofErr w:type="spellStart"/>
      <w:r w:rsidRPr="00115660">
        <w:rPr>
          <w:rFonts w:asciiTheme="majorBidi" w:eastAsia="Times New Roman" w:hAnsiTheme="majorBidi" w:cstheme="majorBidi"/>
          <w:sz w:val="24"/>
          <w:szCs w:val="24"/>
        </w:rPr>
        <w:t>Salamon</w:t>
      </w:r>
      <w:proofErr w:type="spellEnd"/>
      <w:r w:rsidRPr="00115660">
        <w:rPr>
          <w:rFonts w:asciiTheme="majorBidi" w:eastAsia="Times New Roman" w:hAnsiTheme="majorBidi" w:cstheme="majorBidi"/>
          <w:sz w:val="24"/>
          <w:szCs w:val="24"/>
        </w:rPr>
        <w:t xml:space="preserve"> 2002; </w:t>
      </w:r>
      <w:proofErr w:type="spellStart"/>
      <w:r w:rsidRPr="00115660">
        <w:rPr>
          <w:rFonts w:asciiTheme="majorBidi" w:eastAsia="Times New Roman" w:hAnsiTheme="majorBidi" w:cstheme="majorBidi"/>
          <w:sz w:val="24"/>
          <w:szCs w:val="24"/>
        </w:rPr>
        <w:t>Lascoumes</w:t>
      </w:r>
      <w:proofErr w:type="spellEnd"/>
      <w:r w:rsidRPr="00115660">
        <w:rPr>
          <w:rFonts w:asciiTheme="majorBidi" w:eastAsia="Times New Roman" w:hAnsiTheme="majorBidi" w:cstheme="majorBidi"/>
          <w:sz w:val="24"/>
          <w:szCs w:val="24"/>
        </w:rPr>
        <w:t xml:space="preserve"> and Le </w:t>
      </w:r>
      <w:proofErr w:type="spellStart"/>
      <w:r w:rsidRPr="00115660">
        <w:rPr>
          <w:rFonts w:asciiTheme="majorBidi" w:eastAsia="Times New Roman" w:hAnsiTheme="majorBidi" w:cstheme="majorBidi"/>
          <w:sz w:val="24"/>
          <w:szCs w:val="24"/>
        </w:rPr>
        <w:t>Galès</w:t>
      </w:r>
      <w:proofErr w:type="spellEnd"/>
      <w:r w:rsidRPr="00115660">
        <w:rPr>
          <w:rFonts w:asciiTheme="majorBidi" w:eastAsia="Times New Roman" w:hAnsiTheme="majorBidi" w:cstheme="majorBidi"/>
          <w:sz w:val="24"/>
          <w:szCs w:val="24"/>
        </w:rPr>
        <w:t xml:space="preserve"> 2007). Regulation scholarship has moved well beyond the image of a sovereign regulator controlling a passive target, highlighting responsive regulation, self-regulation, meta-regulation, hybrid arrangements, and combinations of public and private capacity (Ayres and Braithwaite 1992; Gunningham, </w:t>
      </w:r>
      <w:proofErr w:type="spellStart"/>
      <w:r w:rsidRPr="00115660">
        <w:rPr>
          <w:rFonts w:asciiTheme="majorBidi" w:eastAsia="Times New Roman" w:hAnsiTheme="majorBidi" w:cstheme="majorBidi"/>
          <w:sz w:val="24"/>
          <w:szCs w:val="24"/>
        </w:rPr>
        <w:t>Grabosky</w:t>
      </w:r>
      <w:proofErr w:type="spellEnd"/>
      <w:r w:rsidRPr="00115660">
        <w:rPr>
          <w:rFonts w:asciiTheme="majorBidi" w:eastAsia="Times New Roman" w:hAnsiTheme="majorBidi" w:cstheme="majorBidi"/>
          <w:sz w:val="24"/>
          <w:szCs w:val="24"/>
        </w:rPr>
        <w:t xml:space="preserve"> and Sinclair 1998; Black 2001). Research on regulatory intermediaries makes the relational structure of governance still more explicit by examining how regulatory functions are distributed among rule-makers, intermediaries, targets, and beneficiaries (Abbott, Levi-Faur and Snidal 2017). Work on indirect, polycentric, and experimentalist governance similarly demonstrates that governing capacity may be distributed across multiple interdependent actors rather than concentrated within a single hierarchy (Ostrom 2005; Abbott et al. 2015, 2020; </w:t>
      </w:r>
      <w:proofErr w:type="spellStart"/>
      <w:r w:rsidRPr="00115660">
        <w:rPr>
          <w:rFonts w:asciiTheme="majorBidi" w:eastAsia="Times New Roman" w:hAnsiTheme="majorBidi" w:cstheme="majorBidi"/>
          <w:sz w:val="24"/>
          <w:szCs w:val="24"/>
        </w:rPr>
        <w:t>Sabel</w:t>
      </w:r>
      <w:proofErr w:type="spellEnd"/>
      <w:r w:rsidRPr="00115660">
        <w:rPr>
          <w:rFonts w:asciiTheme="majorBidi" w:eastAsia="Times New Roman" w:hAnsiTheme="majorBidi" w:cstheme="majorBidi"/>
          <w:sz w:val="24"/>
          <w:szCs w:val="24"/>
        </w:rPr>
        <w:t xml:space="preserve"> and Zeitlin 2008, 2012).</w:t>
      </w:r>
    </w:p>
    <w:p w14:paraId="64EA16D0" w14:textId="77777777" w:rsidR="00DF0AFA" w:rsidRPr="00115660" w:rsidRDefault="00DF0AFA" w:rsidP="00DF0AFA">
      <w:pPr>
        <w:spacing w:before="100" w:beforeAutospacing="1" w:afterAutospacing="1" w:line="276" w:lineRule="auto"/>
        <w:jc w:val="both"/>
        <w:rPr>
          <w:rFonts w:asciiTheme="majorBidi" w:eastAsia="Times New Roman" w:hAnsiTheme="majorBidi" w:cstheme="majorBidi"/>
          <w:sz w:val="24"/>
          <w:szCs w:val="24"/>
        </w:rPr>
      </w:pPr>
      <w:r w:rsidRPr="00115660">
        <w:rPr>
          <w:rFonts w:asciiTheme="majorBidi" w:eastAsia="Times New Roman" w:hAnsiTheme="majorBidi" w:cstheme="majorBidi"/>
          <w:sz w:val="24"/>
          <w:szCs w:val="24"/>
        </w:rPr>
        <w:t xml:space="preserve">These literatures provide rich theories of governance but do not yet supply a common analytical grammar for reconstructing governance structures systematically from legal texts. Existing comparative legal </w:t>
      </w:r>
      <w:r w:rsidRPr="00115660">
        <w:rPr>
          <w:rFonts w:asciiTheme="majorBidi" w:eastAsia="Times New Roman" w:hAnsiTheme="majorBidi" w:cstheme="majorBidi"/>
          <w:sz w:val="24"/>
          <w:szCs w:val="24"/>
        </w:rPr>
        <w:lastRenderedPageBreak/>
        <w:t>datasets usually measure attributes of legal acts, rights, obligations, restrictions, institutional powers, or substantive policy provisions. More granular approaches increasingly move from legal acts to individual provisions or institutional statements. Such advances improve the precision with which legal content can be measured, but granularity alone does not reveal governance architecture. Knowing that a statute mentions an auditor, requires reporting, or establishes certification does not tell us how those elements are related, which functions they perform, what authority they possess, or whether they are central or peripheral to the regulatory system.</w:t>
      </w:r>
    </w:p>
    <w:p w14:paraId="037A2593" w14:textId="77777777" w:rsidR="00DF0AFA" w:rsidRPr="00115660" w:rsidRDefault="00DF0AFA" w:rsidP="00DF0AFA">
      <w:pPr>
        <w:spacing w:before="100" w:beforeAutospacing="1" w:afterAutospacing="1" w:line="276" w:lineRule="auto"/>
        <w:jc w:val="both"/>
        <w:rPr>
          <w:rFonts w:asciiTheme="majorBidi" w:eastAsia="Times New Roman" w:hAnsiTheme="majorBidi" w:cstheme="majorBidi"/>
          <w:sz w:val="24"/>
          <w:szCs w:val="24"/>
        </w:rPr>
      </w:pPr>
      <w:r w:rsidRPr="00115660">
        <w:rPr>
          <w:rFonts w:asciiTheme="majorBidi" w:eastAsia="Times New Roman" w:hAnsiTheme="majorBidi" w:cstheme="majorBidi"/>
          <w:sz w:val="24"/>
          <w:szCs w:val="24"/>
        </w:rPr>
        <w:t>This paper addresses that gap by distinguishing three related but non-equivalent concepts: law, governance architecture, and regulatory regime.</w:t>
      </w:r>
      <w:r w:rsidRPr="00DF0AFA">
        <w:rPr>
          <w:rFonts w:asciiTheme="majorBidi" w:eastAsia="Times New Roman" w:hAnsiTheme="majorBidi" w:cstheme="majorBidi"/>
          <w:sz w:val="24"/>
          <w:szCs w:val="24"/>
        </w:rPr>
        <w:t xml:space="preserve"> </w:t>
      </w:r>
      <w:r w:rsidRPr="00115660">
        <w:rPr>
          <w:rFonts w:asciiTheme="majorBidi" w:eastAsia="Times New Roman" w:hAnsiTheme="majorBidi" w:cstheme="majorBidi"/>
          <w:sz w:val="24"/>
          <w:szCs w:val="24"/>
        </w:rPr>
        <w:t xml:space="preserve">Law provides part of the formal institutional substrate of regulation. It creates rights, duties, powers, procedures, actors, and relationships and may recognize or incorporate private standards, professional norms, certification systems, and other non-state arrangements. Governance architecture refers more narrowly to the patterned structural organization of governing capacity: how actors and functions are connected and how authority, discretion, and accountability are distributed among them. Regulatory regimes are broader institutional systems. They may encompass several laws, delegated measures, administrative bodies, standards, judicial doctrines, organizational practices, and legally recognized non-state institutions. Thus, law constitutes and modifies governance architectures, but neither a statute nor its architecture necessarily exhausts the regulatory regime in which it operates. This distinction is essential because coding a statute is not equivalent to coding an entire regulatory regime. </w:t>
      </w:r>
    </w:p>
    <w:p w14:paraId="00001D1F" w14:textId="77777777" w:rsidR="00DF0AFA" w:rsidRPr="00115660" w:rsidRDefault="00DF0AFA" w:rsidP="00DF0AFA">
      <w:pPr>
        <w:spacing w:before="100" w:beforeAutospacing="1" w:afterAutospacing="1" w:line="276" w:lineRule="auto"/>
        <w:jc w:val="both"/>
        <w:rPr>
          <w:rFonts w:asciiTheme="majorBidi" w:eastAsia="Times New Roman" w:hAnsiTheme="majorBidi" w:cstheme="majorBidi"/>
          <w:sz w:val="24"/>
          <w:szCs w:val="24"/>
        </w:rPr>
      </w:pPr>
      <w:r w:rsidRPr="00115660">
        <w:rPr>
          <w:rFonts w:asciiTheme="majorBidi" w:eastAsia="Times New Roman" w:hAnsiTheme="majorBidi" w:cstheme="majorBidi"/>
          <w:sz w:val="24"/>
          <w:szCs w:val="24"/>
        </w:rPr>
        <w:t xml:space="preserve">The distinction also reveals a further complication. Regulatory regimes need not be internally homogeneous or neatly bounded. They may contain specialized regimes, overlap with other regimes, depend upon them, or be crossed by functional arrangements that are not formally named as regimes at all. A regulatory regime in sustainable finance, for example, may incorporate disclosure, classification, assurance, accreditation, supervisory, and fund-name regimes. A trust regime may cut across several of these arrangements without being formally labelled as such. </w:t>
      </w:r>
      <w:r w:rsidRPr="00115660">
        <w:rPr>
          <w:rFonts w:asciiTheme="majorBidi" w:eastAsia="Times New Roman" w:hAnsiTheme="majorBidi" w:cstheme="majorBidi"/>
          <w:b/>
          <w:bCs/>
          <w:sz w:val="24"/>
          <w:szCs w:val="24"/>
        </w:rPr>
        <w:t>Such latent functional regimes</w:t>
      </w:r>
      <w:r w:rsidRPr="00115660">
        <w:rPr>
          <w:rFonts w:asciiTheme="majorBidi" w:eastAsia="Times New Roman" w:hAnsiTheme="majorBidi" w:cstheme="majorBidi"/>
          <w:sz w:val="24"/>
          <w:szCs w:val="24"/>
        </w:rPr>
        <w:t xml:space="preserve"> become visible only when researchers reconstruct the configurations of actors, rules, knowledge practices, verification relationships, and accountability mechanisms through which a particular governance function is performed. The boundaries among regimes are therefore not always given by statutes; they are themselves objects of empirical and theoretical inquiry. </w:t>
      </w:r>
    </w:p>
    <w:p w14:paraId="1F69E1E4" w14:textId="77777777" w:rsidR="00DF0AFA" w:rsidRPr="00DF0AFA" w:rsidRDefault="00DF0AFA" w:rsidP="00DF0AFA">
      <w:pPr>
        <w:spacing w:line="276" w:lineRule="auto"/>
        <w:jc w:val="both"/>
        <w:rPr>
          <w:rFonts w:asciiTheme="majorBidi" w:hAnsiTheme="majorBidi" w:cstheme="majorBidi"/>
          <w:sz w:val="24"/>
          <w:szCs w:val="24"/>
        </w:rPr>
      </w:pPr>
      <w:r w:rsidRPr="00DF0AFA">
        <w:rPr>
          <w:rFonts w:asciiTheme="majorBidi" w:hAnsiTheme="majorBidi" w:cstheme="majorBidi"/>
          <w:sz w:val="24"/>
          <w:szCs w:val="24"/>
        </w:rPr>
        <w:t>This paper develops an analytical framework capable of representing these structures. At the most directly observable level, law defines objects, constitutes or recognizes actors, allocates functions, activates mechanisms, establishes instruments, and constructs relationships. These elements identify what is governed, who participates, what work is performed, how influence operates, through which institutional devices, and how actors are legally connected. At a second level, governance relationships differ in three attributes that are especially important for the allocation of governing capacity: authority, discretion, and accountability. At a third level, configurations of these elements and attributes support progressively more theoretical claims concerning regulatory strategies, governance architectures, governance logics, and regulatory regimes.</w:t>
      </w:r>
    </w:p>
    <w:p w14:paraId="3C0BA113" w14:textId="77777777" w:rsidR="00DF0AFA" w:rsidRPr="00115660" w:rsidRDefault="00DF0AFA" w:rsidP="00DF0AFA">
      <w:pPr>
        <w:spacing w:before="100" w:beforeAutospacing="1" w:afterAutospacing="1" w:line="276" w:lineRule="auto"/>
        <w:jc w:val="both"/>
        <w:rPr>
          <w:rFonts w:asciiTheme="majorBidi" w:eastAsia="Times New Roman" w:hAnsiTheme="majorBidi" w:cstheme="majorBidi"/>
          <w:sz w:val="24"/>
          <w:szCs w:val="24"/>
        </w:rPr>
      </w:pPr>
      <w:r w:rsidRPr="00115660">
        <w:rPr>
          <w:rFonts w:asciiTheme="majorBidi" w:eastAsia="Times New Roman" w:hAnsiTheme="majorBidi" w:cstheme="majorBidi"/>
          <w:sz w:val="24"/>
          <w:szCs w:val="24"/>
        </w:rPr>
        <w:lastRenderedPageBreak/>
        <w:t>The framework is deliberately relational. Actors do not possess fixed governance identities. A public authority may act as regulator in one relationship and as the object of oversight in another. A regulated firm may simultaneously be a target, self-regulator, and intermediary. An association may formulate standards, interpret public requirements, represent members, and discipline professional conduct. The institutional significance of actors therefore depends not simply upon what they are but upon the relationships in which law places them. Relationships provide the critical bridge between the identification of individual legal elements and the reconstruction of wider systems of governance.</w:t>
      </w:r>
    </w:p>
    <w:p w14:paraId="252F34D7" w14:textId="77777777" w:rsidR="00DF0AFA" w:rsidRPr="00115660" w:rsidRDefault="00DF0AFA" w:rsidP="00DF0AFA">
      <w:pPr>
        <w:spacing w:before="100" w:beforeAutospacing="1" w:afterAutospacing="1" w:line="276" w:lineRule="auto"/>
        <w:jc w:val="both"/>
        <w:rPr>
          <w:rFonts w:asciiTheme="majorBidi" w:eastAsia="Times New Roman" w:hAnsiTheme="majorBidi" w:cstheme="majorBidi"/>
          <w:sz w:val="24"/>
          <w:szCs w:val="24"/>
        </w:rPr>
      </w:pPr>
      <w:r w:rsidRPr="00115660">
        <w:rPr>
          <w:rFonts w:asciiTheme="majorBidi" w:eastAsia="Times New Roman" w:hAnsiTheme="majorBidi" w:cstheme="majorBidi"/>
          <w:sz w:val="24"/>
          <w:szCs w:val="24"/>
        </w:rPr>
        <w:t xml:space="preserve">Governance architecture is consequently defined here as the legally constituted structural configuration through which governance work, authority, discretion, and accountability are distributed among actors and organized through relationships and institutional arrangements. Architecture is not a synonym for regulatory regime. Nor is it adequately represented through mutually exclusive governance types. The same legal system may be centralized in enforcement, highly intermediated in verification, self-regulatory in implementation, multilevel in jurisdictional allocation, and polycentric in technical decision-making. Architectural </w:t>
      </w:r>
      <w:proofErr w:type="spellStart"/>
      <w:r w:rsidRPr="00115660">
        <w:rPr>
          <w:rFonts w:asciiTheme="majorBidi" w:eastAsia="Times New Roman" w:hAnsiTheme="majorBidi" w:cstheme="majorBidi"/>
          <w:sz w:val="24"/>
          <w:szCs w:val="24"/>
        </w:rPr>
        <w:t>forms</w:t>
      </w:r>
      <w:proofErr w:type="spellEnd"/>
      <w:r w:rsidRPr="00115660">
        <w:rPr>
          <w:rFonts w:asciiTheme="majorBidi" w:eastAsia="Times New Roman" w:hAnsiTheme="majorBidi" w:cstheme="majorBidi"/>
          <w:sz w:val="24"/>
          <w:szCs w:val="24"/>
        </w:rPr>
        <w:t xml:space="preserve"> such as hierarchy, delegation, self-regulation, meta-regulation, enhanced self-regulation, accreditation-based assurance, network governance, and polycentric governance should therefore be understood as recurrent configurations within a multidimensional structural space rather than as exhaustive alternatives.</w:t>
      </w:r>
    </w:p>
    <w:p w14:paraId="1F0AD4E7" w14:textId="77777777" w:rsidR="00DF0AFA" w:rsidRPr="00115660" w:rsidRDefault="00DF0AFA" w:rsidP="00DF0AFA">
      <w:pPr>
        <w:spacing w:before="100" w:beforeAutospacing="1" w:afterAutospacing="1" w:line="276" w:lineRule="auto"/>
        <w:jc w:val="both"/>
        <w:rPr>
          <w:rFonts w:asciiTheme="majorBidi" w:eastAsia="Times New Roman" w:hAnsiTheme="majorBidi" w:cstheme="majorBidi"/>
          <w:sz w:val="24"/>
          <w:szCs w:val="24"/>
        </w:rPr>
      </w:pPr>
      <w:r w:rsidRPr="00115660">
        <w:rPr>
          <w:rFonts w:asciiTheme="majorBidi" w:eastAsia="Times New Roman" w:hAnsiTheme="majorBidi" w:cstheme="majorBidi"/>
          <w:sz w:val="24"/>
          <w:szCs w:val="24"/>
        </w:rPr>
        <w:t>This configurational perspective also changes how intermediation is studied. The mere presence of an intermediary does not demonstrate that governance is substantially intermediated. A third party may perform an incidental informational function or may instead occupy an indispensable gatekeeping position whose decision determines market access or legal status. The paper therefore distinguishes intermediary prevalence from intermediation centrality, which depends upon functional breadth, authority, indispensability, structural position, and the extent to which intermediaries themselves are regulated.</w:t>
      </w:r>
      <w:r w:rsidRPr="00DF0AFA">
        <w:rPr>
          <w:rFonts w:asciiTheme="majorBidi" w:eastAsia="Times New Roman" w:hAnsiTheme="majorBidi" w:cstheme="majorBidi"/>
          <w:sz w:val="24"/>
          <w:szCs w:val="24"/>
        </w:rPr>
        <w:t xml:space="preserve">  </w:t>
      </w:r>
      <w:r w:rsidRPr="00115660">
        <w:rPr>
          <w:rFonts w:asciiTheme="majorBidi" w:eastAsia="Times New Roman" w:hAnsiTheme="majorBidi" w:cstheme="majorBidi"/>
          <w:sz w:val="24"/>
          <w:szCs w:val="24"/>
        </w:rPr>
        <w:t xml:space="preserve">The methodological contribution of the paper is what we call </w:t>
      </w:r>
      <w:r w:rsidRPr="00115660">
        <w:rPr>
          <w:rFonts w:asciiTheme="majorBidi" w:eastAsia="Times New Roman" w:hAnsiTheme="majorBidi" w:cstheme="majorBidi"/>
          <w:b/>
          <w:bCs/>
          <w:sz w:val="24"/>
          <w:szCs w:val="24"/>
        </w:rPr>
        <w:t>relational leximetrics</w:t>
      </w:r>
      <w:r w:rsidRPr="00115660">
        <w:rPr>
          <w:rFonts w:asciiTheme="majorBidi" w:eastAsia="Times New Roman" w:hAnsiTheme="majorBidi" w:cstheme="majorBidi"/>
          <w:sz w:val="24"/>
          <w:szCs w:val="24"/>
        </w:rPr>
        <w:t xml:space="preserve">. Existing </w:t>
      </w:r>
      <w:proofErr w:type="spellStart"/>
      <w:r w:rsidRPr="00115660">
        <w:rPr>
          <w:rFonts w:asciiTheme="majorBidi" w:eastAsia="Times New Roman" w:hAnsiTheme="majorBidi" w:cstheme="majorBidi"/>
          <w:sz w:val="24"/>
          <w:szCs w:val="24"/>
        </w:rPr>
        <w:t>leximetric</w:t>
      </w:r>
      <w:proofErr w:type="spellEnd"/>
      <w:r w:rsidRPr="00115660">
        <w:rPr>
          <w:rFonts w:asciiTheme="majorBidi" w:eastAsia="Times New Roman" w:hAnsiTheme="majorBidi" w:cstheme="majorBidi"/>
          <w:sz w:val="24"/>
          <w:szCs w:val="24"/>
        </w:rPr>
        <w:t xml:space="preserve"> approaches demonstrate the analytical power of translating legal text into structured comparative data. Relational leximetrics extends this project by making legally constituted relationships a central empirical object and by explicitly modelling the movement from lower-level legal observations to higher-order institutional claims.</w:t>
      </w:r>
    </w:p>
    <w:p w14:paraId="7D966F9D" w14:textId="77777777" w:rsidR="00DF0AFA" w:rsidRPr="00115660" w:rsidRDefault="00DF0AFA" w:rsidP="00DF0AFA">
      <w:pPr>
        <w:spacing w:before="100" w:beforeAutospacing="1" w:afterAutospacing="1" w:line="276" w:lineRule="auto"/>
        <w:jc w:val="both"/>
        <w:rPr>
          <w:rFonts w:asciiTheme="majorBidi" w:eastAsia="Times New Roman" w:hAnsiTheme="majorBidi" w:cstheme="majorBidi"/>
          <w:sz w:val="24"/>
          <w:szCs w:val="24"/>
        </w:rPr>
      </w:pPr>
      <w:r w:rsidRPr="00115660">
        <w:rPr>
          <w:rFonts w:asciiTheme="majorBidi" w:eastAsia="Times New Roman" w:hAnsiTheme="majorBidi" w:cstheme="majorBidi"/>
          <w:sz w:val="24"/>
          <w:szCs w:val="24"/>
        </w:rPr>
        <w:t>The method distinguishes the unit of coding, unit of analysis, and unit of inference. A sentence, clause, or provision may constitute the textual unit to which codes are attached; an actor, function, relationship, or relational attribute may be the substantive unit of analysis; and a legal architecture or regulatory regime may constitute the eventual unit of inference. These levels cannot be collapsed. The presence of corporate self-assessment does not by itself establish self-regulation; several agencies do not by themselves establish polycentricity; and repeated references to auditors do not establish intermediary-centered governance.</w:t>
      </w:r>
    </w:p>
    <w:p w14:paraId="0F44E81A" w14:textId="77777777" w:rsidR="00DF0AFA" w:rsidRPr="00115660" w:rsidRDefault="00DF0AFA" w:rsidP="00DF0AFA">
      <w:pPr>
        <w:spacing w:before="100" w:beforeAutospacing="1" w:afterAutospacing="1" w:line="276" w:lineRule="auto"/>
        <w:jc w:val="both"/>
        <w:rPr>
          <w:rFonts w:asciiTheme="majorBidi" w:eastAsia="Times New Roman" w:hAnsiTheme="majorBidi" w:cstheme="majorBidi"/>
          <w:sz w:val="24"/>
          <w:szCs w:val="24"/>
        </w:rPr>
      </w:pPr>
      <w:r w:rsidRPr="00115660">
        <w:rPr>
          <w:rFonts w:asciiTheme="majorBidi" w:eastAsia="Times New Roman" w:hAnsiTheme="majorBidi" w:cstheme="majorBidi"/>
          <w:sz w:val="24"/>
          <w:szCs w:val="24"/>
        </w:rPr>
        <w:t xml:space="preserve">The method therefore moves through several linked levels: legal text → institutional statements → governance relationships → governance configurations → legal architecture → regulatory regimes. At the higher levels, inference may also proceed horizontally because a single architecture may contribute simultaneously to several nested, overlapping, or cross-cutting regimes. Higher-order claims </w:t>
      </w:r>
      <w:r w:rsidRPr="00115660">
        <w:rPr>
          <w:rFonts w:asciiTheme="majorBidi" w:eastAsia="Times New Roman" w:hAnsiTheme="majorBidi" w:cstheme="majorBidi"/>
          <w:sz w:val="24"/>
          <w:szCs w:val="24"/>
        </w:rPr>
        <w:lastRenderedPageBreak/>
        <w:t>consequently require explicit rules of aggregation and inference rather than mechanical counting.</w:t>
      </w:r>
      <w:r w:rsidRPr="00DF0AFA">
        <w:rPr>
          <w:rFonts w:asciiTheme="majorBidi" w:eastAsia="Times New Roman" w:hAnsiTheme="majorBidi" w:cstheme="majorBidi"/>
          <w:sz w:val="24"/>
          <w:szCs w:val="24"/>
        </w:rPr>
        <w:t xml:space="preserve">  </w:t>
      </w:r>
      <w:r w:rsidRPr="00115660">
        <w:rPr>
          <w:rFonts w:asciiTheme="majorBidi" w:eastAsia="Times New Roman" w:hAnsiTheme="majorBidi" w:cstheme="majorBidi"/>
          <w:sz w:val="24"/>
          <w:szCs w:val="24"/>
        </w:rPr>
        <w:t xml:space="preserve">Two principles discipline this movement. The first is </w:t>
      </w:r>
      <w:r w:rsidRPr="00115660">
        <w:rPr>
          <w:rFonts w:asciiTheme="majorBidi" w:eastAsia="Times New Roman" w:hAnsiTheme="majorBidi" w:cstheme="majorBidi"/>
          <w:b/>
          <w:bCs/>
          <w:sz w:val="24"/>
          <w:szCs w:val="24"/>
        </w:rPr>
        <w:t>architectural significance</w:t>
      </w:r>
      <w:r w:rsidRPr="00115660">
        <w:rPr>
          <w:rFonts w:asciiTheme="majorBidi" w:eastAsia="Times New Roman" w:hAnsiTheme="majorBidi" w:cstheme="majorBidi"/>
          <w:sz w:val="24"/>
          <w:szCs w:val="24"/>
        </w:rPr>
        <w:t xml:space="preserve">. Frequency alone cannot establish institutional importance. One rarely mentioned certification requirement may place a verifier at a mandatory market-access gateway, whereas dozens of reporting provisions may confer little governing authority. Significance must therefore be evaluated through properties such as authority, centrality, sequence, consequence, exclusivity, and substitutability. The second principle is </w:t>
      </w:r>
      <w:r w:rsidRPr="00115660">
        <w:rPr>
          <w:rFonts w:asciiTheme="majorBidi" w:eastAsia="Times New Roman" w:hAnsiTheme="majorBidi" w:cstheme="majorBidi"/>
          <w:b/>
          <w:bCs/>
          <w:sz w:val="24"/>
          <w:szCs w:val="24"/>
        </w:rPr>
        <w:t>vertical traceability</w:t>
      </w:r>
      <w:r w:rsidRPr="00115660">
        <w:rPr>
          <w:rFonts w:asciiTheme="majorBidi" w:eastAsia="Times New Roman" w:hAnsiTheme="majorBidi" w:cstheme="majorBidi"/>
          <w:sz w:val="24"/>
          <w:szCs w:val="24"/>
        </w:rPr>
        <w:t>: every higher-level classification should remain recoverable from the relationships, institutional statements, and legal provisions on which it rests.</w:t>
      </w:r>
      <w:r w:rsidRPr="00DF0AFA">
        <w:rPr>
          <w:rFonts w:asciiTheme="majorBidi" w:eastAsia="Times New Roman" w:hAnsiTheme="majorBidi" w:cstheme="majorBidi"/>
          <w:sz w:val="24"/>
          <w:szCs w:val="24"/>
        </w:rPr>
        <w:t xml:space="preserve"> </w:t>
      </w:r>
      <w:r w:rsidRPr="00115660">
        <w:rPr>
          <w:rFonts w:asciiTheme="majorBidi" w:eastAsia="Times New Roman" w:hAnsiTheme="majorBidi" w:cstheme="majorBidi"/>
          <w:sz w:val="24"/>
          <w:szCs w:val="24"/>
        </w:rPr>
        <w:t>Finally, the paper distinguishes formal legal architecture from governance in practice. Relational leximetrics reconstructs the arrangements constituted or recognized by law. It does not assume that these arrangements operate exactly as designed. Formal architecture may diverge from implementation architecture and from operational architecture. That divergence is not simply measurement error; it is itself a subject for subsequent comparative inquiry.</w:t>
      </w:r>
    </w:p>
    <w:p w14:paraId="7C2E5F0E" w14:textId="33B4A8C4" w:rsidR="005219AB" w:rsidRPr="00DF0AFA" w:rsidRDefault="00DF0AFA" w:rsidP="00DF0AFA">
      <w:pPr>
        <w:spacing w:line="276" w:lineRule="auto"/>
        <w:jc w:val="both"/>
        <w:rPr>
          <w:rFonts w:asciiTheme="majorBidi" w:hAnsiTheme="majorBidi" w:cstheme="majorBidi"/>
          <w:sz w:val="24"/>
          <w:szCs w:val="24"/>
        </w:rPr>
      </w:pPr>
      <w:r w:rsidRPr="00115660">
        <w:rPr>
          <w:rFonts w:asciiTheme="majorBidi" w:eastAsia="Times New Roman" w:hAnsiTheme="majorBidi" w:cstheme="majorBidi"/>
          <w:sz w:val="24"/>
          <w:szCs w:val="24"/>
        </w:rPr>
        <w:t>The paper proceeds as follows. Section 2 reviews existing approaches to coding law and identifies the transition from act-level and provision-level measurement to relational analysis. Section 3 develops the directly observable elements of the framework: objects, actors, functions, mechanisms, instruments, and relationships. Section 4 examines authority, discretion, and accountability as relational attributes. Section 5 turns to higher-order constructs, distinguishing regulatory strategies, governance architectures, relations among regimes, and governance logics. Section 6 develops the methodology of relational leximetrics, including units of analysis, cross-level inference, configurational aggregation, architectural significance, intermediation centrality, validation, and the distinction between formal and operational architectures. The conclusion considers the implications</w:t>
      </w:r>
    </w:p>
    <w:p w14:paraId="34BB252B" w14:textId="77777777" w:rsidR="00DF0AFA" w:rsidRDefault="00DF0AFA" w:rsidP="00DF0AFA">
      <w:pPr>
        <w:jc w:val="both"/>
        <w:rPr>
          <w:rFonts w:asciiTheme="majorBidi" w:hAnsiTheme="majorBidi" w:cstheme="majorBidi"/>
          <w:sz w:val="24"/>
          <w:szCs w:val="24"/>
        </w:rPr>
      </w:pPr>
    </w:p>
    <w:p w14:paraId="0E658829" w14:textId="25D0E402" w:rsidR="00BB24A5" w:rsidRPr="00036F41" w:rsidRDefault="00BB24A5" w:rsidP="00BB24A5">
      <w:pPr>
        <w:rPr>
          <w:rFonts w:asciiTheme="majorBidi" w:hAnsiTheme="majorBidi" w:cstheme="majorBidi"/>
          <w:b/>
          <w:bCs/>
          <w:sz w:val="24"/>
          <w:szCs w:val="24"/>
        </w:rPr>
      </w:pPr>
      <w:r w:rsidRPr="00036F41">
        <w:rPr>
          <w:rFonts w:asciiTheme="majorBidi" w:hAnsiTheme="majorBidi" w:cstheme="majorBidi"/>
          <w:b/>
          <w:bCs/>
          <w:sz w:val="24"/>
          <w:szCs w:val="24"/>
        </w:rPr>
        <w:t xml:space="preserve">2. Review: </w:t>
      </w:r>
      <w:r w:rsidR="00733B42">
        <w:rPr>
          <w:rFonts w:asciiTheme="majorBidi" w:hAnsiTheme="majorBidi" w:cstheme="majorBidi"/>
          <w:b/>
          <w:bCs/>
          <w:sz w:val="24"/>
          <w:szCs w:val="24"/>
        </w:rPr>
        <w:t>Coding laws</w:t>
      </w:r>
    </w:p>
    <w:p w14:paraId="7F2C7505" w14:textId="77777777" w:rsidR="00EA63B7" w:rsidRDefault="00EA63B7" w:rsidP="00EA63B7">
      <w:pPr>
        <w:spacing w:before="100" w:beforeAutospacing="1"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systematic transformation of law into comparable data has a longer history than contemporary terms such as </w:t>
      </w:r>
      <w:r>
        <w:rPr>
          <w:rFonts w:ascii="Times New Roman" w:eastAsia="Times New Roman" w:hAnsi="Times New Roman" w:cs="Times New Roman"/>
          <w:i/>
          <w:iCs/>
          <w:sz w:val="24"/>
          <w:szCs w:val="24"/>
        </w:rPr>
        <w:t>leximetrics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text-as-data</w:t>
      </w:r>
      <w:r>
        <w:rPr>
          <w:rFonts w:ascii="Times New Roman" w:eastAsia="Times New Roman" w:hAnsi="Times New Roman" w:cs="Times New Roman"/>
          <w:sz w:val="24"/>
          <w:szCs w:val="24"/>
        </w:rPr>
        <w:t xml:space="preserve"> or </w:t>
      </w:r>
      <w:r>
        <w:rPr>
          <w:rFonts w:ascii="Times New Roman" w:eastAsia="Times New Roman" w:hAnsi="Times New Roman" w:cs="Times New Roman"/>
          <w:i/>
          <w:iCs/>
          <w:sz w:val="24"/>
          <w:szCs w:val="24"/>
        </w:rPr>
        <w:t>computational legal analysis</w:t>
      </w:r>
      <w:r>
        <w:rPr>
          <w:rFonts w:ascii="Times New Roman" w:eastAsia="Times New Roman" w:hAnsi="Times New Roman" w:cs="Times New Roman"/>
          <w:sz w:val="24"/>
          <w:szCs w:val="24"/>
        </w:rPr>
        <w:t xml:space="preserve"> suggest. Early comparative-legislation projects classified statutes by subject and jurisdiction, while twentieth-century jurimetrics and content analysis introduced more explicit procedures for turning legal materials into standardized observations. For the purposes of the present paper, however, the most consequential developments have occurred since the mid-2000s. During this period, legal coding has changed simultaneously in scale, granularity and methodological ambition. Researchers have moved from coding whole legal systems or acts, to provisions and institutional statements; from relatively small expert-coded datasets to very large textual corpora; and from simple indicators of the presence or strength of legal rules to increasingly explicit representations of institutional design.</w:t>
      </w:r>
    </w:p>
    <w:p w14:paraId="67922D16" w14:textId="77777777" w:rsidR="00EA63B7" w:rsidRDefault="00EA63B7" w:rsidP="00EA63B7">
      <w:pPr>
        <w:spacing w:before="100" w:beforeAutospacing="1"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developments can be understood along four partly independent dimensions. Granularity concerns the movement from legal acts toward provisions, statements and relationships. Scale concerns the movement from small comparative samples to cross-national longitudinal datasets and very large machine-readable corpora. Formalization concerns the replacement of relatively implicit expert judgments by coding manuals, algorithms, structured ontologies and validation procedures. Finally, inferential ambition concerns the movement from classification and description toward measurement, causal explanation and reconstruction of institutional systems. Progress along one dimension does not </w:t>
      </w:r>
      <w:r>
        <w:rPr>
          <w:rFonts w:ascii="Times New Roman" w:eastAsia="Times New Roman" w:hAnsi="Times New Roman" w:cs="Times New Roman"/>
          <w:sz w:val="24"/>
          <w:szCs w:val="24"/>
        </w:rPr>
        <w:lastRenderedPageBreak/>
        <w:t>necessarily imply progress along the others. Very large datasets may rely on relatively simple textual measures, while smaller expert-coded projects may capture much more institutional meaning.</w:t>
      </w:r>
    </w:p>
    <w:p w14:paraId="6DD890F6" w14:textId="77777777" w:rsidR="00EA63B7" w:rsidRDefault="00EA63B7" w:rsidP="00EA63B7">
      <w:pPr>
        <w:spacing w:before="100" w:beforeAutospacing="1" w:afterAutospacing="1"/>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 Legal indicators and the emergence of leximetrics</w:t>
      </w:r>
    </w:p>
    <w:p w14:paraId="283E23C1" w14:textId="77777777" w:rsidR="00EA63B7" w:rsidRDefault="00EA63B7" w:rsidP="00EA63B7">
      <w:pPr>
        <w:spacing w:before="100" w:beforeAutospacing="1"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immediate background to contemporary legal coding lies in the expansion of cross-national legal indicators during the 1990s and early 2000s. Researchers increasingly translated legal rules concerning corporate governance, employment protection, market entry and other areas into numerical variables suitable for statistical analysis. The attraction was clear: legally heterogeneous systems could be represented through standardized indicators and compared across countries and over time. Yet the resulting research also exposed the difficulty of treating legal measurement as a straightforward process of assigning numbers to rules.  The reassessment of the influential shareholder-protection indices by </w:t>
      </w:r>
      <w:proofErr w:type="spellStart"/>
      <w:r>
        <w:rPr>
          <w:rFonts w:ascii="Times New Roman" w:eastAsia="Times New Roman" w:hAnsi="Times New Roman" w:cs="Times New Roman"/>
          <w:sz w:val="24"/>
          <w:szCs w:val="24"/>
        </w:rPr>
        <w:t>Spamann</w:t>
      </w:r>
      <w:proofErr w:type="spellEnd"/>
      <w:r>
        <w:rPr>
          <w:rFonts w:ascii="Times New Roman" w:eastAsia="Times New Roman" w:hAnsi="Times New Roman" w:cs="Times New Roman"/>
          <w:sz w:val="24"/>
          <w:szCs w:val="24"/>
        </w:rPr>
        <w:t xml:space="preserve"> (2010), for example, demonstrated how disagreements or errors in the interpretation of underlying legal provisions could propagate into country scores and potentially affect substantive empirical findings. The episode highlighted a problem that remains fundamental for contemporary coding: the validity of higher-order measures depends upon the transparency and accuracy of lower-order legal observations.</w:t>
      </w:r>
    </w:p>
    <w:p w14:paraId="72EE7CA6" w14:textId="77777777" w:rsidR="00EA63B7" w:rsidRDefault="00EA63B7" w:rsidP="00EA63B7">
      <w:pPr>
        <w:spacing w:before="100" w:beforeAutospacing="1"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Leximetrics emerged partly as a more self-conscious response to these problems. </w:t>
      </w:r>
      <w:proofErr w:type="spellStart"/>
      <w:r>
        <w:rPr>
          <w:rFonts w:ascii="Times New Roman" w:eastAsia="Times New Roman" w:hAnsi="Times New Roman" w:cs="Times New Roman"/>
          <w:sz w:val="24"/>
          <w:szCs w:val="24"/>
        </w:rPr>
        <w:t>Siems</w:t>
      </w:r>
      <w:proofErr w:type="spellEnd"/>
      <w:r>
        <w:rPr>
          <w:rFonts w:ascii="Times New Roman" w:eastAsia="Times New Roman" w:hAnsi="Times New Roman" w:cs="Times New Roman"/>
          <w:sz w:val="24"/>
          <w:szCs w:val="24"/>
        </w:rPr>
        <w:t xml:space="preserve"> (2005) framed “numerical comparative law” as a methodological problem of reducing legal complexity without losing the contextual characteristics that give rules meaning. </w:t>
      </w:r>
      <w:proofErr w:type="spellStart"/>
      <w:r>
        <w:rPr>
          <w:rFonts w:ascii="Times New Roman" w:eastAsia="Times New Roman" w:hAnsi="Times New Roman" w:cs="Times New Roman"/>
          <w:sz w:val="24"/>
          <w:szCs w:val="24"/>
        </w:rPr>
        <w:t>Lele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Siems</w:t>
      </w:r>
      <w:proofErr w:type="spellEnd"/>
      <w:r>
        <w:rPr>
          <w:rFonts w:ascii="Times New Roman" w:eastAsia="Times New Roman" w:hAnsi="Times New Roman" w:cs="Times New Roman"/>
          <w:sz w:val="24"/>
          <w:szCs w:val="24"/>
        </w:rPr>
        <w:t xml:space="preserve"> (2007) subsequently used the term </w:t>
      </w:r>
      <w:r>
        <w:rPr>
          <w:rFonts w:ascii="Times New Roman" w:eastAsia="Times New Roman" w:hAnsi="Times New Roman" w:cs="Times New Roman"/>
          <w:i/>
          <w:iCs/>
          <w:sz w:val="24"/>
          <w:szCs w:val="24"/>
        </w:rPr>
        <w:t>leximetrics</w:t>
      </w:r>
      <w:r>
        <w:rPr>
          <w:rFonts w:ascii="Times New Roman" w:eastAsia="Times New Roman" w:hAnsi="Times New Roman" w:cs="Times New Roman"/>
          <w:sz w:val="24"/>
          <w:szCs w:val="24"/>
        </w:rPr>
        <w:t xml:space="preserve"> in their longitudinal coding of shareholder protection, showing how legal change could be represented systematically across both jurisdictions and time. The Cambridge Centre for Business Research extended this approach through longitudinal datasets on </w:t>
      </w:r>
      <w:proofErr w:type="spellStart"/>
      <w:r>
        <w:rPr>
          <w:rFonts w:ascii="Times New Roman" w:eastAsia="Times New Roman" w:hAnsi="Times New Roman" w:cs="Times New Roman"/>
          <w:sz w:val="24"/>
          <w:szCs w:val="24"/>
        </w:rPr>
        <w:t>labour</w:t>
      </w:r>
      <w:proofErr w:type="spellEnd"/>
      <w:r>
        <w:rPr>
          <w:rFonts w:ascii="Times New Roman" w:eastAsia="Times New Roman" w:hAnsi="Times New Roman" w:cs="Times New Roman"/>
          <w:sz w:val="24"/>
          <w:szCs w:val="24"/>
        </w:rPr>
        <w:t xml:space="preserve">, shareholder and creditor protection. The methodological advance was not simply the production of larger indices. </w:t>
      </w:r>
      <w:proofErr w:type="spellStart"/>
      <w:r>
        <w:rPr>
          <w:rFonts w:ascii="Times New Roman" w:eastAsia="Times New Roman" w:hAnsi="Times New Roman" w:cs="Times New Roman"/>
          <w:sz w:val="24"/>
          <w:szCs w:val="24"/>
        </w:rPr>
        <w:t>Leximetric</w:t>
      </w:r>
      <w:proofErr w:type="spellEnd"/>
      <w:r>
        <w:rPr>
          <w:rFonts w:ascii="Times New Roman" w:eastAsia="Times New Roman" w:hAnsi="Times New Roman" w:cs="Times New Roman"/>
          <w:sz w:val="24"/>
          <w:szCs w:val="24"/>
        </w:rPr>
        <w:t xml:space="preserve"> research increasingly made explicit the conceptual construct being measured, the legal indicators through which it was operationalized, the coding algorithm used to assign scores and the primary legal sources supporting those coding decisions. Adams et al. (2017), for example, emphasize these properties in explaining the construction and uses of the CBR </w:t>
      </w:r>
      <w:proofErr w:type="spellStart"/>
      <w:r>
        <w:rPr>
          <w:rFonts w:ascii="Times New Roman" w:eastAsia="Times New Roman" w:hAnsi="Times New Roman" w:cs="Times New Roman"/>
          <w:sz w:val="24"/>
          <w:szCs w:val="24"/>
        </w:rPr>
        <w:t>Labour</w:t>
      </w:r>
      <w:proofErr w:type="spellEnd"/>
      <w:r>
        <w:rPr>
          <w:rFonts w:ascii="Times New Roman" w:eastAsia="Times New Roman" w:hAnsi="Times New Roman" w:cs="Times New Roman"/>
          <w:sz w:val="24"/>
          <w:szCs w:val="24"/>
        </w:rPr>
        <w:t xml:space="preserve"> Regulation Index.</w:t>
      </w:r>
    </w:p>
    <w:p w14:paraId="4230EED4" w14:textId="77777777" w:rsidR="00EA63B7" w:rsidRDefault="00EA63B7" w:rsidP="00EA63B7">
      <w:pPr>
        <w:spacing w:before="100" w:beforeAutospacing="1"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Comparative Constitutions Project represents a related breakthrough in large-scale expert coding. Its coding instrument contains more than 650 questions; coders are required to identify the article or section supporting each response; constitutional texts are independently coded twice; and disagreements are subsequently reconciled.</w:t>
      </w:r>
      <w:r>
        <w:rPr>
          <w:rStyle w:val="FootnoteReference"/>
          <w:rFonts w:ascii="Times New Roman" w:eastAsia="Times New Roman" w:hAnsi="Times New Roman" w:cs="Times New Roman"/>
          <w:sz w:val="24"/>
          <w:szCs w:val="24"/>
        </w:rPr>
        <w:footnoteReference w:id="1"/>
      </w:r>
      <w:r>
        <w:rPr>
          <w:rFonts w:ascii="Times New Roman" w:eastAsia="Times New Roman" w:hAnsi="Times New Roman" w:cs="Times New Roman"/>
          <w:sz w:val="24"/>
          <w:szCs w:val="24"/>
        </w:rPr>
        <w:t xml:space="preserve"> The methodological significance of this design lies in combining large-scale comparison with source traceability, coder instructions, independent replication and adjudication.</w:t>
      </w:r>
    </w:p>
    <w:p w14:paraId="6A472509" w14:textId="77777777" w:rsidR="00EA63B7" w:rsidRDefault="00EA63B7" w:rsidP="00EA63B7">
      <w:pPr>
        <w:spacing w:before="100" w:beforeAutospacing="1"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projects establish an important baseline for relational leximetrics. Coding law requires more than a list of variables. It requires an ontology specifying which legal properties matter, rules governing the assignment of observations to categories, procedures for resolving ambiguity and preservation of links between coded values and their legal sources. In this sense, the codebook is not merely documentation accompanying a dataset; it is part of the research design through which legal meaning is converted into comparative evidence.</w:t>
      </w:r>
    </w:p>
    <w:p w14:paraId="4664CB4C" w14:textId="77777777" w:rsidR="00EA63B7" w:rsidRDefault="00EA63B7" w:rsidP="00EA63B7">
      <w:pPr>
        <w:spacing w:before="100" w:beforeAutospacing="1" w:afterAutospacing="1"/>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 Act-level coding: comparability through abstraction</w:t>
      </w:r>
    </w:p>
    <w:p w14:paraId="23D7F435" w14:textId="77777777" w:rsidR="00EA63B7" w:rsidRDefault="00EA63B7" w:rsidP="00EA63B7">
      <w:pPr>
        <w:spacing w:before="100" w:beforeAutospacing="1"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 large part of contemporary comparative legal research continues to treat the legal act, constitution or regulatory regime as the principal unit from which variables are constructed. The major advantage is comparability. Complex legal arrangements can be represented through common dimensions and then compared across jurisdictions or years. The CBR datasets, the Comparative Constitutions Project, the World Bank's </w:t>
      </w:r>
      <w:r>
        <w:rPr>
          <w:rFonts w:ascii="Times New Roman" w:eastAsia="Times New Roman" w:hAnsi="Times New Roman" w:cs="Times New Roman"/>
          <w:i/>
          <w:iCs/>
          <w:sz w:val="24"/>
          <w:szCs w:val="24"/>
        </w:rPr>
        <w:t>Women, Business and the Law</w:t>
      </w:r>
      <w:r>
        <w:rPr>
          <w:rFonts w:ascii="Times New Roman" w:eastAsia="Times New Roman" w:hAnsi="Times New Roman" w:cs="Times New Roman"/>
          <w:sz w:val="24"/>
          <w:szCs w:val="24"/>
        </w:rPr>
        <w:t xml:space="preserve">, and the ILO's </w:t>
      </w:r>
      <w:proofErr w:type="spellStart"/>
      <w:r>
        <w:rPr>
          <w:rFonts w:ascii="Times New Roman" w:eastAsia="Times New Roman" w:hAnsi="Times New Roman" w:cs="Times New Roman"/>
          <w:sz w:val="24"/>
          <w:szCs w:val="24"/>
        </w:rPr>
        <w:t>EPLex</w:t>
      </w:r>
      <w:proofErr w:type="spellEnd"/>
      <w:r>
        <w:rPr>
          <w:rFonts w:ascii="Times New Roman" w:eastAsia="Times New Roman" w:hAnsi="Times New Roman" w:cs="Times New Roman"/>
          <w:sz w:val="24"/>
          <w:szCs w:val="24"/>
        </w:rPr>
        <w:t xml:space="preserve"> differ considerably in substantive purpose, but all demonstrate the analytical power of transforming legal complexity into standardized comparative observations.</w:t>
      </w:r>
    </w:p>
    <w:p w14:paraId="2EC067AD" w14:textId="77777777" w:rsidR="00EA63B7" w:rsidRDefault="00EA63B7" w:rsidP="00EA63B7">
      <w:pPr>
        <w:spacing w:before="100" w:beforeAutospacing="1"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cost is abstraction. An indicator may accurately identify whether a legal protection exists, how strongly it is formulated or whether an institutional power has been created while revealing relatively little about the internal organization of the law. The same statute may simultaneously establish direct administrative control, allocate implementation responsibilities to regulated organizations, authorize third-party verification and create judicial or administrative review. A law-level or country-level score can therefore conceal substantial variation in the distribution of governing work.</w:t>
      </w:r>
    </w:p>
    <w:p w14:paraId="26562A32" w14:textId="77777777" w:rsidR="00EA63B7" w:rsidRDefault="00EA63B7" w:rsidP="00EA63B7">
      <w:pPr>
        <w:spacing w:before="100" w:beforeAutospacing="1"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questions concerning governance architecture, this limitation is particularly important. The aim is not simply to determine whether particular legal characteristics are present, but to reconstruct how those characteristics are connected. Act-level coding offers a valuable unit of comparison but is often too coarse to constitute the sole unit of analysis.</w:t>
      </w:r>
    </w:p>
    <w:p w14:paraId="529D8B8B" w14:textId="77777777" w:rsidR="00EA63B7" w:rsidRDefault="00EA63B7" w:rsidP="00EA63B7">
      <w:pPr>
        <w:spacing w:before="100" w:beforeAutospacing="1" w:afterAutospacing="1"/>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 Provision-level coding and computational scale</w:t>
      </w:r>
    </w:p>
    <w:p w14:paraId="00FF2300" w14:textId="4D38D402" w:rsidR="00EA63B7" w:rsidRDefault="00EA63B7" w:rsidP="00EA63B7">
      <w:pPr>
        <w:spacing w:before="100" w:beforeAutospacing="1" w:afterAutospacing="1"/>
        <w:jc w:val="both"/>
        <w:rPr>
          <w:rFonts w:asciiTheme="majorBidi" w:eastAsia="Times New Roman" w:hAnsiTheme="majorBidi" w:cstheme="majorBidi"/>
          <w:sz w:val="24"/>
          <w:szCs w:val="24"/>
        </w:rPr>
      </w:pPr>
      <w:r>
        <w:rPr>
          <w:rFonts w:ascii="Times New Roman" w:eastAsia="Times New Roman" w:hAnsi="Times New Roman" w:cs="Times New Roman"/>
          <w:sz w:val="24"/>
          <w:szCs w:val="24"/>
        </w:rPr>
        <w:t xml:space="preserve">One major breakthrough has consequently been the movement below the legal act. Articles, paragraphs, recitals and sub-articles can be treated as separate observations, allowing researchers to preserve heterogeneity that disappears when an entire statute receives one code. </w:t>
      </w:r>
      <w:proofErr w:type="spellStart"/>
      <w:r w:rsidR="00164E4D">
        <w:rPr>
          <w:rFonts w:asciiTheme="majorBidi" w:hAnsiTheme="majorBidi" w:cstheme="majorBidi"/>
          <w:sz w:val="24"/>
          <w:szCs w:val="24"/>
        </w:rPr>
        <w:t>Seidl</w:t>
      </w:r>
      <w:proofErr w:type="spellEnd"/>
      <w:r w:rsidR="00164E4D">
        <w:rPr>
          <w:rFonts w:asciiTheme="majorBidi" w:hAnsiTheme="majorBidi" w:cstheme="majorBidi"/>
          <w:sz w:val="24"/>
          <w:szCs w:val="24"/>
        </w:rPr>
        <w:t xml:space="preserve"> and Kosti (2026) illustrate this move by decomposing a large corpus of EU regulations, directives and decisions into recitals and operative sub-article units and coding their substantive content, deontic character and regulated actors. Their work demonstrates how provision-level analysis can recover substantial internal heterogeneity that would disappear if the legal act were treated as a single observation.</w:t>
      </w:r>
      <w:r w:rsidR="00164E4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Computational approaches have greatly expanded the feasible scale of this work. </w:t>
      </w:r>
      <w:proofErr w:type="spellStart"/>
      <w:r>
        <w:rPr>
          <w:rFonts w:ascii="Times New Roman" w:eastAsia="Times New Roman" w:hAnsi="Times New Roman" w:cs="Times New Roman"/>
          <w:sz w:val="24"/>
          <w:szCs w:val="24"/>
        </w:rPr>
        <w:t>RegData</w:t>
      </w:r>
      <w:proofErr w:type="spellEnd"/>
      <w:r>
        <w:rPr>
          <w:rFonts w:ascii="Times New Roman" w:eastAsia="Times New Roman" w:hAnsi="Times New Roman" w:cs="Times New Roman"/>
          <w:sz w:val="24"/>
          <w:szCs w:val="24"/>
        </w:rPr>
        <w:t xml:space="preserve"> represents an influential early example. Rather than requiring experts to interpret every regulatory provision, Al-</w:t>
      </w:r>
      <w:proofErr w:type="spellStart"/>
      <w:r>
        <w:rPr>
          <w:rFonts w:ascii="Times New Roman" w:eastAsia="Times New Roman" w:hAnsi="Times New Roman" w:cs="Times New Roman"/>
          <w:sz w:val="24"/>
          <w:szCs w:val="24"/>
        </w:rPr>
        <w:t>Ubaydli</w:t>
      </w:r>
      <w:proofErr w:type="spellEnd"/>
      <w:r>
        <w:rPr>
          <w:rFonts w:ascii="Times New Roman" w:eastAsia="Times New Roman" w:hAnsi="Times New Roman" w:cs="Times New Roman"/>
          <w:sz w:val="24"/>
          <w:szCs w:val="24"/>
        </w:rPr>
        <w:t xml:space="preserve"> and McLaughlin (2017) use textual analysis to identify restrictive terms in the United States Code of Federal Regulations and estimate their applicability across industries. The project demonstrated that regulatory texts could be transformed into systematic quantitative data at a scale difficult to achieve through conventional expert coding.  The strength of such approaches is scale and reproducibility; their limitation is that lexical measures capture only particular dimensions of regulation. Counting binding constraints can measure textual regulatory intensity without revealing who exercises the relevant authority, where discretion is located or how monitoring and accountability relationships are structured.  </w:t>
      </w:r>
    </w:p>
    <w:p w14:paraId="56EE5FC3" w14:textId="77777777" w:rsidR="00EA63B7" w:rsidRDefault="00EA63B7" w:rsidP="00EA63B7">
      <w:pPr>
        <w:spacing w:before="100" w:beforeAutospacing="1"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Some of this gap was closed by combining provision-level analysis with machine learning. Franchino, </w:t>
      </w:r>
      <w:proofErr w:type="spellStart"/>
      <w:r>
        <w:rPr>
          <w:rFonts w:ascii="Times New Roman" w:eastAsia="Times New Roman" w:hAnsi="Times New Roman" w:cs="Times New Roman"/>
          <w:sz w:val="24"/>
          <w:szCs w:val="24"/>
        </w:rPr>
        <w:t>Migliorati</w:t>
      </w:r>
      <w:proofErr w:type="spellEnd"/>
      <w:r>
        <w:rPr>
          <w:rFonts w:ascii="Times New Roman" w:eastAsia="Times New Roman" w:hAnsi="Times New Roman" w:cs="Times New Roman"/>
          <w:sz w:val="24"/>
          <w:szCs w:val="24"/>
        </w:rPr>
        <w:t xml:space="preserve">, Pagano and </w:t>
      </w:r>
      <w:proofErr w:type="spellStart"/>
      <w:r>
        <w:rPr>
          <w:rFonts w:ascii="Times New Roman" w:eastAsia="Times New Roman" w:hAnsi="Times New Roman" w:cs="Times New Roman"/>
          <w:sz w:val="24"/>
          <w:szCs w:val="24"/>
        </w:rPr>
        <w:t>Vignoli</w:t>
      </w:r>
      <w:proofErr w:type="spellEnd"/>
      <w:r>
        <w:rPr>
          <w:rFonts w:ascii="Times New Roman" w:eastAsia="Times New Roman" w:hAnsi="Times New Roman" w:cs="Times New Roman"/>
          <w:sz w:val="24"/>
          <w:szCs w:val="24"/>
        </w:rPr>
        <w:t xml:space="preserve"> (2024), for example, compare alternative measures of bureaucratic constraints in EU legislation and explicitly examine the movement from hand-coding toward automated classification. Their results illustrate both the scalability of machine learning and the continuing importance of conceptual validity: different ways of defining “constraint” generate different measures, and automated coding inherits the theoretical assumptions embedded in its training categories. This point is central. Automation does not remove the coding problem. It shifts attention from the cost of coding </w:t>
      </w:r>
      <w:r>
        <w:rPr>
          <w:rFonts w:ascii="Times New Roman" w:eastAsia="Times New Roman" w:hAnsi="Times New Roman" w:cs="Times New Roman"/>
          <w:sz w:val="24"/>
          <w:szCs w:val="24"/>
        </w:rPr>
        <w:lastRenderedPageBreak/>
        <w:t>individual observations toward the quality of the ontology and labelled data from which large numbers of observations are generated.</w:t>
      </w:r>
    </w:p>
    <w:p w14:paraId="11DC8E7D" w14:textId="77777777" w:rsidR="00EA63B7" w:rsidRDefault="00EA63B7" w:rsidP="00EA63B7">
      <w:pPr>
        <w:spacing w:before="100" w:beforeAutospacing="1" w:afterAutospacing="1"/>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2.4 Statement-level coding: from legal provisions to institutional grammar</w:t>
      </w:r>
    </w:p>
    <w:p w14:paraId="55531DC3" w14:textId="77777777" w:rsidR="00EA63B7" w:rsidRDefault="00EA63B7" w:rsidP="00EA63B7">
      <w:pPr>
        <w:spacing w:before="100" w:beforeAutospacing="1"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second major development moves beneath provisions to the </w:t>
      </w:r>
      <w:r>
        <w:rPr>
          <w:rFonts w:ascii="Times New Roman" w:eastAsia="Times New Roman" w:hAnsi="Times New Roman" w:cs="Times New Roman"/>
          <w:b/>
          <w:bCs/>
          <w:sz w:val="24"/>
          <w:szCs w:val="24"/>
        </w:rPr>
        <w:t>institutional statements</w:t>
      </w:r>
      <w:r>
        <w:rPr>
          <w:rFonts w:ascii="Times New Roman" w:eastAsia="Times New Roman" w:hAnsi="Times New Roman" w:cs="Times New Roman"/>
          <w:sz w:val="24"/>
          <w:szCs w:val="24"/>
        </w:rPr>
        <w:t xml:space="preserve"> contained within them. Crawford and Ostrom's Institutional Grammar provided the original foundation, but the approach has developed substantially during the last decade. Institutional Grammar 2.0 offers an expanded specification for encoding institutional design and distinguishing regulative, constitutive and hybrid statements (Frantz and </w:t>
      </w:r>
      <w:proofErr w:type="spellStart"/>
      <w:r>
        <w:rPr>
          <w:rFonts w:ascii="Times New Roman" w:eastAsia="Times New Roman" w:hAnsi="Times New Roman" w:cs="Times New Roman"/>
          <w:sz w:val="24"/>
          <w:szCs w:val="24"/>
        </w:rPr>
        <w:t>Siddiki</w:t>
      </w:r>
      <w:proofErr w:type="spellEnd"/>
      <w:r>
        <w:rPr>
          <w:rFonts w:ascii="Times New Roman" w:eastAsia="Times New Roman" w:hAnsi="Times New Roman" w:cs="Times New Roman"/>
          <w:sz w:val="24"/>
          <w:szCs w:val="24"/>
        </w:rPr>
        <w:t xml:space="preserve"> 2021). </w:t>
      </w:r>
      <w:proofErr w:type="spellStart"/>
      <w:r>
        <w:rPr>
          <w:rFonts w:ascii="Times New Roman" w:eastAsia="Times New Roman" w:hAnsi="Times New Roman" w:cs="Times New Roman"/>
          <w:sz w:val="24"/>
          <w:szCs w:val="24"/>
        </w:rPr>
        <w:t>Siddiki</w:t>
      </w:r>
      <w:proofErr w:type="spellEnd"/>
      <w:r>
        <w:rPr>
          <w:rFonts w:ascii="Times New Roman" w:eastAsia="Times New Roman" w:hAnsi="Times New Roman" w:cs="Times New Roman"/>
          <w:sz w:val="24"/>
          <w:szCs w:val="24"/>
        </w:rPr>
        <w:t xml:space="preserve"> and Frantz (2024) demonstrate its particular relevance for </w:t>
      </w:r>
      <w:proofErr w:type="spellStart"/>
      <w:r>
        <w:rPr>
          <w:rFonts w:ascii="Times New Roman" w:eastAsia="Times New Roman" w:hAnsi="Times New Roman" w:cs="Times New Roman"/>
          <w:sz w:val="24"/>
          <w:szCs w:val="24"/>
        </w:rPr>
        <w:t>analysing</w:t>
      </w:r>
      <w:proofErr w:type="spellEnd"/>
      <w:r>
        <w:rPr>
          <w:rFonts w:ascii="Times New Roman" w:eastAsia="Times New Roman" w:hAnsi="Times New Roman" w:cs="Times New Roman"/>
          <w:sz w:val="24"/>
          <w:szCs w:val="24"/>
        </w:rPr>
        <w:t xml:space="preserve"> regulation by decomposing regulatory text into syntactic and semantic components capable of representing actors, actions, deontics, conditions and related institutional characteristics. </w:t>
      </w:r>
    </w:p>
    <w:p w14:paraId="70A99F33" w14:textId="77777777" w:rsidR="00EA63B7" w:rsidRDefault="00EA63B7" w:rsidP="00EA63B7">
      <w:pPr>
        <w:spacing w:before="100" w:beforeAutospacing="1"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methodological advance is substantial. A grammatical sentence is not assumed to equal one institutional rule. One provision may contain several prescriptions, actors or relationships, while a single institutional arrangement may be constituted across multiple provisions. Coding can therefore be organized around the </w:t>
      </w:r>
      <w:r>
        <w:rPr>
          <w:rFonts w:ascii="Times New Roman" w:eastAsia="Times New Roman" w:hAnsi="Times New Roman" w:cs="Times New Roman"/>
          <w:b/>
          <w:bCs/>
          <w:sz w:val="24"/>
          <w:szCs w:val="24"/>
        </w:rPr>
        <w:t>institutional proposition</w:t>
      </w:r>
      <w:r>
        <w:rPr>
          <w:rFonts w:ascii="Times New Roman" w:eastAsia="Times New Roman" w:hAnsi="Times New Roman" w:cs="Times New Roman"/>
          <w:sz w:val="24"/>
          <w:szCs w:val="24"/>
        </w:rPr>
        <w:t xml:space="preserve"> rather than around the formal textual boundary. The increasing connection between institutional grammar and computational methods is also noteworthy. Rice et al. (2021) </w:t>
      </w:r>
      <w:proofErr w:type="gramStart"/>
      <w:r>
        <w:rPr>
          <w:rFonts w:ascii="Times New Roman" w:eastAsia="Times New Roman" w:hAnsi="Times New Roman" w:cs="Times New Roman"/>
          <w:sz w:val="24"/>
          <w:szCs w:val="24"/>
        </w:rPr>
        <w:t>examine</w:t>
      </w:r>
      <w:proofErr w:type="gramEnd"/>
      <w:r>
        <w:rPr>
          <w:rFonts w:ascii="Times New Roman" w:eastAsia="Times New Roman" w:hAnsi="Times New Roman" w:cs="Times New Roman"/>
          <w:sz w:val="24"/>
          <w:szCs w:val="24"/>
        </w:rPr>
        <w:t xml:space="preserve"> machine coding of policy texts using Institutional Grammar, explicitly seeking to reduce the considerable resource costs of manual coding while preserving theoretically meaningful categories. The broader “Rules as Data” agenda has subsequently brought together institutional, computational and regulatory approaches to the systematic analysis of legal and policy rules (</w:t>
      </w:r>
      <w:proofErr w:type="spellStart"/>
      <w:r>
        <w:rPr>
          <w:rFonts w:ascii="Times New Roman" w:eastAsia="Times New Roman" w:hAnsi="Times New Roman" w:cs="Times New Roman"/>
          <w:sz w:val="24"/>
          <w:szCs w:val="24"/>
        </w:rPr>
        <w:t>Damonte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Bazzan</w:t>
      </w:r>
      <w:proofErr w:type="spellEnd"/>
      <w:r>
        <w:rPr>
          <w:rFonts w:ascii="Times New Roman" w:eastAsia="Times New Roman" w:hAnsi="Times New Roman" w:cs="Times New Roman"/>
          <w:sz w:val="24"/>
          <w:szCs w:val="24"/>
        </w:rPr>
        <w:t xml:space="preserve"> 2024).  These developments represent an important shift from treating law as a document containing attributes toward treating law as a collection of structured institutional statements.</w:t>
      </w:r>
    </w:p>
    <w:p w14:paraId="364D4DCE" w14:textId="77777777" w:rsidR="00EA63B7" w:rsidRDefault="00EA63B7" w:rsidP="00EA63B7">
      <w:pPr>
        <w:spacing w:before="100" w:beforeAutospacing="1" w:afterAutospacing="1"/>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 From granularity to relationality</w:t>
      </w:r>
    </w:p>
    <w:p w14:paraId="4EAEAF6D" w14:textId="77777777" w:rsidR="00EA63B7" w:rsidRDefault="00EA63B7" w:rsidP="00EA63B7">
      <w:pPr>
        <w:spacing w:before="100" w:beforeAutospacing="1"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movement from acts to provisions and statements considerably improves the resolution of legal data, but it does not by itself reconstruct governance architecture. This is the unresolved aggregation problem.  A dataset may establish that one provision creates an auditor, another imposes an information obligation, a third provides for certification and a fourth gives a public authority withdrawal </w:t>
      </w:r>
      <w:proofErr w:type="gramStart"/>
      <w:r>
        <w:rPr>
          <w:rFonts w:ascii="Times New Roman" w:eastAsia="Times New Roman" w:hAnsi="Times New Roman" w:cs="Times New Roman"/>
          <w:sz w:val="24"/>
          <w:szCs w:val="24"/>
        </w:rPr>
        <w:t>powers</w:t>
      </w:r>
      <w:proofErr w:type="gramEnd"/>
      <w:r>
        <w:rPr>
          <w:rFonts w:ascii="Times New Roman" w:eastAsia="Times New Roman" w:hAnsi="Times New Roman" w:cs="Times New Roman"/>
          <w:sz w:val="24"/>
          <w:szCs w:val="24"/>
        </w:rPr>
        <w:t>. These are important observations. Their institutional meaning, however, depends upon how they are connected. If the authority accredits the auditor, the auditor verifies the regulated firm, certification determines market access and the authority can withdraw the auditor's designation, the combined provisions create an institutional configuration that cannot be recovered simply by counting each component. Existing approaches adopt different solutions to aggregation. Traditional legal indicators combine component variables into scores. Leximetrics uses explicit coding and aggregation algorithms. Text-as-data approaches employ frequencies or statistical representations. Institutional Grammar provides increasingly fine decomposition of institutional statements. Recent work therefore greatly improves our ability to identify what is contained in legal text, but the movement from these observations to claims concerning the structural organization of governance remains less developed.</w:t>
      </w:r>
    </w:p>
    <w:p w14:paraId="01D41092" w14:textId="7D398A33" w:rsidR="005A3BC0" w:rsidRPr="005A3BC0" w:rsidRDefault="00EA63B7" w:rsidP="005A3BC0">
      <w:pPr>
        <w:spacing w:before="100" w:beforeAutospacing="1" w:afterAutospacing="1"/>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This is the point at which a relational approach becomes necessary. Legal texts do not merely identify actors, obligations and instruments. They connect actors through delegation, authorization, supervision, reporting, verification, review, representation and accountability. The textual unit to which a code is attached may therefore differ from the substantive unit being analyzed. A provision may be the unit of coding, a legally constituted relationship the unit of analysis, and a governance architecture or regulatory </w:t>
      </w:r>
      <w:r>
        <w:rPr>
          <w:rFonts w:ascii="Times New Roman" w:eastAsia="Times New Roman" w:hAnsi="Times New Roman" w:cs="Times New Roman"/>
          <w:sz w:val="24"/>
          <w:szCs w:val="24"/>
        </w:rPr>
        <w:lastRenderedPageBreak/>
        <w:t>regime the ultimate unit of inference. Relational leximetrics builds upon rather than replaces the preceding advances. From leximetrics it takes systematic coding, comparability and traceability to legal sources. From provision-level research it takes attention to internal legal heterogeneity. From Institutional Grammar it takes the decomposition of text into institutionally meaningful propositions. From computational approaches it takes the possibility of scaling structured coding to much larger legal corpora. Its additional claim is that these observations must be reconnected through explicit relational and configurational inference.</w:t>
      </w:r>
      <w:r w:rsidR="005A3BC0">
        <w:rPr>
          <w:rFonts w:ascii="Times New Roman" w:eastAsia="Times New Roman" w:hAnsi="Times New Roman" w:cs="Times New Roman"/>
          <w:sz w:val="24"/>
          <w:szCs w:val="24"/>
        </w:rPr>
        <w:t xml:space="preserve"> </w:t>
      </w:r>
      <w:r w:rsidR="005A3BC0" w:rsidRPr="005A3BC0">
        <w:rPr>
          <w:rFonts w:asciiTheme="majorBidi" w:hAnsiTheme="majorBidi" w:cstheme="majorBidi"/>
          <w:sz w:val="24"/>
          <w:szCs w:val="24"/>
        </w:rPr>
        <w:t xml:space="preserve">The methodological progression is therefore not simply from act to provision to statement. For questions of </w:t>
      </w:r>
      <w:proofErr w:type="gramStart"/>
      <w:r w:rsidR="005A3BC0" w:rsidRPr="005A3BC0">
        <w:rPr>
          <w:rFonts w:asciiTheme="majorBidi" w:hAnsiTheme="majorBidi" w:cstheme="majorBidi"/>
          <w:sz w:val="24"/>
          <w:szCs w:val="24"/>
        </w:rPr>
        <w:t>governance</w:t>
      </w:r>
      <w:proofErr w:type="gramEnd"/>
      <w:r w:rsidR="005A3BC0" w:rsidRPr="005A3BC0">
        <w:rPr>
          <w:rFonts w:asciiTheme="majorBidi" w:hAnsiTheme="majorBidi" w:cstheme="majorBidi"/>
          <w:sz w:val="24"/>
          <w:szCs w:val="24"/>
        </w:rPr>
        <w:t xml:space="preserve"> it extends from </w:t>
      </w:r>
      <w:r w:rsidR="005A3BC0" w:rsidRPr="005A3BC0">
        <w:rPr>
          <w:rStyle w:val="Strong"/>
          <w:rFonts w:asciiTheme="majorBidi" w:hAnsiTheme="majorBidi" w:cstheme="majorBidi"/>
          <w:sz w:val="24"/>
          <w:szCs w:val="24"/>
        </w:rPr>
        <w:t>legal act → provision → institutional statement → relationship → configuration → architecture → regulatory regime</w:t>
      </w:r>
      <w:r w:rsidR="005A3BC0" w:rsidRPr="005A3BC0">
        <w:rPr>
          <w:rFonts w:asciiTheme="majorBidi" w:hAnsiTheme="majorBidi" w:cstheme="majorBidi"/>
          <w:sz w:val="24"/>
          <w:szCs w:val="24"/>
        </w:rPr>
        <w:t xml:space="preserve">. The central problem is how lower-level observations can be combined without losing institutional structure or making unwarranted higher-order inferences. </w:t>
      </w:r>
      <w:r w:rsidR="005A3BC0" w:rsidRPr="005A3BC0">
        <w:rPr>
          <w:rStyle w:val="Strong"/>
          <w:rFonts w:asciiTheme="majorBidi" w:hAnsiTheme="majorBidi" w:cstheme="majorBidi"/>
          <w:b w:val="0"/>
          <w:bCs w:val="0"/>
          <w:sz w:val="24"/>
          <w:szCs w:val="24"/>
        </w:rPr>
        <w:t>Granularity reveals legal heterogeneity; relationality reveals institutional organization.</w:t>
      </w:r>
    </w:p>
    <w:p w14:paraId="2EF25123" w14:textId="77777777" w:rsidR="00656BE6" w:rsidRPr="00560726" w:rsidRDefault="00656BE6" w:rsidP="00560726">
      <w:pPr>
        <w:spacing w:line="276" w:lineRule="auto"/>
        <w:jc w:val="both"/>
        <w:rPr>
          <w:rFonts w:asciiTheme="majorBidi" w:hAnsiTheme="majorBidi" w:cstheme="majorBidi"/>
          <w:sz w:val="24"/>
          <w:szCs w:val="24"/>
        </w:rPr>
      </w:pPr>
    </w:p>
    <w:tbl>
      <w:tblPr>
        <w:tblStyle w:val="TableGrid"/>
        <w:tblW w:w="0" w:type="auto"/>
        <w:tblLook w:val="04A0" w:firstRow="1" w:lastRow="0" w:firstColumn="1" w:lastColumn="0" w:noHBand="0" w:noVBand="1"/>
      </w:tblPr>
      <w:tblGrid>
        <w:gridCol w:w="9984"/>
      </w:tblGrid>
      <w:tr w:rsidR="00656BE6" w14:paraId="4D6A70DA" w14:textId="77777777" w:rsidTr="00DA4984">
        <w:tc>
          <w:tcPr>
            <w:tcW w:w="10210" w:type="dxa"/>
          </w:tcPr>
          <w:p w14:paraId="211F6569" w14:textId="77777777" w:rsidR="00656BE6" w:rsidRPr="00FA706E" w:rsidRDefault="00656BE6" w:rsidP="00656BE6">
            <w:pPr>
              <w:spacing w:beforeLines="40" w:before="96" w:afterLines="40" w:after="96"/>
              <w:outlineLvl w:val="2"/>
              <w:rPr>
                <w:rFonts w:ascii="Times New Roman" w:eastAsia="Times New Roman" w:hAnsi="Times New Roman" w:cs="Times New Roman"/>
                <w:b/>
                <w:bCs/>
                <w:sz w:val="27"/>
                <w:szCs w:val="27"/>
              </w:rPr>
            </w:pPr>
            <w:r w:rsidRPr="00FA706E">
              <w:rPr>
                <w:rFonts w:ascii="Times New Roman" w:eastAsia="Times New Roman" w:hAnsi="Times New Roman" w:cs="Times New Roman"/>
                <w:b/>
                <w:bCs/>
                <w:sz w:val="27"/>
                <w:szCs w:val="27"/>
              </w:rPr>
              <w:t>Level I: directly observable governance elements</w:t>
            </w:r>
          </w:p>
          <w:p w14:paraId="7DEA7191" w14:textId="77777777" w:rsidR="00656BE6" w:rsidRDefault="00656BE6" w:rsidP="00656BE6">
            <w:pPr>
              <w:pStyle w:val="ListParagraph"/>
              <w:numPr>
                <w:ilvl w:val="0"/>
                <w:numId w:val="15"/>
              </w:numPr>
              <w:spacing w:beforeLines="40" w:before="96" w:afterLines="40" w:after="96"/>
              <w:rPr>
                <w:rFonts w:ascii="Times New Roman" w:eastAsia="Times New Roman" w:hAnsi="Times New Roman" w:cs="Times New Roman"/>
                <w:sz w:val="24"/>
                <w:szCs w:val="24"/>
              </w:rPr>
            </w:pPr>
            <w:r w:rsidRPr="00656BE6">
              <w:rPr>
                <w:rFonts w:ascii="Times New Roman" w:eastAsia="Times New Roman" w:hAnsi="Times New Roman" w:cs="Times New Roman"/>
                <w:sz w:val="24"/>
                <w:szCs w:val="24"/>
              </w:rPr>
              <w:t>Objects</w:t>
            </w:r>
          </w:p>
          <w:p w14:paraId="1CC2EB70" w14:textId="77777777" w:rsidR="00656BE6" w:rsidRDefault="00656BE6" w:rsidP="00656BE6">
            <w:pPr>
              <w:pStyle w:val="ListParagraph"/>
              <w:numPr>
                <w:ilvl w:val="0"/>
                <w:numId w:val="15"/>
              </w:numPr>
              <w:spacing w:beforeLines="40" w:before="96" w:afterLines="40" w:after="96"/>
              <w:rPr>
                <w:rFonts w:ascii="Times New Roman" w:eastAsia="Times New Roman" w:hAnsi="Times New Roman" w:cs="Times New Roman"/>
                <w:sz w:val="24"/>
                <w:szCs w:val="24"/>
              </w:rPr>
            </w:pPr>
            <w:r w:rsidRPr="00656BE6">
              <w:rPr>
                <w:rFonts w:ascii="Times New Roman" w:eastAsia="Times New Roman" w:hAnsi="Times New Roman" w:cs="Times New Roman"/>
                <w:sz w:val="24"/>
                <w:szCs w:val="24"/>
              </w:rPr>
              <w:t>Actors</w:t>
            </w:r>
          </w:p>
          <w:p w14:paraId="3E34C824" w14:textId="77777777" w:rsidR="00656BE6" w:rsidRDefault="00656BE6" w:rsidP="00656BE6">
            <w:pPr>
              <w:pStyle w:val="ListParagraph"/>
              <w:numPr>
                <w:ilvl w:val="0"/>
                <w:numId w:val="15"/>
              </w:numPr>
              <w:spacing w:beforeLines="40" w:before="96" w:afterLines="40" w:after="96"/>
              <w:rPr>
                <w:rFonts w:ascii="Times New Roman" w:eastAsia="Times New Roman" w:hAnsi="Times New Roman" w:cs="Times New Roman"/>
                <w:sz w:val="24"/>
                <w:szCs w:val="24"/>
              </w:rPr>
            </w:pPr>
            <w:r w:rsidRPr="00656BE6">
              <w:rPr>
                <w:rFonts w:ascii="Times New Roman" w:eastAsia="Times New Roman" w:hAnsi="Times New Roman" w:cs="Times New Roman"/>
                <w:sz w:val="24"/>
                <w:szCs w:val="24"/>
              </w:rPr>
              <w:t>Functions</w:t>
            </w:r>
          </w:p>
          <w:p w14:paraId="558AC69E" w14:textId="77777777" w:rsidR="00656BE6" w:rsidRDefault="00656BE6" w:rsidP="00656BE6">
            <w:pPr>
              <w:pStyle w:val="ListParagraph"/>
              <w:numPr>
                <w:ilvl w:val="0"/>
                <w:numId w:val="15"/>
              </w:numPr>
              <w:spacing w:beforeLines="40" w:before="96" w:afterLines="40" w:after="96"/>
              <w:rPr>
                <w:rFonts w:ascii="Times New Roman" w:eastAsia="Times New Roman" w:hAnsi="Times New Roman" w:cs="Times New Roman"/>
                <w:sz w:val="24"/>
                <w:szCs w:val="24"/>
              </w:rPr>
            </w:pPr>
            <w:r w:rsidRPr="00656BE6">
              <w:rPr>
                <w:rFonts w:ascii="Times New Roman" w:eastAsia="Times New Roman" w:hAnsi="Times New Roman" w:cs="Times New Roman"/>
                <w:sz w:val="24"/>
                <w:szCs w:val="24"/>
              </w:rPr>
              <w:t>Mechanisms</w:t>
            </w:r>
          </w:p>
          <w:p w14:paraId="01116AE6" w14:textId="77777777" w:rsidR="00656BE6" w:rsidRDefault="00656BE6" w:rsidP="00656BE6">
            <w:pPr>
              <w:pStyle w:val="ListParagraph"/>
              <w:numPr>
                <w:ilvl w:val="0"/>
                <w:numId w:val="15"/>
              </w:numPr>
              <w:spacing w:beforeLines="40" w:before="96" w:afterLines="40" w:after="96"/>
              <w:rPr>
                <w:rFonts w:ascii="Times New Roman" w:eastAsia="Times New Roman" w:hAnsi="Times New Roman" w:cs="Times New Roman"/>
                <w:sz w:val="24"/>
                <w:szCs w:val="24"/>
              </w:rPr>
            </w:pPr>
            <w:r w:rsidRPr="00656BE6">
              <w:rPr>
                <w:rFonts w:ascii="Times New Roman" w:eastAsia="Times New Roman" w:hAnsi="Times New Roman" w:cs="Times New Roman"/>
                <w:sz w:val="24"/>
                <w:szCs w:val="24"/>
              </w:rPr>
              <w:t>Instruments</w:t>
            </w:r>
          </w:p>
          <w:p w14:paraId="4C8241BD" w14:textId="143EBC65" w:rsidR="00656BE6" w:rsidRPr="00656BE6" w:rsidRDefault="00656BE6" w:rsidP="00656BE6">
            <w:pPr>
              <w:pStyle w:val="ListParagraph"/>
              <w:numPr>
                <w:ilvl w:val="0"/>
                <w:numId w:val="15"/>
              </w:numPr>
              <w:spacing w:beforeLines="40" w:before="96" w:afterLines="40" w:after="96"/>
              <w:rPr>
                <w:rFonts w:ascii="Times New Roman" w:eastAsia="Times New Roman" w:hAnsi="Times New Roman" w:cs="Times New Roman"/>
                <w:sz w:val="24"/>
                <w:szCs w:val="24"/>
              </w:rPr>
            </w:pPr>
            <w:r w:rsidRPr="00656BE6">
              <w:rPr>
                <w:rFonts w:ascii="Times New Roman" w:eastAsia="Times New Roman" w:hAnsi="Times New Roman" w:cs="Times New Roman"/>
                <w:sz w:val="24"/>
                <w:szCs w:val="24"/>
              </w:rPr>
              <w:t>Relationships</w:t>
            </w:r>
          </w:p>
          <w:p w14:paraId="3C20CC46" w14:textId="77777777" w:rsidR="00656BE6" w:rsidRPr="00FA706E" w:rsidRDefault="00656BE6" w:rsidP="00656BE6">
            <w:pPr>
              <w:spacing w:before="40" w:after="40"/>
              <w:outlineLvl w:val="2"/>
              <w:rPr>
                <w:rFonts w:ascii="Times New Roman" w:eastAsia="Times New Roman" w:hAnsi="Times New Roman" w:cs="Times New Roman"/>
                <w:b/>
                <w:bCs/>
                <w:sz w:val="27"/>
                <w:szCs w:val="27"/>
              </w:rPr>
            </w:pPr>
            <w:r w:rsidRPr="00FA706E">
              <w:rPr>
                <w:rFonts w:ascii="Times New Roman" w:eastAsia="Times New Roman" w:hAnsi="Times New Roman" w:cs="Times New Roman"/>
                <w:b/>
                <w:bCs/>
                <w:sz w:val="27"/>
                <w:szCs w:val="27"/>
              </w:rPr>
              <w:t>Level II: relational attributes</w:t>
            </w:r>
          </w:p>
          <w:p w14:paraId="1024273F" w14:textId="77777777" w:rsidR="00656BE6" w:rsidRDefault="00656BE6" w:rsidP="00656BE6">
            <w:pPr>
              <w:pStyle w:val="ListParagraph"/>
              <w:numPr>
                <w:ilvl w:val="0"/>
                <w:numId w:val="14"/>
              </w:numPr>
              <w:spacing w:before="40" w:after="40"/>
              <w:rPr>
                <w:rFonts w:ascii="Times New Roman" w:eastAsia="Times New Roman" w:hAnsi="Times New Roman" w:cs="Times New Roman"/>
                <w:sz w:val="24"/>
                <w:szCs w:val="24"/>
              </w:rPr>
            </w:pPr>
            <w:r w:rsidRPr="00656BE6">
              <w:rPr>
                <w:rFonts w:ascii="Times New Roman" w:eastAsia="Times New Roman" w:hAnsi="Times New Roman" w:cs="Times New Roman"/>
                <w:sz w:val="24"/>
                <w:szCs w:val="24"/>
              </w:rPr>
              <w:t>Authority</w:t>
            </w:r>
          </w:p>
          <w:p w14:paraId="42E67B69" w14:textId="77777777" w:rsidR="00656BE6" w:rsidRDefault="00656BE6" w:rsidP="00656BE6">
            <w:pPr>
              <w:pStyle w:val="ListParagraph"/>
              <w:numPr>
                <w:ilvl w:val="0"/>
                <w:numId w:val="14"/>
              </w:numPr>
              <w:spacing w:before="40" w:after="40"/>
              <w:rPr>
                <w:rFonts w:ascii="Times New Roman" w:eastAsia="Times New Roman" w:hAnsi="Times New Roman" w:cs="Times New Roman"/>
                <w:sz w:val="24"/>
                <w:szCs w:val="24"/>
              </w:rPr>
            </w:pPr>
            <w:r w:rsidRPr="00656BE6">
              <w:rPr>
                <w:rFonts w:ascii="Times New Roman" w:eastAsia="Times New Roman" w:hAnsi="Times New Roman" w:cs="Times New Roman"/>
                <w:sz w:val="24"/>
                <w:szCs w:val="24"/>
              </w:rPr>
              <w:t>Discretion</w:t>
            </w:r>
          </w:p>
          <w:p w14:paraId="51496063" w14:textId="1F1948BB" w:rsidR="00656BE6" w:rsidRPr="00656BE6" w:rsidRDefault="00656BE6" w:rsidP="00656BE6">
            <w:pPr>
              <w:pStyle w:val="ListParagraph"/>
              <w:numPr>
                <w:ilvl w:val="0"/>
                <w:numId w:val="14"/>
              </w:numPr>
              <w:spacing w:before="40" w:after="40"/>
              <w:rPr>
                <w:rFonts w:ascii="Times New Roman" w:eastAsia="Times New Roman" w:hAnsi="Times New Roman" w:cs="Times New Roman"/>
                <w:sz w:val="24"/>
                <w:szCs w:val="24"/>
              </w:rPr>
            </w:pPr>
            <w:r w:rsidRPr="00656BE6">
              <w:rPr>
                <w:rFonts w:ascii="Times New Roman" w:eastAsia="Times New Roman" w:hAnsi="Times New Roman" w:cs="Times New Roman"/>
                <w:sz w:val="24"/>
                <w:szCs w:val="24"/>
              </w:rPr>
              <w:t>Accountability</w:t>
            </w:r>
            <w:r w:rsidRPr="00656BE6">
              <w:rPr>
                <w:rFonts w:ascii="Times New Roman" w:eastAsia="Times New Roman" w:hAnsi="Times New Roman" w:cs="Times New Roman"/>
                <w:sz w:val="24"/>
                <w:szCs w:val="24"/>
              </w:rPr>
              <w:br/>
            </w:r>
          </w:p>
          <w:p w14:paraId="07039055" w14:textId="77777777" w:rsidR="00656BE6" w:rsidRPr="00FA706E" w:rsidRDefault="00656BE6" w:rsidP="00656BE6">
            <w:pPr>
              <w:spacing w:before="40" w:after="40"/>
              <w:outlineLvl w:val="2"/>
              <w:rPr>
                <w:rFonts w:ascii="Times New Roman" w:eastAsia="Times New Roman" w:hAnsi="Times New Roman" w:cs="Times New Roman"/>
                <w:b/>
                <w:bCs/>
                <w:sz w:val="27"/>
                <w:szCs w:val="27"/>
              </w:rPr>
            </w:pPr>
            <w:r w:rsidRPr="00FA706E">
              <w:rPr>
                <w:rFonts w:ascii="Times New Roman" w:eastAsia="Times New Roman" w:hAnsi="Times New Roman" w:cs="Times New Roman"/>
                <w:b/>
                <w:bCs/>
                <w:sz w:val="27"/>
                <w:szCs w:val="27"/>
              </w:rPr>
              <w:t>Level III: higher-order constructs</w:t>
            </w:r>
          </w:p>
          <w:p w14:paraId="565E7144" w14:textId="77777777" w:rsidR="00656BE6" w:rsidRDefault="00656BE6" w:rsidP="00656BE6">
            <w:pPr>
              <w:pStyle w:val="ListParagraph"/>
              <w:numPr>
                <w:ilvl w:val="0"/>
                <w:numId w:val="13"/>
              </w:numPr>
              <w:spacing w:before="40" w:after="40"/>
              <w:rPr>
                <w:rFonts w:ascii="Times New Roman" w:eastAsia="Times New Roman" w:hAnsi="Times New Roman" w:cs="Times New Roman"/>
                <w:sz w:val="24"/>
                <w:szCs w:val="24"/>
              </w:rPr>
            </w:pPr>
            <w:r w:rsidRPr="00656BE6">
              <w:rPr>
                <w:rFonts w:ascii="Times New Roman" w:eastAsia="Times New Roman" w:hAnsi="Times New Roman" w:cs="Times New Roman"/>
                <w:sz w:val="24"/>
                <w:szCs w:val="24"/>
              </w:rPr>
              <w:t>Strategies</w:t>
            </w:r>
          </w:p>
          <w:p w14:paraId="39AAF3A0" w14:textId="51FC4D2E" w:rsidR="00656BE6" w:rsidRDefault="00656BE6" w:rsidP="00656BE6">
            <w:pPr>
              <w:pStyle w:val="ListParagraph"/>
              <w:numPr>
                <w:ilvl w:val="0"/>
                <w:numId w:val="13"/>
              </w:numPr>
              <w:spacing w:before="40" w:after="40"/>
              <w:rPr>
                <w:rFonts w:ascii="Times New Roman" w:eastAsia="Times New Roman" w:hAnsi="Times New Roman" w:cs="Times New Roman"/>
                <w:sz w:val="24"/>
                <w:szCs w:val="24"/>
              </w:rPr>
            </w:pPr>
            <w:r w:rsidRPr="00656BE6">
              <w:rPr>
                <w:rFonts w:ascii="Times New Roman" w:eastAsia="Times New Roman" w:hAnsi="Times New Roman" w:cs="Times New Roman"/>
                <w:sz w:val="24"/>
                <w:szCs w:val="24"/>
              </w:rPr>
              <w:t>Architectures</w:t>
            </w:r>
          </w:p>
          <w:p w14:paraId="5729B05B" w14:textId="4735D198" w:rsidR="00667343" w:rsidRDefault="00667343" w:rsidP="00656BE6">
            <w:pPr>
              <w:pStyle w:val="ListParagraph"/>
              <w:numPr>
                <w:ilvl w:val="0"/>
                <w:numId w:val="13"/>
              </w:num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Regulatory Regimes and Regimes Relations </w:t>
            </w:r>
          </w:p>
          <w:p w14:paraId="2EC4C29B" w14:textId="6E511AF6" w:rsidR="00656BE6" w:rsidRPr="00656BE6" w:rsidRDefault="00656BE6" w:rsidP="00656BE6">
            <w:pPr>
              <w:pStyle w:val="ListParagraph"/>
              <w:numPr>
                <w:ilvl w:val="0"/>
                <w:numId w:val="13"/>
              </w:numPr>
              <w:spacing w:before="40" w:after="40"/>
              <w:rPr>
                <w:rFonts w:ascii="Times New Roman" w:eastAsia="Times New Roman" w:hAnsi="Times New Roman" w:cs="Times New Roman"/>
                <w:sz w:val="24"/>
                <w:szCs w:val="24"/>
              </w:rPr>
            </w:pPr>
            <w:r w:rsidRPr="00656BE6">
              <w:rPr>
                <w:rFonts w:ascii="Times New Roman" w:eastAsia="Times New Roman" w:hAnsi="Times New Roman" w:cs="Times New Roman"/>
                <w:sz w:val="24"/>
                <w:szCs w:val="24"/>
              </w:rPr>
              <w:t>Governance logics</w:t>
            </w:r>
          </w:p>
        </w:tc>
      </w:tr>
    </w:tbl>
    <w:p w14:paraId="07782C0C" w14:textId="77777777" w:rsidR="00656BE6" w:rsidRDefault="00656BE6" w:rsidP="00656BE6">
      <w:pPr>
        <w:pStyle w:val="Heading2"/>
        <w:rPr>
          <w:rFonts w:asciiTheme="majorBidi" w:hAnsiTheme="majorBidi"/>
          <w:color w:val="auto"/>
          <w:sz w:val="24"/>
          <w:szCs w:val="24"/>
        </w:rPr>
      </w:pPr>
    </w:p>
    <w:p w14:paraId="2BF69D03" w14:textId="77777777" w:rsidR="00656BE6" w:rsidRPr="00897A61" w:rsidRDefault="00656BE6" w:rsidP="003D4F54">
      <w:pPr>
        <w:autoSpaceDE w:val="0"/>
        <w:autoSpaceDN w:val="0"/>
        <w:adjustRightInd w:val="0"/>
        <w:spacing w:after="180" w:line="276" w:lineRule="auto"/>
        <w:jc w:val="both"/>
        <w:rPr>
          <w:rFonts w:asciiTheme="majorBidi" w:hAnsiTheme="majorBidi" w:cstheme="majorBidi"/>
          <w:sz w:val="24"/>
          <w:szCs w:val="24"/>
        </w:rPr>
      </w:pPr>
    </w:p>
    <w:p w14:paraId="35DA63E3" w14:textId="79CEB194" w:rsidR="003902C2" w:rsidRPr="00656BE6" w:rsidRDefault="00656BE6" w:rsidP="00656BE6">
      <w:pPr>
        <w:spacing w:after="200" w:line="276" w:lineRule="auto"/>
        <w:rPr>
          <w:rFonts w:asciiTheme="majorBidi" w:hAnsiTheme="majorBidi"/>
          <w:b/>
          <w:bCs/>
          <w:sz w:val="24"/>
          <w:szCs w:val="24"/>
        </w:rPr>
      </w:pPr>
      <w:r>
        <w:rPr>
          <w:rFonts w:asciiTheme="majorBidi" w:hAnsiTheme="majorBidi" w:cstheme="majorBidi"/>
          <w:sz w:val="24"/>
          <w:szCs w:val="24"/>
        </w:rPr>
        <w:br w:type="page"/>
      </w:r>
      <w:r w:rsidR="00BB24A5" w:rsidRPr="00656BE6">
        <w:rPr>
          <w:rFonts w:asciiTheme="majorBidi" w:hAnsiTheme="majorBidi"/>
          <w:b/>
          <w:bCs/>
          <w:sz w:val="24"/>
          <w:szCs w:val="24"/>
        </w:rPr>
        <w:lastRenderedPageBreak/>
        <w:t xml:space="preserve">3. </w:t>
      </w:r>
      <w:r w:rsidR="00671550" w:rsidRPr="00656BE6">
        <w:rPr>
          <w:rFonts w:asciiTheme="majorBidi" w:hAnsiTheme="majorBidi"/>
          <w:b/>
          <w:bCs/>
          <w:sz w:val="24"/>
          <w:szCs w:val="24"/>
        </w:rPr>
        <w:t>Core</w:t>
      </w:r>
      <w:r w:rsidR="00BB24A5" w:rsidRPr="00656BE6">
        <w:rPr>
          <w:rFonts w:asciiTheme="majorBidi" w:hAnsiTheme="majorBidi"/>
          <w:b/>
          <w:bCs/>
          <w:sz w:val="24"/>
          <w:szCs w:val="24"/>
        </w:rPr>
        <w:t xml:space="preserve"> Dimensions</w:t>
      </w:r>
      <w:r>
        <w:rPr>
          <w:rFonts w:asciiTheme="majorBidi" w:hAnsiTheme="majorBidi"/>
          <w:b/>
          <w:bCs/>
          <w:sz w:val="24"/>
          <w:szCs w:val="24"/>
        </w:rPr>
        <w:t>: Level I</w:t>
      </w:r>
    </w:p>
    <w:p w14:paraId="5D17936C" w14:textId="77777777" w:rsidR="00131948" w:rsidRDefault="00131948" w:rsidP="00131948">
      <w:pPr>
        <w:rPr>
          <w:rFonts w:asciiTheme="majorBidi" w:hAnsiTheme="majorBidi" w:cstheme="majorBidi"/>
          <w:sz w:val="24"/>
          <w:szCs w:val="24"/>
        </w:rPr>
      </w:pPr>
    </w:p>
    <w:p w14:paraId="5142DBC4" w14:textId="6549B7DB" w:rsidR="003902C2" w:rsidRPr="00BB24A5" w:rsidRDefault="00BB24A5">
      <w:pPr>
        <w:pStyle w:val="Heading2"/>
        <w:rPr>
          <w:rFonts w:asciiTheme="majorBidi" w:hAnsiTheme="majorBidi"/>
          <w:color w:val="auto"/>
          <w:sz w:val="24"/>
          <w:szCs w:val="24"/>
        </w:rPr>
      </w:pPr>
      <w:r w:rsidRPr="00BB24A5">
        <w:rPr>
          <w:rFonts w:asciiTheme="majorBidi" w:hAnsiTheme="majorBidi"/>
          <w:color w:val="auto"/>
          <w:sz w:val="24"/>
          <w:szCs w:val="24"/>
        </w:rPr>
        <w:t>3.1 Objects: what does law govern?</w:t>
      </w:r>
    </w:p>
    <w:p w14:paraId="0CF5C6FF" w14:textId="1B6878BF" w:rsidR="003902C2" w:rsidRDefault="00BB24A5">
      <w:pPr>
        <w:rPr>
          <w:rFonts w:asciiTheme="majorBidi" w:hAnsiTheme="majorBidi" w:cstheme="majorBidi"/>
          <w:sz w:val="24"/>
          <w:szCs w:val="24"/>
        </w:rPr>
      </w:pPr>
      <w:r w:rsidRPr="00BB24A5">
        <w:rPr>
          <w:rFonts w:asciiTheme="majorBidi" w:hAnsiTheme="majorBidi" w:cstheme="majorBidi"/>
          <w:sz w:val="24"/>
          <w:szCs w:val="24"/>
        </w:rPr>
        <w:t>The object of governance is the behaviour, entity, process, relationship or institutional arrangement toward which governance is directed. Classic regulation governs conduct: emissions, prices, employment practices, disclosure or product safety. Contemporary law, however, increasingly governs organizations, processes, information and governance systems themselves.</w:t>
      </w:r>
    </w:p>
    <w:p w14:paraId="11ED00BF" w14:textId="77777777" w:rsidR="00BB24A5" w:rsidRPr="00BB24A5" w:rsidRDefault="00BB24A5">
      <w:pPr>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3330"/>
        <w:gridCol w:w="3327"/>
        <w:gridCol w:w="3327"/>
      </w:tblGrid>
      <w:tr w:rsidR="003902C2" w:rsidRPr="00BB24A5" w14:paraId="4A8D4583" w14:textId="77777777">
        <w:trPr>
          <w:jc w:val="center"/>
        </w:trPr>
        <w:tc>
          <w:tcPr>
            <w:tcW w:w="3331" w:type="dxa"/>
            <w:vAlign w:val="center"/>
          </w:tcPr>
          <w:p w14:paraId="4BDFE17A" w14:textId="77777777" w:rsidR="003902C2" w:rsidRPr="00BB24A5" w:rsidRDefault="00BB24A5">
            <w:pPr>
              <w:spacing w:before="30" w:after="30"/>
              <w:rPr>
                <w:rFonts w:asciiTheme="majorBidi" w:hAnsiTheme="majorBidi" w:cstheme="majorBidi"/>
                <w:b/>
                <w:bCs/>
                <w:sz w:val="22"/>
              </w:rPr>
            </w:pPr>
            <w:r w:rsidRPr="00BB24A5">
              <w:rPr>
                <w:rFonts w:asciiTheme="majorBidi" w:hAnsiTheme="majorBidi" w:cstheme="majorBidi"/>
                <w:b/>
                <w:bCs/>
                <w:sz w:val="22"/>
              </w:rPr>
              <w:t>Object</w:t>
            </w:r>
          </w:p>
        </w:tc>
        <w:tc>
          <w:tcPr>
            <w:tcW w:w="3331" w:type="dxa"/>
            <w:vAlign w:val="center"/>
          </w:tcPr>
          <w:p w14:paraId="66D9F20A" w14:textId="77777777" w:rsidR="003902C2" w:rsidRPr="00BB24A5" w:rsidRDefault="00BB24A5">
            <w:pPr>
              <w:spacing w:before="30" w:after="30"/>
              <w:rPr>
                <w:rFonts w:asciiTheme="majorBidi" w:hAnsiTheme="majorBidi" w:cstheme="majorBidi"/>
                <w:b/>
                <w:bCs/>
                <w:sz w:val="22"/>
              </w:rPr>
            </w:pPr>
            <w:r w:rsidRPr="00BB24A5">
              <w:rPr>
                <w:rFonts w:asciiTheme="majorBidi" w:hAnsiTheme="majorBidi" w:cstheme="majorBidi"/>
                <w:b/>
                <w:bCs/>
                <w:sz w:val="22"/>
              </w:rPr>
              <w:t>What is governed?</w:t>
            </w:r>
          </w:p>
        </w:tc>
        <w:tc>
          <w:tcPr>
            <w:tcW w:w="3331" w:type="dxa"/>
            <w:vAlign w:val="center"/>
          </w:tcPr>
          <w:p w14:paraId="522758FA" w14:textId="77777777" w:rsidR="003902C2" w:rsidRPr="00BB24A5" w:rsidRDefault="00BB24A5">
            <w:pPr>
              <w:spacing w:before="30" w:after="30"/>
              <w:rPr>
                <w:rFonts w:asciiTheme="majorBidi" w:hAnsiTheme="majorBidi" w:cstheme="majorBidi"/>
                <w:b/>
                <w:bCs/>
                <w:sz w:val="22"/>
              </w:rPr>
            </w:pPr>
            <w:r w:rsidRPr="00BB24A5">
              <w:rPr>
                <w:rFonts w:asciiTheme="majorBidi" w:hAnsiTheme="majorBidi" w:cstheme="majorBidi"/>
                <w:b/>
                <w:bCs/>
                <w:sz w:val="22"/>
              </w:rPr>
              <w:t>Illustrations</w:t>
            </w:r>
          </w:p>
        </w:tc>
      </w:tr>
      <w:tr w:rsidR="003902C2" w:rsidRPr="00BB24A5" w14:paraId="01254A2D" w14:textId="77777777">
        <w:trPr>
          <w:jc w:val="center"/>
        </w:trPr>
        <w:tc>
          <w:tcPr>
            <w:tcW w:w="3331" w:type="dxa"/>
            <w:vAlign w:val="center"/>
          </w:tcPr>
          <w:p w14:paraId="28B09280" w14:textId="77777777" w:rsidR="003902C2" w:rsidRPr="00BB24A5" w:rsidRDefault="00BB24A5">
            <w:pPr>
              <w:spacing w:before="30" w:after="30"/>
              <w:rPr>
                <w:rFonts w:asciiTheme="majorBidi" w:hAnsiTheme="majorBidi" w:cstheme="majorBidi"/>
                <w:b/>
                <w:bCs/>
                <w:sz w:val="22"/>
              </w:rPr>
            </w:pPr>
            <w:r w:rsidRPr="00BB24A5">
              <w:rPr>
                <w:rFonts w:asciiTheme="majorBidi" w:hAnsiTheme="majorBidi" w:cstheme="majorBidi"/>
                <w:b/>
                <w:bCs/>
                <w:sz w:val="22"/>
              </w:rPr>
              <w:t>Conduct</w:t>
            </w:r>
          </w:p>
        </w:tc>
        <w:tc>
          <w:tcPr>
            <w:tcW w:w="3331" w:type="dxa"/>
            <w:vAlign w:val="center"/>
          </w:tcPr>
          <w:p w14:paraId="18F0FF29"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Behaviour or decisions of persons and organizations</w:t>
            </w:r>
          </w:p>
        </w:tc>
        <w:tc>
          <w:tcPr>
            <w:tcW w:w="3331" w:type="dxa"/>
            <w:vAlign w:val="center"/>
          </w:tcPr>
          <w:p w14:paraId="70798662"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emissions; pricing; hiring; disclosure</w:t>
            </w:r>
          </w:p>
        </w:tc>
      </w:tr>
      <w:tr w:rsidR="003902C2" w:rsidRPr="00BB24A5" w14:paraId="45BCE7AA" w14:textId="77777777">
        <w:trPr>
          <w:jc w:val="center"/>
        </w:trPr>
        <w:tc>
          <w:tcPr>
            <w:tcW w:w="3331" w:type="dxa"/>
            <w:vAlign w:val="center"/>
          </w:tcPr>
          <w:p w14:paraId="0E9B5B78" w14:textId="77777777" w:rsidR="003902C2" w:rsidRPr="00BB24A5" w:rsidRDefault="00BB24A5">
            <w:pPr>
              <w:spacing w:before="30" w:after="30"/>
              <w:rPr>
                <w:rFonts w:asciiTheme="majorBidi" w:hAnsiTheme="majorBidi" w:cstheme="majorBidi"/>
                <w:b/>
                <w:bCs/>
                <w:sz w:val="22"/>
              </w:rPr>
            </w:pPr>
            <w:r w:rsidRPr="00BB24A5">
              <w:rPr>
                <w:rFonts w:asciiTheme="majorBidi" w:hAnsiTheme="majorBidi" w:cstheme="majorBidi"/>
                <w:b/>
                <w:bCs/>
                <w:sz w:val="22"/>
              </w:rPr>
              <w:t>Organizations</w:t>
            </w:r>
          </w:p>
        </w:tc>
        <w:tc>
          <w:tcPr>
            <w:tcW w:w="3331" w:type="dxa"/>
            <w:vAlign w:val="center"/>
          </w:tcPr>
          <w:p w14:paraId="7910CA22"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Internal organizational structures and capacities</w:t>
            </w:r>
          </w:p>
        </w:tc>
        <w:tc>
          <w:tcPr>
            <w:tcW w:w="3331" w:type="dxa"/>
            <w:vAlign w:val="center"/>
          </w:tcPr>
          <w:p w14:paraId="142760E5"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compliance units; boards; risk committees</w:t>
            </w:r>
          </w:p>
        </w:tc>
      </w:tr>
      <w:tr w:rsidR="003902C2" w:rsidRPr="00BB24A5" w14:paraId="0B9051F0" w14:textId="77777777">
        <w:trPr>
          <w:jc w:val="center"/>
        </w:trPr>
        <w:tc>
          <w:tcPr>
            <w:tcW w:w="3331" w:type="dxa"/>
            <w:vAlign w:val="center"/>
          </w:tcPr>
          <w:p w14:paraId="7B10409E" w14:textId="77777777" w:rsidR="003902C2" w:rsidRPr="00BB24A5" w:rsidRDefault="00BB24A5">
            <w:pPr>
              <w:spacing w:before="30" w:after="30"/>
              <w:rPr>
                <w:rFonts w:asciiTheme="majorBidi" w:hAnsiTheme="majorBidi" w:cstheme="majorBidi"/>
                <w:b/>
                <w:bCs/>
                <w:sz w:val="22"/>
              </w:rPr>
            </w:pPr>
            <w:r w:rsidRPr="00BB24A5">
              <w:rPr>
                <w:rFonts w:asciiTheme="majorBidi" w:hAnsiTheme="majorBidi" w:cstheme="majorBidi"/>
                <w:b/>
                <w:bCs/>
                <w:sz w:val="22"/>
              </w:rPr>
              <w:t>Processes</w:t>
            </w:r>
          </w:p>
        </w:tc>
        <w:tc>
          <w:tcPr>
            <w:tcW w:w="3331" w:type="dxa"/>
            <w:vAlign w:val="center"/>
          </w:tcPr>
          <w:p w14:paraId="398BE1C3"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Procedures through which decisions are made</w:t>
            </w:r>
          </w:p>
        </w:tc>
        <w:tc>
          <w:tcPr>
            <w:tcW w:w="3331" w:type="dxa"/>
            <w:vAlign w:val="center"/>
          </w:tcPr>
          <w:p w14:paraId="4660D320"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due diligence; consultation; risk assessment</w:t>
            </w:r>
          </w:p>
        </w:tc>
      </w:tr>
      <w:tr w:rsidR="003902C2" w:rsidRPr="00BB24A5" w14:paraId="762406C9" w14:textId="77777777">
        <w:trPr>
          <w:jc w:val="center"/>
        </w:trPr>
        <w:tc>
          <w:tcPr>
            <w:tcW w:w="3331" w:type="dxa"/>
            <w:vAlign w:val="center"/>
          </w:tcPr>
          <w:p w14:paraId="3AA41976" w14:textId="10051955" w:rsidR="003902C2" w:rsidRPr="00BB24A5" w:rsidRDefault="00BB24A5">
            <w:pPr>
              <w:spacing w:before="30" w:after="30"/>
              <w:rPr>
                <w:rFonts w:asciiTheme="majorBidi" w:hAnsiTheme="majorBidi" w:cstheme="majorBidi"/>
                <w:b/>
                <w:bCs/>
                <w:sz w:val="22"/>
              </w:rPr>
            </w:pPr>
            <w:r w:rsidRPr="00BB24A5">
              <w:rPr>
                <w:rFonts w:asciiTheme="majorBidi" w:hAnsiTheme="majorBidi" w:cstheme="majorBidi"/>
                <w:b/>
                <w:bCs/>
                <w:sz w:val="22"/>
              </w:rPr>
              <w:t>Information/knowledge</w:t>
            </w:r>
            <w:r w:rsidR="005219AB">
              <w:rPr>
                <w:rFonts w:asciiTheme="majorBidi" w:hAnsiTheme="majorBidi" w:cstheme="majorBidi"/>
                <w:b/>
                <w:bCs/>
                <w:sz w:val="22"/>
              </w:rPr>
              <w:t>/</w:t>
            </w:r>
            <w:r w:rsidR="00524B8E">
              <w:rPr>
                <w:rFonts w:asciiTheme="majorBidi" w:hAnsiTheme="majorBidi" w:cstheme="majorBidi"/>
                <w:b/>
                <w:bCs/>
                <w:sz w:val="22"/>
              </w:rPr>
              <w:t xml:space="preserve"> content</w:t>
            </w:r>
          </w:p>
        </w:tc>
        <w:tc>
          <w:tcPr>
            <w:tcW w:w="3331" w:type="dxa"/>
            <w:vAlign w:val="center"/>
          </w:tcPr>
          <w:p w14:paraId="4471A353" w14:textId="01380FC3" w:rsidR="003902C2" w:rsidRPr="00BB24A5" w:rsidRDefault="00524B8E">
            <w:pPr>
              <w:spacing w:before="30" w:after="30"/>
              <w:rPr>
                <w:rFonts w:asciiTheme="majorBidi" w:hAnsiTheme="majorBidi" w:cstheme="majorBidi"/>
                <w:sz w:val="22"/>
              </w:rPr>
            </w:pPr>
            <w:r>
              <w:rPr>
                <w:rFonts w:asciiTheme="majorBidi" w:hAnsiTheme="majorBidi" w:cstheme="majorBidi"/>
                <w:sz w:val="22"/>
              </w:rPr>
              <w:t xml:space="preserve">Content and its distribution, </w:t>
            </w:r>
            <w:r w:rsidR="00BB24A5" w:rsidRPr="00BB24A5">
              <w:rPr>
                <w:rFonts w:asciiTheme="majorBidi" w:hAnsiTheme="majorBidi" w:cstheme="majorBidi"/>
                <w:sz w:val="22"/>
              </w:rPr>
              <w:t>Production, classification, reporting or circulation of information</w:t>
            </w:r>
          </w:p>
        </w:tc>
        <w:tc>
          <w:tcPr>
            <w:tcW w:w="3331" w:type="dxa"/>
            <w:vAlign w:val="center"/>
          </w:tcPr>
          <w:p w14:paraId="569390BA" w14:textId="7CD7007E" w:rsidR="003902C2" w:rsidRPr="00BB24A5" w:rsidRDefault="00524B8E">
            <w:pPr>
              <w:spacing w:before="30" w:after="30"/>
              <w:rPr>
                <w:rFonts w:asciiTheme="majorBidi" w:hAnsiTheme="majorBidi" w:cstheme="majorBidi"/>
                <w:sz w:val="22"/>
              </w:rPr>
            </w:pPr>
            <w:r>
              <w:rPr>
                <w:rFonts w:asciiTheme="majorBidi" w:hAnsiTheme="majorBidi" w:cstheme="majorBidi"/>
                <w:sz w:val="22"/>
              </w:rPr>
              <w:t xml:space="preserve">Censorship; user-made-content; </w:t>
            </w:r>
            <w:r w:rsidR="00BB24A5" w:rsidRPr="00BB24A5">
              <w:rPr>
                <w:rFonts w:asciiTheme="majorBidi" w:hAnsiTheme="majorBidi" w:cstheme="majorBidi"/>
                <w:sz w:val="22"/>
              </w:rPr>
              <w:t>disclosure; registers; reporting; labels</w:t>
            </w:r>
          </w:p>
        </w:tc>
      </w:tr>
      <w:tr w:rsidR="003902C2" w:rsidRPr="00BB24A5" w14:paraId="53723465" w14:textId="77777777">
        <w:trPr>
          <w:jc w:val="center"/>
        </w:trPr>
        <w:tc>
          <w:tcPr>
            <w:tcW w:w="3331" w:type="dxa"/>
            <w:vAlign w:val="center"/>
          </w:tcPr>
          <w:p w14:paraId="5F253757" w14:textId="77777777" w:rsidR="003902C2" w:rsidRPr="00BB24A5" w:rsidRDefault="00BB24A5">
            <w:pPr>
              <w:spacing w:before="30" w:after="30"/>
              <w:rPr>
                <w:rFonts w:asciiTheme="majorBidi" w:hAnsiTheme="majorBidi" w:cstheme="majorBidi"/>
                <w:b/>
                <w:bCs/>
                <w:sz w:val="22"/>
              </w:rPr>
            </w:pPr>
            <w:r w:rsidRPr="00BB24A5">
              <w:rPr>
                <w:rFonts w:asciiTheme="majorBidi" w:hAnsiTheme="majorBidi" w:cstheme="majorBidi"/>
                <w:b/>
                <w:bCs/>
                <w:sz w:val="22"/>
              </w:rPr>
              <w:t>Products/services/technologies</w:t>
            </w:r>
          </w:p>
        </w:tc>
        <w:tc>
          <w:tcPr>
            <w:tcW w:w="3331" w:type="dxa"/>
            <w:vAlign w:val="center"/>
          </w:tcPr>
          <w:p w14:paraId="31C8FB38"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Characteristics of governed outputs or systems</w:t>
            </w:r>
          </w:p>
        </w:tc>
        <w:tc>
          <w:tcPr>
            <w:tcW w:w="3331" w:type="dxa"/>
            <w:vAlign w:val="center"/>
          </w:tcPr>
          <w:p w14:paraId="065A5B6E"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product safety; digital services; algorithms</w:t>
            </w:r>
          </w:p>
        </w:tc>
      </w:tr>
      <w:tr w:rsidR="003902C2" w:rsidRPr="00BB24A5" w14:paraId="45879CB1" w14:textId="77777777">
        <w:trPr>
          <w:jc w:val="center"/>
        </w:trPr>
        <w:tc>
          <w:tcPr>
            <w:tcW w:w="3331" w:type="dxa"/>
            <w:vAlign w:val="center"/>
          </w:tcPr>
          <w:p w14:paraId="5F50F1B0" w14:textId="77777777" w:rsidR="003902C2" w:rsidRPr="00BB24A5" w:rsidRDefault="00BB24A5">
            <w:pPr>
              <w:spacing w:before="30" w:after="30"/>
              <w:rPr>
                <w:rFonts w:asciiTheme="majorBidi" w:hAnsiTheme="majorBidi" w:cstheme="majorBidi"/>
                <w:b/>
                <w:bCs/>
                <w:sz w:val="22"/>
              </w:rPr>
            </w:pPr>
            <w:r w:rsidRPr="00BB24A5">
              <w:rPr>
                <w:rFonts w:asciiTheme="majorBidi" w:hAnsiTheme="majorBidi" w:cstheme="majorBidi"/>
                <w:b/>
                <w:bCs/>
                <w:sz w:val="22"/>
              </w:rPr>
              <w:t>Relationships</w:t>
            </w:r>
          </w:p>
        </w:tc>
        <w:tc>
          <w:tcPr>
            <w:tcW w:w="3331" w:type="dxa"/>
            <w:vAlign w:val="center"/>
          </w:tcPr>
          <w:p w14:paraId="3F54D576"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Relations between legally constituted actors</w:t>
            </w:r>
          </w:p>
        </w:tc>
        <w:tc>
          <w:tcPr>
            <w:tcW w:w="3331" w:type="dxa"/>
            <w:vAlign w:val="center"/>
          </w:tcPr>
          <w:p w14:paraId="348DF89E"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auditor-client; platform-user; employer-worker</w:t>
            </w:r>
          </w:p>
        </w:tc>
      </w:tr>
      <w:tr w:rsidR="003902C2" w:rsidRPr="00BB24A5" w14:paraId="51E51FD3" w14:textId="77777777">
        <w:trPr>
          <w:jc w:val="center"/>
        </w:trPr>
        <w:tc>
          <w:tcPr>
            <w:tcW w:w="3331" w:type="dxa"/>
            <w:vAlign w:val="center"/>
          </w:tcPr>
          <w:p w14:paraId="7E92FD3A" w14:textId="77777777" w:rsidR="003902C2" w:rsidRPr="00BB24A5" w:rsidRDefault="00BB24A5">
            <w:pPr>
              <w:spacing w:before="30" w:after="30"/>
              <w:rPr>
                <w:rFonts w:asciiTheme="majorBidi" w:hAnsiTheme="majorBidi" w:cstheme="majorBidi"/>
                <w:b/>
                <w:bCs/>
                <w:sz w:val="22"/>
              </w:rPr>
            </w:pPr>
            <w:r w:rsidRPr="00BB24A5">
              <w:rPr>
                <w:rFonts w:asciiTheme="majorBidi" w:hAnsiTheme="majorBidi" w:cstheme="majorBidi"/>
                <w:b/>
                <w:bCs/>
                <w:sz w:val="22"/>
              </w:rPr>
              <w:t>Risks</w:t>
            </w:r>
          </w:p>
        </w:tc>
        <w:tc>
          <w:tcPr>
            <w:tcW w:w="3331" w:type="dxa"/>
            <w:vAlign w:val="center"/>
          </w:tcPr>
          <w:p w14:paraId="68098C7C"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Identification, assessment and management of possible harms</w:t>
            </w:r>
          </w:p>
        </w:tc>
        <w:tc>
          <w:tcPr>
            <w:tcW w:w="3331" w:type="dxa"/>
            <w:vAlign w:val="center"/>
          </w:tcPr>
          <w:p w14:paraId="515F58F9"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financial; environmental; digital risks</w:t>
            </w:r>
          </w:p>
        </w:tc>
      </w:tr>
      <w:tr w:rsidR="003902C2" w:rsidRPr="00BB24A5" w14:paraId="61F61F91" w14:textId="77777777">
        <w:trPr>
          <w:jc w:val="center"/>
        </w:trPr>
        <w:tc>
          <w:tcPr>
            <w:tcW w:w="3331" w:type="dxa"/>
            <w:vAlign w:val="center"/>
          </w:tcPr>
          <w:p w14:paraId="27272177" w14:textId="77777777" w:rsidR="005219AB" w:rsidRDefault="00BB24A5">
            <w:pPr>
              <w:spacing w:before="30" w:after="30"/>
              <w:rPr>
                <w:rFonts w:asciiTheme="majorBidi" w:hAnsiTheme="majorBidi" w:cstheme="majorBidi"/>
                <w:b/>
                <w:bCs/>
                <w:sz w:val="22"/>
              </w:rPr>
            </w:pPr>
            <w:r w:rsidRPr="00BB24A5">
              <w:rPr>
                <w:rFonts w:asciiTheme="majorBidi" w:hAnsiTheme="majorBidi" w:cstheme="majorBidi"/>
                <w:b/>
                <w:bCs/>
                <w:sz w:val="22"/>
              </w:rPr>
              <w:t>Governance systems</w:t>
            </w:r>
            <w:r w:rsidR="005219AB">
              <w:rPr>
                <w:rFonts w:asciiTheme="majorBidi" w:hAnsiTheme="majorBidi" w:cstheme="majorBidi"/>
                <w:b/>
                <w:bCs/>
                <w:sz w:val="22"/>
              </w:rPr>
              <w:t xml:space="preserve"> </w:t>
            </w:r>
          </w:p>
          <w:p w14:paraId="5E02B38C" w14:textId="42875440" w:rsidR="003902C2" w:rsidRPr="00BB24A5" w:rsidRDefault="005219AB">
            <w:pPr>
              <w:spacing w:before="30" w:after="30"/>
              <w:rPr>
                <w:rFonts w:asciiTheme="majorBidi" w:hAnsiTheme="majorBidi" w:cstheme="majorBidi"/>
                <w:b/>
                <w:bCs/>
                <w:sz w:val="22"/>
              </w:rPr>
            </w:pPr>
            <w:r>
              <w:rPr>
                <w:rFonts w:asciiTheme="majorBidi" w:hAnsiTheme="majorBidi" w:cstheme="majorBidi"/>
                <w:b/>
                <w:bCs/>
                <w:sz w:val="22"/>
              </w:rPr>
              <w:t>(Regulating the regulator)</w:t>
            </w:r>
          </w:p>
        </w:tc>
        <w:tc>
          <w:tcPr>
            <w:tcW w:w="3331" w:type="dxa"/>
            <w:vAlign w:val="center"/>
          </w:tcPr>
          <w:p w14:paraId="28AEF028"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Actors and processes that themselves perform governance</w:t>
            </w:r>
          </w:p>
        </w:tc>
        <w:tc>
          <w:tcPr>
            <w:tcW w:w="3331" w:type="dxa"/>
            <w:vAlign w:val="center"/>
          </w:tcPr>
          <w:p w14:paraId="5A3FF064"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regulators; auditors; certifiers; accreditation systems</w:t>
            </w:r>
          </w:p>
        </w:tc>
      </w:tr>
    </w:tbl>
    <w:p w14:paraId="70C564F9" w14:textId="77777777" w:rsidR="00524B8E" w:rsidRDefault="00524B8E">
      <w:pPr>
        <w:spacing w:after="200" w:line="276" w:lineRule="auto"/>
        <w:rPr>
          <w:rFonts w:asciiTheme="majorBidi" w:eastAsiaTheme="majorEastAsia" w:hAnsiTheme="majorBidi" w:cstheme="majorBidi"/>
          <w:b/>
          <w:bCs/>
          <w:color w:val="4F81BD" w:themeColor="accent1"/>
          <w:sz w:val="24"/>
          <w:szCs w:val="24"/>
        </w:rPr>
      </w:pPr>
      <w:r>
        <w:rPr>
          <w:rFonts w:asciiTheme="majorBidi" w:hAnsiTheme="majorBidi"/>
          <w:sz w:val="24"/>
          <w:szCs w:val="24"/>
        </w:rPr>
        <w:br w:type="page"/>
      </w:r>
    </w:p>
    <w:p w14:paraId="3A25E574" w14:textId="465E425C" w:rsidR="003902C2" w:rsidRPr="00094FA3" w:rsidRDefault="00BB24A5" w:rsidP="00094FA3">
      <w:pPr>
        <w:rPr>
          <w:rFonts w:asciiTheme="majorBidi" w:hAnsiTheme="majorBidi" w:cstheme="majorBidi"/>
          <w:b/>
          <w:bCs/>
          <w:sz w:val="24"/>
          <w:szCs w:val="24"/>
        </w:rPr>
      </w:pPr>
      <w:r w:rsidRPr="00094FA3">
        <w:rPr>
          <w:rFonts w:asciiTheme="majorBidi" w:hAnsiTheme="majorBidi" w:cstheme="majorBidi"/>
          <w:b/>
          <w:bCs/>
          <w:sz w:val="24"/>
          <w:szCs w:val="24"/>
        </w:rPr>
        <w:lastRenderedPageBreak/>
        <w:t>3.2 Actors: who governs and who is governed?</w:t>
      </w:r>
    </w:p>
    <w:p w14:paraId="5AE05C92" w14:textId="43559C69" w:rsidR="003902C2" w:rsidRDefault="00BB24A5" w:rsidP="00444355">
      <w:pPr>
        <w:jc w:val="both"/>
        <w:rPr>
          <w:rFonts w:asciiTheme="majorBidi" w:hAnsiTheme="majorBidi" w:cstheme="majorBidi"/>
          <w:sz w:val="24"/>
          <w:szCs w:val="24"/>
        </w:rPr>
      </w:pPr>
      <w:r w:rsidRPr="00BB24A5">
        <w:rPr>
          <w:rFonts w:asciiTheme="majorBidi" w:hAnsiTheme="majorBidi" w:cstheme="majorBidi"/>
          <w:sz w:val="24"/>
          <w:szCs w:val="24"/>
        </w:rPr>
        <w:t xml:space="preserve">Legal texts populate governance systems. They create public authorities, recognize private organizations, authorize professionals and assign responsibilities to firms, associations, standards bodies, auditors, courts and citizens. </w:t>
      </w:r>
    </w:p>
    <w:p w14:paraId="243E2D5E" w14:textId="77777777" w:rsidR="00BB24A5" w:rsidRPr="00BB24A5" w:rsidRDefault="00BB24A5">
      <w:pPr>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3328"/>
        <w:gridCol w:w="3328"/>
        <w:gridCol w:w="3328"/>
      </w:tblGrid>
      <w:tr w:rsidR="003902C2" w:rsidRPr="00BB24A5" w14:paraId="16B3C68D" w14:textId="77777777">
        <w:trPr>
          <w:jc w:val="center"/>
        </w:trPr>
        <w:tc>
          <w:tcPr>
            <w:tcW w:w="3331" w:type="dxa"/>
            <w:vAlign w:val="center"/>
          </w:tcPr>
          <w:p w14:paraId="6C4C272D"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Actor family</w:t>
            </w:r>
          </w:p>
        </w:tc>
        <w:tc>
          <w:tcPr>
            <w:tcW w:w="3331" w:type="dxa"/>
            <w:vAlign w:val="center"/>
          </w:tcPr>
          <w:p w14:paraId="4087D6E5"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Typical functions</w:t>
            </w:r>
          </w:p>
        </w:tc>
        <w:tc>
          <w:tcPr>
            <w:tcW w:w="3331" w:type="dxa"/>
            <w:vAlign w:val="center"/>
          </w:tcPr>
          <w:p w14:paraId="364BD83F"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Possible relational position</w:t>
            </w:r>
          </w:p>
        </w:tc>
      </w:tr>
      <w:tr w:rsidR="00444355" w:rsidRPr="00BB24A5" w14:paraId="2D121E64" w14:textId="77777777">
        <w:trPr>
          <w:jc w:val="center"/>
        </w:trPr>
        <w:tc>
          <w:tcPr>
            <w:tcW w:w="3331" w:type="dxa"/>
            <w:vAlign w:val="center"/>
          </w:tcPr>
          <w:p w14:paraId="21002C71" w14:textId="7C20C282" w:rsidR="00444355" w:rsidRPr="00BB24A5" w:rsidRDefault="00444355">
            <w:pPr>
              <w:spacing w:before="30" w:after="30"/>
              <w:rPr>
                <w:rFonts w:asciiTheme="majorBidi" w:hAnsiTheme="majorBidi" w:cstheme="majorBidi"/>
                <w:b/>
                <w:bCs/>
                <w:sz w:val="24"/>
                <w:szCs w:val="24"/>
              </w:rPr>
            </w:pPr>
            <w:r>
              <w:rPr>
                <w:rFonts w:asciiTheme="majorBidi" w:hAnsiTheme="majorBidi" w:cstheme="majorBidi"/>
                <w:b/>
                <w:bCs/>
                <w:sz w:val="24"/>
                <w:szCs w:val="24"/>
              </w:rPr>
              <w:t>R/I/T/B</w:t>
            </w:r>
          </w:p>
        </w:tc>
        <w:tc>
          <w:tcPr>
            <w:tcW w:w="3331" w:type="dxa"/>
            <w:vAlign w:val="center"/>
          </w:tcPr>
          <w:p w14:paraId="1EB5A665" w14:textId="46A7C6A0" w:rsidR="00444355" w:rsidRPr="00BB24A5" w:rsidRDefault="00444355">
            <w:pPr>
              <w:spacing w:before="30" w:after="30"/>
              <w:rPr>
                <w:rFonts w:asciiTheme="majorBidi" w:hAnsiTheme="majorBidi" w:cstheme="majorBidi"/>
                <w:sz w:val="24"/>
                <w:szCs w:val="24"/>
              </w:rPr>
            </w:pPr>
            <w:r>
              <w:rPr>
                <w:rFonts w:asciiTheme="majorBidi" w:hAnsiTheme="majorBidi" w:cstheme="majorBidi"/>
                <w:sz w:val="24"/>
                <w:szCs w:val="24"/>
              </w:rPr>
              <w:t>Rule-maker; Rule-Taker; Rule-Intermediaries; Rule-Beneficiaries</w:t>
            </w:r>
          </w:p>
        </w:tc>
        <w:tc>
          <w:tcPr>
            <w:tcW w:w="3331" w:type="dxa"/>
            <w:vAlign w:val="center"/>
          </w:tcPr>
          <w:p w14:paraId="39BD4523" w14:textId="5E998A25" w:rsidR="00444355" w:rsidRPr="00BB24A5" w:rsidRDefault="00444355">
            <w:pPr>
              <w:spacing w:before="30" w:after="30"/>
              <w:rPr>
                <w:rFonts w:asciiTheme="majorBidi" w:hAnsiTheme="majorBidi" w:cstheme="majorBidi"/>
                <w:sz w:val="24"/>
                <w:szCs w:val="24"/>
              </w:rPr>
            </w:pPr>
            <w:r>
              <w:rPr>
                <w:rFonts w:asciiTheme="majorBidi" w:hAnsiTheme="majorBidi" w:cstheme="majorBidi"/>
                <w:sz w:val="24"/>
                <w:szCs w:val="24"/>
              </w:rPr>
              <w:t xml:space="preserve">Multiple; overlapping </w:t>
            </w:r>
          </w:p>
        </w:tc>
      </w:tr>
      <w:tr w:rsidR="003902C2" w:rsidRPr="00BB24A5" w14:paraId="72BA065E" w14:textId="77777777">
        <w:trPr>
          <w:jc w:val="center"/>
        </w:trPr>
        <w:tc>
          <w:tcPr>
            <w:tcW w:w="3331" w:type="dxa"/>
            <w:vAlign w:val="center"/>
          </w:tcPr>
          <w:p w14:paraId="09D4C4A6"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Political institutions</w:t>
            </w:r>
          </w:p>
        </w:tc>
        <w:tc>
          <w:tcPr>
            <w:tcW w:w="3331" w:type="dxa"/>
            <w:vAlign w:val="center"/>
          </w:tcPr>
          <w:p w14:paraId="4288DB56"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authorization; goal-setting; oversight</w:t>
            </w:r>
          </w:p>
        </w:tc>
        <w:tc>
          <w:tcPr>
            <w:tcW w:w="3331" w:type="dxa"/>
            <w:vAlign w:val="center"/>
          </w:tcPr>
          <w:p w14:paraId="17535394"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rule-maker / principal</w:t>
            </w:r>
          </w:p>
        </w:tc>
      </w:tr>
      <w:tr w:rsidR="003902C2" w:rsidRPr="00BB24A5" w14:paraId="62D75CFB" w14:textId="77777777">
        <w:trPr>
          <w:jc w:val="center"/>
        </w:trPr>
        <w:tc>
          <w:tcPr>
            <w:tcW w:w="3331" w:type="dxa"/>
            <w:vAlign w:val="center"/>
          </w:tcPr>
          <w:p w14:paraId="6593276D"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Administrative bodies</w:t>
            </w:r>
          </w:p>
        </w:tc>
        <w:tc>
          <w:tcPr>
            <w:tcW w:w="3331" w:type="dxa"/>
            <w:vAlign w:val="center"/>
          </w:tcPr>
          <w:p w14:paraId="595C745C"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rule-making; licensing; monitoring; enforcement</w:t>
            </w:r>
          </w:p>
        </w:tc>
        <w:tc>
          <w:tcPr>
            <w:tcW w:w="3331" w:type="dxa"/>
            <w:vAlign w:val="center"/>
          </w:tcPr>
          <w:p w14:paraId="4AE8DF9D"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regulator / intermediary / target</w:t>
            </w:r>
          </w:p>
        </w:tc>
      </w:tr>
      <w:tr w:rsidR="003902C2" w:rsidRPr="00BB24A5" w14:paraId="05917280" w14:textId="77777777">
        <w:trPr>
          <w:jc w:val="center"/>
        </w:trPr>
        <w:tc>
          <w:tcPr>
            <w:tcW w:w="3331" w:type="dxa"/>
            <w:vAlign w:val="center"/>
          </w:tcPr>
          <w:p w14:paraId="7B16E5F1"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Courts and tribunals</w:t>
            </w:r>
          </w:p>
        </w:tc>
        <w:tc>
          <w:tcPr>
            <w:tcW w:w="3331" w:type="dxa"/>
            <w:vAlign w:val="center"/>
          </w:tcPr>
          <w:p w14:paraId="388049CF"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interpretation; review; remedy</w:t>
            </w:r>
          </w:p>
        </w:tc>
        <w:tc>
          <w:tcPr>
            <w:tcW w:w="3331" w:type="dxa"/>
            <w:vAlign w:val="center"/>
          </w:tcPr>
          <w:p w14:paraId="2C9C5C66"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reviewer / enforcer</w:t>
            </w:r>
          </w:p>
        </w:tc>
      </w:tr>
      <w:tr w:rsidR="003902C2" w:rsidRPr="00BB24A5" w14:paraId="33A941E2" w14:textId="77777777">
        <w:trPr>
          <w:jc w:val="center"/>
        </w:trPr>
        <w:tc>
          <w:tcPr>
            <w:tcW w:w="3331" w:type="dxa"/>
            <w:vAlign w:val="center"/>
          </w:tcPr>
          <w:p w14:paraId="37E249E1"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Firms and regulated organizations</w:t>
            </w:r>
          </w:p>
        </w:tc>
        <w:tc>
          <w:tcPr>
            <w:tcW w:w="3331" w:type="dxa"/>
            <w:vAlign w:val="center"/>
          </w:tcPr>
          <w:p w14:paraId="7F390B1C"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implementation; reporting; internal control</w:t>
            </w:r>
          </w:p>
        </w:tc>
        <w:tc>
          <w:tcPr>
            <w:tcW w:w="3331" w:type="dxa"/>
            <w:vAlign w:val="center"/>
          </w:tcPr>
          <w:p w14:paraId="4A6C3139"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target / self-regulator / intermediary</w:t>
            </w:r>
          </w:p>
        </w:tc>
      </w:tr>
      <w:tr w:rsidR="003902C2" w:rsidRPr="00BB24A5" w14:paraId="1CDF5C4F" w14:textId="77777777">
        <w:trPr>
          <w:jc w:val="center"/>
        </w:trPr>
        <w:tc>
          <w:tcPr>
            <w:tcW w:w="3331" w:type="dxa"/>
            <w:vAlign w:val="center"/>
          </w:tcPr>
          <w:p w14:paraId="7F513D56"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Professional and sectoral associations</w:t>
            </w:r>
          </w:p>
        </w:tc>
        <w:tc>
          <w:tcPr>
            <w:tcW w:w="3331" w:type="dxa"/>
            <w:vAlign w:val="center"/>
          </w:tcPr>
          <w:p w14:paraId="6AAAFBF5"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standards; discipline; expertise</w:t>
            </w:r>
          </w:p>
        </w:tc>
        <w:tc>
          <w:tcPr>
            <w:tcW w:w="3331" w:type="dxa"/>
            <w:vAlign w:val="center"/>
          </w:tcPr>
          <w:p w14:paraId="3C90DF9D"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intermediary / self-regulator</w:t>
            </w:r>
          </w:p>
        </w:tc>
      </w:tr>
      <w:tr w:rsidR="003902C2" w:rsidRPr="00BB24A5" w14:paraId="626F004D" w14:textId="77777777">
        <w:trPr>
          <w:jc w:val="center"/>
        </w:trPr>
        <w:tc>
          <w:tcPr>
            <w:tcW w:w="3331" w:type="dxa"/>
            <w:vAlign w:val="center"/>
          </w:tcPr>
          <w:p w14:paraId="3FE5071C"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Standards and accreditation bodies</w:t>
            </w:r>
          </w:p>
        </w:tc>
        <w:tc>
          <w:tcPr>
            <w:tcW w:w="3331" w:type="dxa"/>
            <w:vAlign w:val="center"/>
          </w:tcPr>
          <w:p w14:paraId="504E90CB"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standardization; authorization; quality control</w:t>
            </w:r>
          </w:p>
        </w:tc>
        <w:tc>
          <w:tcPr>
            <w:tcW w:w="3331" w:type="dxa"/>
            <w:vAlign w:val="center"/>
          </w:tcPr>
          <w:p w14:paraId="71158A7E"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meta-regulator / intermediary</w:t>
            </w:r>
          </w:p>
        </w:tc>
      </w:tr>
      <w:tr w:rsidR="003902C2" w:rsidRPr="00BB24A5" w14:paraId="559F8B20" w14:textId="77777777">
        <w:trPr>
          <w:jc w:val="center"/>
        </w:trPr>
        <w:tc>
          <w:tcPr>
            <w:tcW w:w="3331" w:type="dxa"/>
            <w:vAlign w:val="center"/>
          </w:tcPr>
          <w:p w14:paraId="576B85FA"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Auditors, certifiers and verifiers</w:t>
            </w:r>
          </w:p>
        </w:tc>
        <w:tc>
          <w:tcPr>
            <w:tcW w:w="3331" w:type="dxa"/>
            <w:vAlign w:val="center"/>
          </w:tcPr>
          <w:p w14:paraId="52FFB943"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monitoring; verification; assurance</w:t>
            </w:r>
          </w:p>
        </w:tc>
        <w:tc>
          <w:tcPr>
            <w:tcW w:w="3331" w:type="dxa"/>
            <w:vAlign w:val="center"/>
          </w:tcPr>
          <w:p w14:paraId="37731954"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intermediary</w:t>
            </w:r>
          </w:p>
        </w:tc>
      </w:tr>
      <w:tr w:rsidR="003902C2" w:rsidRPr="00BB24A5" w14:paraId="15789268" w14:textId="77777777">
        <w:trPr>
          <w:jc w:val="center"/>
        </w:trPr>
        <w:tc>
          <w:tcPr>
            <w:tcW w:w="3331" w:type="dxa"/>
            <w:vAlign w:val="center"/>
          </w:tcPr>
          <w:p w14:paraId="64A91BC5"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Civil society and media</w:t>
            </w:r>
          </w:p>
        </w:tc>
        <w:tc>
          <w:tcPr>
            <w:tcW w:w="3331" w:type="dxa"/>
            <w:vAlign w:val="center"/>
          </w:tcPr>
          <w:p w14:paraId="469B49E7"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monitoring; representation; reputational pressure</w:t>
            </w:r>
          </w:p>
        </w:tc>
        <w:tc>
          <w:tcPr>
            <w:tcW w:w="3331" w:type="dxa"/>
            <w:vAlign w:val="center"/>
          </w:tcPr>
          <w:p w14:paraId="4E6F0DFD"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watchdog / beneficiary / intermediary</w:t>
            </w:r>
          </w:p>
        </w:tc>
      </w:tr>
      <w:tr w:rsidR="003902C2" w:rsidRPr="00BB24A5" w14:paraId="1576892A" w14:textId="77777777">
        <w:trPr>
          <w:jc w:val="center"/>
        </w:trPr>
        <w:tc>
          <w:tcPr>
            <w:tcW w:w="3331" w:type="dxa"/>
            <w:vAlign w:val="center"/>
          </w:tcPr>
          <w:p w14:paraId="4D955E0C"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Citizens, workers, consumers, investors</w:t>
            </w:r>
          </w:p>
        </w:tc>
        <w:tc>
          <w:tcPr>
            <w:tcW w:w="3331" w:type="dxa"/>
            <w:vAlign w:val="center"/>
          </w:tcPr>
          <w:p w14:paraId="7645CA06"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rights claims; participation; information use</w:t>
            </w:r>
          </w:p>
        </w:tc>
        <w:tc>
          <w:tcPr>
            <w:tcW w:w="3331" w:type="dxa"/>
            <w:vAlign w:val="center"/>
          </w:tcPr>
          <w:p w14:paraId="6E6435F2"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beneficiary / target / monitor</w:t>
            </w:r>
          </w:p>
        </w:tc>
      </w:tr>
    </w:tbl>
    <w:p w14:paraId="46367201" w14:textId="77777777" w:rsidR="00FC6A57" w:rsidRDefault="00FC6A57">
      <w:pPr>
        <w:pStyle w:val="Heading1"/>
        <w:rPr>
          <w:rFonts w:asciiTheme="majorBidi" w:hAnsiTheme="majorBidi"/>
          <w:color w:val="auto"/>
          <w:sz w:val="24"/>
          <w:szCs w:val="24"/>
        </w:rPr>
      </w:pPr>
    </w:p>
    <w:p w14:paraId="4026E280" w14:textId="77777777" w:rsidR="00FC6A57" w:rsidRDefault="00FC6A57">
      <w:pPr>
        <w:spacing w:after="200" w:line="276" w:lineRule="auto"/>
        <w:rPr>
          <w:rFonts w:asciiTheme="majorBidi" w:eastAsiaTheme="majorEastAsia" w:hAnsiTheme="majorBidi" w:cstheme="majorBidi"/>
          <w:b/>
          <w:bCs/>
          <w:sz w:val="24"/>
          <w:szCs w:val="24"/>
        </w:rPr>
      </w:pPr>
      <w:r>
        <w:rPr>
          <w:rFonts w:asciiTheme="majorBidi" w:hAnsiTheme="majorBidi"/>
          <w:sz w:val="24"/>
          <w:szCs w:val="24"/>
        </w:rPr>
        <w:br w:type="page"/>
      </w:r>
    </w:p>
    <w:p w14:paraId="5A696D65" w14:textId="4701E813" w:rsidR="003902C2" w:rsidRPr="00BB24A5" w:rsidRDefault="00524B8E">
      <w:pPr>
        <w:pStyle w:val="Heading2"/>
        <w:rPr>
          <w:rFonts w:asciiTheme="majorBidi" w:hAnsiTheme="majorBidi"/>
          <w:color w:val="auto"/>
          <w:sz w:val="24"/>
          <w:szCs w:val="24"/>
        </w:rPr>
      </w:pPr>
      <w:r>
        <w:rPr>
          <w:rFonts w:asciiTheme="majorBidi" w:hAnsiTheme="majorBidi"/>
          <w:color w:val="auto"/>
          <w:sz w:val="24"/>
          <w:szCs w:val="24"/>
        </w:rPr>
        <w:lastRenderedPageBreak/>
        <w:t xml:space="preserve">3.3 </w:t>
      </w:r>
      <w:r w:rsidR="00BB24A5" w:rsidRPr="00BB24A5">
        <w:rPr>
          <w:rFonts w:asciiTheme="majorBidi" w:hAnsiTheme="majorBidi"/>
          <w:color w:val="auto"/>
          <w:sz w:val="24"/>
          <w:szCs w:val="24"/>
        </w:rPr>
        <w:t>Functions</w:t>
      </w:r>
    </w:p>
    <w:p w14:paraId="19969A07" w14:textId="59069A3B" w:rsidR="00BB24A5" w:rsidRDefault="00BB24A5" w:rsidP="00BB24A5">
      <w:pPr>
        <w:spacing w:line="276" w:lineRule="auto"/>
        <w:rPr>
          <w:rFonts w:asciiTheme="majorBidi" w:hAnsiTheme="majorBidi" w:cstheme="majorBidi"/>
          <w:sz w:val="24"/>
          <w:szCs w:val="24"/>
        </w:rPr>
      </w:pPr>
      <w:r w:rsidRPr="00BB24A5">
        <w:rPr>
          <w:rFonts w:asciiTheme="majorBidi" w:hAnsiTheme="majorBidi" w:cstheme="majorBidi"/>
          <w:sz w:val="24"/>
          <w:szCs w:val="24"/>
        </w:rPr>
        <w:t>Functions identify the governance work actors perform. They include rule-making and standard-setting; implementation; interpretation and translation; information provision; monitoring; verification</w:t>
      </w:r>
      <w:r w:rsidR="00524B8E">
        <w:rPr>
          <w:rFonts w:asciiTheme="majorBidi" w:hAnsiTheme="majorBidi" w:cstheme="majorBidi"/>
          <w:sz w:val="24"/>
          <w:szCs w:val="24"/>
        </w:rPr>
        <w:t>;</w:t>
      </w:r>
      <w:r w:rsidRPr="00BB24A5">
        <w:rPr>
          <w:rFonts w:asciiTheme="majorBidi" w:hAnsiTheme="majorBidi" w:cstheme="majorBidi"/>
          <w:sz w:val="24"/>
          <w:szCs w:val="24"/>
        </w:rPr>
        <w:t xml:space="preserve"> assurance; investigation; enforcement; adjudication and dispute resolution; remediation; and review. Separating functions from</w:t>
      </w:r>
      <w:r w:rsidR="00524B8E">
        <w:rPr>
          <w:rFonts w:asciiTheme="majorBidi" w:hAnsiTheme="majorBidi" w:cstheme="majorBidi"/>
          <w:sz w:val="24"/>
          <w:szCs w:val="24"/>
        </w:rPr>
        <w:t xml:space="preserve"> actors and</w:t>
      </w:r>
      <w:r w:rsidRPr="00BB24A5">
        <w:rPr>
          <w:rFonts w:asciiTheme="majorBidi" w:hAnsiTheme="majorBidi" w:cstheme="majorBidi"/>
          <w:sz w:val="24"/>
          <w:szCs w:val="24"/>
        </w:rPr>
        <w:t xml:space="preserve"> </w:t>
      </w:r>
      <w:r w:rsidR="00524B8E">
        <w:rPr>
          <w:rFonts w:asciiTheme="majorBidi" w:hAnsiTheme="majorBidi" w:cstheme="majorBidi"/>
          <w:sz w:val="24"/>
          <w:szCs w:val="24"/>
        </w:rPr>
        <w:t xml:space="preserve">mechanism </w:t>
      </w:r>
      <w:r w:rsidRPr="00BB24A5">
        <w:rPr>
          <w:rFonts w:asciiTheme="majorBidi" w:hAnsiTheme="majorBidi" w:cstheme="majorBidi"/>
          <w:sz w:val="24"/>
          <w:szCs w:val="24"/>
        </w:rPr>
        <w:t>permit comparison of the division of regulatory labour: the same function may be performed by a ministry, agency, association, firm, auditor or civil-society organization.</w:t>
      </w:r>
      <w:r w:rsidR="00524B8E">
        <w:rPr>
          <w:rFonts w:asciiTheme="majorBidi" w:hAnsiTheme="majorBidi" w:cstheme="majorBidi"/>
          <w:sz w:val="24"/>
          <w:szCs w:val="24"/>
        </w:rPr>
        <w:t xml:space="preserve"> Similarly, the same function may be achieved by different mechanisms. </w:t>
      </w:r>
    </w:p>
    <w:p w14:paraId="6D57B8B3" w14:textId="77777777" w:rsidR="00444355" w:rsidRDefault="00444355" w:rsidP="00BB24A5">
      <w:pPr>
        <w:spacing w:line="276" w:lineRule="auto"/>
        <w:rPr>
          <w:rFonts w:asciiTheme="majorBidi" w:hAnsiTheme="majorBidi" w:cstheme="majorBidi"/>
          <w:sz w:val="24"/>
          <w:szCs w:val="24"/>
        </w:rPr>
      </w:pPr>
    </w:p>
    <w:tbl>
      <w:tblPr>
        <w:tblW w:w="10000" w:type="dxa"/>
        <w:tblInd w:w="80" w:type="dxa"/>
        <w:tblLayout w:type="fixed"/>
        <w:tblCellMar>
          <w:left w:w="80" w:type="dxa"/>
          <w:right w:w="80" w:type="dxa"/>
        </w:tblCellMar>
        <w:tblLook w:val="0000" w:firstRow="0" w:lastRow="0" w:firstColumn="0" w:lastColumn="0" w:noHBand="0" w:noVBand="0"/>
      </w:tblPr>
      <w:tblGrid>
        <w:gridCol w:w="3000"/>
        <w:gridCol w:w="3900"/>
        <w:gridCol w:w="3100"/>
      </w:tblGrid>
      <w:tr w:rsidR="00444355" w14:paraId="2773E641" w14:textId="77777777" w:rsidTr="0017123D">
        <w:tc>
          <w:tcPr>
            <w:tcW w:w="3000" w:type="dxa"/>
            <w:tcBorders>
              <w:top w:val="single" w:sz="4" w:space="0" w:color="auto"/>
              <w:left w:val="single" w:sz="4" w:space="0" w:color="auto"/>
              <w:bottom w:val="single" w:sz="4" w:space="0" w:color="auto"/>
              <w:right w:val="single" w:sz="4" w:space="0" w:color="auto"/>
            </w:tcBorders>
          </w:tcPr>
          <w:p w14:paraId="23E1E167"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b/>
                <w:bCs/>
                <w:sz w:val="24"/>
                <w:szCs w:val="24"/>
              </w:rPr>
              <w:t>Function</w:t>
            </w:r>
          </w:p>
        </w:tc>
        <w:tc>
          <w:tcPr>
            <w:tcW w:w="3900" w:type="dxa"/>
            <w:tcBorders>
              <w:top w:val="single" w:sz="4" w:space="0" w:color="auto"/>
              <w:left w:val="single" w:sz="4" w:space="0" w:color="auto"/>
              <w:bottom w:val="single" w:sz="4" w:space="0" w:color="auto"/>
              <w:right w:val="single" w:sz="4" w:space="0" w:color="auto"/>
            </w:tcBorders>
          </w:tcPr>
          <w:p w14:paraId="2B90FCF8"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b/>
                <w:bCs/>
                <w:sz w:val="24"/>
                <w:szCs w:val="24"/>
              </w:rPr>
              <w:t>Governance work performed</w:t>
            </w:r>
          </w:p>
        </w:tc>
        <w:tc>
          <w:tcPr>
            <w:tcW w:w="3100" w:type="dxa"/>
            <w:tcBorders>
              <w:top w:val="single" w:sz="4" w:space="0" w:color="auto"/>
              <w:left w:val="single" w:sz="4" w:space="0" w:color="auto"/>
              <w:bottom w:val="single" w:sz="4" w:space="0" w:color="auto"/>
              <w:right w:val="single" w:sz="4" w:space="0" w:color="auto"/>
            </w:tcBorders>
          </w:tcPr>
          <w:p w14:paraId="744573AF"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b/>
                <w:bCs/>
                <w:sz w:val="24"/>
                <w:szCs w:val="24"/>
              </w:rPr>
              <w:t>Illustrative legal device</w:t>
            </w:r>
          </w:p>
        </w:tc>
      </w:tr>
      <w:tr w:rsidR="00444355" w14:paraId="7F9B81D0" w14:textId="77777777" w:rsidTr="0017123D">
        <w:tc>
          <w:tcPr>
            <w:tcW w:w="3000" w:type="dxa"/>
            <w:tcBorders>
              <w:top w:val="single" w:sz="4" w:space="0" w:color="auto"/>
              <w:left w:val="single" w:sz="4" w:space="0" w:color="auto"/>
              <w:bottom w:val="single" w:sz="4" w:space="0" w:color="auto"/>
              <w:right w:val="single" w:sz="4" w:space="0" w:color="auto"/>
            </w:tcBorders>
          </w:tcPr>
          <w:p w14:paraId="245511D3"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Rule-making and standard-setting</w:t>
            </w:r>
          </w:p>
        </w:tc>
        <w:tc>
          <w:tcPr>
            <w:tcW w:w="3900" w:type="dxa"/>
            <w:tcBorders>
              <w:top w:val="single" w:sz="4" w:space="0" w:color="auto"/>
              <w:left w:val="single" w:sz="4" w:space="0" w:color="auto"/>
              <w:bottom w:val="single" w:sz="4" w:space="0" w:color="auto"/>
              <w:right w:val="single" w:sz="4" w:space="0" w:color="auto"/>
            </w:tcBorders>
          </w:tcPr>
          <w:p w14:paraId="6E9986B1"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Formulates binding rules, technical standards, benchmarks, or codes that specify expected conduct or performance.</w:t>
            </w:r>
          </w:p>
        </w:tc>
        <w:tc>
          <w:tcPr>
            <w:tcW w:w="3100" w:type="dxa"/>
            <w:tcBorders>
              <w:top w:val="single" w:sz="4" w:space="0" w:color="auto"/>
              <w:left w:val="single" w:sz="4" w:space="0" w:color="auto"/>
              <w:bottom w:val="single" w:sz="4" w:space="0" w:color="auto"/>
              <w:right w:val="single" w:sz="4" w:space="0" w:color="auto"/>
            </w:tcBorders>
          </w:tcPr>
          <w:p w14:paraId="12D1399A"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Delegated regulation; technical standard; statutory code; binding guideline.</w:t>
            </w:r>
          </w:p>
        </w:tc>
      </w:tr>
      <w:tr w:rsidR="00444355" w14:paraId="7A9DBD37" w14:textId="77777777" w:rsidTr="0017123D">
        <w:tc>
          <w:tcPr>
            <w:tcW w:w="3000" w:type="dxa"/>
            <w:tcBorders>
              <w:top w:val="single" w:sz="4" w:space="0" w:color="auto"/>
              <w:left w:val="single" w:sz="4" w:space="0" w:color="auto"/>
              <w:bottom w:val="single" w:sz="4" w:space="0" w:color="auto"/>
              <w:right w:val="single" w:sz="4" w:space="0" w:color="auto"/>
            </w:tcBorders>
          </w:tcPr>
          <w:p w14:paraId="0BD00399"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Implementation</w:t>
            </w:r>
          </w:p>
        </w:tc>
        <w:tc>
          <w:tcPr>
            <w:tcW w:w="3900" w:type="dxa"/>
            <w:tcBorders>
              <w:top w:val="single" w:sz="4" w:space="0" w:color="auto"/>
              <w:left w:val="single" w:sz="4" w:space="0" w:color="auto"/>
              <w:bottom w:val="single" w:sz="4" w:space="0" w:color="auto"/>
              <w:right w:val="single" w:sz="4" w:space="0" w:color="auto"/>
            </w:tcBorders>
          </w:tcPr>
          <w:p w14:paraId="4626C1F3"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 xml:space="preserve">Gives practical effect to legal rules, </w:t>
            </w:r>
            <w:proofErr w:type="spellStart"/>
            <w:r w:rsidRPr="00444355">
              <w:rPr>
                <w:rFonts w:asciiTheme="majorBidi" w:hAnsiTheme="majorBidi" w:cstheme="majorBidi"/>
                <w:sz w:val="24"/>
                <w:szCs w:val="24"/>
              </w:rPr>
              <w:t>programmes</w:t>
            </w:r>
            <w:proofErr w:type="spellEnd"/>
            <w:r w:rsidRPr="00444355">
              <w:rPr>
                <w:rFonts w:asciiTheme="majorBidi" w:hAnsiTheme="majorBidi" w:cstheme="majorBidi"/>
                <w:sz w:val="24"/>
                <w:szCs w:val="24"/>
              </w:rPr>
              <w:t>, standards, or regulatory requirements.</w:t>
            </w:r>
          </w:p>
        </w:tc>
        <w:tc>
          <w:tcPr>
            <w:tcW w:w="3100" w:type="dxa"/>
            <w:tcBorders>
              <w:top w:val="single" w:sz="4" w:space="0" w:color="auto"/>
              <w:left w:val="single" w:sz="4" w:space="0" w:color="auto"/>
              <w:bottom w:val="single" w:sz="4" w:space="0" w:color="auto"/>
              <w:right w:val="single" w:sz="4" w:space="0" w:color="auto"/>
            </w:tcBorders>
          </w:tcPr>
          <w:p w14:paraId="57EB580D"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 xml:space="preserve">Compliance </w:t>
            </w:r>
            <w:proofErr w:type="spellStart"/>
            <w:r w:rsidRPr="00444355">
              <w:rPr>
                <w:rFonts w:asciiTheme="majorBidi" w:hAnsiTheme="majorBidi" w:cstheme="majorBidi"/>
                <w:sz w:val="24"/>
                <w:szCs w:val="24"/>
              </w:rPr>
              <w:t>programme</w:t>
            </w:r>
            <w:proofErr w:type="spellEnd"/>
            <w:r w:rsidRPr="00444355">
              <w:rPr>
                <w:rFonts w:asciiTheme="majorBidi" w:hAnsiTheme="majorBidi" w:cstheme="majorBidi"/>
                <w:sz w:val="24"/>
                <w:szCs w:val="24"/>
              </w:rPr>
              <w:t>; implementation plan; permit procedure; mandated internal control system.</w:t>
            </w:r>
          </w:p>
        </w:tc>
      </w:tr>
      <w:tr w:rsidR="00444355" w14:paraId="05A5461A" w14:textId="77777777" w:rsidTr="0017123D">
        <w:tc>
          <w:tcPr>
            <w:tcW w:w="3000" w:type="dxa"/>
            <w:tcBorders>
              <w:top w:val="single" w:sz="4" w:space="0" w:color="auto"/>
              <w:left w:val="single" w:sz="4" w:space="0" w:color="auto"/>
              <w:bottom w:val="single" w:sz="4" w:space="0" w:color="auto"/>
              <w:right w:val="single" w:sz="4" w:space="0" w:color="auto"/>
            </w:tcBorders>
          </w:tcPr>
          <w:p w14:paraId="1070E6A9"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Interpretation and translation</w:t>
            </w:r>
          </w:p>
        </w:tc>
        <w:tc>
          <w:tcPr>
            <w:tcW w:w="3900" w:type="dxa"/>
            <w:tcBorders>
              <w:top w:val="single" w:sz="4" w:space="0" w:color="auto"/>
              <w:left w:val="single" w:sz="4" w:space="0" w:color="auto"/>
              <w:bottom w:val="single" w:sz="4" w:space="0" w:color="auto"/>
              <w:right w:val="single" w:sz="4" w:space="0" w:color="auto"/>
            </w:tcBorders>
          </w:tcPr>
          <w:p w14:paraId="564DA8A6"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Clarifies, specifies, or translates general legal requirements into operational guidance for particular actors or settings.</w:t>
            </w:r>
          </w:p>
        </w:tc>
        <w:tc>
          <w:tcPr>
            <w:tcW w:w="3100" w:type="dxa"/>
            <w:tcBorders>
              <w:top w:val="single" w:sz="4" w:space="0" w:color="auto"/>
              <w:left w:val="single" w:sz="4" w:space="0" w:color="auto"/>
              <w:bottom w:val="single" w:sz="4" w:space="0" w:color="auto"/>
              <w:right w:val="single" w:sz="4" w:space="0" w:color="auto"/>
            </w:tcBorders>
          </w:tcPr>
          <w:p w14:paraId="7C4BDE8A"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Regulatory guidance; interpretive notice; professional protocol; implementation guideline.</w:t>
            </w:r>
          </w:p>
        </w:tc>
      </w:tr>
      <w:tr w:rsidR="00444355" w14:paraId="1EE93B01" w14:textId="77777777" w:rsidTr="0017123D">
        <w:tc>
          <w:tcPr>
            <w:tcW w:w="3000" w:type="dxa"/>
            <w:tcBorders>
              <w:top w:val="single" w:sz="4" w:space="0" w:color="auto"/>
              <w:left w:val="single" w:sz="4" w:space="0" w:color="auto"/>
              <w:bottom w:val="single" w:sz="4" w:space="0" w:color="auto"/>
              <w:right w:val="single" w:sz="4" w:space="0" w:color="auto"/>
            </w:tcBorders>
          </w:tcPr>
          <w:p w14:paraId="307F1190"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Information provision</w:t>
            </w:r>
          </w:p>
        </w:tc>
        <w:tc>
          <w:tcPr>
            <w:tcW w:w="3900" w:type="dxa"/>
            <w:tcBorders>
              <w:top w:val="single" w:sz="4" w:space="0" w:color="auto"/>
              <w:left w:val="single" w:sz="4" w:space="0" w:color="auto"/>
              <w:bottom w:val="single" w:sz="4" w:space="0" w:color="auto"/>
              <w:right w:val="single" w:sz="4" w:space="0" w:color="auto"/>
            </w:tcBorders>
          </w:tcPr>
          <w:p w14:paraId="15D18B0B"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Produces, collects, organizes, transmits, or discloses information needed for governance.</w:t>
            </w:r>
          </w:p>
        </w:tc>
        <w:tc>
          <w:tcPr>
            <w:tcW w:w="3100" w:type="dxa"/>
            <w:tcBorders>
              <w:top w:val="single" w:sz="4" w:space="0" w:color="auto"/>
              <w:left w:val="single" w:sz="4" w:space="0" w:color="auto"/>
              <w:bottom w:val="single" w:sz="4" w:space="0" w:color="auto"/>
              <w:right w:val="single" w:sz="4" w:space="0" w:color="auto"/>
            </w:tcBorders>
          </w:tcPr>
          <w:p w14:paraId="22CFF4A6"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Mandatory report; public register; disclosure requirement; notification duty.</w:t>
            </w:r>
          </w:p>
        </w:tc>
      </w:tr>
      <w:tr w:rsidR="00444355" w14:paraId="6C307DD8" w14:textId="77777777" w:rsidTr="0017123D">
        <w:tc>
          <w:tcPr>
            <w:tcW w:w="3000" w:type="dxa"/>
            <w:tcBorders>
              <w:top w:val="single" w:sz="4" w:space="0" w:color="auto"/>
              <w:left w:val="single" w:sz="4" w:space="0" w:color="auto"/>
              <w:bottom w:val="single" w:sz="4" w:space="0" w:color="auto"/>
              <w:right w:val="single" w:sz="4" w:space="0" w:color="auto"/>
            </w:tcBorders>
          </w:tcPr>
          <w:p w14:paraId="74895FC4"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Monitoring</w:t>
            </w:r>
          </w:p>
        </w:tc>
        <w:tc>
          <w:tcPr>
            <w:tcW w:w="3900" w:type="dxa"/>
            <w:tcBorders>
              <w:top w:val="single" w:sz="4" w:space="0" w:color="auto"/>
              <w:left w:val="single" w:sz="4" w:space="0" w:color="auto"/>
              <w:bottom w:val="single" w:sz="4" w:space="0" w:color="auto"/>
              <w:right w:val="single" w:sz="4" w:space="0" w:color="auto"/>
            </w:tcBorders>
          </w:tcPr>
          <w:p w14:paraId="552BCA34"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Observes conduct, conditions, processes, or performance in order to identify compliance, risk, or change.</w:t>
            </w:r>
          </w:p>
        </w:tc>
        <w:tc>
          <w:tcPr>
            <w:tcW w:w="3100" w:type="dxa"/>
            <w:tcBorders>
              <w:top w:val="single" w:sz="4" w:space="0" w:color="auto"/>
              <w:left w:val="single" w:sz="4" w:space="0" w:color="auto"/>
              <w:bottom w:val="single" w:sz="4" w:space="0" w:color="auto"/>
              <w:right w:val="single" w:sz="4" w:space="0" w:color="auto"/>
            </w:tcBorders>
          </w:tcPr>
          <w:p w14:paraId="0BF90B3B"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Inspection; reporting obligation; surveillance system; compliance monitoring requirement.</w:t>
            </w:r>
          </w:p>
        </w:tc>
      </w:tr>
      <w:tr w:rsidR="00444355" w14:paraId="48309C67" w14:textId="77777777" w:rsidTr="0017123D">
        <w:tc>
          <w:tcPr>
            <w:tcW w:w="3000" w:type="dxa"/>
            <w:tcBorders>
              <w:top w:val="single" w:sz="4" w:space="0" w:color="auto"/>
              <w:left w:val="single" w:sz="4" w:space="0" w:color="auto"/>
              <w:bottom w:val="single" w:sz="4" w:space="0" w:color="auto"/>
              <w:right w:val="single" w:sz="4" w:space="0" w:color="auto"/>
            </w:tcBorders>
          </w:tcPr>
          <w:p w14:paraId="1B58B624"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Enforcement</w:t>
            </w:r>
          </w:p>
        </w:tc>
        <w:tc>
          <w:tcPr>
            <w:tcW w:w="3900" w:type="dxa"/>
            <w:tcBorders>
              <w:top w:val="single" w:sz="4" w:space="0" w:color="auto"/>
              <w:left w:val="single" w:sz="4" w:space="0" w:color="auto"/>
              <w:bottom w:val="single" w:sz="4" w:space="0" w:color="auto"/>
              <w:right w:val="single" w:sz="4" w:space="0" w:color="auto"/>
            </w:tcBorders>
          </w:tcPr>
          <w:p w14:paraId="3550417F"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Secures compliance and responds to violations through corrective, coercive, or punitive action.</w:t>
            </w:r>
          </w:p>
        </w:tc>
        <w:tc>
          <w:tcPr>
            <w:tcW w:w="3100" w:type="dxa"/>
            <w:tcBorders>
              <w:top w:val="single" w:sz="4" w:space="0" w:color="auto"/>
              <w:left w:val="single" w:sz="4" w:space="0" w:color="auto"/>
              <w:bottom w:val="single" w:sz="4" w:space="0" w:color="auto"/>
              <w:right w:val="single" w:sz="4" w:space="0" w:color="auto"/>
            </w:tcBorders>
          </w:tcPr>
          <w:p w14:paraId="62ED6460"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 xml:space="preserve">Administrative order; fine; </w:t>
            </w:r>
            <w:proofErr w:type="spellStart"/>
            <w:r w:rsidRPr="00444355">
              <w:rPr>
                <w:rFonts w:asciiTheme="majorBidi" w:hAnsiTheme="majorBidi" w:cstheme="majorBidi"/>
                <w:sz w:val="24"/>
                <w:szCs w:val="24"/>
              </w:rPr>
              <w:t>licence</w:t>
            </w:r>
            <w:proofErr w:type="spellEnd"/>
            <w:r w:rsidRPr="00444355">
              <w:rPr>
                <w:rFonts w:asciiTheme="majorBidi" w:hAnsiTheme="majorBidi" w:cstheme="majorBidi"/>
                <w:sz w:val="24"/>
                <w:szCs w:val="24"/>
              </w:rPr>
              <w:t xml:space="preserve"> suspension; injunction; withdrawal of authorization.</w:t>
            </w:r>
          </w:p>
        </w:tc>
      </w:tr>
      <w:tr w:rsidR="00444355" w14:paraId="3E9752AA" w14:textId="77777777" w:rsidTr="0017123D">
        <w:tc>
          <w:tcPr>
            <w:tcW w:w="3000" w:type="dxa"/>
            <w:tcBorders>
              <w:top w:val="single" w:sz="4" w:space="0" w:color="auto"/>
              <w:left w:val="single" w:sz="4" w:space="0" w:color="auto"/>
              <w:bottom w:val="single" w:sz="4" w:space="0" w:color="auto"/>
              <w:right w:val="single" w:sz="4" w:space="0" w:color="auto"/>
            </w:tcBorders>
          </w:tcPr>
          <w:p w14:paraId="0BECF9FB"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Adjudication and dispute resolution</w:t>
            </w:r>
          </w:p>
        </w:tc>
        <w:tc>
          <w:tcPr>
            <w:tcW w:w="3900" w:type="dxa"/>
            <w:tcBorders>
              <w:top w:val="single" w:sz="4" w:space="0" w:color="auto"/>
              <w:left w:val="single" w:sz="4" w:space="0" w:color="auto"/>
              <w:bottom w:val="single" w:sz="4" w:space="0" w:color="auto"/>
              <w:right w:val="single" w:sz="4" w:space="0" w:color="auto"/>
            </w:tcBorders>
          </w:tcPr>
          <w:p w14:paraId="1D3ECE81"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Determines rights, obligations, liability, or contested interpretations and resolves disputes among actors.</w:t>
            </w:r>
          </w:p>
        </w:tc>
        <w:tc>
          <w:tcPr>
            <w:tcW w:w="3100" w:type="dxa"/>
            <w:tcBorders>
              <w:top w:val="single" w:sz="4" w:space="0" w:color="auto"/>
              <w:left w:val="single" w:sz="4" w:space="0" w:color="auto"/>
              <w:bottom w:val="single" w:sz="4" w:space="0" w:color="auto"/>
              <w:right w:val="single" w:sz="4" w:space="0" w:color="auto"/>
            </w:tcBorders>
          </w:tcPr>
          <w:p w14:paraId="0D84E6CF"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Judicial proceeding; administrative tribunal; arbitration; statutory complaints procedure.</w:t>
            </w:r>
          </w:p>
        </w:tc>
      </w:tr>
      <w:tr w:rsidR="00444355" w14:paraId="1FEB37FA" w14:textId="77777777" w:rsidTr="0017123D">
        <w:tc>
          <w:tcPr>
            <w:tcW w:w="3000" w:type="dxa"/>
            <w:tcBorders>
              <w:top w:val="single" w:sz="4" w:space="0" w:color="auto"/>
              <w:left w:val="single" w:sz="4" w:space="0" w:color="auto"/>
              <w:bottom w:val="single" w:sz="4" w:space="0" w:color="auto"/>
              <w:right w:val="single" w:sz="4" w:space="0" w:color="auto"/>
            </w:tcBorders>
          </w:tcPr>
          <w:p w14:paraId="4E4B17D4"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Remediation</w:t>
            </w:r>
          </w:p>
        </w:tc>
        <w:tc>
          <w:tcPr>
            <w:tcW w:w="3900" w:type="dxa"/>
            <w:tcBorders>
              <w:top w:val="single" w:sz="4" w:space="0" w:color="auto"/>
              <w:left w:val="single" w:sz="4" w:space="0" w:color="auto"/>
              <w:bottom w:val="single" w:sz="4" w:space="0" w:color="auto"/>
              <w:right w:val="single" w:sz="4" w:space="0" w:color="auto"/>
            </w:tcBorders>
          </w:tcPr>
          <w:p w14:paraId="31DDF237"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Corrects harm, restores compliance, compensates affected parties, or requires repair following failure or violation.</w:t>
            </w:r>
          </w:p>
        </w:tc>
        <w:tc>
          <w:tcPr>
            <w:tcW w:w="3100" w:type="dxa"/>
            <w:tcBorders>
              <w:top w:val="single" w:sz="4" w:space="0" w:color="auto"/>
              <w:left w:val="single" w:sz="4" w:space="0" w:color="auto"/>
              <w:bottom w:val="single" w:sz="4" w:space="0" w:color="auto"/>
              <w:right w:val="single" w:sz="4" w:space="0" w:color="auto"/>
            </w:tcBorders>
          </w:tcPr>
          <w:p w14:paraId="2AA1E56C"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Corrective-action order; compensation scheme; restitution requirement; remediation plan.</w:t>
            </w:r>
          </w:p>
        </w:tc>
      </w:tr>
    </w:tbl>
    <w:p w14:paraId="4512B990" w14:textId="77777777" w:rsidR="00444355" w:rsidRDefault="00444355">
      <w:pPr>
        <w:pStyle w:val="Heading2"/>
        <w:rPr>
          <w:rFonts w:asciiTheme="majorBidi" w:eastAsiaTheme="minorEastAsia" w:hAnsiTheme="majorBidi"/>
          <w:b w:val="0"/>
          <w:bCs w:val="0"/>
          <w:color w:val="auto"/>
          <w:sz w:val="24"/>
          <w:szCs w:val="24"/>
        </w:rPr>
      </w:pPr>
    </w:p>
    <w:p w14:paraId="2B026061" w14:textId="77777777" w:rsidR="00444355" w:rsidRDefault="00444355">
      <w:pPr>
        <w:spacing w:after="200" w:line="276" w:lineRule="auto"/>
        <w:rPr>
          <w:rFonts w:asciiTheme="majorBidi" w:hAnsiTheme="majorBidi" w:cstheme="majorBidi"/>
          <w:sz w:val="24"/>
          <w:szCs w:val="24"/>
        </w:rPr>
      </w:pPr>
      <w:r>
        <w:rPr>
          <w:rFonts w:asciiTheme="majorBidi" w:hAnsiTheme="majorBidi"/>
          <w:b/>
          <w:bCs/>
          <w:sz w:val="24"/>
          <w:szCs w:val="24"/>
        </w:rPr>
        <w:br w:type="page"/>
      </w:r>
    </w:p>
    <w:p w14:paraId="419FCC52" w14:textId="7A65B5F5" w:rsidR="003902C2" w:rsidRPr="00BB24A5" w:rsidRDefault="00444355">
      <w:pPr>
        <w:pStyle w:val="Heading2"/>
        <w:rPr>
          <w:rFonts w:asciiTheme="majorBidi" w:hAnsiTheme="majorBidi"/>
          <w:color w:val="auto"/>
          <w:sz w:val="24"/>
          <w:szCs w:val="24"/>
        </w:rPr>
      </w:pPr>
      <w:r>
        <w:rPr>
          <w:rFonts w:asciiTheme="majorBidi" w:hAnsiTheme="majorBidi"/>
          <w:color w:val="auto"/>
          <w:sz w:val="24"/>
          <w:szCs w:val="24"/>
        </w:rPr>
        <w:lastRenderedPageBreak/>
        <w:t>3.4</w:t>
      </w:r>
      <w:r w:rsidR="00BB24A5" w:rsidRPr="00BB24A5">
        <w:rPr>
          <w:rFonts w:asciiTheme="majorBidi" w:hAnsiTheme="majorBidi"/>
          <w:color w:val="auto"/>
          <w:sz w:val="24"/>
          <w:szCs w:val="24"/>
        </w:rPr>
        <w:t xml:space="preserve"> Mechanisms</w:t>
      </w:r>
    </w:p>
    <w:p w14:paraId="6E0F0E57" w14:textId="77777777" w:rsidR="003343B5" w:rsidRPr="00BB24A5" w:rsidRDefault="00BB24A5" w:rsidP="003343B5">
      <w:pPr>
        <w:spacing w:line="276" w:lineRule="auto"/>
        <w:rPr>
          <w:rFonts w:asciiTheme="majorBidi" w:hAnsiTheme="majorBidi" w:cstheme="majorBidi"/>
          <w:sz w:val="24"/>
          <w:szCs w:val="24"/>
        </w:rPr>
      </w:pPr>
      <w:r w:rsidRPr="00BB24A5">
        <w:rPr>
          <w:rFonts w:asciiTheme="majorBidi" w:hAnsiTheme="majorBidi" w:cstheme="majorBidi"/>
          <w:sz w:val="24"/>
          <w:szCs w:val="24"/>
        </w:rPr>
        <w:t>A governance mechanism is a distinct means through which an actor or institutional arrangement shapes the conduct, capacities, information, choices or decisions of another actor. Mechanisms are elementary means of governance rather than complete governance systems.</w:t>
      </w:r>
      <w:r w:rsidR="003343B5">
        <w:rPr>
          <w:rFonts w:asciiTheme="majorBidi" w:hAnsiTheme="majorBidi" w:cstheme="majorBidi"/>
          <w:sz w:val="24"/>
          <w:szCs w:val="24"/>
        </w:rPr>
        <w:t xml:space="preserve"> </w:t>
      </w:r>
      <w:r w:rsidR="003343B5" w:rsidRPr="00BB24A5">
        <w:rPr>
          <w:rFonts w:asciiTheme="majorBidi" w:hAnsiTheme="majorBidi" w:cstheme="majorBidi"/>
          <w:sz w:val="24"/>
          <w:szCs w:val="24"/>
        </w:rPr>
        <w:t>Instrument, mechanism and function should remain distinct. An instrument is a concrete legal or institutional device; a mechanism describes how that device exercises influence; and a function identifies the governance task performed. A mandatory public register is an instrument that may activate disclosure and reputational mechanisms while performing an information function. A third-party certificate is an instrument that may activate verification and authorization mechanisms while performing an assurance function.</w:t>
      </w:r>
    </w:p>
    <w:p w14:paraId="212A9813" w14:textId="77777777" w:rsidR="003343B5" w:rsidRPr="00BB24A5" w:rsidRDefault="003343B5">
      <w:pPr>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2964"/>
        <w:gridCol w:w="3689"/>
        <w:gridCol w:w="3331"/>
      </w:tblGrid>
      <w:tr w:rsidR="003902C2" w:rsidRPr="00BB24A5" w14:paraId="6D8B2BCB" w14:textId="77777777" w:rsidTr="00094FA3">
        <w:trPr>
          <w:jc w:val="center"/>
        </w:trPr>
        <w:tc>
          <w:tcPr>
            <w:tcW w:w="2965" w:type="dxa"/>
            <w:vAlign w:val="center"/>
          </w:tcPr>
          <w:p w14:paraId="5FEB336C" w14:textId="4FBE863F" w:rsidR="003902C2" w:rsidRPr="00356192" w:rsidRDefault="00BB24A5">
            <w:pPr>
              <w:spacing w:before="30" w:after="30"/>
              <w:rPr>
                <w:rFonts w:asciiTheme="majorBidi" w:hAnsiTheme="majorBidi" w:cstheme="majorBidi"/>
                <w:b/>
                <w:bCs/>
                <w:sz w:val="22"/>
              </w:rPr>
            </w:pPr>
            <w:r w:rsidRPr="00356192">
              <w:rPr>
                <w:rFonts w:asciiTheme="majorBidi" w:hAnsiTheme="majorBidi" w:cstheme="majorBidi"/>
                <w:b/>
                <w:bCs/>
                <w:sz w:val="22"/>
              </w:rPr>
              <w:t>Mechanism</w:t>
            </w:r>
          </w:p>
        </w:tc>
        <w:tc>
          <w:tcPr>
            <w:tcW w:w="3687" w:type="dxa"/>
            <w:vAlign w:val="center"/>
          </w:tcPr>
          <w:p w14:paraId="5D2094DE" w14:textId="77777777" w:rsidR="003902C2" w:rsidRPr="00356192" w:rsidRDefault="00BB24A5">
            <w:pPr>
              <w:spacing w:before="30" w:after="30"/>
              <w:rPr>
                <w:rFonts w:asciiTheme="majorBidi" w:hAnsiTheme="majorBidi" w:cstheme="majorBidi"/>
                <w:b/>
                <w:bCs/>
                <w:sz w:val="22"/>
              </w:rPr>
            </w:pPr>
            <w:r w:rsidRPr="00356192">
              <w:rPr>
                <w:rFonts w:asciiTheme="majorBidi" w:hAnsiTheme="majorBidi" w:cstheme="majorBidi"/>
                <w:b/>
                <w:bCs/>
                <w:sz w:val="22"/>
              </w:rPr>
              <w:t>Governing logic</w:t>
            </w:r>
          </w:p>
        </w:tc>
        <w:tc>
          <w:tcPr>
            <w:tcW w:w="3332" w:type="dxa"/>
            <w:vAlign w:val="center"/>
          </w:tcPr>
          <w:p w14:paraId="45FBF24C" w14:textId="77777777" w:rsidR="003902C2" w:rsidRPr="00356192" w:rsidRDefault="00BB24A5">
            <w:pPr>
              <w:spacing w:before="30" w:after="30"/>
              <w:rPr>
                <w:rFonts w:asciiTheme="majorBidi" w:hAnsiTheme="majorBidi" w:cstheme="majorBidi"/>
                <w:b/>
                <w:bCs/>
                <w:sz w:val="22"/>
              </w:rPr>
            </w:pPr>
            <w:r w:rsidRPr="00356192">
              <w:rPr>
                <w:rFonts w:asciiTheme="majorBidi" w:hAnsiTheme="majorBidi" w:cstheme="majorBidi"/>
                <w:b/>
                <w:bCs/>
                <w:sz w:val="22"/>
              </w:rPr>
              <w:t>Illustrative legal device</w:t>
            </w:r>
          </w:p>
        </w:tc>
      </w:tr>
      <w:tr w:rsidR="003902C2" w:rsidRPr="00BB24A5" w14:paraId="7C1F93FC" w14:textId="77777777" w:rsidTr="00094FA3">
        <w:trPr>
          <w:jc w:val="center"/>
        </w:trPr>
        <w:tc>
          <w:tcPr>
            <w:tcW w:w="2965" w:type="dxa"/>
            <w:vAlign w:val="center"/>
          </w:tcPr>
          <w:p w14:paraId="0F1BF0F4"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Command</w:t>
            </w:r>
          </w:p>
        </w:tc>
        <w:tc>
          <w:tcPr>
            <w:tcW w:w="3687" w:type="dxa"/>
            <w:vAlign w:val="center"/>
          </w:tcPr>
          <w:p w14:paraId="3DF76AD3"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Require or prohibit</w:t>
            </w:r>
          </w:p>
        </w:tc>
        <w:tc>
          <w:tcPr>
            <w:tcW w:w="3332" w:type="dxa"/>
            <w:vAlign w:val="center"/>
          </w:tcPr>
          <w:p w14:paraId="57CA049B"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mandatory rule; permit condition</w:t>
            </w:r>
          </w:p>
        </w:tc>
      </w:tr>
      <w:tr w:rsidR="003902C2" w:rsidRPr="00BB24A5" w14:paraId="64DEAC2C" w14:textId="77777777" w:rsidTr="00094FA3">
        <w:trPr>
          <w:jc w:val="center"/>
        </w:trPr>
        <w:tc>
          <w:tcPr>
            <w:tcW w:w="2965" w:type="dxa"/>
            <w:vAlign w:val="center"/>
          </w:tcPr>
          <w:p w14:paraId="627D170B"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Incentive</w:t>
            </w:r>
          </w:p>
        </w:tc>
        <w:tc>
          <w:tcPr>
            <w:tcW w:w="3687" w:type="dxa"/>
            <w:vAlign w:val="center"/>
          </w:tcPr>
          <w:p w14:paraId="73E9DB6F"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Alter costs and benefits</w:t>
            </w:r>
          </w:p>
        </w:tc>
        <w:tc>
          <w:tcPr>
            <w:tcW w:w="3332" w:type="dxa"/>
            <w:vAlign w:val="center"/>
          </w:tcPr>
          <w:p w14:paraId="6D941461"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tax; subsidy; tradable right</w:t>
            </w:r>
          </w:p>
        </w:tc>
      </w:tr>
      <w:tr w:rsidR="003902C2" w:rsidRPr="00BB24A5" w14:paraId="21D94753" w14:textId="77777777" w:rsidTr="00094FA3">
        <w:trPr>
          <w:jc w:val="center"/>
        </w:trPr>
        <w:tc>
          <w:tcPr>
            <w:tcW w:w="2965" w:type="dxa"/>
            <w:vAlign w:val="center"/>
          </w:tcPr>
          <w:p w14:paraId="4D7FF338"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Contract</w:t>
            </w:r>
          </w:p>
        </w:tc>
        <w:tc>
          <w:tcPr>
            <w:tcW w:w="3687" w:type="dxa"/>
            <w:vAlign w:val="center"/>
          </w:tcPr>
          <w:p w14:paraId="40A28003"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Create agreed obligations</w:t>
            </w:r>
          </w:p>
        </w:tc>
        <w:tc>
          <w:tcPr>
            <w:tcW w:w="3332" w:type="dxa"/>
            <w:vAlign w:val="center"/>
          </w:tcPr>
          <w:p w14:paraId="3515D6AC"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public contract; concession</w:t>
            </w:r>
          </w:p>
        </w:tc>
      </w:tr>
      <w:tr w:rsidR="003902C2" w:rsidRPr="00BB24A5" w14:paraId="00BB6F2F" w14:textId="77777777" w:rsidTr="00094FA3">
        <w:trPr>
          <w:jc w:val="center"/>
        </w:trPr>
        <w:tc>
          <w:tcPr>
            <w:tcW w:w="2965" w:type="dxa"/>
            <w:vAlign w:val="center"/>
          </w:tcPr>
          <w:p w14:paraId="2791EF87"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Information</w:t>
            </w:r>
          </w:p>
        </w:tc>
        <w:tc>
          <w:tcPr>
            <w:tcW w:w="3687" w:type="dxa"/>
            <w:vAlign w:val="center"/>
          </w:tcPr>
          <w:p w14:paraId="249EE69C"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Alter knowledge or visibility</w:t>
            </w:r>
          </w:p>
        </w:tc>
        <w:tc>
          <w:tcPr>
            <w:tcW w:w="3332" w:type="dxa"/>
            <w:vAlign w:val="center"/>
          </w:tcPr>
          <w:p w14:paraId="7F01BCF8"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reporting; benchmarking</w:t>
            </w:r>
          </w:p>
        </w:tc>
      </w:tr>
      <w:tr w:rsidR="003902C2" w:rsidRPr="00BB24A5" w14:paraId="4181C6D7" w14:textId="77777777" w:rsidTr="00094FA3">
        <w:trPr>
          <w:jc w:val="center"/>
        </w:trPr>
        <w:tc>
          <w:tcPr>
            <w:tcW w:w="2965" w:type="dxa"/>
            <w:vAlign w:val="center"/>
          </w:tcPr>
          <w:p w14:paraId="31A4FF92"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Disclosure</w:t>
            </w:r>
          </w:p>
        </w:tc>
        <w:tc>
          <w:tcPr>
            <w:tcW w:w="3687" w:type="dxa"/>
            <w:vAlign w:val="center"/>
          </w:tcPr>
          <w:p w14:paraId="21ED3EF0"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Mobilize external scrutiny</w:t>
            </w:r>
          </w:p>
        </w:tc>
        <w:tc>
          <w:tcPr>
            <w:tcW w:w="3332" w:type="dxa"/>
            <w:vAlign w:val="center"/>
          </w:tcPr>
          <w:p w14:paraId="25943353"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public register; label</w:t>
            </w:r>
          </w:p>
        </w:tc>
      </w:tr>
      <w:tr w:rsidR="003902C2" w:rsidRPr="00BB24A5" w14:paraId="7A275682" w14:textId="77777777" w:rsidTr="00094FA3">
        <w:trPr>
          <w:jc w:val="center"/>
        </w:trPr>
        <w:tc>
          <w:tcPr>
            <w:tcW w:w="2965" w:type="dxa"/>
            <w:vAlign w:val="center"/>
          </w:tcPr>
          <w:p w14:paraId="2AB5F378"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Authorization</w:t>
            </w:r>
          </w:p>
        </w:tc>
        <w:tc>
          <w:tcPr>
            <w:tcW w:w="3687" w:type="dxa"/>
            <w:vAlign w:val="center"/>
          </w:tcPr>
          <w:p w14:paraId="214A1E29"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Grant permission or status</w:t>
            </w:r>
          </w:p>
        </w:tc>
        <w:tc>
          <w:tcPr>
            <w:tcW w:w="3332" w:type="dxa"/>
            <w:vAlign w:val="center"/>
          </w:tcPr>
          <w:p w14:paraId="3373BD06"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licence; designation</w:t>
            </w:r>
          </w:p>
        </w:tc>
      </w:tr>
      <w:tr w:rsidR="003902C2" w:rsidRPr="00BB24A5" w14:paraId="59F8AC87" w14:textId="77777777" w:rsidTr="00094FA3">
        <w:trPr>
          <w:jc w:val="center"/>
        </w:trPr>
        <w:tc>
          <w:tcPr>
            <w:tcW w:w="2965" w:type="dxa"/>
            <w:vAlign w:val="center"/>
          </w:tcPr>
          <w:p w14:paraId="522EB66E"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Delegation</w:t>
            </w:r>
          </w:p>
        </w:tc>
        <w:tc>
          <w:tcPr>
            <w:tcW w:w="3687" w:type="dxa"/>
            <w:vAlign w:val="center"/>
          </w:tcPr>
          <w:p w14:paraId="651987E1"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Transfer authority</w:t>
            </w:r>
          </w:p>
        </w:tc>
        <w:tc>
          <w:tcPr>
            <w:tcW w:w="3332" w:type="dxa"/>
            <w:vAlign w:val="center"/>
          </w:tcPr>
          <w:p w14:paraId="1F7EAE7D"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statutory delegation</w:t>
            </w:r>
          </w:p>
        </w:tc>
      </w:tr>
      <w:tr w:rsidR="003902C2" w:rsidRPr="00BB24A5" w14:paraId="18A010D0" w14:textId="77777777" w:rsidTr="00094FA3">
        <w:trPr>
          <w:jc w:val="center"/>
        </w:trPr>
        <w:tc>
          <w:tcPr>
            <w:tcW w:w="2965" w:type="dxa"/>
            <w:vAlign w:val="center"/>
          </w:tcPr>
          <w:p w14:paraId="33FF9CF2"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Accreditation</w:t>
            </w:r>
          </w:p>
        </w:tc>
        <w:tc>
          <w:tcPr>
            <w:tcW w:w="3687" w:type="dxa"/>
            <w:vAlign w:val="center"/>
          </w:tcPr>
          <w:p w14:paraId="7034CAF3"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Validate competence to perform a role</w:t>
            </w:r>
          </w:p>
        </w:tc>
        <w:tc>
          <w:tcPr>
            <w:tcW w:w="3332" w:type="dxa"/>
            <w:vAlign w:val="center"/>
          </w:tcPr>
          <w:p w14:paraId="345AC0B8"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accreditation of certifiers</w:t>
            </w:r>
          </w:p>
        </w:tc>
      </w:tr>
      <w:tr w:rsidR="003902C2" w:rsidRPr="00BB24A5" w14:paraId="60BA3D4D" w14:textId="77777777" w:rsidTr="00094FA3">
        <w:trPr>
          <w:jc w:val="center"/>
        </w:trPr>
        <w:tc>
          <w:tcPr>
            <w:tcW w:w="2965" w:type="dxa"/>
            <w:vAlign w:val="center"/>
          </w:tcPr>
          <w:p w14:paraId="4FB1B75B"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Monitoring</w:t>
            </w:r>
          </w:p>
        </w:tc>
        <w:tc>
          <w:tcPr>
            <w:tcW w:w="3687" w:type="dxa"/>
            <w:vAlign w:val="center"/>
          </w:tcPr>
          <w:p w14:paraId="6FD3F5F2"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Observe behaviour or performance</w:t>
            </w:r>
          </w:p>
        </w:tc>
        <w:tc>
          <w:tcPr>
            <w:tcW w:w="3332" w:type="dxa"/>
            <w:vAlign w:val="center"/>
          </w:tcPr>
          <w:p w14:paraId="318F4797"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inspection; surveillance</w:t>
            </w:r>
          </w:p>
        </w:tc>
      </w:tr>
      <w:tr w:rsidR="003902C2" w:rsidRPr="00BB24A5" w14:paraId="635399B0" w14:textId="77777777" w:rsidTr="00094FA3">
        <w:trPr>
          <w:jc w:val="center"/>
        </w:trPr>
        <w:tc>
          <w:tcPr>
            <w:tcW w:w="2965" w:type="dxa"/>
            <w:vAlign w:val="center"/>
          </w:tcPr>
          <w:p w14:paraId="63CE9DD2"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Verification</w:t>
            </w:r>
          </w:p>
        </w:tc>
        <w:tc>
          <w:tcPr>
            <w:tcW w:w="3687" w:type="dxa"/>
            <w:vAlign w:val="center"/>
          </w:tcPr>
          <w:p w14:paraId="08895BE2"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Establish credibility of a claim</w:t>
            </w:r>
          </w:p>
        </w:tc>
        <w:tc>
          <w:tcPr>
            <w:tcW w:w="3332" w:type="dxa"/>
            <w:vAlign w:val="center"/>
          </w:tcPr>
          <w:p w14:paraId="1896915F"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audit; conformity assessment</w:t>
            </w:r>
          </w:p>
        </w:tc>
      </w:tr>
      <w:tr w:rsidR="003902C2" w:rsidRPr="00BB24A5" w14:paraId="0E3C4004" w14:textId="77777777" w:rsidTr="00094FA3">
        <w:trPr>
          <w:jc w:val="center"/>
        </w:trPr>
        <w:tc>
          <w:tcPr>
            <w:tcW w:w="2965" w:type="dxa"/>
            <w:vAlign w:val="center"/>
          </w:tcPr>
          <w:p w14:paraId="193BED46"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Participation</w:t>
            </w:r>
          </w:p>
        </w:tc>
        <w:tc>
          <w:tcPr>
            <w:tcW w:w="3687" w:type="dxa"/>
            <w:vAlign w:val="center"/>
          </w:tcPr>
          <w:p w14:paraId="2B0A6555"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Give affected actors voice</w:t>
            </w:r>
          </w:p>
        </w:tc>
        <w:tc>
          <w:tcPr>
            <w:tcW w:w="3332" w:type="dxa"/>
            <w:vAlign w:val="center"/>
          </w:tcPr>
          <w:p w14:paraId="48DE2B9F"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consultation; representation</w:t>
            </w:r>
          </w:p>
        </w:tc>
      </w:tr>
      <w:tr w:rsidR="003902C2" w:rsidRPr="00BB24A5" w14:paraId="7913786E" w14:textId="77777777" w:rsidTr="00094FA3">
        <w:trPr>
          <w:jc w:val="center"/>
        </w:trPr>
        <w:tc>
          <w:tcPr>
            <w:tcW w:w="2965" w:type="dxa"/>
            <w:vAlign w:val="center"/>
          </w:tcPr>
          <w:p w14:paraId="38709758"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Reputation</w:t>
            </w:r>
          </w:p>
        </w:tc>
        <w:tc>
          <w:tcPr>
            <w:tcW w:w="3687" w:type="dxa"/>
            <w:vAlign w:val="center"/>
          </w:tcPr>
          <w:p w14:paraId="526AE628"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Mobilize social or market evaluation</w:t>
            </w:r>
          </w:p>
        </w:tc>
        <w:tc>
          <w:tcPr>
            <w:tcW w:w="3332" w:type="dxa"/>
            <w:vAlign w:val="center"/>
          </w:tcPr>
          <w:p w14:paraId="6A0C688A"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ratings; publication</w:t>
            </w:r>
          </w:p>
        </w:tc>
      </w:tr>
      <w:tr w:rsidR="003902C2" w:rsidRPr="00BB24A5" w14:paraId="69BBC6E4" w14:textId="77777777" w:rsidTr="00094FA3">
        <w:trPr>
          <w:jc w:val="center"/>
        </w:trPr>
        <w:tc>
          <w:tcPr>
            <w:tcW w:w="2965" w:type="dxa"/>
            <w:vAlign w:val="center"/>
          </w:tcPr>
          <w:p w14:paraId="7B000F4A"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Sanction</w:t>
            </w:r>
          </w:p>
        </w:tc>
        <w:tc>
          <w:tcPr>
            <w:tcW w:w="3687" w:type="dxa"/>
            <w:vAlign w:val="center"/>
          </w:tcPr>
          <w:p w14:paraId="4C57897C"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Impose consequences for failure</w:t>
            </w:r>
          </w:p>
        </w:tc>
        <w:tc>
          <w:tcPr>
            <w:tcW w:w="3332" w:type="dxa"/>
            <w:vAlign w:val="center"/>
          </w:tcPr>
          <w:p w14:paraId="554240C6" w14:textId="1C21E586" w:rsidR="003902C2" w:rsidRPr="00356192" w:rsidRDefault="00444355">
            <w:pPr>
              <w:spacing w:before="30" w:after="30"/>
              <w:rPr>
                <w:rFonts w:asciiTheme="majorBidi" w:hAnsiTheme="majorBidi" w:cstheme="majorBidi"/>
                <w:sz w:val="22"/>
              </w:rPr>
            </w:pPr>
            <w:r w:rsidRPr="00356192">
              <w:rPr>
                <w:rFonts w:asciiTheme="majorBidi" w:hAnsiTheme="majorBidi" w:cstheme="majorBidi"/>
                <w:sz w:val="22"/>
              </w:rPr>
              <w:t>F</w:t>
            </w:r>
            <w:r w:rsidR="00BB24A5" w:rsidRPr="00356192">
              <w:rPr>
                <w:rFonts w:asciiTheme="majorBidi" w:hAnsiTheme="majorBidi" w:cstheme="majorBidi"/>
                <w:sz w:val="22"/>
              </w:rPr>
              <w:t>ine; suspension; withdrawal</w:t>
            </w:r>
          </w:p>
        </w:tc>
      </w:tr>
      <w:tr w:rsidR="003902C2" w:rsidRPr="00BB24A5" w14:paraId="75BFA610" w14:textId="77777777" w:rsidTr="00094FA3">
        <w:trPr>
          <w:jc w:val="center"/>
        </w:trPr>
        <w:tc>
          <w:tcPr>
            <w:tcW w:w="2965" w:type="dxa"/>
            <w:vAlign w:val="center"/>
          </w:tcPr>
          <w:p w14:paraId="63CA064C" w14:textId="17BC5999"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Review</w:t>
            </w:r>
            <w:r w:rsidR="00444355" w:rsidRPr="00356192">
              <w:rPr>
                <w:rFonts w:asciiTheme="majorBidi" w:hAnsiTheme="majorBidi" w:cstheme="majorBidi"/>
                <w:sz w:val="22"/>
              </w:rPr>
              <w:t xml:space="preserve"> (Peer Review)</w:t>
            </w:r>
          </w:p>
        </w:tc>
        <w:tc>
          <w:tcPr>
            <w:tcW w:w="3687" w:type="dxa"/>
            <w:vAlign w:val="center"/>
          </w:tcPr>
          <w:p w14:paraId="586079E9"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Subject decisions to reconsideration</w:t>
            </w:r>
          </w:p>
        </w:tc>
        <w:tc>
          <w:tcPr>
            <w:tcW w:w="3332" w:type="dxa"/>
            <w:vAlign w:val="center"/>
          </w:tcPr>
          <w:p w14:paraId="0831B37E" w14:textId="3195B89D" w:rsidR="003902C2" w:rsidRPr="00356192" w:rsidRDefault="00444355">
            <w:pPr>
              <w:spacing w:before="30" w:after="30"/>
              <w:rPr>
                <w:rFonts w:asciiTheme="majorBidi" w:hAnsiTheme="majorBidi" w:cstheme="majorBidi"/>
                <w:sz w:val="22"/>
              </w:rPr>
            </w:pPr>
            <w:r w:rsidRPr="00356192">
              <w:rPr>
                <w:rFonts w:asciiTheme="majorBidi" w:hAnsiTheme="majorBidi" w:cstheme="majorBidi"/>
                <w:sz w:val="22"/>
              </w:rPr>
              <w:t>A</w:t>
            </w:r>
            <w:r w:rsidR="00BB24A5" w:rsidRPr="00356192">
              <w:rPr>
                <w:rFonts w:asciiTheme="majorBidi" w:hAnsiTheme="majorBidi" w:cstheme="majorBidi"/>
                <w:sz w:val="22"/>
              </w:rPr>
              <w:t>dministrative</w:t>
            </w:r>
            <w:r w:rsidRPr="00356192">
              <w:rPr>
                <w:rFonts w:asciiTheme="majorBidi" w:hAnsiTheme="majorBidi" w:cstheme="majorBidi"/>
                <w:sz w:val="22"/>
              </w:rPr>
              <w:t>, Academic,</w:t>
            </w:r>
            <w:r w:rsidR="00BB24A5" w:rsidRPr="00356192">
              <w:rPr>
                <w:rFonts w:asciiTheme="majorBidi" w:hAnsiTheme="majorBidi" w:cstheme="majorBidi"/>
                <w:sz w:val="22"/>
              </w:rPr>
              <w:t xml:space="preserve"> or </w:t>
            </w:r>
            <w:r w:rsidRPr="00356192">
              <w:rPr>
                <w:rFonts w:asciiTheme="majorBidi" w:hAnsiTheme="majorBidi" w:cstheme="majorBidi"/>
                <w:sz w:val="22"/>
              </w:rPr>
              <w:t>J</w:t>
            </w:r>
            <w:r w:rsidR="00BB24A5" w:rsidRPr="00356192">
              <w:rPr>
                <w:rFonts w:asciiTheme="majorBidi" w:hAnsiTheme="majorBidi" w:cstheme="majorBidi"/>
                <w:sz w:val="22"/>
              </w:rPr>
              <w:t>udicial review</w:t>
            </w:r>
          </w:p>
        </w:tc>
      </w:tr>
      <w:tr w:rsidR="003343B5" w:rsidRPr="00BB24A5" w14:paraId="6ED6E219" w14:textId="77777777" w:rsidTr="00094FA3">
        <w:trPr>
          <w:jc w:val="center"/>
        </w:trPr>
        <w:tc>
          <w:tcPr>
            <w:tcW w:w="2965" w:type="dxa"/>
            <w:vAlign w:val="center"/>
          </w:tcPr>
          <w:p w14:paraId="0E7328E6" w14:textId="23A7DFC9" w:rsidR="003343B5" w:rsidRPr="00356192" w:rsidRDefault="003343B5">
            <w:pPr>
              <w:spacing w:before="30" w:after="30"/>
              <w:rPr>
                <w:rFonts w:asciiTheme="majorBidi" w:hAnsiTheme="majorBidi" w:cstheme="majorBidi"/>
                <w:sz w:val="22"/>
              </w:rPr>
            </w:pPr>
            <w:r w:rsidRPr="00356192">
              <w:rPr>
                <w:rFonts w:asciiTheme="majorBidi" w:hAnsiTheme="majorBidi" w:cstheme="majorBidi"/>
                <w:sz w:val="22"/>
              </w:rPr>
              <w:t>Registration</w:t>
            </w:r>
          </w:p>
        </w:tc>
        <w:tc>
          <w:tcPr>
            <w:tcW w:w="3687" w:type="dxa"/>
            <w:vAlign w:val="center"/>
          </w:tcPr>
          <w:p w14:paraId="72F4C4EF" w14:textId="77777777" w:rsidR="003343B5" w:rsidRPr="00356192" w:rsidRDefault="003343B5">
            <w:pPr>
              <w:spacing w:before="30" w:after="30"/>
              <w:rPr>
                <w:rFonts w:asciiTheme="majorBidi" w:hAnsiTheme="majorBidi" w:cstheme="majorBidi"/>
                <w:sz w:val="22"/>
              </w:rPr>
            </w:pPr>
          </w:p>
        </w:tc>
        <w:tc>
          <w:tcPr>
            <w:tcW w:w="3332" w:type="dxa"/>
            <w:vAlign w:val="center"/>
          </w:tcPr>
          <w:p w14:paraId="33340CAC" w14:textId="77777777" w:rsidR="003343B5" w:rsidRPr="00356192" w:rsidRDefault="003343B5">
            <w:pPr>
              <w:spacing w:before="30" w:after="30"/>
              <w:rPr>
                <w:rFonts w:asciiTheme="majorBidi" w:hAnsiTheme="majorBidi" w:cstheme="majorBidi"/>
                <w:sz w:val="22"/>
              </w:rPr>
            </w:pPr>
          </w:p>
        </w:tc>
      </w:tr>
      <w:tr w:rsidR="003343B5" w:rsidRPr="00BB24A5" w14:paraId="7630F529" w14:textId="77777777" w:rsidTr="00094FA3">
        <w:trPr>
          <w:jc w:val="center"/>
        </w:trPr>
        <w:tc>
          <w:tcPr>
            <w:tcW w:w="2965" w:type="dxa"/>
            <w:vAlign w:val="center"/>
          </w:tcPr>
          <w:p w14:paraId="25E2F2EB" w14:textId="7E93CF4B" w:rsidR="003343B5" w:rsidRPr="00356192" w:rsidRDefault="003343B5">
            <w:pPr>
              <w:spacing w:before="30" w:after="30"/>
              <w:rPr>
                <w:rFonts w:asciiTheme="majorBidi" w:hAnsiTheme="majorBidi" w:cstheme="majorBidi"/>
                <w:sz w:val="22"/>
              </w:rPr>
            </w:pPr>
            <w:r w:rsidRPr="00356192">
              <w:rPr>
                <w:rFonts w:asciiTheme="majorBidi" w:hAnsiTheme="majorBidi" w:cstheme="majorBidi"/>
                <w:sz w:val="22"/>
              </w:rPr>
              <w:t>Notification</w:t>
            </w:r>
          </w:p>
        </w:tc>
        <w:tc>
          <w:tcPr>
            <w:tcW w:w="3687" w:type="dxa"/>
            <w:vAlign w:val="center"/>
          </w:tcPr>
          <w:p w14:paraId="0E8DDF31" w14:textId="77777777" w:rsidR="003343B5" w:rsidRPr="00356192" w:rsidRDefault="003343B5">
            <w:pPr>
              <w:spacing w:before="30" w:after="30"/>
              <w:rPr>
                <w:rFonts w:asciiTheme="majorBidi" w:hAnsiTheme="majorBidi" w:cstheme="majorBidi"/>
                <w:sz w:val="22"/>
              </w:rPr>
            </w:pPr>
          </w:p>
        </w:tc>
        <w:tc>
          <w:tcPr>
            <w:tcW w:w="3332" w:type="dxa"/>
            <w:vAlign w:val="center"/>
          </w:tcPr>
          <w:p w14:paraId="73B808A7" w14:textId="77777777" w:rsidR="003343B5" w:rsidRPr="00356192" w:rsidRDefault="003343B5">
            <w:pPr>
              <w:spacing w:before="30" w:after="30"/>
              <w:rPr>
                <w:rFonts w:asciiTheme="majorBidi" w:hAnsiTheme="majorBidi" w:cstheme="majorBidi"/>
                <w:sz w:val="22"/>
              </w:rPr>
            </w:pPr>
          </w:p>
        </w:tc>
      </w:tr>
      <w:tr w:rsidR="003343B5" w:rsidRPr="00BB24A5" w14:paraId="7FCBAC7E" w14:textId="77777777" w:rsidTr="00094FA3">
        <w:trPr>
          <w:jc w:val="center"/>
        </w:trPr>
        <w:tc>
          <w:tcPr>
            <w:tcW w:w="2965" w:type="dxa"/>
            <w:vAlign w:val="center"/>
          </w:tcPr>
          <w:p w14:paraId="3D62624B" w14:textId="26138B83" w:rsidR="003343B5" w:rsidRPr="00356192" w:rsidRDefault="003343B5">
            <w:pPr>
              <w:spacing w:before="30" w:after="30"/>
              <w:rPr>
                <w:rFonts w:asciiTheme="majorBidi" w:hAnsiTheme="majorBidi" w:cstheme="majorBidi"/>
                <w:sz w:val="22"/>
              </w:rPr>
            </w:pPr>
            <w:r w:rsidRPr="00356192">
              <w:rPr>
                <w:rFonts w:asciiTheme="majorBidi" w:hAnsiTheme="majorBidi" w:cstheme="majorBidi"/>
                <w:sz w:val="22"/>
              </w:rPr>
              <w:t xml:space="preserve">Reporting </w:t>
            </w:r>
          </w:p>
        </w:tc>
        <w:tc>
          <w:tcPr>
            <w:tcW w:w="3687" w:type="dxa"/>
            <w:vAlign w:val="center"/>
          </w:tcPr>
          <w:p w14:paraId="02619A3C" w14:textId="77777777" w:rsidR="003343B5" w:rsidRPr="00356192" w:rsidRDefault="003343B5">
            <w:pPr>
              <w:spacing w:before="30" w:after="30"/>
              <w:rPr>
                <w:rFonts w:asciiTheme="majorBidi" w:hAnsiTheme="majorBidi" w:cstheme="majorBidi"/>
                <w:sz w:val="22"/>
              </w:rPr>
            </w:pPr>
          </w:p>
        </w:tc>
        <w:tc>
          <w:tcPr>
            <w:tcW w:w="3332" w:type="dxa"/>
            <w:vAlign w:val="center"/>
          </w:tcPr>
          <w:p w14:paraId="7566B21B" w14:textId="77777777" w:rsidR="003343B5" w:rsidRPr="00356192" w:rsidRDefault="003343B5">
            <w:pPr>
              <w:spacing w:before="30" w:after="30"/>
              <w:rPr>
                <w:rFonts w:asciiTheme="majorBidi" w:hAnsiTheme="majorBidi" w:cstheme="majorBidi"/>
                <w:sz w:val="22"/>
              </w:rPr>
            </w:pPr>
          </w:p>
        </w:tc>
      </w:tr>
      <w:tr w:rsidR="003343B5" w:rsidRPr="00BB24A5" w14:paraId="51FC1391" w14:textId="77777777" w:rsidTr="00094FA3">
        <w:trPr>
          <w:jc w:val="center"/>
        </w:trPr>
        <w:tc>
          <w:tcPr>
            <w:tcW w:w="2965" w:type="dxa"/>
            <w:vAlign w:val="center"/>
          </w:tcPr>
          <w:p w14:paraId="2B99F362" w14:textId="47F62CC0" w:rsidR="003343B5" w:rsidRPr="00356192" w:rsidRDefault="003343B5">
            <w:pPr>
              <w:spacing w:before="30" w:after="30"/>
              <w:rPr>
                <w:rFonts w:asciiTheme="majorBidi" w:hAnsiTheme="majorBidi" w:cstheme="majorBidi"/>
                <w:sz w:val="22"/>
              </w:rPr>
            </w:pPr>
            <w:r w:rsidRPr="00356192">
              <w:rPr>
                <w:rFonts w:asciiTheme="majorBidi" w:hAnsiTheme="majorBidi" w:cstheme="majorBidi"/>
                <w:sz w:val="22"/>
              </w:rPr>
              <w:t>Certification</w:t>
            </w:r>
          </w:p>
        </w:tc>
        <w:tc>
          <w:tcPr>
            <w:tcW w:w="3687" w:type="dxa"/>
            <w:vAlign w:val="center"/>
          </w:tcPr>
          <w:p w14:paraId="4C1AB2FE" w14:textId="77777777" w:rsidR="003343B5" w:rsidRPr="00356192" w:rsidRDefault="003343B5">
            <w:pPr>
              <w:spacing w:before="30" w:after="30"/>
              <w:rPr>
                <w:rFonts w:asciiTheme="majorBidi" w:hAnsiTheme="majorBidi" w:cstheme="majorBidi"/>
                <w:sz w:val="22"/>
              </w:rPr>
            </w:pPr>
          </w:p>
        </w:tc>
        <w:tc>
          <w:tcPr>
            <w:tcW w:w="3332" w:type="dxa"/>
            <w:vAlign w:val="center"/>
          </w:tcPr>
          <w:p w14:paraId="3751A38C" w14:textId="77777777" w:rsidR="003343B5" w:rsidRPr="00356192" w:rsidRDefault="003343B5">
            <w:pPr>
              <w:spacing w:before="30" w:after="30"/>
              <w:rPr>
                <w:rFonts w:asciiTheme="majorBidi" w:hAnsiTheme="majorBidi" w:cstheme="majorBidi"/>
                <w:sz w:val="22"/>
              </w:rPr>
            </w:pPr>
          </w:p>
        </w:tc>
      </w:tr>
      <w:tr w:rsidR="003343B5" w:rsidRPr="00BB24A5" w14:paraId="13715F11" w14:textId="77777777" w:rsidTr="00094FA3">
        <w:trPr>
          <w:jc w:val="center"/>
        </w:trPr>
        <w:tc>
          <w:tcPr>
            <w:tcW w:w="2965" w:type="dxa"/>
            <w:vAlign w:val="center"/>
          </w:tcPr>
          <w:p w14:paraId="406C900C" w14:textId="510A41A9" w:rsidR="003343B5" w:rsidRPr="00356192" w:rsidRDefault="003343B5">
            <w:pPr>
              <w:spacing w:before="30" w:after="30"/>
              <w:rPr>
                <w:rFonts w:asciiTheme="majorBidi" w:hAnsiTheme="majorBidi" w:cstheme="majorBidi"/>
                <w:sz w:val="22"/>
              </w:rPr>
            </w:pPr>
            <w:r w:rsidRPr="00356192">
              <w:rPr>
                <w:rFonts w:asciiTheme="majorBidi" w:hAnsiTheme="majorBidi" w:cstheme="majorBidi"/>
                <w:sz w:val="22"/>
              </w:rPr>
              <w:t xml:space="preserve">Auditing </w:t>
            </w:r>
          </w:p>
        </w:tc>
        <w:tc>
          <w:tcPr>
            <w:tcW w:w="3687" w:type="dxa"/>
            <w:vAlign w:val="center"/>
          </w:tcPr>
          <w:p w14:paraId="1FDEE4F8" w14:textId="77777777" w:rsidR="003343B5" w:rsidRPr="00356192" w:rsidRDefault="003343B5">
            <w:pPr>
              <w:spacing w:before="30" w:after="30"/>
              <w:rPr>
                <w:rFonts w:asciiTheme="majorBidi" w:hAnsiTheme="majorBidi" w:cstheme="majorBidi"/>
                <w:sz w:val="22"/>
              </w:rPr>
            </w:pPr>
          </w:p>
        </w:tc>
        <w:tc>
          <w:tcPr>
            <w:tcW w:w="3332" w:type="dxa"/>
            <w:vAlign w:val="center"/>
          </w:tcPr>
          <w:p w14:paraId="4502B1F2" w14:textId="77777777" w:rsidR="003343B5" w:rsidRPr="00356192" w:rsidRDefault="003343B5">
            <w:pPr>
              <w:spacing w:before="30" w:after="30"/>
              <w:rPr>
                <w:rFonts w:asciiTheme="majorBidi" w:hAnsiTheme="majorBidi" w:cstheme="majorBidi"/>
                <w:sz w:val="22"/>
              </w:rPr>
            </w:pPr>
          </w:p>
        </w:tc>
      </w:tr>
      <w:tr w:rsidR="003343B5" w:rsidRPr="00BB24A5" w14:paraId="37C0D629" w14:textId="77777777" w:rsidTr="00094FA3">
        <w:trPr>
          <w:jc w:val="center"/>
        </w:trPr>
        <w:tc>
          <w:tcPr>
            <w:tcW w:w="2965" w:type="dxa"/>
            <w:vAlign w:val="center"/>
          </w:tcPr>
          <w:p w14:paraId="5F5D9139" w14:textId="2DD7B547" w:rsidR="003343B5" w:rsidRPr="00356192" w:rsidRDefault="003343B5">
            <w:pPr>
              <w:spacing w:before="30" w:after="30"/>
              <w:rPr>
                <w:rFonts w:asciiTheme="majorBidi" w:hAnsiTheme="majorBidi" w:cstheme="majorBidi"/>
                <w:sz w:val="22"/>
              </w:rPr>
            </w:pPr>
            <w:r w:rsidRPr="00356192">
              <w:rPr>
                <w:rFonts w:asciiTheme="majorBidi" w:hAnsiTheme="majorBidi" w:cstheme="majorBidi"/>
                <w:sz w:val="22"/>
              </w:rPr>
              <w:t xml:space="preserve">Ranking &amp; Rating </w:t>
            </w:r>
          </w:p>
        </w:tc>
        <w:tc>
          <w:tcPr>
            <w:tcW w:w="3687" w:type="dxa"/>
            <w:vAlign w:val="center"/>
          </w:tcPr>
          <w:p w14:paraId="23991C43" w14:textId="77777777" w:rsidR="003343B5" w:rsidRPr="00356192" w:rsidRDefault="003343B5">
            <w:pPr>
              <w:spacing w:before="30" w:after="30"/>
              <w:rPr>
                <w:rFonts w:asciiTheme="majorBidi" w:hAnsiTheme="majorBidi" w:cstheme="majorBidi"/>
                <w:sz w:val="22"/>
              </w:rPr>
            </w:pPr>
          </w:p>
        </w:tc>
        <w:tc>
          <w:tcPr>
            <w:tcW w:w="3332" w:type="dxa"/>
            <w:vAlign w:val="center"/>
          </w:tcPr>
          <w:p w14:paraId="43DE070A" w14:textId="77777777" w:rsidR="003343B5" w:rsidRPr="00356192" w:rsidRDefault="003343B5">
            <w:pPr>
              <w:spacing w:before="30" w:after="30"/>
              <w:rPr>
                <w:rFonts w:asciiTheme="majorBidi" w:hAnsiTheme="majorBidi" w:cstheme="majorBidi"/>
                <w:sz w:val="22"/>
              </w:rPr>
            </w:pPr>
          </w:p>
        </w:tc>
      </w:tr>
      <w:tr w:rsidR="003343B5" w:rsidRPr="00BB24A5" w14:paraId="4D28643D" w14:textId="77777777" w:rsidTr="00094FA3">
        <w:trPr>
          <w:jc w:val="center"/>
        </w:trPr>
        <w:tc>
          <w:tcPr>
            <w:tcW w:w="2965" w:type="dxa"/>
            <w:vAlign w:val="center"/>
          </w:tcPr>
          <w:p w14:paraId="60F4685B" w14:textId="3DAE7B34" w:rsidR="003343B5" w:rsidRPr="00356192" w:rsidRDefault="003343B5" w:rsidP="003343B5">
            <w:pPr>
              <w:spacing w:before="30" w:after="30"/>
              <w:rPr>
                <w:rFonts w:asciiTheme="majorBidi" w:hAnsiTheme="majorBidi" w:cstheme="majorBidi"/>
                <w:sz w:val="22"/>
              </w:rPr>
            </w:pPr>
            <w:r w:rsidRPr="00356192">
              <w:rPr>
                <w:rFonts w:asciiTheme="majorBidi" w:hAnsiTheme="majorBidi" w:cstheme="majorBidi"/>
                <w:sz w:val="22"/>
              </w:rPr>
              <w:t>Assurance</w:t>
            </w:r>
          </w:p>
        </w:tc>
        <w:tc>
          <w:tcPr>
            <w:tcW w:w="3687" w:type="dxa"/>
          </w:tcPr>
          <w:p w14:paraId="1B546126" w14:textId="1015C1D3" w:rsidR="003343B5" w:rsidRPr="00356192" w:rsidRDefault="003343B5" w:rsidP="003343B5">
            <w:pPr>
              <w:spacing w:before="30" w:after="30"/>
              <w:rPr>
                <w:rFonts w:asciiTheme="majorBidi" w:hAnsiTheme="majorBidi" w:cstheme="majorBidi"/>
                <w:sz w:val="22"/>
              </w:rPr>
            </w:pPr>
            <w:r w:rsidRPr="00356192">
              <w:rPr>
                <w:rFonts w:asciiTheme="majorBidi" w:hAnsiTheme="majorBidi" w:cstheme="majorBidi"/>
                <w:sz w:val="22"/>
              </w:rPr>
              <w:t>Provides an authoritative or credible basis for reliance on compliance, quality, competence, or performance.</w:t>
            </w:r>
          </w:p>
        </w:tc>
        <w:tc>
          <w:tcPr>
            <w:tcW w:w="3332" w:type="dxa"/>
            <w:vAlign w:val="center"/>
          </w:tcPr>
          <w:p w14:paraId="0F1FAC79" w14:textId="77777777" w:rsidR="003343B5" w:rsidRPr="00356192" w:rsidRDefault="003343B5" w:rsidP="003343B5">
            <w:pPr>
              <w:spacing w:before="30" w:after="30"/>
              <w:rPr>
                <w:rFonts w:asciiTheme="majorBidi" w:hAnsiTheme="majorBidi" w:cstheme="majorBidi"/>
                <w:sz w:val="22"/>
              </w:rPr>
            </w:pPr>
          </w:p>
        </w:tc>
      </w:tr>
      <w:tr w:rsidR="003343B5" w:rsidRPr="00BB24A5" w14:paraId="6D6D691E" w14:textId="77777777" w:rsidTr="00094FA3">
        <w:trPr>
          <w:jc w:val="center"/>
        </w:trPr>
        <w:tc>
          <w:tcPr>
            <w:tcW w:w="2965" w:type="dxa"/>
            <w:vAlign w:val="center"/>
          </w:tcPr>
          <w:p w14:paraId="0092E3E0" w14:textId="2B989C01" w:rsidR="003343B5" w:rsidRPr="00356192" w:rsidRDefault="003343B5" w:rsidP="003343B5">
            <w:pPr>
              <w:spacing w:before="30" w:after="30"/>
              <w:rPr>
                <w:rFonts w:asciiTheme="majorBidi" w:hAnsiTheme="majorBidi" w:cstheme="majorBidi"/>
                <w:sz w:val="22"/>
              </w:rPr>
            </w:pPr>
            <w:r w:rsidRPr="00356192">
              <w:rPr>
                <w:rFonts w:asciiTheme="majorBidi" w:hAnsiTheme="majorBidi" w:cstheme="majorBidi"/>
                <w:sz w:val="22"/>
              </w:rPr>
              <w:t xml:space="preserve">Conformity Assessment </w:t>
            </w:r>
          </w:p>
        </w:tc>
        <w:tc>
          <w:tcPr>
            <w:tcW w:w="3687" w:type="dxa"/>
          </w:tcPr>
          <w:p w14:paraId="1E3CBCD4" w14:textId="77777777" w:rsidR="003343B5" w:rsidRPr="00356192" w:rsidRDefault="003343B5" w:rsidP="003343B5">
            <w:pPr>
              <w:spacing w:before="30" w:after="30"/>
              <w:rPr>
                <w:rFonts w:asciiTheme="majorBidi" w:hAnsiTheme="majorBidi" w:cstheme="majorBidi"/>
                <w:sz w:val="22"/>
              </w:rPr>
            </w:pPr>
          </w:p>
        </w:tc>
        <w:tc>
          <w:tcPr>
            <w:tcW w:w="3332" w:type="dxa"/>
            <w:vAlign w:val="center"/>
          </w:tcPr>
          <w:p w14:paraId="1B24CA31" w14:textId="77777777" w:rsidR="003343B5" w:rsidRPr="00356192" w:rsidRDefault="003343B5" w:rsidP="003343B5">
            <w:pPr>
              <w:spacing w:before="30" w:after="30"/>
              <w:rPr>
                <w:rFonts w:asciiTheme="majorBidi" w:hAnsiTheme="majorBidi" w:cstheme="majorBidi"/>
                <w:sz w:val="22"/>
              </w:rPr>
            </w:pPr>
          </w:p>
        </w:tc>
      </w:tr>
      <w:tr w:rsidR="003343B5" w14:paraId="3C0099BC" w14:textId="77777777" w:rsidTr="00094FA3">
        <w:tblPrEx>
          <w:jc w:val="left"/>
        </w:tblPrEx>
        <w:tc>
          <w:tcPr>
            <w:tcW w:w="2965" w:type="dxa"/>
          </w:tcPr>
          <w:p w14:paraId="68B16357" w14:textId="77777777" w:rsidR="003343B5" w:rsidRPr="00356192" w:rsidRDefault="003343B5" w:rsidP="0017123D">
            <w:pPr>
              <w:widowControl w:val="0"/>
              <w:autoSpaceDE w:val="0"/>
              <w:autoSpaceDN w:val="0"/>
              <w:adjustRightInd w:val="0"/>
              <w:spacing w:after="0" w:line="240" w:lineRule="auto"/>
              <w:rPr>
                <w:rFonts w:asciiTheme="majorBidi" w:hAnsiTheme="majorBidi" w:cstheme="majorBidi"/>
                <w:sz w:val="22"/>
              </w:rPr>
            </w:pPr>
            <w:r w:rsidRPr="00356192">
              <w:rPr>
                <w:rFonts w:asciiTheme="majorBidi" w:hAnsiTheme="majorBidi" w:cstheme="majorBidi"/>
                <w:sz w:val="22"/>
              </w:rPr>
              <w:t>Investigation</w:t>
            </w:r>
          </w:p>
        </w:tc>
        <w:tc>
          <w:tcPr>
            <w:tcW w:w="3690" w:type="dxa"/>
          </w:tcPr>
          <w:p w14:paraId="783CEE13" w14:textId="77777777" w:rsidR="003343B5" w:rsidRPr="00356192" w:rsidRDefault="003343B5" w:rsidP="0017123D">
            <w:pPr>
              <w:widowControl w:val="0"/>
              <w:autoSpaceDE w:val="0"/>
              <w:autoSpaceDN w:val="0"/>
              <w:adjustRightInd w:val="0"/>
              <w:spacing w:after="0" w:line="240" w:lineRule="auto"/>
              <w:rPr>
                <w:rFonts w:asciiTheme="majorBidi" w:hAnsiTheme="majorBidi" w:cstheme="majorBidi"/>
                <w:sz w:val="22"/>
              </w:rPr>
            </w:pPr>
            <w:r w:rsidRPr="00356192">
              <w:rPr>
                <w:rFonts w:asciiTheme="majorBidi" w:hAnsiTheme="majorBidi" w:cstheme="majorBidi"/>
                <w:sz w:val="22"/>
              </w:rPr>
              <w:t>Examines suspected violations, failures, risks, or contested facts through systematic fact-finding.</w:t>
            </w:r>
          </w:p>
        </w:tc>
        <w:tc>
          <w:tcPr>
            <w:tcW w:w="3329" w:type="dxa"/>
          </w:tcPr>
          <w:p w14:paraId="54863734" w14:textId="77777777" w:rsidR="003343B5" w:rsidRPr="00356192" w:rsidRDefault="003343B5" w:rsidP="0017123D">
            <w:pPr>
              <w:widowControl w:val="0"/>
              <w:autoSpaceDE w:val="0"/>
              <w:autoSpaceDN w:val="0"/>
              <w:adjustRightInd w:val="0"/>
              <w:spacing w:after="0" w:line="240" w:lineRule="auto"/>
              <w:rPr>
                <w:rFonts w:asciiTheme="majorBidi" w:hAnsiTheme="majorBidi" w:cstheme="majorBidi"/>
                <w:sz w:val="22"/>
              </w:rPr>
            </w:pPr>
            <w:r w:rsidRPr="00356192">
              <w:rPr>
                <w:rFonts w:asciiTheme="majorBidi" w:hAnsiTheme="majorBidi" w:cstheme="majorBidi"/>
                <w:sz w:val="22"/>
              </w:rPr>
              <w:t>Statutory inquiry; investigatory power; compulsory information request; inspection following suspected breach.</w:t>
            </w:r>
          </w:p>
        </w:tc>
      </w:tr>
    </w:tbl>
    <w:p w14:paraId="18A02657" w14:textId="10D85CA0" w:rsidR="00356192" w:rsidRDefault="00356192">
      <w:pPr>
        <w:rPr>
          <w:rFonts w:asciiTheme="majorBidi" w:hAnsiTheme="majorBidi" w:cstheme="majorBidi"/>
          <w:sz w:val="24"/>
          <w:szCs w:val="24"/>
        </w:rPr>
      </w:pPr>
    </w:p>
    <w:p w14:paraId="57661BD9" w14:textId="77777777" w:rsidR="00356192" w:rsidRDefault="00356192">
      <w:pPr>
        <w:spacing w:after="200" w:line="276" w:lineRule="auto"/>
        <w:rPr>
          <w:rFonts w:asciiTheme="majorBidi" w:hAnsiTheme="majorBidi" w:cstheme="majorBidi"/>
          <w:sz w:val="24"/>
          <w:szCs w:val="24"/>
        </w:rPr>
      </w:pPr>
      <w:r>
        <w:rPr>
          <w:rFonts w:asciiTheme="majorBidi" w:hAnsiTheme="majorBidi" w:cstheme="majorBidi"/>
          <w:sz w:val="24"/>
          <w:szCs w:val="24"/>
        </w:rPr>
        <w:br w:type="page"/>
      </w:r>
    </w:p>
    <w:p w14:paraId="4D38A32A" w14:textId="77777777" w:rsidR="003343B5" w:rsidRDefault="003343B5">
      <w:pPr>
        <w:rPr>
          <w:rFonts w:asciiTheme="majorBidi" w:hAnsiTheme="majorBidi" w:cstheme="majorBidi"/>
          <w:sz w:val="24"/>
          <w:szCs w:val="24"/>
        </w:rPr>
      </w:pPr>
    </w:p>
    <w:p w14:paraId="4E081360" w14:textId="77777777" w:rsidR="0053775A" w:rsidRPr="00656BE6" w:rsidRDefault="0053775A" w:rsidP="0053775A">
      <w:pPr>
        <w:rPr>
          <w:rFonts w:asciiTheme="majorBidi" w:hAnsiTheme="majorBidi" w:cstheme="majorBidi"/>
          <w:b/>
          <w:bCs/>
          <w:sz w:val="24"/>
          <w:szCs w:val="24"/>
        </w:rPr>
      </w:pPr>
      <w:r w:rsidRPr="00656BE6">
        <w:rPr>
          <w:rFonts w:asciiTheme="majorBidi" w:hAnsiTheme="majorBidi" w:cstheme="majorBidi"/>
          <w:b/>
          <w:bCs/>
          <w:sz w:val="24"/>
          <w:szCs w:val="24"/>
        </w:rPr>
        <w:t>3.5 Instruments: the institutional devices through which governance is organized</w:t>
      </w:r>
    </w:p>
    <w:p w14:paraId="26DC2511" w14:textId="77777777" w:rsidR="0053775A" w:rsidRPr="00A46BBD" w:rsidRDefault="0053775A" w:rsidP="0053775A">
      <w:pPr>
        <w:spacing w:before="100" w:beforeAutospacing="1" w:afterAutospacing="1"/>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 xml:space="preserve">Governance is exercised not only through actors, functions and mechanisms, but also through concrete institutional devices. We refer to these devices as governance instruments. Instruments are legally constituted or legally recognized arrangements through which governing activity is made operational. </w:t>
      </w:r>
      <w:proofErr w:type="spellStart"/>
      <w:r w:rsidRPr="00A46BBD">
        <w:rPr>
          <w:rFonts w:ascii="Times New Roman" w:eastAsia="Times New Roman" w:hAnsi="Times New Roman" w:cs="Times New Roman"/>
          <w:sz w:val="24"/>
          <w:szCs w:val="24"/>
        </w:rPr>
        <w:t>Licences</w:t>
      </w:r>
      <w:proofErr w:type="spellEnd"/>
      <w:r w:rsidRPr="00A46BBD">
        <w:rPr>
          <w:rFonts w:ascii="Times New Roman" w:eastAsia="Times New Roman" w:hAnsi="Times New Roman" w:cs="Times New Roman"/>
          <w:sz w:val="24"/>
          <w:szCs w:val="24"/>
        </w:rPr>
        <w:t>, permits, audits, registries, reporting requirements, certification schemes, disclosure requirements, contracts, standards, accreditation systems, complaints procedures and sanctions are familiar examples. They give institutional form to governing intentions by specifying how authority, information, incentives, oversight or participation are to be organized in practice.</w:t>
      </w:r>
    </w:p>
    <w:p w14:paraId="6686B2D3" w14:textId="77777777" w:rsidR="0053775A" w:rsidRPr="00A46BBD" w:rsidRDefault="0053775A" w:rsidP="0053775A">
      <w:pPr>
        <w:spacing w:before="100" w:beforeAutospacing="1" w:afterAutospacing="1"/>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 xml:space="preserve">Policy-instrument scholarship has long emphasized that governments rarely act directly upon social outcomes. Instead, they govern through tools that structure the </w:t>
      </w:r>
      <w:proofErr w:type="spellStart"/>
      <w:r w:rsidRPr="00A46BBD">
        <w:rPr>
          <w:rFonts w:ascii="Times New Roman" w:eastAsia="Times New Roman" w:hAnsi="Times New Roman" w:cs="Times New Roman"/>
          <w:sz w:val="24"/>
          <w:szCs w:val="24"/>
        </w:rPr>
        <w:t>behaviour</w:t>
      </w:r>
      <w:proofErr w:type="spellEnd"/>
      <w:r w:rsidRPr="00A46BBD">
        <w:rPr>
          <w:rFonts w:ascii="Times New Roman" w:eastAsia="Times New Roman" w:hAnsi="Times New Roman" w:cs="Times New Roman"/>
          <w:sz w:val="24"/>
          <w:szCs w:val="24"/>
        </w:rPr>
        <w:t xml:space="preserve"> and capacities of public and private actors. Early classifications distinguished instruments according to the </w:t>
      </w:r>
      <w:proofErr w:type="gramStart"/>
      <w:r w:rsidRPr="00A46BBD">
        <w:rPr>
          <w:rFonts w:ascii="Times New Roman" w:eastAsia="Times New Roman" w:hAnsi="Times New Roman" w:cs="Times New Roman"/>
          <w:sz w:val="24"/>
          <w:szCs w:val="24"/>
        </w:rPr>
        <w:t>resources</w:t>
      </w:r>
      <w:proofErr w:type="gramEnd"/>
      <w:r w:rsidRPr="00A46BBD">
        <w:rPr>
          <w:rFonts w:ascii="Times New Roman" w:eastAsia="Times New Roman" w:hAnsi="Times New Roman" w:cs="Times New Roman"/>
          <w:sz w:val="24"/>
          <w:szCs w:val="24"/>
        </w:rPr>
        <w:t xml:space="preserve"> governments mobilize, such as authority, information, finance and organization (Hood 1983). Later work broadened the analysis from governmental tools to the institutional arrangements through which public purposes are pursued, including grants, contracts, regulation, vouchers, insurance, government corporations and other forms of indirect governance (</w:t>
      </w:r>
      <w:proofErr w:type="spellStart"/>
      <w:r w:rsidRPr="00A46BBD">
        <w:rPr>
          <w:rFonts w:ascii="Times New Roman" w:eastAsia="Times New Roman" w:hAnsi="Times New Roman" w:cs="Times New Roman"/>
          <w:sz w:val="24"/>
          <w:szCs w:val="24"/>
        </w:rPr>
        <w:t>Salamon</w:t>
      </w:r>
      <w:proofErr w:type="spellEnd"/>
      <w:r w:rsidRPr="00A46BBD">
        <w:rPr>
          <w:rFonts w:ascii="Times New Roman" w:eastAsia="Times New Roman" w:hAnsi="Times New Roman" w:cs="Times New Roman"/>
          <w:sz w:val="24"/>
          <w:szCs w:val="24"/>
        </w:rPr>
        <w:t xml:space="preserve"> 2002). Schneider and Ingram (1990) similarly distinguished policy tools according to the </w:t>
      </w:r>
      <w:proofErr w:type="spellStart"/>
      <w:r w:rsidRPr="00A46BBD">
        <w:rPr>
          <w:rFonts w:ascii="Times New Roman" w:eastAsia="Times New Roman" w:hAnsi="Times New Roman" w:cs="Times New Roman"/>
          <w:sz w:val="24"/>
          <w:szCs w:val="24"/>
        </w:rPr>
        <w:t>behavioural</w:t>
      </w:r>
      <w:proofErr w:type="spellEnd"/>
      <w:r w:rsidRPr="00A46BBD">
        <w:rPr>
          <w:rFonts w:ascii="Times New Roman" w:eastAsia="Times New Roman" w:hAnsi="Times New Roman" w:cs="Times New Roman"/>
          <w:sz w:val="24"/>
          <w:szCs w:val="24"/>
        </w:rPr>
        <w:t xml:space="preserve"> assumptions and capacities through which they seek to induce action, while </w:t>
      </w:r>
      <w:proofErr w:type="spellStart"/>
      <w:r w:rsidRPr="00A46BBD">
        <w:rPr>
          <w:rFonts w:ascii="Times New Roman" w:eastAsia="Times New Roman" w:hAnsi="Times New Roman" w:cs="Times New Roman"/>
          <w:sz w:val="24"/>
          <w:szCs w:val="24"/>
        </w:rPr>
        <w:t>Vedung</w:t>
      </w:r>
      <w:proofErr w:type="spellEnd"/>
      <w:r w:rsidRPr="00A46BBD">
        <w:rPr>
          <w:rFonts w:ascii="Times New Roman" w:eastAsia="Times New Roman" w:hAnsi="Times New Roman" w:cs="Times New Roman"/>
          <w:sz w:val="24"/>
          <w:szCs w:val="24"/>
        </w:rPr>
        <w:t xml:space="preserve"> (1998) famously grouped instruments around regulation, economic means and information. More recent policy-design research has stressed that instruments rarely operate in isolation and should instead be understood as components of policy mixes and institutional configurations (Howlett 2010; Howlett and Rayner 2007).</w:t>
      </w:r>
    </w:p>
    <w:p w14:paraId="58872497" w14:textId="77777777" w:rsidR="0053775A" w:rsidRPr="00A46BBD" w:rsidRDefault="0053775A" w:rsidP="0053775A">
      <w:pPr>
        <w:spacing w:before="100" w:beforeAutospacing="1" w:afterAutospacing="1"/>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 xml:space="preserve">For the present framework, the key point is that instruments are not merely policy choices. They are components of governance architecture. A licensing scheme, for example, establishes more than a substantive requirement. It creates an institutionalized process through which an actor applies for authorization, another actor assesses eligibility, conditions may be imposed, information may be requested, continued compliance may be monitored, and authorization may subsequently be suspended or withdrawn. An audit likewise creates a structured arrangement involving an auditee, an auditor, standards of assessment, information access, reporting, possible follow-up and frequently some relationship to a regulator or beneficiary. Instruments therefore organize actors and relationships as well as </w:t>
      </w:r>
      <w:proofErr w:type="spellStart"/>
      <w:r w:rsidRPr="00A46BBD">
        <w:rPr>
          <w:rFonts w:ascii="Times New Roman" w:eastAsia="Times New Roman" w:hAnsi="Times New Roman" w:cs="Times New Roman"/>
          <w:sz w:val="24"/>
          <w:szCs w:val="24"/>
        </w:rPr>
        <w:t>behaviour</w:t>
      </w:r>
      <w:proofErr w:type="spellEnd"/>
      <w:r w:rsidRPr="00A46BBD">
        <w:rPr>
          <w:rFonts w:ascii="Times New Roman" w:eastAsia="Times New Roman" w:hAnsi="Times New Roman" w:cs="Times New Roman"/>
          <w:sz w:val="24"/>
          <w:szCs w:val="24"/>
        </w:rPr>
        <w:t>.</w:t>
      </w:r>
    </w:p>
    <w:p w14:paraId="539389D3" w14:textId="77777777" w:rsidR="0053775A" w:rsidRPr="00A46BBD" w:rsidRDefault="0053775A" w:rsidP="0053775A">
      <w:pPr>
        <w:spacing w:before="100" w:beforeAutospacing="1" w:afterAutospacing="1"/>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 xml:space="preserve">This understanding builds on </w:t>
      </w:r>
      <w:proofErr w:type="spellStart"/>
      <w:r w:rsidRPr="00A46BBD">
        <w:rPr>
          <w:rFonts w:ascii="Times New Roman" w:eastAsia="Times New Roman" w:hAnsi="Times New Roman" w:cs="Times New Roman"/>
          <w:sz w:val="24"/>
          <w:szCs w:val="24"/>
        </w:rPr>
        <w:t>Lascoumes</w:t>
      </w:r>
      <w:proofErr w:type="spellEnd"/>
      <w:r w:rsidRPr="00A46BBD">
        <w:rPr>
          <w:rFonts w:ascii="Times New Roman" w:eastAsia="Times New Roman" w:hAnsi="Times New Roman" w:cs="Times New Roman"/>
          <w:sz w:val="24"/>
          <w:szCs w:val="24"/>
        </w:rPr>
        <w:t xml:space="preserve"> and Le </w:t>
      </w:r>
      <w:proofErr w:type="spellStart"/>
      <w:r w:rsidRPr="00A46BBD">
        <w:rPr>
          <w:rFonts w:ascii="Times New Roman" w:eastAsia="Times New Roman" w:hAnsi="Times New Roman" w:cs="Times New Roman"/>
          <w:sz w:val="24"/>
          <w:szCs w:val="24"/>
        </w:rPr>
        <w:t>Galès</w:t>
      </w:r>
      <w:proofErr w:type="spellEnd"/>
      <w:r w:rsidRPr="00A46BBD">
        <w:rPr>
          <w:rFonts w:ascii="Times New Roman" w:eastAsia="Times New Roman" w:hAnsi="Times New Roman" w:cs="Times New Roman"/>
          <w:sz w:val="24"/>
          <w:szCs w:val="24"/>
        </w:rPr>
        <w:t>’ (2007) argument that policy instruments are not neutral technical devices but forms of social and political ordering. Instruments embody particular conceptions of the relationship between governing and governed and distribute resources, authority and responsibility among participants. A public inspection regime, a private certification scheme and mandatory self-assessment may all serve a monitoring or assurance function, but they assign governance work to different actors and create different patterns of discretion, dependence and accountability. Instrument choice is therefore constitutive of governance architecture.</w:t>
      </w:r>
    </w:p>
    <w:p w14:paraId="5E1B3CBE" w14:textId="77777777" w:rsidR="0053775A" w:rsidRPr="00A46BBD" w:rsidRDefault="0053775A" w:rsidP="0053775A">
      <w:pPr>
        <w:spacing w:before="100" w:beforeAutospacing="1" w:afterAutospacing="1"/>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 xml:space="preserve">This is particularly important in contemporary regulation because many governing instruments are themselves organizationally complex. Certification, accreditation, auditing, benchmarking, disclosure and complaints mechanisms frequently enlist third parties rather than operating through a direct regulator–target relationship. As regulatory governance has become increasingly decentralized and </w:t>
      </w:r>
      <w:r w:rsidRPr="00A46BBD">
        <w:rPr>
          <w:rFonts w:ascii="Times New Roman" w:eastAsia="Times New Roman" w:hAnsi="Times New Roman" w:cs="Times New Roman"/>
          <w:sz w:val="24"/>
          <w:szCs w:val="24"/>
        </w:rPr>
        <w:lastRenderedPageBreak/>
        <w:t xml:space="preserve">hybrid, instruments have become vehicles through which regulatory work is distributed among public authorities, firms, professional organizations, intermediaries and beneficiaries (Gunningham, </w:t>
      </w:r>
      <w:proofErr w:type="spellStart"/>
      <w:r w:rsidRPr="00A46BBD">
        <w:rPr>
          <w:rFonts w:ascii="Times New Roman" w:eastAsia="Times New Roman" w:hAnsi="Times New Roman" w:cs="Times New Roman"/>
          <w:sz w:val="24"/>
          <w:szCs w:val="24"/>
        </w:rPr>
        <w:t>Grabosky</w:t>
      </w:r>
      <w:proofErr w:type="spellEnd"/>
      <w:r w:rsidRPr="00A46BBD">
        <w:rPr>
          <w:rFonts w:ascii="Times New Roman" w:eastAsia="Times New Roman" w:hAnsi="Times New Roman" w:cs="Times New Roman"/>
          <w:sz w:val="24"/>
          <w:szCs w:val="24"/>
        </w:rPr>
        <w:t xml:space="preserve"> and Sinclair 1998; Scott 2004; Abbott, Levi-Faur and Snidal 2017). From this perspective, instruments provide one of the principal observable interfaces between legal rules and governance architecture.</w:t>
      </w:r>
    </w:p>
    <w:p w14:paraId="5DDFB7E5" w14:textId="7A00613D" w:rsidR="0053775A" w:rsidRPr="00A46BBD" w:rsidRDefault="0053775A" w:rsidP="0053775A">
      <w:pPr>
        <w:spacing w:before="100" w:beforeAutospacing="1" w:afterAutospacing="1"/>
        <w:outlineLvl w:val="2"/>
        <w:rPr>
          <w:rFonts w:ascii="Times New Roman" w:eastAsia="Times New Roman" w:hAnsi="Times New Roman" w:cs="Times New Roman"/>
          <w:sz w:val="24"/>
          <w:szCs w:val="24"/>
        </w:rPr>
      </w:pPr>
      <w:r w:rsidRPr="00A46BBD">
        <w:rPr>
          <w:rFonts w:ascii="Times New Roman" w:eastAsia="Times New Roman" w:hAnsi="Times New Roman" w:cs="Times New Roman"/>
          <w:b/>
          <w:bCs/>
          <w:sz w:val="27"/>
          <w:szCs w:val="27"/>
        </w:rPr>
        <w:t>Instruments, mechanisms and functions</w:t>
      </w:r>
      <w:r>
        <w:rPr>
          <w:rFonts w:ascii="Times New Roman" w:eastAsia="Times New Roman" w:hAnsi="Times New Roman" w:cs="Times New Roman"/>
          <w:b/>
          <w:bCs/>
          <w:sz w:val="27"/>
          <w:szCs w:val="27"/>
        </w:rPr>
        <w:t xml:space="preserve">: </w:t>
      </w:r>
      <w:r w:rsidRPr="00A46BBD">
        <w:rPr>
          <w:rFonts w:ascii="Times New Roman" w:eastAsia="Times New Roman" w:hAnsi="Times New Roman" w:cs="Times New Roman"/>
          <w:sz w:val="24"/>
          <w:szCs w:val="24"/>
        </w:rPr>
        <w:t>A persistent conceptual difficulty concerns the boundary between instruments and mechanisms. The terms are often used interchangeably in the policy and regulation literatures. “Disclosure,” “auditing,” “licensing,” “monitoring” or “certification,” for example, may variously be described as instruments, mechanisms or regulatory techniques. For purposes of comparative coding, however, an analytical distinction is useful even when empirical boundaries remain imperfect.</w:t>
      </w:r>
    </w:p>
    <w:p w14:paraId="6A9EBD08" w14:textId="77777777" w:rsidR="0053775A" w:rsidRPr="00A46BBD" w:rsidRDefault="0053775A" w:rsidP="0053775A">
      <w:pPr>
        <w:spacing w:before="100" w:beforeAutospacing="1" w:afterAutospacing="1"/>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 xml:space="preserve">A function identifies the governance work performed. A mechanism identifies the process through which influence, constraint or enablement operates. An instrument identifies the concrete institutional device through which the mechanism is organized. Thus, monitoring is a function when it describes the work of observing </w:t>
      </w:r>
      <w:proofErr w:type="spellStart"/>
      <w:r w:rsidRPr="00A46BBD">
        <w:rPr>
          <w:rFonts w:ascii="Times New Roman" w:eastAsia="Times New Roman" w:hAnsi="Times New Roman" w:cs="Times New Roman"/>
          <w:sz w:val="24"/>
          <w:szCs w:val="24"/>
        </w:rPr>
        <w:t>behaviour</w:t>
      </w:r>
      <w:proofErr w:type="spellEnd"/>
      <w:r w:rsidRPr="00A46BBD">
        <w:rPr>
          <w:rFonts w:ascii="Times New Roman" w:eastAsia="Times New Roman" w:hAnsi="Times New Roman" w:cs="Times New Roman"/>
          <w:sz w:val="24"/>
          <w:szCs w:val="24"/>
        </w:rPr>
        <w:t xml:space="preserve"> or performance; surveillance may constitute a mechanism through which information about that </w:t>
      </w:r>
      <w:proofErr w:type="spellStart"/>
      <w:r w:rsidRPr="00A46BBD">
        <w:rPr>
          <w:rFonts w:ascii="Times New Roman" w:eastAsia="Times New Roman" w:hAnsi="Times New Roman" w:cs="Times New Roman"/>
          <w:sz w:val="24"/>
          <w:szCs w:val="24"/>
        </w:rPr>
        <w:t>behaviour</w:t>
      </w:r>
      <w:proofErr w:type="spellEnd"/>
      <w:r w:rsidRPr="00A46BBD">
        <w:rPr>
          <w:rFonts w:ascii="Times New Roman" w:eastAsia="Times New Roman" w:hAnsi="Times New Roman" w:cs="Times New Roman"/>
          <w:sz w:val="24"/>
          <w:szCs w:val="24"/>
        </w:rPr>
        <w:t xml:space="preserve"> is generated; and an inspection </w:t>
      </w:r>
      <w:proofErr w:type="spellStart"/>
      <w:r w:rsidRPr="00A46BBD">
        <w:rPr>
          <w:rFonts w:ascii="Times New Roman" w:eastAsia="Times New Roman" w:hAnsi="Times New Roman" w:cs="Times New Roman"/>
          <w:sz w:val="24"/>
          <w:szCs w:val="24"/>
        </w:rPr>
        <w:t>programme</w:t>
      </w:r>
      <w:proofErr w:type="spellEnd"/>
      <w:r w:rsidRPr="00A46BBD">
        <w:rPr>
          <w:rFonts w:ascii="Times New Roman" w:eastAsia="Times New Roman" w:hAnsi="Times New Roman" w:cs="Times New Roman"/>
          <w:sz w:val="24"/>
          <w:szCs w:val="24"/>
        </w:rPr>
        <w:t xml:space="preserve"> may be the institutional instrument through which monitoring and surveillance are organized. Similarly, assurance is a function, verification may be the operative mechanism, and certification or auditing may be the instrument through which assurance is institutionalized.</w:t>
      </w:r>
    </w:p>
    <w:p w14:paraId="66C6CADF" w14:textId="77777777" w:rsidR="0053775A" w:rsidRPr="00A46BBD" w:rsidRDefault="0053775A" w:rsidP="0053775A">
      <w:pPr>
        <w:spacing w:before="100" w:beforeAutospacing="1" w:afterAutospacing="1"/>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The distinction can be represented as:</w:t>
      </w:r>
    </w:p>
    <w:p w14:paraId="7361CD96" w14:textId="77777777" w:rsidR="0053775A" w:rsidRPr="00A46BBD" w:rsidRDefault="0053775A" w:rsidP="0053775A">
      <w:pPr>
        <w:rPr>
          <w:rFonts w:ascii="Times New Roman" w:eastAsia="Times New Roman" w:hAnsi="Times New Roman" w:cs="Times New Roman"/>
          <w:sz w:val="24"/>
          <w:szCs w:val="24"/>
        </w:rPr>
      </w:pPr>
      <w:proofErr w:type="gramStart"/>
      <w:r w:rsidRPr="00A46BBD">
        <w:rPr>
          <w:rFonts w:ascii="Times New Roman" w:eastAsia="Times New Roman" w:hAnsi="Times New Roman" w:cs="Times New Roman"/>
          <w:sz w:val="24"/>
          <w:szCs w:val="24"/>
        </w:rPr>
        <w:t>\[</w:t>
      </w:r>
      <w:proofErr w:type="gramEnd"/>
      <w:r w:rsidRPr="00A46BBD">
        <w:rPr>
          <w:rFonts w:ascii="Times New Roman" w:eastAsia="Times New Roman" w:hAnsi="Times New Roman" w:cs="Times New Roman"/>
          <w:sz w:val="24"/>
          <w:szCs w:val="24"/>
        </w:rPr>
        <w:t xml:space="preserve"> Function = \text{what governance work is performed} \]\[ Mechanism = \text{how influence or control operates} \]\[ Instrument = \text{the institutional device through which it is organized} \]</w:t>
      </w:r>
    </w:p>
    <w:p w14:paraId="0A18E802" w14:textId="77777777" w:rsidR="0053775A" w:rsidRPr="00A46BBD" w:rsidRDefault="0053775A" w:rsidP="0053775A">
      <w:pPr>
        <w:spacing w:before="100" w:beforeAutospacing="1" w:afterAutospacing="1"/>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The relationship among these dimensions is not one-to-one. A single instrument may embody several mechanisms and perform several functions. A public registry, for example, may perform an information function while simultaneously activating disclosure, transparency and reputational mechanisms. Certification may combine verification, authorization and reputational mechanisms while performing assurance and monitoring functions. Conversely, the same mechanism may be instantiated through different instruments. Information disclosure may operate through mandatory reports, product labels, public databases or financial statements.</w:t>
      </w:r>
    </w:p>
    <w:p w14:paraId="78895995" w14:textId="77777777" w:rsidR="0053775A" w:rsidRPr="00A46BBD" w:rsidRDefault="0053775A" w:rsidP="0053775A">
      <w:pPr>
        <w:spacing w:before="100" w:beforeAutospacing="1" w:afterAutospacing="1"/>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The coding implication is therefore that instruments should not be inferred mechanically from functions or mechanisms. They should be coded separately where the legal text establishes or recognizes a sufficiently distinct institutional device.</w:t>
      </w:r>
    </w:p>
    <w:p w14:paraId="2688987D" w14:textId="5147B860" w:rsidR="0053775A" w:rsidRPr="00A46BBD" w:rsidRDefault="0053775A" w:rsidP="0053775A">
      <w:pPr>
        <w:spacing w:before="100" w:beforeAutospacing="1" w:afterAutospacing="1"/>
        <w:outlineLvl w:val="2"/>
        <w:rPr>
          <w:rFonts w:ascii="Times New Roman" w:eastAsia="Times New Roman" w:hAnsi="Times New Roman" w:cs="Times New Roman"/>
          <w:sz w:val="24"/>
          <w:szCs w:val="24"/>
        </w:rPr>
      </w:pPr>
      <w:r w:rsidRPr="00A46BBD">
        <w:rPr>
          <w:rFonts w:ascii="Times New Roman" w:eastAsia="Times New Roman" w:hAnsi="Times New Roman" w:cs="Times New Roman"/>
          <w:b/>
          <w:bCs/>
          <w:sz w:val="27"/>
          <w:szCs w:val="27"/>
        </w:rPr>
        <w:t>Proposed coding of instruments</w:t>
      </w:r>
      <w:r>
        <w:rPr>
          <w:rFonts w:ascii="Times New Roman" w:eastAsia="Times New Roman" w:hAnsi="Times New Roman" w:cs="Times New Roman"/>
          <w:b/>
          <w:bCs/>
          <w:sz w:val="27"/>
          <w:szCs w:val="27"/>
        </w:rPr>
        <w:t xml:space="preserve">” </w:t>
      </w:r>
      <w:r w:rsidRPr="00A46BBD">
        <w:rPr>
          <w:rFonts w:ascii="Times New Roman" w:eastAsia="Times New Roman" w:hAnsi="Times New Roman" w:cs="Times New Roman"/>
          <w:sz w:val="24"/>
          <w:szCs w:val="24"/>
        </w:rPr>
        <w:t>For relational leximetrics, the most useful approach is to treat instruments as observable characteristics of legally constituted governance relationships rather than as mutually exclusive classifications of whole laws. A law may employ dozens of instruments simultaneously, and the same provision may establish more than one.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8"/>
        <w:gridCol w:w="4238"/>
        <w:gridCol w:w="3478"/>
      </w:tblGrid>
      <w:tr w:rsidR="0053775A" w:rsidRPr="00A46BBD" w14:paraId="06F927E6" w14:textId="77777777" w:rsidTr="0053775A">
        <w:trPr>
          <w:tblHeader/>
          <w:tblCellSpacing w:w="15" w:type="dxa"/>
        </w:trPr>
        <w:tc>
          <w:tcPr>
            <w:tcW w:w="0" w:type="auto"/>
            <w:vAlign w:val="center"/>
            <w:hideMark/>
          </w:tcPr>
          <w:p w14:paraId="614EB366" w14:textId="77777777" w:rsidR="0053775A" w:rsidRPr="00A46BBD" w:rsidRDefault="0053775A" w:rsidP="00DA4984">
            <w:pPr>
              <w:jc w:val="center"/>
              <w:rPr>
                <w:rFonts w:ascii="Times New Roman" w:eastAsia="Times New Roman" w:hAnsi="Times New Roman" w:cs="Times New Roman"/>
                <w:b/>
                <w:bCs/>
                <w:sz w:val="24"/>
                <w:szCs w:val="24"/>
              </w:rPr>
            </w:pPr>
            <w:r w:rsidRPr="00A46BBD">
              <w:rPr>
                <w:rFonts w:ascii="Times New Roman" w:eastAsia="Times New Roman" w:hAnsi="Times New Roman" w:cs="Times New Roman"/>
                <w:b/>
                <w:bCs/>
                <w:sz w:val="24"/>
                <w:szCs w:val="24"/>
              </w:rPr>
              <w:t>Instrument family</w:t>
            </w:r>
          </w:p>
        </w:tc>
        <w:tc>
          <w:tcPr>
            <w:tcW w:w="0" w:type="auto"/>
            <w:vAlign w:val="center"/>
            <w:hideMark/>
          </w:tcPr>
          <w:p w14:paraId="23452E8B" w14:textId="77777777" w:rsidR="0053775A" w:rsidRPr="00A46BBD" w:rsidRDefault="0053775A" w:rsidP="00DA4984">
            <w:pPr>
              <w:jc w:val="center"/>
              <w:rPr>
                <w:rFonts w:ascii="Times New Roman" w:eastAsia="Times New Roman" w:hAnsi="Times New Roman" w:cs="Times New Roman"/>
                <w:b/>
                <w:bCs/>
                <w:sz w:val="24"/>
                <w:szCs w:val="24"/>
              </w:rPr>
            </w:pPr>
            <w:r w:rsidRPr="00A46BBD">
              <w:rPr>
                <w:rFonts w:ascii="Times New Roman" w:eastAsia="Times New Roman" w:hAnsi="Times New Roman" w:cs="Times New Roman"/>
                <w:b/>
                <w:bCs/>
                <w:sz w:val="24"/>
                <w:szCs w:val="24"/>
              </w:rPr>
              <w:t>Illustrative devices</w:t>
            </w:r>
          </w:p>
        </w:tc>
        <w:tc>
          <w:tcPr>
            <w:tcW w:w="0" w:type="auto"/>
            <w:vAlign w:val="center"/>
            <w:hideMark/>
          </w:tcPr>
          <w:p w14:paraId="30173FD9" w14:textId="77777777" w:rsidR="0053775A" w:rsidRPr="00A46BBD" w:rsidRDefault="0053775A" w:rsidP="00DA4984">
            <w:pPr>
              <w:jc w:val="center"/>
              <w:rPr>
                <w:rFonts w:ascii="Times New Roman" w:eastAsia="Times New Roman" w:hAnsi="Times New Roman" w:cs="Times New Roman"/>
                <w:b/>
                <w:bCs/>
                <w:sz w:val="24"/>
                <w:szCs w:val="24"/>
              </w:rPr>
            </w:pPr>
            <w:r w:rsidRPr="00A46BBD">
              <w:rPr>
                <w:rFonts w:ascii="Times New Roman" w:eastAsia="Times New Roman" w:hAnsi="Times New Roman" w:cs="Times New Roman"/>
                <w:b/>
                <w:bCs/>
                <w:sz w:val="24"/>
                <w:szCs w:val="24"/>
              </w:rPr>
              <w:t>Typical functions/mechanisms</w:t>
            </w:r>
          </w:p>
        </w:tc>
      </w:tr>
      <w:tr w:rsidR="0053775A" w:rsidRPr="00A46BBD" w14:paraId="5E9DB930" w14:textId="77777777" w:rsidTr="0053775A">
        <w:trPr>
          <w:tblCellSpacing w:w="15" w:type="dxa"/>
        </w:trPr>
        <w:tc>
          <w:tcPr>
            <w:tcW w:w="0" w:type="auto"/>
            <w:vAlign w:val="center"/>
            <w:hideMark/>
          </w:tcPr>
          <w:p w14:paraId="1F7C61A6"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Authorization</w:t>
            </w:r>
          </w:p>
        </w:tc>
        <w:tc>
          <w:tcPr>
            <w:tcW w:w="0" w:type="auto"/>
            <w:vAlign w:val="center"/>
            <w:hideMark/>
          </w:tcPr>
          <w:p w14:paraId="01BACE89" w14:textId="77777777" w:rsidR="0053775A" w:rsidRPr="00A46BBD" w:rsidRDefault="0053775A" w:rsidP="00DA4984">
            <w:pPr>
              <w:rPr>
                <w:rFonts w:ascii="Times New Roman" w:eastAsia="Times New Roman" w:hAnsi="Times New Roman" w:cs="Times New Roman"/>
                <w:sz w:val="24"/>
                <w:szCs w:val="24"/>
              </w:rPr>
            </w:pPr>
            <w:proofErr w:type="spellStart"/>
            <w:r w:rsidRPr="00A46BBD">
              <w:rPr>
                <w:rFonts w:ascii="Times New Roman" w:eastAsia="Times New Roman" w:hAnsi="Times New Roman" w:cs="Times New Roman"/>
                <w:sz w:val="24"/>
                <w:szCs w:val="24"/>
              </w:rPr>
              <w:t>licence</w:t>
            </w:r>
            <w:proofErr w:type="spellEnd"/>
            <w:r w:rsidRPr="00A46BBD">
              <w:rPr>
                <w:rFonts w:ascii="Times New Roman" w:eastAsia="Times New Roman" w:hAnsi="Times New Roman" w:cs="Times New Roman"/>
                <w:sz w:val="24"/>
                <w:szCs w:val="24"/>
              </w:rPr>
              <w:t>, permit, designation, approval</w:t>
            </w:r>
          </w:p>
        </w:tc>
        <w:tc>
          <w:tcPr>
            <w:tcW w:w="0" w:type="auto"/>
            <w:vAlign w:val="center"/>
            <w:hideMark/>
          </w:tcPr>
          <w:p w14:paraId="76921E34"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gatekeeping, authorization</w:t>
            </w:r>
          </w:p>
        </w:tc>
      </w:tr>
      <w:tr w:rsidR="0053775A" w:rsidRPr="00A46BBD" w14:paraId="00B19566" w14:textId="77777777" w:rsidTr="0053775A">
        <w:trPr>
          <w:tblCellSpacing w:w="15" w:type="dxa"/>
        </w:trPr>
        <w:tc>
          <w:tcPr>
            <w:tcW w:w="0" w:type="auto"/>
            <w:vAlign w:val="center"/>
            <w:hideMark/>
          </w:tcPr>
          <w:p w14:paraId="63D6406D"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lastRenderedPageBreak/>
              <w:t>Registration</w:t>
            </w:r>
          </w:p>
        </w:tc>
        <w:tc>
          <w:tcPr>
            <w:tcW w:w="0" w:type="auto"/>
            <w:vAlign w:val="center"/>
            <w:hideMark/>
          </w:tcPr>
          <w:p w14:paraId="2D727535"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registry, enrolment, notification system</w:t>
            </w:r>
          </w:p>
        </w:tc>
        <w:tc>
          <w:tcPr>
            <w:tcW w:w="0" w:type="auto"/>
            <w:vAlign w:val="center"/>
            <w:hideMark/>
          </w:tcPr>
          <w:p w14:paraId="1B074367"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information, identification, market entry</w:t>
            </w:r>
          </w:p>
        </w:tc>
      </w:tr>
      <w:tr w:rsidR="0053775A" w:rsidRPr="00A46BBD" w14:paraId="42B0824A" w14:textId="77777777" w:rsidTr="0053775A">
        <w:trPr>
          <w:tblCellSpacing w:w="15" w:type="dxa"/>
        </w:trPr>
        <w:tc>
          <w:tcPr>
            <w:tcW w:w="0" w:type="auto"/>
            <w:vAlign w:val="center"/>
            <w:hideMark/>
          </w:tcPr>
          <w:p w14:paraId="37BD0867"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Information</w:t>
            </w:r>
          </w:p>
        </w:tc>
        <w:tc>
          <w:tcPr>
            <w:tcW w:w="0" w:type="auto"/>
            <w:vAlign w:val="center"/>
            <w:hideMark/>
          </w:tcPr>
          <w:p w14:paraId="69F8208C"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mandatory report, disclosure statement, database, label</w:t>
            </w:r>
          </w:p>
        </w:tc>
        <w:tc>
          <w:tcPr>
            <w:tcW w:w="0" w:type="auto"/>
            <w:vAlign w:val="center"/>
            <w:hideMark/>
          </w:tcPr>
          <w:p w14:paraId="6F058AF3"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information provision, transparency</w:t>
            </w:r>
          </w:p>
        </w:tc>
      </w:tr>
      <w:tr w:rsidR="0053775A" w:rsidRPr="00A46BBD" w14:paraId="6DB66222" w14:textId="77777777" w:rsidTr="0053775A">
        <w:trPr>
          <w:tblCellSpacing w:w="15" w:type="dxa"/>
        </w:trPr>
        <w:tc>
          <w:tcPr>
            <w:tcW w:w="0" w:type="auto"/>
            <w:vAlign w:val="center"/>
            <w:hideMark/>
          </w:tcPr>
          <w:p w14:paraId="08832E06"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Monitoring</w:t>
            </w:r>
          </w:p>
        </w:tc>
        <w:tc>
          <w:tcPr>
            <w:tcW w:w="0" w:type="auto"/>
            <w:vAlign w:val="center"/>
            <w:hideMark/>
          </w:tcPr>
          <w:p w14:paraId="2B894731"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inspection, surveillance system, compliance review</w:t>
            </w:r>
          </w:p>
        </w:tc>
        <w:tc>
          <w:tcPr>
            <w:tcW w:w="0" w:type="auto"/>
            <w:vAlign w:val="center"/>
            <w:hideMark/>
          </w:tcPr>
          <w:p w14:paraId="4C7CE051"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observation, detection</w:t>
            </w:r>
          </w:p>
        </w:tc>
      </w:tr>
      <w:tr w:rsidR="0053775A" w:rsidRPr="00A46BBD" w14:paraId="5959E816" w14:textId="77777777" w:rsidTr="0053775A">
        <w:trPr>
          <w:tblCellSpacing w:w="15" w:type="dxa"/>
        </w:trPr>
        <w:tc>
          <w:tcPr>
            <w:tcW w:w="0" w:type="auto"/>
            <w:vAlign w:val="center"/>
            <w:hideMark/>
          </w:tcPr>
          <w:p w14:paraId="08DFA2F9"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Verification/assurance</w:t>
            </w:r>
          </w:p>
        </w:tc>
        <w:tc>
          <w:tcPr>
            <w:tcW w:w="0" w:type="auto"/>
            <w:vAlign w:val="center"/>
            <w:hideMark/>
          </w:tcPr>
          <w:p w14:paraId="067BDE3C"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audit, certification, conformity assessment</w:t>
            </w:r>
          </w:p>
        </w:tc>
        <w:tc>
          <w:tcPr>
            <w:tcW w:w="0" w:type="auto"/>
            <w:vAlign w:val="center"/>
            <w:hideMark/>
          </w:tcPr>
          <w:p w14:paraId="59096AFA"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verification, assurance</w:t>
            </w:r>
          </w:p>
        </w:tc>
      </w:tr>
      <w:tr w:rsidR="0053775A" w:rsidRPr="00A46BBD" w14:paraId="1FBBE55B" w14:textId="77777777" w:rsidTr="0053775A">
        <w:trPr>
          <w:tblCellSpacing w:w="15" w:type="dxa"/>
        </w:trPr>
        <w:tc>
          <w:tcPr>
            <w:tcW w:w="0" w:type="auto"/>
            <w:vAlign w:val="center"/>
            <w:hideMark/>
          </w:tcPr>
          <w:p w14:paraId="69298A14"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Standardization</w:t>
            </w:r>
          </w:p>
        </w:tc>
        <w:tc>
          <w:tcPr>
            <w:tcW w:w="0" w:type="auto"/>
            <w:vAlign w:val="center"/>
            <w:hideMark/>
          </w:tcPr>
          <w:p w14:paraId="79A3054B"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technical standard, code, benchmark</w:t>
            </w:r>
          </w:p>
        </w:tc>
        <w:tc>
          <w:tcPr>
            <w:tcW w:w="0" w:type="auto"/>
            <w:vAlign w:val="center"/>
            <w:hideMark/>
          </w:tcPr>
          <w:p w14:paraId="7E0EFAE3"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specification, coordination</w:t>
            </w:r>
          </w:p>
        </w:tc>
      </w:tr>
      <w:tr w:rsidR="0053775A" w:rsidRPr="00A46BBD" w14:paraId="655E91D4" w14:textId="77777777" w:rsidTr="0053775A">
        <w:trPr>
          <w:tblCellSpacing w:w="15" w:type="dxa"/>
        </w:trPr>
        <w:tc>
          <w:tcPr>
            <w:tcW w:w="0" w:type="auto"/>
            <w:vAlign w:val="center"/>
            <w:hideMark/>
          </w:tcPr>
          <w:p w14:paraId="065A9686"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Contractual</w:t>
            </w:r>
          </w:p>
        </w:tc>
        <w:tc>
          <w:tcPr>
            <w:tcW w:w="0" w:type="auto"/>
            <w:vAlign w:val="center"/>
            <w:hideMark/>
          </w:tcPr>
          <w:p w14:paraId="5C4D4A93"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concession, procurement contract, regulatory agreement</w:t>
            </w:r>
          </w:p>
        </w:tc>
        <w:tc>
          <w:tcPr>
            <w:tcW w:w="0" w:type="auto"/>
            <w:vAlign w:val="center"/>
            <w:hideMark/>
          </w:tcPr>
          <w:p w14:paraId="1C32D693"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exchange, conditionality</w:t>
            </w:r>
          </w:p>
        </w:tc>
      </w:tr>
      <w:tr w:rsidR="0053775A" w:rsidRPr="00A46BBD" w14:paraId="28F56B02" w14:textId="77777777" w:rsidTr="0053775A">
        <w:trPr>
          <w:tblCellSpacing w:w="15" w:type="dxa"/>
        </w:trPr>
        <w:tc>
          <w:tcPr>
            <w:tcW w:w="0" w:type="auto"/>
            <w:vAlign w:val="center"/>
            <w:hideMark/>
          </w:tcPr>
          <w:p w14:paraId="780D5657"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Economic</w:t>
            </w:r>
          </w:p>
        </w:tc>
        <w:tc>
          <w:tcPr>
            <w:tcW w:w="0" w:type="auto"/>
            <w:vAlign w:val="center"/>
            <w:hideMark/>
          </w:tcPr>
          <w:p w14:paraId="32B65020"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tax, subsidy, fee, tradable entitlement</w:t>
            </w:r>
          </w:p>
        </w:tc>
        <w:tc>
          <w:tcPr>
            <w:tcW w:w="0" w:type="auto"/>
            <w:vAlign w:val="center"/>
            <w:hideMark/>
          </w:tcPr>
          <w:p w14:paraId="172CB3AB"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incentive</w:t>
            </w:r>
          </w:p>
        </w:tc>
      </w:tr>
      <w:tr w:rsidR="0053775A" w:rsidRPr="00A46BBD" w14:paraId="6B4F126A" w14:textId="77777777" w:rsidTr="0053775A">
        <w:trPr>
          <w:tblCellSpacing w:w="15" w:type="dxa"/>
        </w:trPr>
        <w:tc>
          <w:tcPr>
            <w:tcW w:w="0" w:type="auto"/>
            <w:vAlign w:val="center"/>
            <w:hideMark/>
          </w:tcPr>
          <w:p w14:paraId="6A16F4EE"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Participatory</w:t>
            </w:r>
          </w:p>
        </w:tc>
        <w:tc>
          <w:tcPr>
            <w:tcW w:w="0" w:type="auto"/>
            <w:vAlign w:val="center"/>
            <w:hideMark/>
          </w:tcPr>
          <w:p w14:paraId="0DBF3A10"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consultation, advisory body, representation procedure</w:t>
            </w:r>
          </w:p>
        </w:tc>
        <w:tc>
          <w:tcPr>
            <w:tcW w:w="0" w:type="auto"/>
            <w:vAlign w:val="center"/>
            <w:hideMark/>
          </w:tcPr>
          <w:p w14:paraId="7C2324FE"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participation, representation</w:t>
            </w:r>
          </w:p>
        </w:tc>
      </w:tr>
      <w:tr w:rsidR="0053775A" w:rsidRPr="00A46BBD" w14:paraId="075276AC" w14:textId="77777777" w:rsidTr="0053775A">
        <w:trPr>
          <w:tblCellSpacing w:w="15" w:type="dxa"/>
        </w:trPr>
        <w:tc>
          <w:tcPr>
            <w:tcW w:w="0" w:type="auto"/>
            <w:vAlign w:val="center"/>
            <w:hideMark/>
          </w:tcPr>
          <w:p w14:paraId="53826D4F"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Accountability/redress</w:t>
            </w:r>
          </w:p>
        </w:tc>
        <w:tc>
          <w:tcPr>
            <w:tcW w:w="0" w:type="auto"/>
            <w:vAlign w:val="center"/>
            <w:hideMark/>
          </w:tcPr>
          <w:p w14:paraId="4DA852D4"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complaint procedure, appeal, review, ombuds process</w:t>
            </w:r>
          </w:p>
        </w:tc>
        <w:tc>
          <w:tcPr>
            <w:tcW w:w="0" w:type="auto"/>
            <w:vAlign w:val="center"/>
            <w:hideMark/>
          </w:tcPr>
          <w:p w14:paraId="4D7E74C5"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answerability, contestation, remedy</w:t>
            </w:r>
          </w:p>
        </w:tc>
      </w:tr>
      <w:tr w:rsidR="0053775A" w:rsidRPr="00A46BBD" w14:paraId="47C17557" w14:textId="77777777" w:rsidTr="0053775A">
        <w:trPr>
          <w:tblCellSpacing w:w="15" w:type="dxa"/>
        </w:trPr>
        <w:tc>
          <w:tcPr>
            <w:tcW w:w="0" w:type="auto"/>
            <w:vAlign w:val="center"/>
            <w:hideMark/>
          </w:tcPr>
          <w:p w14:paraId="019F5471"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Enforcement</w:t>
            </w:r>
          </w:p>
        </w:tc>
        <w:tc>
          <w:tcPr>
            <w:tcW w:w="0" w:type="auto"/>
            <w:vAlign w:val="center"/>
            <w:hideMark/>
          </w:tcPr>
          <w:p w14:paraId="5877301E"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fine, suspension, withdrawal, corrective order</w:t>
            </w:r>
          </w:p>
        </w:tc>
        <w:tc>
          <w:tcPr>
            <w:tcW w:w="0" w:type="auto"/>
            <w:vAlign w:val="center"/>
            <w:hideMark/>
          </w:tcPr>
          <w:p w14:paraId="6F7DCA29"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coercion, sanction</w:t>
            </w:r>
          </w:p>
        </w:tc>
      </w:tr>
      <w:tr w:rsidR="0053775A" w:rsidRPr="00A46BBD" w14:paraId="3DFFE710" w14:textId="77777777" w:rsidTr="0053775A">
        <w:trPr>
          <w:tblCellSpacing w:w="15" w:type="dxa"/>
        </w:trPr>
        <w:tc>
          <w:tcPr>
            <w:tcW w:w="0" w:type="auto"/>
            <w:vAlign w:val="center"/>
            <w:hideMark/>
          </w:tcPr>
          <w:p w14:paraId="63BF5A8D"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Risk-transfer</w:t>
            </w:r>
          </w:p>
        </w:tc>
        <w:tc>
          <w:tcPr>
            <w:tcW w:w="0" w:type="auto"/>
            <w:vAlign w:val="center"/>
            <w:hideMark/>
          </w:tcPr>
          <w:p w14:paraId="3F01CC28"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insurance, guarantee, financial security</w:t>
            </w:r>
          </w:p>
        </w:tc>
        <w:tc>
          <w:tcPr>
            <w:tcW w:w="0" w:type="auto"/>
            <w:vAlign w:val="center"/>
            <w:hideMark/>
          </w:tcPr>
          <w:p w14:paraId="4301FAD0"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risk allocation, assurance</w:t>
            </w:r>
          </w:p>
        </w:tc>
      </w:tr>
    </w:tbl>
    <w:p w14:paraId="26112AE5" w14:textId="12880CE3" w:rsidR="0053775A" w:rsidRPr="00A46BBD" w:rsidRDefault="0053775A" w:rsidP="0053775A">
      <w:pPr>
        <w:spacing w:before="100" w:beforeAutospacing="1" w:afterAutospacing="1" w:line="276" w:lineRule="auto"/>
        <w:jc w:val="both"/>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Such a classification should remain deliberately open to refinement. The objective is not to establish a universal and exhaustive instrument taxonomy but to create categories sufficiently stable for comparison while preserving the possibility of more detailed domain-specific coding. Different regulatory sectors may rely on distinctive instruments: environmental governance may employ emissions permits and trading schemes; financial governance may employ capital requirements and stress tests; digital governance may rely heavily on risk assessments, transparency reporting, trusted flaggers, conformity assessments or codes of conduct.</w:t>
      </w:r>
      <w:r>
        <w:rPr>
          <w:rFonts w:ascii="Times New Roman" w:eastAsia="Times New Roman" w:hAnsi="Times New Roman" w:cs="Times New Roman"/>
          <w:sz w:val="24"/>
          <w:szCs w:val="24"/>
        </w:rPr>
        <w:t xml:space="preserve"> </w:t>
      </w:r>
      <w:r w:rsidRPr="00A46BBD">
        <w:rPr>
          <w:rFonts w:ascii="Times New Roman" w:eastAsia="Times New Roman" w:hAnsi="Times New Roman" w:cs="Times New Roman"/>
          <w:sz w:val="24"/>
          <w:szCs w:val="24"/>
        </w:rPr>
        <w:t>The crucial requirement is vertical traceability. Every coded instrument should remain linked to the provision or provisions establishing it and, where possible, to the actors and relationships through which it operates. This makes it possible to distinguish, for example, between an audit performed internally by a regulated firm, an audit conducted by an independent private intermediary, and an inspection undertaken directly by a public authority. The nominal instrument may appear similar, while its governance architecture differs substantially.</w:t>
      </w:r>
    </w:p>
    <w:p w14:paraId="2B1D135E" w14:textId="109C7155" w:rsidR="0053775A" w:rsidRPr="00A46BBD" w:rsidRDefault="0053775A" w:rsidP="0053775A">
      <w:pPr>
        <w:spacing w:before="100" w:beforeAutospacing="1" w:afterAutospacing="1"/>
        <w:jc w:val="both"/>
        <w:outlineLvl w:val="2"/>
        <w:rPr>
          <w:rFonts w:ascii="Times New Roman" w:eastAsia="Times New Roman" w:hAnsi="Times New Roman" w:cs="Times New Roman"/>
          <w:sz w:val="24"/>
          <w:szCs w:val="24"/>
        </w:rPr>
      </w:pPr>
      <w:r w:rsidRPr="00A46BBD">
        <w:rPr>
          <w:rFonts w:ascii="Times New Roman" w:eastAsia="Times New Roman" w:hAnsi="Times New Roman" w:cs="Times New Roman"/>
          <w:b/>
          <w:bCs/>
          <w:sz w:val="27"/>
          <w:szCs w:val="27"/>
        </w:rPr>
        <w:t>Instruments as building blocks of architectures</w:t>
      </w:r>
      <w:r>
        <w:rPr>
          <w:rFonts w:ascii="Times New Roman" w:eastAsia="Times New Roman" w:hAnsi="Times New Roman" w:cs="Times New Roman"/>
          <w:b/>
          <w:bCs/>
          <w:sz w:val="27"/>
          <w:szCs w:val="27"/>
        </w:rPr>
        <w:t xml:space="preserve">: </w:t>
      </w:r>
      <w:r w:rsidRPr="00A46BBD">
        <w:rPr>
          <w:rFonts w:ascii="Times New Roman" w:eastAsia="Times New Roman" w:hAnsi="Times New Roman" w:cs="Times New Roman"/>
          <w:sz w:val="24"/>
          <w:szCs w:val="24"/>
        </w:rPr>
        <w:t xml:space="preserve">Instrument coding becomes most useful when instruments are analyzed configurationally rather than as isolated frequencies. Counting </w:t>
      </w:r>
      <w:proofErr w:type="spellStart"/>
      <w:r w:rsidRPr="00A46BBD">
        <w:rPr>
          <w:rFonts w:ascii="Times New Roman" w:eastAsia="Times New Roman" w:hAnsi="Times New Roman" w:cs="Times New Roman"/>
          <w:sz w:val="24"/>
          <w:szCs w:val="24"/>
        </w:rPr>
        <w:t>licences</w:t>
      </w:r>
      <w:proofErr w:type="spellEnd"/>
      <w:r w:rsidRPr="00A46BBD">
        <w:rPr>
          <w:rFonts w:ascii="Times New Roman" w:eastAsia="Times New Roman" w:hAnsi="Times New Roman" w:cs="Times New Roman"/>
          <w:sz w:val="24"/>
          <w:szCs w:val="24"/>
        </w:rPr>
        <w:t>, audits or reporting requirements can reveal the prevalence of particular regulatory devices, but governance architecture depends upon how those instruments are combined and who operates them.</w:t>
      </w:r>
      <w:r>
        <w:rPr>
          <w:rFonts w:ascii="Times New Roman" w:eastAsia="Times New Roman" w:hAnsi="Times New Roman" w:cs="Times New Roman"/>
          <w:sz w:val="24"/>
          <w:szCs w:val="24"/>
        </w:rPr>
        <w:t xml:space="preserve"> </w:t>
      </w:r>
      <w:r w:rsidRPr="00A46BBD">
        <w:rPr>
          <w:rFonts w:ascii="Times New Roman" w:eastAsia="Times New Roman" w:hAnsi="Times New Roman" w:cs="Times New Roman"/>
          <w:sz w:val="24"/>
          <w:szCs w:val="24"/>
        </w:rPr>
        <w:t xml:space="preserve">Consider two legal regimes that both rely heavily upon auditing. In one, audits are conducted directly by a state </w:t>
      </w:r>
      <w:r w:rsidRPr="00A46BBD">
        <w:rPr>
          <w:rFonts w:ascii="Times New Roman" w:eastAsia="Times New Roman" w:hAnsi="Times New Roman" w:cs="Times New Roman"/>
          <w:sz w:val="24"/>
          <w:szCs w:val="24"/>
        </w:rPr>
        <w:lastRenderedPageBreak/>
        <w:t>inspectorate and feed into hierarchical enforcement. In another, audits are performed by accredited private bodies whose findings determine market access and are themselves subject to public supervision. The same nominal instrument is embedded in different relationships and consequently contributes to different architectures.</w:t>
      </w:r>
      <w:r>
        <w:rPr>
          <w:rFonts w:ascii="Times New Roman" w:eastAsia="Times New Roman" w:hAnsi="Times New Roman" w:cs="Times New Roman"/>
          <w:sz w:val="24"/>
          <w:szCs w:val="24"/>
        </w:rPr>
        <w:t xml:space="preserve"> </w:t>
      </w:r>
      <w:r w:rsidRPr="00A46BBD">
        <w:rPr>
          <w:rFonts w:ascii="Times New Roman" w:eastAsia="Times New Roman" w:hAnsi="Times New Roman" w:cs="Times New Roman"/>
          <w:sz w:val="24"/>
          <w:szCs w:val="24"/>
        </w:rPr>
        <w:t>This also means that instruments can serve as important intermediate units of aggregation. They are more concrete than regulatory strategies or governance architectures but often more institutionally consequential than individual legal statements. Identifying recurrent combinations of instruments may therefore help reveal characteristic governance arrangements—for example, accreditation–certification chains, registration–reporting systems, self-assessment–audit systems, or licensing–inspection–sanction sequences.</w:t>
      </w:r>
    </w:p>
    <w:p w14:paraId="157CCD8D" w14:textId="77777777" w:rsidR="0053775A" w:rsidRPr="00A46BBD" w:rsidRDefault="0053775A" w:rsidP="0053775A">
      <w:pPr>
        <w:spacing w:before="100" w:beforeAutospacing="1" w:afterAutospacing="1"/>
        <w:jc w:val="both"/>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Instrument analysis thus adds an important layer to relational leximetrics. It allows the researcher to identify not only who governs whom and through what form of influence, but through which institutional technologies governance is made operational. In doing so, it connects the traditional policy-instruments literature with the broader analysis of law as an architecture for organizing governance.</w:t>
      </w:r>
    </w:p>
    <w:p w14:paraId="5068B6DA" w14:textId="77777777" w:rsidR="0053775A" w:rsidRDefault="0053775A" w:rsidP="0036629B">
      <w:pPr>
        <w:rPr>
          <w:rFonts w:asciiTheme="majorBidi" w:hAnsiTheme="majorBidi" w:cstheme="majorBidi"/>
          <w:b/>
          <w:bCs/>
          <w:sz w:val="24"/>
          <w:szCs w:val="24"/>
        </w:rPr>
      </w:pPr>
    </w:p>
    <w:p w14:paraId="7626EABC" w14:textId="77777777" w:rsidR="0053775A" w:rsidRDefault="0053775A" w:rsidP="0036629B">
      <w:pPr>
        <w:rPr>
          <w:rFonts w:asciiTheme="majorBidi" w:hAnsiTheme="majorBidi" w:cstheme="majorBidi"/>
          <w:b/>
          <w:bCs/>
          <w:sz w:val="24"/>
          <w:szCs w:val="24"/>
        </w:rPr>
      </w:pPr>
    </w:p>
    <w:p w14:paraId="6E4E423F" w14:textId="5C3B9DF0" w:rsidR="00094FA3" w:rsidRDefault="00094FA3" w:rsidP="0036629B">
      <w:pPr>
        <w:rPr>
          <w:rFonts w:asciiTheme="majorBidi" w:hAnsiTheme="majorBidi" w:cstheme="majorBidi"/>
          <w:b/>
          <w:bCs/>
          <w:sz w:val="24"/>
          <w:szCs w:val="24"/>
        </w:rPr>
      </w:pPr>
      <w:r>
        <w:rPr>
          <w:rFonts w:asciiTheme="majorBidi" w:hAnsiTheme="majorBidi" w:cstheme="majorBidi"/>
          <w:b/>
          <w:bCs/>
          <w:sz w:val="24"/>
          <w:szCs w:val="24"/>
        </w:rPr>
        <w:t>3.</w:t>
      </w:r>
      <w:r w:rsidR="0053775A">
        <w:rPr>
          <w:rFonts w:asciiTheme="majorBidi" w:hAnsiTheme="majorBidi" w:cstheme="majorBidi"/>
          <w:b/>
          <w:bCs/>
          <w:sz w:val="24"/>
          <w:szCs w:val="24"/>
        </w:rPr>
        <w:t>6</w:t>
      </w:r>
      <w:r>
        <w:rPr>
          <w:rFonts w:asciiTheme="majorBidi" w:hAnsiTheme="majorBidi" w:cstheme="majorBidi"/>
          <w:b/>
          <w:bCs/>
          <w:sz w:val="24"/>
          <w:szCs w:val="24"/>
        </w:rPr>
        <w:t>. Relationships</w:t>
      </w:r>
    </w:p>
    <w:p w14:paraId="54A73191" w14:textId="336A4DA8" w:rsidR="00094FA3" w:rsidRDefault="00094FA3" w:rsidP="00094FA3">
      <w:pPr>
        <w:pStyle w:val="NormalWeb"/>
        <w:spacing w:line="360" w:lineRule="auto"/>
        <w:jc w:val="both"/>
      </w:pPr>
      <w:r>
        <w:rPr>
          <w:rStyle w:val="Strong"/>
        </w:rPr>
        <w:t>Relationships</w:t>
      </w:r>
      <w:r>
        <w:t xml:space="preserve"> are the legally constituted connections between two or more actors through which authority, obligations, information, resources, oversight, accountability, representation, or other forms of governance are exercised. A relationship specifies not simply that actors participate in governance, but </w:t>
      </w:r>
      <w:r w:rsidRPr="00094FA3">
        <w:rPr>
          <w:rStyle w:val="Strong"/>
          <w:b w:val="0"/>
          <w:bCs w:val="0"/>
        </w:rPr>
        <w:t>how Actor A is institutionally connected to Actor B</w:t>
      </w:r>
      <w:r>
        <w:t xml:space="preserve">. Relationships are therefore directional and relational: a regulator may authorize a verifier, a firm may report to a regulator, an auditor may verify a firm's claims, a court may review an agency's decision, or an association may represent its members. The same actor can consequently occupy different governance positions across different relationships. This distinction is central to relational leximetrics because governance architecture is constituted not by the presence of particular actors alone, but by the </w:t>
      </w:r>
      <w:r w:rsidRPr="00094FA3">
        <w:rPr>
          <w:rStyle w:val="Strong"/>
          <w:b w:val="0"/>
          <w:bCs w:val="0"/>
        </w:rPr>
        <w:t>pattern of relationships connecting them</w:t>
      </w:r>
      <w:r>
        <w:t xml:space="preserve">. This develops the relational premise already stated in the paper: actors do not possess fixed governance identities; their governance position depends on the particular legally constituted relationship in which they participate.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8"/>
        <w:gridCol w:w="3666"/>
        <w:gridCol w:w="2557"/>
        <w:gridCol w:w="1673"/>
      </w:tblGrid>
      <w:tr w:rsidR="00094FA3" w14:paraId="7EE75CA7" w14:textId="77777777" w:rsidTr="00094FA3">
        <w:trPr>
          <w:tblHeader/>
          <w:tblCellSpacing w:w="15" w:type="dxa"/>
        </w:trPr>
        <w:tc>
          <w:tcPr>
            <w:tcW w:w="0" w:type="auto"/>
            <w:vAlign w:val="center"/>
            <w:hideMark/>
          </w:tcPr>
          <w:p w14:paraId="3483733D" w14:textId="77777777" w:rsidR="00094FA3" w:rsidRPr="00094FA3" w:rsidRDefault="00094FA3">
            <w:pPr>
              <w:jc w:val="center"/>
              <w:rPr>
                <w:rFonts w:asciiTheme="majorBidi" w:hAnsiTheme="majorBidi" w:cstheme="majorBidi"/>
                <w:b/>
                <w:bCs/>
                <w:sz w:val="22"/>
              </w:rPr>
            </w:pPr>
            <w:r w:rsidRPr="00094FA3">
              <w:rPr>
                <w:rStyle w:val="Strong"/>
                <w:rFonts w:asciiTheme="majorBidi" w:hAnsiTheme="majorBidi" w:cstheme="majorBidi"/>
                <w:sz w:val="22"/>
              </w:rPr>
              <w:t>Relationship</w:t>
            </w:r>
          </w:p>
        </w:tc>
        <w:tc>
          <w:tcPr>
            <w:tcW w:w="0" w:type="auto"/>
            <w:vAlign w:val="center"/>
            <w:hideMark/>
          </w:tcPr>
          <w:p w14:paraId="31E8B63D" w14:textId="77777777" w:rsidR="00094FA3" w:rsidRPr="00094FA3" w:rsidRDefault="00094FA3">
            <w:pPr>
              <w:jc w:val="center"/>
              <w:rPr>
                <w:rFonts w:asciiTheme="majorBidi" w:hAnsiTheme="majorBidi" w:cstheme="majorBidi"/>
                <w:b/>
                <w:bCs/>
                <w:sz w:val="22"/>
              </w:rPr>
            </w:pPr>
            <w:r w:rsidRPr="00094FA3">
              <w:rPr>
                <w:rStyle w:val="Strong"/>
                <w:rFonts w:asciiTheme="majorBidi" w:hAnsiTheme="majorBidi" w:cstheme="majorBidi"/>
                <w:sz w:val="22"/>
              </w:rPr>
              <w:t>Core relation</w:t>
            </w:r>
          </w:p>
        </w:tc>
        <w:tc>
          <w:tcPr>
            <w:tcW w:w="0" w:type="auto"/>
            <w:vAlign w:val="center"/>
            <w:hideMark/>
          </w:tcPr>
          <w:p w14:paraId="47A41C26" w14:textId="77777777" w:rsidR="00094FA3" w:rsidRPr="00094FA3" w:rsidRDefault="00094FA3">
            <w:pPr>
              <w:jc w:val="center"/>
              <w:rPr>
                <w:rFonts w:asciiTheme="majorBidi" w:hAnsiTheme="majorBidi" w:cstheme="majorBidi"/>
                <w:b/>
                <w:bCs/>
                <w:sz w:val="22"/>
              </w:rPr>
            </w:pPr>
            <w:r w:rsidRPr="00094FA3">
              <w:rPr>
                <w:rStyle w:val="Strong"/>
                <w:rFonts w:asciiTheme="majorBidi" w:hAnsiTheme="majorBidi" w:cstheme="majorBidi"/>
                <w:sz w:val="22"/>
              </w:rPr>
              <w:t>Typical legal expression</w:t>
            </w:r>
          </w:p>
        </w:tc>
        <w:tc>
          <w:tcPr>
            <w:tcW w:w="0" w:type="auto"/>
            <w:vAlign w:val="center"/>
            <w:hideMark/>
          </w:tcPr>
          <w:p w14:paraId="7DD8BD69" w14:textId="77777777" w:rsidR="00094FA3" w:rsidRPr="00094FA3" w:rsidRDefault="00094FA3">
            <w:pPr>
              <w:jc w:val="center"/>
              <w:rPr>
                <w:rFonts w:asciiTheme="majorBidi" w:hAnsiTheme="majorBidi" w:cstheme="majorBidi"/>
                <w:b/>
                <w:bCs/>
                <w:sz w:val="22"/>
              </w:rPr>
            </w:pPr>
            <w:r w:rsidRPr="00094FA3">
              <w:rPr>
                <w:rStyle w:val="Strong"/>
                <w:rFonts w:asciiTheme="majorBidi" w:hAnsiTheme="majorBidi" w:cstheme="majorBidi"/>
                <w:sz w:val="22"/>
              </w:rPr>
              <w:t>Illustration</w:t>
            </w:r>
          </w:p>
        </w:tc>
      </w:tr>
      <w:tr w:rsidR="00094FA3" w14:paraId="7F16FAD2" w14:textId="77777777" w:rsidTr="00094FA3">
        <w:trPr>
          <w:tblCellSpacing w:w="15" w:type="dxa"/>
        </w:trPr>
        <w:tc>
          <w:tcPr>
            <w:tcW w:w="0" w:type="auto"/>
            <w:vAlign w:val="center"/>
            <w:hideMark/>
          </w:tcPr>
          <w:p w14:paraId="0CDA6816" w14:textId="77777777" w:rsidR="00094FA3" w:rsidRPr="00094FA3" w:rsidRDefault="00094FA3">
            <w:pPr>
              <w:rPr>
                <w:rFonts w:asciiTheme="majorBidi" w:hAnsiTheme="majorBidi" w:cstheme="majorBidi"/>
                <w:sz w:val="22"/>
              </w:rPr>
            </w:pPr>
            <w:r w:rsidRPr="00094FA3">
              <w:rPr>
                <w:rStyle w:val="Strong"/>
                <w:rFonts w:asciiTheme="majorBidi" w:hAnsiTheme="majorBidi" w:cstheme="majorBidi"/>
                <w:sz w:val="22"/>
              </w:rPr>
              <w:t>Authority / control</w:t>
            </w:r>
          </w:p>
        </w:tc>
        <w:tc>
          <w:tcPr>
            <w:tcW w:w="0" w:type="auto"/>
            <w:vAlign w:val="center"/>
            <w:hideMark/>
          </w:tcPr>
          <w:p w14:paraId="31D7B962"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 has legal power to direct or constrain B</w:t>
            </w:r>
          </w:p>
        </w:tc>
        <w:tc>
          <w:tcPr>
            <w:tcW w:w="0" w:type="auto"/>
            <w:vAlign w:val="center"/>
            <w:hideMark/>
          </w:tcPr>
          <w:p w14:paraId="3BEFB094"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command, prohibition, binding decision</w:t>
            </w:r>
          </w:p>
        </w:tc>
        <w:tc>
          <w:tcPr>
            <w:tcW w:w="0" w:type="auto"/>
            <w:vAlign w:val="center"/>
            <w:hideMark/>
          </w:tcPr>
          <w:p w14:paraId="7555FEA5"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regulator → firm</w:t>
            </w:r>
          </w:p>
        </w:tc>
      </w:tr>
      <w:tr w:rsidR="00094FA3" w14:paraId="56D8051A" w14:textId="77777777" w:rsidTr="00094FA3">
        <w:trPr>
          <w:tblCellSpacing w:w="15" w:type="dxa"/>
        </w:trPr>
        <w:tc>
          <w:tcPr>
            <w:tcW w:w="0" w:type="auto"/>
            <w:vAlign w:val="center"/>
            <w:hideMark/>
          </w:tcPr>
          <w:p w14:paraId="2FA1464C" w14:textId="77777777" w:rsidR="00094FA3" w:rsidRPr="00094FA3" w:rsidRDefault="00094FA3">
            <w:pPr>
              <w:rPr>
                <w:rFonts w:asciiTheme="majorBidi" w:hAnsiTheme="majorBidi" w:cstheme="majorBidi"/>
                <w:sz w:val="22"/>
              </w:rPr>
            </w:pPr>
            <w:r w:rsidRPr="00094FA3">
              <w:rPr>
                <w:rStyle w:val="Strong"/>
                <w:rFonts w:asciiTheme="majorBidi" w:hAnsiTheme="majorBidi" w:cstheme="majorBidi"/>
                <w:sz w:val="22"/>
              </w:rPr>
              <w:t>Delegation / authorization</w:t>
            </w:r>
          </w:p>
        </w:tc>
        <w:tc>
          <w:tcPr>
            <w:tcW w:w="0" w:type="auto"/>
            <w:vAlign w:val="center"/>
            <w:hideMark/>
          </w:tcPr>
          <w:p w14:paraId="59129CC3"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 empowers B to exercise specified authority or functions</w:t>
            </w:r>
          </w:p>
        </w:tc>
        <w:tc>
          <w:tcPr>
            <w:tcW w:w="0" w:type="auto"/>
            <w:vAlign w:val="center"/>
            <w:hideMark/>
          </w:tcPr>
          <w:p w14:paraId="3A14C5CC"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delegation, mandate, designation</w:t>
            </w:r>
          </w:p>
        </w:tc>
        <w:tc>
          <w:tcPr>
            <w:tcW w:w="0" w:type="auto"/>
            <w:vAlign w:val="center"/>
            <w:hideMark/>
          </w:tcPr>
          <w:p w14:paraId="49F4FE99"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ministry → agency</w:t>
            </w:r>
          </w:p>
        </w:tc>
      </w:tr>
      <w:tr w:rsidR="00094FA3" w14:paraId="144CAF61" w14:textId="77777777" w:rsidTr="00094FA3">
        <w:trPr>
          <w:tblCellSpacing w:w="15" w:type="dxa"/>
        </w:trPr>
        <w:tc>
          <w:tcPr>
            <w:tcW w:w="0" w:type="auto"/>
            <w:vAlign w:val="center"/>
            <w:hideMark/>
          </w:tcPr>
          <w:p w14:paraId="3848A843" w14:textId="77777777" w:rsidR="00094FA3" w:rsidRPr="00094FA3" w:rsidRDefault="00094FA3">
            <w:pPr>
              <w:rPr>
                <w:rFonts w:asciiTheme="majorBidi" w:hAnsiTheme="majorBidi" w:cstheme="majorBidi"/>
                <w:sz w:val="22"/>
              </w:rPr>
            </w:pPr>
            <w:r w:rsidRPr="00094FA3">
              <w:rPr>
                <w:rStyle w:val="Strong"/>
                <w:rFonts w:asciiTheme="majorBidi" w:hAnsiTheme="majorBidi" w:cstheme="majorBidi"/>
                <w:sz w:val="22"/>
              </w:rPr>
              <w:t>Oversight / supervision</w:t>
            </w:r>
          </w:p>
        </w:tc>
        <w:tc>
          <w:tcPr>
            <w:tcW w:w="0" w:type="auto"/>
            <w:vAlign w:val="center"/>
            <w:hideMark/>
          </w:tcPr>
          <w:p w14:paraId="566BE8CE"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 monitors or controls B's exercise of functions</w:t>
            </w:r>
          </w:p>
        </w:tc>
        <w:tc>
          <w:tcPr>
            <w:tcW w:w="0" w:type="auto"/>
            <w:vAlign w:val="center"/>
            <w:hideMark/>
          </w:tcPr>
          <w:p w14:paraId="04CF1835"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supervision, inspection, approval</w:t>
            </w:r>
          </w:p>
        </w:tc>
        <w:tc>
          <w:tcPr>
            <w:tcW w:w="0" w:type="auto"/>
            <w:vAlign w:val="center"/>
            <w:hideMark/>
          </w:tcPr>
          <w:p w14:paraId="17E055EA"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regulator → intermediary</w:t>
            </w:r>
          </w:p>
        </w:tc>
      </w:tr>
      <w:tr w:rsidR="00094FA3" w14:paraId="3CDAB874" w14:textId="77777777" w:rsidTr="00094FA3">
        <w:trPr>
          <w:tblCellSpacing w:w="15" w:type="dxa"/>
        </w:trPr>
        <w:tc>
          <w:tcPr>
            <w:tcW w:w="0" w:type="auto"/>
            <w:vAlign w:val="center"/>
            <w:hideMark/>
          </w:tcPr>
          <w:p w14:paraId="5CF0C6A5" w14:textId="77777777" w:rsidR="00094FA3" w:rsidRPr="00094FA3" w:rsidRDefault="00094FA3">
            <w:pPr>
              <w:rPr>
                <w:rFonts w:asciiTheme="majorBidi" w:hAnsiTheme="majorBidi" w:cstheme="majorBidi"/>
                <w:sz w:val="22"/>
              </w:rPr>
            </w:pPr>
            <w:r w:rsidRPr="00094FA3">
              <w:rPr>
                <w:rStyle w:val="Strong"/>
                <w:rFonts w:asciiTheme="majorBidi" w:hAnsiTheme="majorBidi" w:cstheme="majorBidi"/>
                <w:sz w:val="22"/>
              </w:rPr>
              <w:lastRenderedPageBreak/>
              <w:t>Accountability</w:t>
            </w:r>
          </w:p>
        </w:tc>
        <w:tc>
          <w:tcPr>
            <w:tcW w:w="0" w:type="auto"/>
            <w:vAlign w:val="center"/>
            <w:hideMark/>
          </w:tcPr>
          <w:p w14:paraId="1C01A0CE"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B must explain, justify or answer for conduct to A</w:t>
            </w:r>
          </w:p>
        </w:tc>
        <w:tc>
          <w:tcPr>
            <w:tcW w:w="0" w:type="auto"/>
            <w:vAlign w:val="center"/>
            <w:hideMark/>
          </w:tcPr>
          <w:p w14:paraId="0582B1CB"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reporting, reasons, audit, answerability</w:t>
            </w:r>
          </w:p>
        </w:tc>
        <w:tc>
          <w:tcPr>
            <w:tcW w:w="0" w:type="auto"/>
            <w:vAlign w:val="center"/>
            <w:hideMark/>
          </w:tcPr>
          <w:p w14:paraId="01EB59A5"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agency → legislature</w:t>
            </w:r>
          </w:p>
        </w:tc>
      </w:tr>
      <w:tr w:rsidR="00094FA3" w14:paraId="01CBB194" w14:textId="77777777" w:rsidTr="00094FA3">
        <w:trPr>
          <w:tblCellSpacing w:w="15" w:type="dxa"/>
        </w:trPr>
        <w:tc>
          <w:tcPr>
            <w:tcW w:w="0" w:type="auto"/>
            <w:vAlign w:val="center"/>
            <w:hideMark/>
          </w:tcPr>
          <w:p w14:paraId="2DE305BF" w14:textId="77777777" w:rsidR="00094FA3" w:rsidRPr="00094FA3" w:rsidRDefault="00094FA3">
            <w:pPr>
              <w:rPr>
                <w:rFonts w:asciiTheme="majorBidi" w:hAnsiTheme="majorBidi" w:cstheme="majorBidi"/>
                <w:sz w:val="22"/>
              </w:rPr>
            </w:pPr>
            <w:r w:rsidRPr="00094FA3">
              <w:rPr>
                <w:rStyle w:val="Strong"/>
                <w:rFonts w:asciiTheme="majorBidi" w:hAnsiTheme="majorBidi" w:cstheme="majorBidi"/>
                <w:sz w:val="22"/>
              </w:rPr>
              <w:t>Information / reporting</w:t>
            </w:r>
          </w:p>
        </w:tc>
        <w:tc>
          <w:tcPr>
            <w:tcW w:w="0" w:type="auto"/>
            <w:vAlign w:val="center"/>
            <w:hideMark/>
          </w:tcPr>
          <w:p w14:paraId="7960456D"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 must provide information to B</w:t>
            </w:r>
          </w:p>
        </w:tc>
        <w:tc>
          <w:tcPr>
            <w:tcW w:w="0" w:type="auto"/>
            <w:vAlign w:val="center"/>
            <w:hideMark/>
          </w:tcPr>
          <w:p w14:paraId="7D546D04"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notification, disclosure, reporting</w:t>
            </w:r>
          </w:p>
        </w:tc>
        <w:tc>
          <w:tcPr>
            <w:tcW w:w="0" w:type="auto"/>
            <w:vAlign w:val="center"/>
            <w:hideMark/>
          </w:tcPr>
          <w:p w14:paraId="2AE72D90"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firm → regulator</w:t>
            </w:r>
          </w:p>
        </w:tc>
      </w:tr>
      <w:tr w:rsidR="00094FA3" w14:paraId="3C2E8F5C" w14:textId="77777777" w:rsidTr="00094FA3">
        <w:trPr>
          <w:tblCellSpacing w:w="15" w:type="dxa"/>
        </w:trPr>
        <w:tc>
          <w:tcPr>
            <w:tcW w:w="0" w:type="auto"/>
            <w:vAlign w:val="center"/>
            <w:hideMark/>
          </w:tcPr>
          <w:p w14:paraId="7E681A15" w14:textId="77777777" w:rsidR="00094FA3" w:rsidRPr="00094FA3" w:rsidRDefault="00094FA3">
            <w:pPr>
              <w:rPr>
                <w:rFonts w:asciiTheme="majorBidi" w:hAnsiTheme="majorBidi" w:cstheme="majorBidi"/>
                <w:sz w:val="22"/>
              </w:rPr>
            </w:pPr>
            <w:r w:rsidRPr="00094FA3">
              <w:rPr>
                <w:rStyle w:val="Strong"/>
                <w:rFonts w:asciiTheme="majorBidi" w:hAnsiTheme="majorBidi" w:cstheme="majorBidi"/>
                <w:sz w:val="22"/>
              </w:rPr>
              <w:t>Verification / assurance</w:t>
            </w:r>
          </w:p>
        </w:tc>
        <w:tc>
          <w:tcPr>
            <w:tcW w:w="0" w:type="auto"/>
            <w:vAlign w:val="center"/>
            <w:hideMark/>
          </w:tcPr>
          <w:p w14:paraId="7ABD94FC"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 assesses the validity, quality or conformity of B or B's claims</w:t>
            </w:r>
          </w:p>
        </w:tc>
        <w:tc>
          <w:tcPr>
            <w:tcW w:w="0" w:type="auto"/>
            <w:vAlign w:val="center"/>
            <w:hideMark/>
          </w:tcPr>
          <w:p w14:paraId="560973F8"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audit, certification, conformity assessment</w:t>
            </w:r>
          </w:p>
        </w:tc>
        <w:tc>
          <w:tcPr>
            <w:tcW w:w="0" w:type="auto"/>
            <w:vAlign w:val="center"/>
            <w:hideMark/>
          </w:tcPr>
          <w:p w14:paraId="43B2C4A4"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auditor → firm</w:t>
            </w:r>
          </w:p>
        </w:tc>
      </w:tr>
      <w:tr w:rsidR="00094FA3" w14:paraId="0C86FC9D" w14:textId="77777777" w:rsidTr="00094FA3">
        <w:trPr>
          <w:tblCellSpacing w:w="15" w:type="dxa"/>
        </w:trPr>
        <w:tc>
          <w:tcPr>
            <w:tcW w:w="0" w:type="auto"/>
            <w:vAlign w:val="center"/>
            <w:hideMark/>
          </w:tcPr>
          <w:p w14:paraId="613E96B5" w14:textId="77777777" w:rsidR="00094FA3" w:rsidRPr="00094FA3" w:rsidRDefault="00094FA3">
            <w:pPr>
              <w:rPr>
                <w:rFonts w:asciiTheme="majorBidi" w:hAnsiTheme="majorBidi" w:cstheme="majorBidi"/>
                <w:sz w:val="22"/>
              </w:rPr>
            </w:pPr>
            <w:r w:rsidRPr="00094FA3">
              <w:rPr>
                <w:rStyle w:val="Strong"/>
                <w:rFonts w:asciiTheme="majorBidi" w:hAnsiTheme="majorBidi" w:cstheme="majorBidi"/>
                <w:sz w:val="22"/>
              </w:rPr>
              <w:t>Review / adjudication</w:t>
            </w:r>
          </w:p>
        </w:tc>
        <w:tc>
          <w:tcPr>
            <w:tcW w:w="0" w:type="auto"/>
            <w:vAlign w:val="center"/>
            <w:hideMark/>
          </w:tcPr>
          <w:p w14:paraId="3928993D"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 can reconsider, validate, overturn or resolve decisions concerning B</w:t>
            </w:r>
          </w:p>
        </w:tc>
        <w:tc>
          <w:tcPr>
            <w:tcW w:w="0" w:type="auto"/>
            <w:vAlign w:val="center"/>
            <w:hideMark/>
          </w:tcPr>
          <w:p w14:paraId="658B79D2"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appeal, judicial review, complaints</w:t>
            </w:r>
          </w:p>
        </w:tc>
        <w:tc>
          <w:tcPr>
            <w:tcW w:w="0" w:type="auto"/>
            <w:vAlign w:val="center"/>
            <w:hideMark/>
          </w:tcPr>
          <w:p w14:paraId="32CD6420"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court → regulator</w:t>
            </w:r>
          </w:p>
        </w:tc>
      </w:tr>
      <w:tr w:rsidR="00094FA3" w14:paraId="3C2D463E" w14:textId="77777777" w:rsidTr="00094FA3">
        <w:trPr>
          <w:tblCellSpacing w:w="15" w:type="dxa"/>
        </w:trPr>
        <w:tc>
          <w:tcPr>
            <w:tcW w:w="0" w:type="auto"/>
            <w:vAlign w:val="center"/>
            <w:hideMark/>
          </w:tcPr>
          <w:p w14:paraId="3195D679" w14:textId="77777777" w:rsidR="00094FA3" w:rsidRPr="00094FA3" w:rsidRDefault="00094FA3">
            <w:pPr>
              <w:rPr>
                <w:rFonts w:asciiTheme="majorBidi" w:hAnsiTheme="majorBidi" w:cstheme="majorBidi"/>
                <w:sz w:val="22"/>
              </w:rPr>
            </w:pPr>
            <w:r w:rsidRPr="00094FA3">
              <w:rPr>
                <w:rStyle w:val="Strong"/>
                <w:rFonts w:asciiTheme="majorBidi" w:hAnsiTheme="majorBidi" w:cstheme="majorBidi"/>
                <w:sz w:val="22"/>
              </w:rPr>
              <w:t>Representation / participation</w:t>
            </w:r>
          </w:p>
        </w:tc>
        <w:tc>
          <w:tcPr>
            <w:tcW w:w="0" w:type="auto"/>
            <w:vAlign w:val="center"/>
            <w:hideMark/>
          </w:tcPr>
          <w:p w14:paraId="5C51A5B7"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 represents, speaks for, or participates on behalf of B or affected interests</w:t>
            </w:r>
          </w:p>
        </w:tc>
        <w:tc>
          <w:tcPr>
            <w:tcW w:w="0" w:type="auto"/>
            <w:vAlign w:val="center"/>
            <w:hideMark/>
          </w:tcPr>
          <w:p w14:paraId="434F3B71"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consultation, representation, participation rights</w:t>
            </w:r>
          </w:p>
        </w:tc>
        <w:tc>
          <w:tcPr>
            <w:tcW w:w="0" w:type="auto"/>
            <w:vAlign w:val="center"/>
            <w:hideMark/>
          </w:tcPr>
          <w:p w14:paraId="51A82F59"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association → members</w:t>
            </w:r>
          </w:p>
        </w:tc>
      </w:tr>
      <w:tr w:rsidR="00094FA3" w14:paraId="3CE02BE7" w14:textId="77777777" w:rsidTr="00094FA3">
        <w:trPr>
          <w:tblCellSpacing w:w="15" w:type="dxa"/>
        </w:trPr>
        <w:tc>
          <w:tcPr>
            <w:tcW w:w="0" w:type="auto"/>
            <w:vAlign w:val="center"/>
            <w:hideMark/>
          </w:tcPr>
          <w:p w14:paraId="2FEC9B5B" w14:textId="77777777" w:rsidR="00094FA3" w:rsidRPr="00094FA3" w:rsidRDefault="00094FA3">
            <w:pPr>
              <w:rPr>
                <w:rFonts w:asciiTheme="majorBidi" w:hAnsiTheme="majorBidi" w:cstheme="majorBidi"/>
                <w:sz w:val="22"/>
              </w:rPr>
            </w:pPr>
            <w:r w:rsidRPr="00094FA3">
              <w:rPr>
                <w:rStyle w:val="Strong"/>
                <w:rFonts w:asciiTheme="majorBidi" w:hAnsiTheme="majorBidi" w:cstheme="majorBidi"/>
                <w:sz w:val="22"/>
              </w:rPr>
              <w:t>Contractual / exchange</w:t>
            </w:r>
          </w:p>
        </w:tc>
        <w:tc>
          <w:tcPr>
            <w:tcW w:w="0" w:type="auto"/>
            <w:vAlign w:val="center"/>
            <w:hideMark/>
          </w:tcPr>
          <w:p w14:paraId="2310BBF1"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 and B are connected through legally structured exchange</w:t>
            </w:r>
          </w:p>
        </w:tc>
        <w:tc>
          <w:tcPr>
            <w:tcW w:w="0" w:type="auto"/>
            <w:vAlign w:val="center"/>
            <w:hideMark/>
          </w:tcPr>
          <w:p w14:paraId="5406C3C6"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contract, concession, procurement</w:t>
            </w:r>
          </w:p>
        </w:tc>
        <w:tc>
          <w:tcPr>
            <w:tcW w:w="0" w:type="auto"/>
            <w:vAlign w:val="center"/>
            <w:hideMark/>
          </w:tcPr>
          <w:p w14:paraId="229157C0"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government ↔ provider</w:t>
            </w:r>
          </w:p>
        </w:tc>
      </w:tr>
      <w:tr w:rsidR="00094FA3" w14:paraId="0D964707" w14:textId="77777777" w:rsidTr="00094FA3">
        <w:trPr>
          <w:tblCellSpacing w:w="15" w:type="dxa"/>
        </w:trPr>
        <w:tc>
          <w:tcPr>
            <w:tcW w:w="0" w:type="auto"/>
            <w:vAlign w:val="center"/>
            <w:hideMark/>
          </w:tcPr>
          <w:p w14:paraId="7F011DDF" w14:textId="77777777" w:rsidR="00094FA3" w:rsidRPr="00094FA3" w:rsidRDefault="00094FA3">
            <w:pPr>
              <w:rPr>
                <w:rFonts w:asciiTheme="majorBidi" w:hAnsiTheme="majorBidi" w:cstheme="majorBidi"/>
                <w:sz w:val="22"/>
              </w:rPr>
            </w:pPr>
            <w:r w:rsidRPr="00094FA3">
              <w:rPr>
                <w:rStyle w:val="Strong"/>
                <w:rFonts w:asciiTheme="majorBidi" w:hAnsiTheme="majorBidi" w:cstheme="majorBidi"/>
                <w:sz w:val="22"/>
              </w:rPr>
              <w:t>Beneficiary / protective</w:t>
            </w:r>
          </w:p>
        </w:tc>
        <w:tc>
          <w:tcPr>
            <w:tcW w:w="0" w:type="auto"/>
            <w:vAlign w:val="center"/>
            <w:hideMark/>
          </w:tcPr>
          <w:p w14:paraId="68E3F5DC"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Governance by A is directed toward protecting or providing rights/benefits to B</w:t>
            </w:r>
          </w:p>
        </w:tc>
        <w:tc>
          <w:tcPr>
            <w:tcW w:w="0" w:type="auto"/>
            <w:vAlign w:val="center"/>
            <w:hideMark/>
          </w:tcPr>
          <w:p w14:paraId="0C5BF0E3"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entitlement, protection, beneficiary right</w:t>
            </w:r>
          </w:p>
        </w:tc>
        <w:tc>
          <w:tcPr>
            <w:tcW w:w="0" w:type="auto"/>
            <w:vAlign w:val="center"/>
            <w:hideMark/>
          </w:tcPr>
          <w:p w14:paraId="3E34E086"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regulator → consumer</w:t>
            </w:r>
          </w:p>
        </w:tc>
      </w:tr>
    </w:tbl>
    <w:p w14:paraId="25EDCB62" w14:textId="4F0E2031" w:rsidR="00094FA3" w:rsidRDefault="00094FA3" w:rsidP="00094FA3">
      <w:pPr>
        <w:pStyle w:val="NormalWeb"/>
      </w:pPr>
      <w:r>
        <w:t xml:space="preserve">We distinguish </w:t>
      </w:r>
      <w:r w:rsidRPr="00094FA3">
        <w:rPr>
          <w:rStyle w:val="Strong"/>
          <w:b w:val="0"/>
          <w:bCs w:val="0"/>
        </w:rPr>
        <w:t xml:space="preserve">relationship </w:t>
      </w:r>
      <w:r>
        <w:rPr>
          <w:rStyle w:val="Strong"/>
        </w:rPr>
        <w:t>type</w:t>
      </w:r>
      <w:r>
        <w:t xml:space="preserve"> from </w:t>
      </w:r>
      <w:r w:rsidRPr="00094FA3">
        <w:rPr>
          <w:rStyle w:val="Strong"/>
          <w:b w:val="0"/>
          <w:bCs w:val="0"/>
        </w:rPr>
        <w:t>relationship</w:t>
      </w:r>
      <w:r>
        <w:rPr>
          <w:rStyle w:val="Strong"/>
        </w:rPr>
        <w:t xml:space="preserve"> attributes</w:t>
      </w:r>
      <w:r w:rsidR="002835F4">
        <w:rPr>
          <w:rStyle w:val="Strong"/>
        </w:rPr>
        <w:t xml:space="preserve"> </w:t>
      </w:r>
      <w:r w:rsidR="002835F4" w:rsidRPr="002835F4">
        <w:rPr>
          <w:rStyle w:val="Strong"/>
          <w:b w:val="0"/>
          <w:bCs w:val="0"/>
        </w:rPr>
        <w:t>such as mechanisms</w:t>
      </w:r>
      <w:r>
        <w:t xml:space="preserve">. The relationship might be </w:t>
      </w:r>
      <w:r>
        <w:rPr>
          <w:rStyle w:val="Strong"/>
        </w:rPr>
        <w:t>delegation</w:t>
      </w:r>
      <w:r>
        <w:t>, for example, but that delegation can vary along several attributes:</w:t>
      </w:r>
    </w:p>
    <w:p w14:paraId="2EA02F7E" w14:textId="77777777" w:rsidR="00094FA3" w:rsidRPr="00094FA3" w:rsidRDefault="00094FA3" w:rsidP="002835F4">
      <w:pPr>
        <w:pStyle w:val="NormalWeb"/>
      </w:pPr>
      <w:r w:rsidRPr="00094FA3">
        <w:rPr>
          <w:rStyle w:val="Strong"/>
          <w:b w:val="0"/>
          <w:bCs w:val="0"/>
        </w:rPr>
        <w:t>Direction:</w:t>
      </w:r>
      <w:r w:rsidRPr="00094FA3">
        <w:t xml:space="preserve"> A → B or A ↔ B</w:t>
      </w:r>
      <w:r w:rsidRPr="00094FA3">
        <w:br/>
      </w:r>
      <w:r w:rsidRPr="00094FA3">
        <w:rPr>
          <w:rStyle w:val="Strong"/>
          <w:b w:val="0"/>
          <w:bCs w:val="0"/>
        </w:rPr>
        <w:t>Legal basis:</w:t>
      </w:r>
      <w:r w:rsidRPr="00094FA3">
        <w:t xml:space="preserve"> mandatory / authorized / voluntary</w:t>
      </w:r>
      <w:r w:rsidRPr="00094FA3">
        <w:br/>
      </w:r>
      <w:r w:rsidRPr="00094FA3">
        <w:rPr>
          <w:rStyle w:val="Strong"/>
          <w:b w:val="0"/>
          <w:bCs w:val="0"/>
        </w:rPr>
        <w:t>Authority:</w:t>
      </w:r>
      <w:r w:rsidRPr="00094FA3">
        <w:t xml:space="preserve"> binding / non-binding</w:t>
      </w:r>
      <w:r w:rsidRPr="00094FA3">
        <w:br/>
      </w:r>
      <w:r w:rsidRPr="00094FA3">
        <w:rPr>
          <w:rStyle w:val="Strong"/>
          <w:b w:val="0"/>
          <w:bCs w:val="0"/>
        </w:rPr>
        <w:t>Discretion:</w:t>
      </w:r>
      <w:r w:rsidRPr="00094FA3">
        <w:t xml:space="preserve"> low / medium / high</w:t>
      </w:r>
      <w:r w:rsidRPr="00094FA3">
        <w:br/>
      </w:r>
      <w:r w:rsidRPr="00094FA3">
        <w:rPr>
          <w:rStyle w:val="Strong"/>
          <w:b w:val="0"/>
          <w:bCs w:val="0"/>
        </w:rPr>
        <w:t>Independence:</w:t>
      </w:r>
      <w:r w:rsidRPr="00094FA3">
        <w:t xml:space="preserve"> dependent / semi-autonomous / autonomous</w:t>
      </w:r>
      <w:r w:rsidRPr="00094FA3">
        <w:br/>
      </w:r>
      <w:r w:rsidRPr="00094FA3">
        <w:rPr>
          <w:rStyle w:val="Strong"/>
          <w:b w:val="0"/>
          <w:bCs w:val="0"/>
        </w:rPr>
        <w:t>Accountability:</w:t>
      </w:r>
      <w:r w:rsidRPr="00094FA3">
        <w:t xml:space="preserve"> to whom B is answerable</w:t>
      </w:r>
      <w:r w:rsidRPr="00094FA3">
        <w:br/>
      </w:r>
      <w:r w:rsidRPr="00094FA3">
        <w:rPr>
          <w:rStyle w:val="Strong"/>
          <w:b w:val="0"/>
          <w:bCs w:val="0"/>
        </w:rPr>
        <w:t>Intensity:</w:t>
      </w:r>
      <w:r w:rsidRPr="00094FA3">
        <w:t xml:space="preserve"> episodic / periodic / continuous</w:t>
      </w:r>
      <w:r w:rsidRPr="00094FA3">
        <w:br/>
      </w:r>
      <w:r w:rsidRPr="00094FA3">
        <w:rPr>
          <w:rStyle w:val="Strong"/>
          <w:b w:val="0"/>
          <w:bCs w:val="0"/>
        </w:rPr>
        <w:t>Transparency:</w:t>
      </w:r>
      <w:r w:rsidRPr="00094FA3">
        <w:t xml:space="preserve"> public / restricted / confidential</w:t>
      </w:r>
      <w:r w:rsidRPr="00094FA3">
        <w:br/>
      </w:r>
      <w:proofErr w:type="spellStart"/>
      <w:r w:rsidRPr="00094FA3">
        <w:rPr>
          <w:rStyle w:val="Strong"/>
          <w:b w:val="0"/>
          <w:bCs w:val="0"/>
        </w:rPr>
        <w:t>Sanctionability</w:t>
      </w:r>
      <w:proofErr w:type="spellEnd"/>
      <w:r w:rsidRPr="00094FA3">
        <w:rPr>
          <w:rStyle w:val="Strong"/>
          <w:b w:val="0"/>
          <w:bCs w:val="0"/>
        </w:rPr>
        <w:t>:</w:t>
      </w:r>
      <w:r w:rsidRPr="00094FA3">
        <w:t xml:space="preserve"> whether failure generates consequences</w:t>
      </w:r>
      <w:r w:rsidRPr="00094FA3">
        <w:br/>
      </w:r>
      <w:r w:rsidRPr="00094FA3">
        <w:rPr>
          <w:rStyle w:val="Strong"/>
          <w:b w:val="0"/>
          <w:bCs w:val="0"/>
        </w:rPr>
        <w:t>Contestability:</w:t>
      </w:r>
      <w:r w:rsidRPr="00094FA3">
        <w:t xml:space="preserve"> whether decisions can be challenged or reviewed</w:t>
      </w:r>
    </w:p>
    <w:p w14:paraId="133BBE8C" w14:textId="5115D0B2" w:rsidR="00094FA3" w:rsidRPr="00094FA3" w:rsidRDefault="00094FA3" w:rsidP="00094FA3">
      <w:pPr>
        <w:pStyle w:val="NormalWeb"/>
        <w:rPr>
          <w:rStyle w:val="Strong"/>
          <w:b w:val="0"/>
          <w:bCs w:val="0"/>
        </w:rPr>
      </w:pPr>
      <w:r w:rsidRPr="00094FA3">
        <w:t xml:space="preserve">This produces a much more powerful data structure. Instead of coding merely:   </w:t>
      </w:r>
      <w:r w:rsidRPr="00094FA3">
        <w:rPr>
          <w:rStyle w:val="Strong"/>
          <w:b w:val="0"/>
          <w:bCs w:val="0"/>
        </w:rPr>
        <w:t>Regulator — Intermediary — Firm</w:t>
      </w:r>
      <w:r>
        <w:rPr>
          <w:rStyle w:val="Strong"/>
          <w:b w:val="0"/>
          <w:bCs w:val="0"/>
        </w:rPr>
        <w:t xml:space="preserve">. </w:t>
      </w:r>
      <w:r>
        <w:t>W</w:t>
      </w:r>
      <w:r w:rsidRPr="00094FA3">
        <w:t xml:space="preserve">e can </w:t>
      </w:r>
      <w:r>
        <w:t>identify</w:t>
      </w:r>
      <w:r w:rsidRPr="00094FA3">
        <w:t xml:space="preserve">: </w:t>
      </w:r>
    </w:p>
    <w:p w14:paraId="6DBCC413" w14:textId="381831D0" w:rsidR="00094FA3" w:rsidRPr="00094FA3" w:rsidRDefault="00094FA3" w:rsidP="00094FA3">
      <w:pPr>
        <w:pStyle w:val="NormalWeb"/>
      </w:pPr>
      <w:r w:rsidRPr="00094FA3">
        <w:rPr>
          <w:rStyle w:val="Strong"/>
          <w:b w:val="0"/>
          <w:bCs w:val="0"/>
        </w:rPr>
        <w:t>Regulator → authorizes → Certifier</w:t>
      </w:r>
      <w:r w:rsidRPr="00094FA3">
        <w:br/>
      </w:r>
      <w:r w:rsidRPr="00094FA3">
        <w:rPr>
          <w:rStyle w:val="Strong"/>
          <w:b w:val="0"/>
          <w:bCs w:val="0"/>
        </w:rPr>
        <w:t>Regulator → supervises → Certifier</w:t>
      </w:r>
      <w:r w:rsidRPr="00094FA3">
        <w:br/>
      </w:r>
      <w:r w:rsidRPr="00094FA3">
        <w:rPr>
          <w:rStyle w:val="Strong"/>
          <w:b w:val="0"/>
          <w:bCs w:val="0"/>
        </w:rPr>
        <w:t>Certifier → verifies → Firm</w:t>
      </w:r>
      <w:r w:rsidRPr="00094FA3">
        <w:br/>
      </w:r>
      <w:r w:rsidRPr="00094FA3">
        <w:rPr>
          <w:rStyle w:val="Strong"/>
          <w:b w:val="0"/>
          <w:bCs w:val="0"/>
        </w:rPr>
        <w:t>Firm → provides information → Certifier</w:t>
      </w:r>
      <w:r w:rsidRPr="00094FA3">
        <w:br/>
      </w:r>
      <w:r w:rsidRPr="00094FA3">
        <w:rPr>
          <w:rStyle w:val="Strong"/>
          <w:b w:val="0"/>
          <w:bCs w:val="0"/>
        </w:rPr>
        <w:t>Certifier → reports → Regulator</w:t>
      </w:r>
      <w:r w:rsidRPr="00094FA3">
        <w:br/>
      </w:r>
      <w:r w:rsidRPr="00094FA3">
        <w:rPr>
          <w:rStyle w:val="Strong"/>
          <w:b w:val="0"/>
          <w:bCs w:val="0"/>
        </w:rPr>
        <w:t>Firm → provides product/service → Consumer</w:t>
      </w:r>
      <w:r w:rsidRPr="00094FA3">
        <w:br/>
      </w:r>
      <w:r w:rsidRPr="00094FA3">
        <w:rPr>
          <w:rStyle w:val="Strong"/>
          <w:b w:val="0"/>
          <w:bCs w:val="0"/>
        </w:rPr>
        <w:t>Regulator → protects → Consumer</w:t>
      </w:r>
    </w:p>
    <w:p w14:paraId="65A5147C" w14:textId="77777777" w:rsidR="00094FA3" w:rsidRDefault="00094FA3" w:rsidP="0036629B">
      <w:pPr>
        <w:rPr>
          <w:rFonts w:asciiTheme="majorBidi" w:hAnsiTheme="majorBidi" w:cstheme="majorBidi"/>
          <w:b/>
          <w:bCs/>
          <w:sz w:val="24"/>
          <w:szCs w:val="24"/>
        </w:rPr>
      </w:pPr>
    </w:p>
    <w:p w14:paraId="191C6D3B" w14:textId="697F2724" w:rsidR="009F52E6" w:rsidRDefault="00671550" w:rsidP="00656BE6">
      <w:pPr>
        <w:rPr>
          <w:rFonts w:asciiTheme="majorBidi" w:hAnsiTheme="majorBidi" w:cstheme="majorBidi"/>
          <w:b/>
          <w:bCs/>
          <w:sz w:val="24"/>
          <w:szCs w:val="24"/>
        </w:rPr>
      </w:pPr>
      <w:r>
        <w:rPr>
          <w:rFonts w:asciiTheme="majorBidi" w:hAnsiTheme="majorBidi" w:cstheme="majorBidi"/>
          <w:b/>
          <w:bCs/>
          <w:sz w:val="24"/>
          <w:szCs w:val="24"/>
        </w:rPr>
        <w:lastRenderedPageBreak/>
        <w:t>4</w:t>
      </w:r>
      <w:r w:rsidR="009F52E6">
        <w:rPr>
          <w:rFonts w:asciiTheme="majorBidi" w:hAnsiTheme="majorBidi" w:cstheme="majorBidi"/>
          <w:b/>
          <w:bCs/>
          <w:sz w:val="24"/>
          <w:szCs w:val="24"/>
        </w:rPr>
        <w:t xml:space="preserve">. </w:t>
      </w:r>
      <w:r w:rsidR="00656BE6">
        <w:rPr>
          <w:rFonts w:asciiTheme="majorBidi" w:hAnsiTheme="majorBidi" w:cstheme="majorBidi"/>
          <w:b/>
          <w:bCs/>
          <w:sz w:val="24"/>
          <w:szCs w:val="24"/>
        </w:rPr>
        <w:t xml:space="preserve"> Level 2: Relational Attribute </w:t>
      </w:r>
    </w:p>
    <w:p w14:paraId="76A0ABC0" w14:textId="564F88EA" w:rsidR="009F52E6" w:rsidRDefault="009F52E6" w:rsidP="0036629B">
      <w:pPr>
        <w:rPr>
          <w:rFonts w:asciiTheme="majorBidi" w:hAnsiTheme="majorBidi" w:cstheme="majorBidi"/>
          <w:b/>
          <w:bCs/>
          <w:sz w:val="24"/>
          <w:szCs w:val="24"/>
        </w:rPr>
      </w:pPr>
    </w:p>
    <w:p w14:paraId="10587066" w14:textId="77719399" w:rsidR="009A22BF" w:rsidRPr="009A22BF" w:rsidRDefault="009A22BF" w:rsidP="009A22BF">
      <w:pPr>
        <w:pStyle w:val="Footer"/>
        <w:spacing w:line="276" w:lineRule="auto"/>
        <w:jc w:val="both"/>
        <w:rPr>
          <w:rFonts w:asciiTheme="majorBidi" w:hAnsiTheme="majorBidi" w:cstheme="majorBidi"/>
          <w:sz w:val="24"/>
          <w:szCs w:val="24"/>
        </w:rPr>
      </w:pPr>
      <w:r w:rsidRPr="009A22BF">
        <w:rPr>
          <w:rFonts w:asciiTheme="majorBidi" w:hAnsiTheme="majorBidi" w:cstheme="majorBidi"/>
          <w:sz w:val="24"/>
          <w:szCs w:val="24"/>
        </w:rPr>
        <w:t>Authority, discretion and accountability are relational attributes that qualify the governance relationships reconstructed from law. Authority identifies the legally consequential capacity attached to a relationship; discretion identifies the scope of legally structured choice in exercising that capacity; and accountability identifies the institutionalized relationships through which the exercise of authority and discretion must be explained, assessed, reviewed or answered for.</w:t>
      </w:r>
    </w:p>
    <w:p w14:paraId="44446EB8" w14:textId="77777777" w:rsidR="009A22BF" w:rsidRDefault="009A22BF" w:rsidP="0036629B">
      <w:pPr>
        <w:rPr>
          <w:rFonts w:asciiTheme="majorBidi" w:hAnsiTheme="majorBidi" w:cstheme="majorBidi"/>
          <w:b/>
          <w:bCs/>
          <w:sz w:val="24"/>
          <w:szCs w:val="24"/>
        </w:rPr>
      </w:pPr>
    </w:p>
    <w:p w14:paraId="0FE07DC2" w14:textId="18C7BFF7" w:rsidR="009F52E6" w:rsidRPr="009F52E6" w:rsidRDefault="00671550" w:rsidP="009F52E6">
      <w:pPr>
        <w:pStyle w:val="Heading2"/>
        <w:rPr>
          <w:rFonts w:asciiTheme="majorBidi" w:hAnsiTheme="majorBidi"/>
          <w:color w:val="auto"/>
          <w:sz w:val="24"/>
          <w:szCs w:val="24"/>
        </w:rPr>
      </w:pPr>
      <w:r>
        <w:rPr>
          <w:rFonts w:asciiTheme="majorBidi" w:hAnsiTheme="majorBidi"/>
          <w:color w:val="auto"/>
          <w:sz w:val="24"/>
          <w:szCs w:val="24"/>
        </w:rPr>
        <w:t>4</w:t>
      </w:r>
      <w:r w:rsidR="009F52E6" w:rsidRPr="009F52E6">
        <w:rPr>
          <w:rFonts w:asciiTheme="majorBidi" w:hAnsiTheme="majorBidi"/>
          <w:color w:val="auto"/>
          <w:sz w:val="24"/>
          <w:szCs w:val="24"/>
        </w:rPr>
        <w:t>.1 Authority: the legally constituted capacity to govern</w:t>
      </w:r>
    </w:p>
    <w:p w14:paraId="3245224A" w14:textId="77777777" w:rsidR="009F52E6" w:rsidRPr="009F52E6" w:rsidRDefault="009F52E6" w:rsidP="009F52E6">
      <w:pPr>
        <w:pStyle w:val="NormalWeb"/>
        <w:jc w:val="both"/>
        <w:rPr>
          <w:rFonts w:asciiTheme="majorBidi" w:hAnsiTheme="majorBidi" w:cstheme="majorBidi"/>
        </w:rPr>
      </w:pPr>
      <w:r w:rsidRPr="009F52E6">
        <w:rPr>
          <w:rFonts w:asciiTheme="majorBidi" w:hAnsiTheme="majorBidi" w:cstheme="majorBidi"/>
        </w:rPr>
        <w:t>Governance relationships differ not only in who participates and what functions they perform, but also in the authority attached to those functions. Authority refers to the legally constituted capacity of an actor to make decisions, issue requirements, determine status, allocate rights or obligations, constrain the conduct of others, or otherwise produce consequences recognized by the legal order. It is therefore distinct from participation, expertise, influence, or organizational importance. An actor may be highly influential without possessing formal authority, while another may exercise legally binding authority even if its practical capacity is limited. For the analysis of law as governance architecture, the relevant question is consequently not only who acts, but with what legally recognized capacity to govern.</w:t>
      </w:r>
    </w:p>
    <w:p w14:paraId="21414E2C" w14:textId="77777777" w:rsidR="009F52E6" w:rsidRPr="009F52E6" w:rsidRDefault="009F52E6" w:rsidP="009F52E6">
      <w:pPr>
        <w:pStyle w:val="NormalWeb"/>
        <w:jc w:val="both"/>
        <w:rPr>
          <w:rFonts w:asciiTheme="majorBidi" w:hAnsiTheme="majorBidi" w:cstheme="majorBidi"/>
        </w:rPr>
      </w:pPr>
      <w:r w:rsidRPr="009F52E6">
        <w:rPr>
          <w:rFonts w:asciiTheme="majorBidi" w:hAnsiTheme="majorBidi" w:cstheme="majorBidi"/>
        </w:rPr>
        <w:t>Authority has long occupied a central place in theories of administration and regulation. Weber's account of legal-rational authority emphasized the institutionalization of competence through formally constituted offices and rules. Public-administration scholarship subsequently examined how authority is distributed through delegation, jurisdiction, hierarchy, and administrative discretion, while principal-agent approaches conceptualized governance as chains in which authority is transferred but accompanied by mechanisms of control and oversight. Regulatory governance complicates this image because authority is increasingly fragmented across public agencies, private bodies, professional organizations, regulated firms, and intermediaries. Regulatory systems may therefore combine formal public authority with delegated, derivative, conditional, or functionally limited forms of private authority (</w:t>
      </w:r>
      <w:proofErr w:type="spellStart"/>
      <w:r w:rsidRPr="009F52E6">
        <w:rPr>
          <w:rFonts w:asciiTheme="majorBidi" w:hAnsiTheme="majorBidi" w:cstheme="majorBidi"/>
        </w:rPr>
        <w:t>Majone</w:t>
      </w:r>
      <w:proofErr w:type="spellEnd"/>
      <w:r w:rsidRPr="009F52E6">
        <w:rPr>
          <w:rFonts w:asciiTheme="majorBidi" w:hAnsiTheme="majorBidi" w:cstheme="majorBidi"/>
        </w:rPr>
        <w:t xml:space="preserve"> 1997; Black 2001; Abbott et al. 2015; Abbott, Levi-Faur and Snidal 2017).</w:t>
      </w:r>
    </w:p>
    <w:p w14:paraId="6160A6EE" w14:textId="77777777" w:rsidR="009F52E6" w:rsidRPr="009F52E6" w:rsidRDefault="009F52E6" w:rsidP="009F52E6">
      <w:pPr>
        <w:pStyle w:val="NormalWeb"/>
        <w:jc w:val="both"/>
        <w:rPr>
          <w:rFonts w:asciiTheme="majorBidi" w:hAnsiTheme="majorBidi" w:cstheme="majorBidi"/>
        </w:rPr>
      </w:pPr>
      <w:r w:rsidRPr="009F52E6">
        <w:rPr>
          <w:rFonts w:asciiTheme="majorBidi" w:hAnsiTheme="majorBidi" w:cstheme="majorBidi"/>
        </w:rPr>
        <w:t>The distinction between authority and function is essential. Two actors may perform the same function while possessing very different authority. A public inspector, an internal compliance officer, and a private auditor may all monitor compliance. Yet the inspector may possess statutory powers of entry and sanction, the compliance officer may act under internal organizational authority, and the auditor may only assess and report. Similarly, several actors may participate in rule-making, but only some may issue legally binding standards. Coding function without authority would therefore risk treating institutionally distinct forms of governance as equivalent.</w:t>
      </w:r>
    </w:p>
    <w:p w14:paraId="53F0D419" w14:textId="4EA35D05" w:rsidR="009F52E6" w:rsidRPr="009F52E6" w:rsidRDefault="009F52E6" w:rsidP="009F52E6">
      <w:pPr>
        <w:pStyle w:val="NormalWeb"/>
        <w:jc w:val="both"/>
        <w:rPr>
          <w:rFonts w:asciiTheme="majorBidi" w:hAnsiTheme="majorBidi" w:cstheme="majorBidi"/>
        </w:rPr>
      </w:pPr>
      <w:r w:rsidRPr="009F52E6">
        <w:rPr>
          <w:rFonts w:asciiTheme="majorBidi" w:hAnsiTheme="majorBidi" w:cstheme="majorBidi"/>
        </w:rPr>
        <w:t xml:space="preserve">Authority should also be distinguished from mechanism and instrument. Authorization, delegation, licensing, certification, and accreditation may operate as mechanisms or instruments through which authority is constituted or exercised, but authority refers to the legal capacity attached to the actor or relationship. A </w:t>
      </w:r>
      <w:r w:rsidR="00050328" w:rsidRPr="009F52E6">
        <w:rPr>
          <w:rFonts w:asciiTheme="majorBidi" w:hAnsiTheme="majorBidi" w:cstheme="majorBidi"/>
        </w:rPr>
        <w:t>license</w:t>
      </w:r>
      <w:r w:rsidRPr="009F52E6">
        <w:rPr>
          <w:rFonts w:asciiTheme="majorBidi" w:hAnsiTheme="majorBidi" w:cstheme="majorBidi"/>
        </w:rPr>
        <w:t>, for example, is an instrument; authorization is a mechanism through which status or permission is conferred; and the licensing authority's legally recognized power to grant, condition, suspend, or withdraw that permission is an attribute of the governance relationship. The same instrument can consequently embody different degrees of authority depending on its legal consequences.</w:t>
      </w:r>
    </w:p>
    <w:p w14:paraId="5905A28A" w14:textId="77777777" w:rsidR="009F52E6" w:rsidRPr="009F52E6" w:rsidRDefault="009F52E6" w:rsidP="009F52E6">
      <w:pPr>
        <w:pStyle w:val="NormalWeb"/>
        <w:jc w:val="both"/>
        <w:rPr>
          <w:rFonts w:asciiTheme="majorBidi" w:hAnsiTheme="majorBidi" w:cstheme="majorBidi"/>
        </w:rPr>
      </w:pPr>
      <w:r w:rsidRPr="009F52E6">
        <w:rPr>
          <w:rFonts w:asciiTheme="majorBidi" w:hAnsiTheme="majorBidi" w:cstheme="majorBidi"/>
        </w:rPr>
        <w:lastRenderedPageBreak/>
        <w:t>For coding purposes, authority is best treated as a multidimensional relational attribute rather than as a single dichotomy. At least five dimensions can be distinguished.</w:t>
      </w:r>
    </w:p>
    <w:p w14:paraId="483971B5" w14:textId="77777777" w:rsidR="009F52E6" w:rsidRPr="009F52E6" w:rsidRDefault="009F52E6" w:rsidP="009F52E6">
      <w:pPr>
        <w:pStyle w:val="NormalWeb"/>
        <w:jc w:val="both"/>
        <w:rPr>
          <w:rFonts w:asciiTheme="majorBidi" w:hAnsiTheme="majorBidi" w:cstheme="majorBidi"/>
        </w:rPr>
      </w:pPr>
      <w:r w:rsidRPr="009F52E6">
        <w:rPr>
          <w:rFonts w:asciiTheme="majorBidi" w:hAnsiTheme="majorBidi" w:cstheme="majorBidi"/>
        </w:rPr>
        <w:t xml:space="preserve">First, </w:t>
      </w:r>
      <w:r w:rsidRPr="009F52E6">
        <w:rPr>
          <w:rStyle w:val="Strong"/>
          <w:rFonts w:asciiTheme="majorBidi" w:hAnsiTheme="majorBidi" w:cstheme="majorBidi"/>
        </w:rPr>
        <w:t>bindingness</w:t>
      </w:r>
      <w:r w:rsidRPr="009F52E6">
        <w:rPr>
          <w:rFonts w:asciiTheme="majorBidi" w:hAnsiTheme="majorBidi" w:cstheme="majorBidi"/>
        </w:rPr>
        <w:t xml:space="preserve"> concerns whether an actor's decision or requirement legally constrains another actor. Binding authority differs from advisory, recommendatory, or informational influence.</w:t>
      </w:r>
    </w:p>
    <w:p w14:paraId="5ECC03F8" w14:textId="77777777" w:rsidR="009F52E6" w:rsidRPr="009F52E6" w:rsidRDefault="009F52E6" w:rsidP="009F52E6">
      <w:pPr>
        <w:pStyle w:val="NormalWeb"/>
        <w:jc w:val="both"/>
        <w:rPr>
          <w:rFonts w:asciiTheme="majorBidi" w:hAnsiTheme="majorBidi" w:cstheme="majorBidi"/>
        </w:rPr>
      </w:pPr>
      <w:r w:rsidRPr="009F52E6">
        <w:rPr>
          <w:rFonts w:asciiTheme="majorBidi" w:hAnsiTheme="majorBidi" w:cstheme="majorBidi"/>
        </w:rPr>
        <w:t xml:space="preserve">Second, </w:t>
      </w:r>
      <w:r w:rsidRPr="009F52E6">
        <w:rPr>
          <w:rStyle w:val="Strong"/>
          <w:rFonts w:asciiTheme="majorBidi" w:hAnsiTheme="majorBidi" w:cstheme="majorBidi"/>
        </w:rPr>
        <w:t>scope</w:t>
      </w:r>
      <w:r w:rsidRPr="009F52E6">
        <w:rPr>
          <w:rFonts w:asciiTheme="majorBidi" w:hAnsiTheme="majorBidi" w:cstheme="majorBidi"/>
        </w:rPr>
        <w:t xml:space="preserve"> concerns the range of matters over which authority extends. Authority may be broad, covering an entire regulatory domain, or narrow, confined to a specific technical assessment, authorization, standard, or procedural step.</w:t>
      </w:r>
    </w:p>
    <w:p w14:paraId="53C12B6B" w14:textId="77777777" w:rsidR="009F52E6" w:rsidRPr="009F52E6" w:rsidRDefault="009F52E6" w:rsidP="009F52E6">
      <w:pPr>
        <w:pStyle w:val="NormalWeb"/>
        <w:jc w:val="both"/>
        <w:rPr>
          <w:rFonts w:asciiTheme="majorBidi" w:hAnsiTheme="majorBidi" w:cstheme="majorBidi"/>
        </w:rPr>
      </w:pPr>
      <w:r w:rsidRPr="009F52E6">
        <w:rPr>
          <w:rFonts w:asciiTheme="majorBidi" w:hAnsiTheme="majorBidi" w:cstheme="majorBidi"/>
        </w:rPr>
        <w:t xml:space="preserve">Third, </w:t>
      </w:r>
      <w:r w:rsidRPr="009F52E6">
        <w:rPr>
          <w:rStyle w:val="Strong"/>
          <w:rFonts w:asciiTheme="majorBidi" w:hAnsiTheme="majorBidi" w:cstheme="majorBidi"/>
        </w:rPr>
        <w:t>consequence</w:t>
      </w:r>
      <w:r w:rsidRPr="009F52E6">
        <w:rPr>
          <w:rFonts w:asciiTheme="majorBidi" w:hAnsiTheme="majorBidi" w:cstheme="majorBidi"/>
        </w:rPr>
        <w:t xml:space="preserve"> concerns what legal effects follow from the exercise of authority. An actor may merely issue an opinion, or its decision may determine market access, eligibility, certification, liability, sanction, or legal status.</w:t>
      </w:r>
    </w:p>
    <w:p w14:paraId="34AB780C" w14:textId="77777777" w:rsidR="009F52E6" w:rsidRPr="009F52E6" w:rsidRDefault="009F52E6" w:rsidP="009F52E6">
      <w:pPr>
        <w:pStyle w:val="NormalWeb"/>
        <w:jc w:val="both"/>
        <w:rPr>
          <w:rFonts w:asciiTheme="majorBidi" w:hAnsiTheme="majorBidi" w:cstheme="majorBidi"/>
        </w:rPr>
      </w:pPr>
      <w:r w:rsidRPr="009F52E6">
        <w:rPr>
          <w:rFonts w:asciiTheme="majorBidi" w:hAnsiTheme="majorBidi" w:cstheme="majorBidi"/>
        </w:rPr>
        <w:t xml:space="preserve">Fourth, </w:t>
      </w:r>
      <w:r w:rsidRPr="009F52E6">
        <w:rPr>
          <w:rStyle w:val="Strong"/>
          <w:rFonts w:asciiTheme="majorBidi" w:hAnsiTheme="majorBidi" w:cstheme="majorBidi"/>
        </w:rPr>
        <w:t>derivation</w:t>
      </w:r>
      <w:r w:rsidRPr="009F52E6">
        <w:rPr>
          <w:rFonts w:asciiTheme="majorBidi" w:hAnsiTheme="majorBidi" w:cstheme="majorBidi"/>
        </w:rPr>
        <w:t xml:space="preserve"> concerns the source of authority. Authority may be original or statutory, delegated by another public body, conferred through designation or accreditation, or recognized conditionally by law. This distinction is especially important for regulatory intermediaries whose authority often derives from legally structured recognition rather than direct sovereign competence.</w:t>
      </w:r>
    </w:p>
    <w:p w14:paraId="31292579" w14:textId="77777777" w:rsidR="009F52E6" w:rsidRPr="009F52E6" w:rsidRDefault="009F52E6" w:rsidP="009F52E6">
      <w:pPr>
        <w:pStyle w:val="NormalWeb"/>
        <w:jc w:val="both"/>
        <w:rPr>
          <w:rFonts w:asciiTheme="majorBidi" w:hAnsiTheme="majorBidi" w:cstheme="majorBidi"/>
        </w:rPr>
      </w:pPr>
      <w:r w:rsidRPr="009F52E6">
        <w:rPr>
          <w:rFonts w:asciiTheme="majorBidi" w:hAnsiTheme="majorBidi" w:cstheme="majorBidi"/>
        </w:rPr>
        <w:t xml:space="preserve">Fifth, </w:t>
      </w:r>
      <w:r w:rsidRPr="009F52E6">
        <w:rPr>
          <w:rStyle w:val="Strong"/>
          <w:rFonts w:asciiTheme="majorBidi" w:hAnsiTheme="majorBidi" w:cstheme="majorBidi"/>
        </w:rPr>
        <w:t>reviewability and reversibility</w:t>
      </w:r>
      <w:r w:rsidRPr="009F52E6">
        <w:rPr>
          <w:rFonts w:asciiTheme="majorBidi" w:hAnsiTheme="majorBidi" w:cstheme="majorBidi"/>
        </w:rPr>
        <w:t xml:space="preserve"> concern whether the exercise of authority is subject to approval, appeal, supervision, or withdrawal by another actor. Authority that is formally binding but easily reversible or tightly supervised differs from authority exercised with substantial institutional autonomy.</w:t>
      </w:r>
    </w:p>
    <w:p w14:paraId="128F66E1" w14:textId="77777777" w:rsidR="009F52E6" w:rsidRPr="009F52E6" w:rsidRDefault="009F52E6" w:rsidP="009F52E6">
      <w:pPr>
        <w:pStyle w:val="NormalWeb"/>
        <w:jc w:val="both"/>
        <w:rPr>
          <w:rFonts w:asciiTheme="majorBidi" w:hAnsiTheme="majorBidi" w:cstheme="majorBidi"/>
        </w:rPr>
      </w:pPr>
      <w:r w:rsidRPr="009F52E6">
        <w:rPr>
          <w:rFonts w:asciiTheme="majorBidi" w:hAnsiTheme="majorBidi" w:cstheme="majorBidi"/>
        </w:rPr>
        <w:t>These distinctions suggest a relational representation such as:</w:t>
      </w:r>
    </w:p>
    <w:p w14:paraId="226A8A00" w14:textId="58FA373A" w:rsidR="009F52E6" w:rsidRPr="009F52E6" w:rsidRDefault="009F52E6" w:rsidP="00071058">
      <w:pPr>
        <w:jc w:val="center"/>
        <w:rPr>
          <w:rFonts w:asciiTheme="majorBidi" w:hAnsiTheme="majorBidi" w:cstheme="majorBidi"/>
          <w:sz w:val="24"/>
          <w:szCs w:val="24"/>
        </w:rPr>
      </w:pPr>
      <w:r w:rsidRPr="00071058">
        <w:rPr>
          <w:rFonts w:asciiTheme="majorBidi" w:hAnsiTheme="majorBidi" w:cstheme="majorBidi"/>
          <w:sz w:val="24"/>
          <w:szCs w:val="24"/>
          <w:highlight w:val="yellow"/>
        </w:rPr>
        <w:t xml:space="preserve">Authority= </w:t>
      </w:r>
      <w:proofErr w:type="gramStart"/>
      <w:r w:rsidRPr="00071058">
        <w:rPr>
          <w:rFonts w:asciiTheme="majorBidi" w:hAnsiTheme="majorBidi" w:cstheme="majorBidi"/>
          <w:sz w:val="24"/>
          <w:szCs w:val="24"/>
          <w:highlight w:val="yellow"/>
        </w:rPr>
        <w:t>f(</w:t>
      </w:r>
      <w:proofErr w:type="gramEnd"/>
      <w:r w:rsidRPr="00071058">
        <w:rPr>
          <w:rFonts w:asciiTheme="majorBidi" w:hAnsiTheme="majorBidi" w:cstheme="majorBidi"/>
          <w:sz w:val="24"/>
          <w:szCs w:val="24"/>
          <w:highlight w:val="yellow"/>
        </w:rPr>
        <w:t>Bindingness,\ Scope,\ Consequence,\ Derivation,\ Reviewability)</w:t>
      </w:r>
    </w:p>
    <w:p w14:paraId="6C3CE7AE" w14:textId="77777777" w:rsidR="009F52E6" w:rsidRPr="009F52E6" w:rsidRDefault="009F52E6" w:rsidP="00071058">
      <w:pPr>
        <w:pStyle w:val="NormalWeb"/>
        <w:spacing w:line="276" w:lineRule="auto"/>
        <w:jc w:val="both"/>
        <w:rPr>
          <w:rFonts w:asciiTheme="majorBidi" w:hAnsiTheme="majorBidi" w:cstheme="majorBidi"/>
        </w:rPr>
      </w:pPr>
      <w:r w:rsidRPr="009F52E6">
        <w:rPr>
          <w:rFonts w:asciiTheme="majorBidi" w:hAnsiTheme="majorBidi" w:cstheme="majorBidi"/>
        </w:rPr>
        <w:t>The purpose of such a representation is not necessarily to construct a single additive authority index. Rather, it makes the different components of authority visible and permits comparison across governance relationships. A private certification body may possess narrow but highly consequential authority if its certificate is a necessary condition for market access. A ministry may possess broad statutory authority but delegate much of its operational exercise to specialized agencies. A standard-setting organization may lack formally binding authority while nevertheless acquiring substantial regulatory significance because legal compliance depends upon conformity with its standards. Authority should therefore be coded in a way that preserves these distinctions rather than reducing governance to a simple public/private dichotomy.</w:t>
      </w:r>
    </w:p>
    <w:p w14:paraId="7790FB90" w14:textId="322F47E4" w:rsidR="009F52E6" w:rsidRPr="009F52E6" w:rsidRDefault="009F52E6" w:rsidP="00071058">
      <w:pPr>
        <w:pStyle w:val="NormalWeb"/>
        <w:spacing w:line="276" w:lineRule="auto"/>
        <w:jc w:val="both"/>
        <w:rPr>
          <w:rFonts w:asciiTheme="majorBidi" w:hAnsiTheme="majorBidi" w:cstheme="majorBidi"/>
        </w:rPr>
      </w:pPr>
      <w:r w:rsidRPr="009F52E6">
        <w:rPr>
          <w:rFonts w:asciiTheme="majorBidi" w:hAnsiTheme="majorBidi" w:cstheme="majorBidi"/>
        </w:rPr>
        <w:t xml:space="preserve">This has direct implications for identifying governance architectures. Hierarchical governance is characterized not merely by direct relationships between public regulators and targets, but by concentrations of binding authority and sanctioning capacity. Delegated architectures distribute authority while preserving some chain of authorization and control. Intermediated architectures may assign consequential but bounded authority to third parties. Polycentric architectures distribute decision-making authority among multiple partly autonomous </w:t>
      </w:r>
      <w:r w:rsidR="00050328" w:rsidRPr="009F52E6">
        <w:rPr>
          <w:rFonts w:asciiTheme="majorBidi" w:hAnsiTheme="majorBidi" w:cstheme="majorBidi"/>
        </w:rPr>
        <w:t>centers</w:t>
      </w:r>
      <w:r w:rsidRPr="009F52E6">
        <w:rPr>
          <w:rFonts w:asciiTheme="majorBidi" w:hAnsiTheme="majorBidi" w:cstheme="majorBidi"/>
        </w:rPr>
        <w:t>. The structure of authority is therefore one of the principal dimensions through which governance architectures differ.</w:t>
      </w:r>
    </w:p>
    <w:p w14:paraId="100FBF2C" w14:textId="77777777" w:rsidR="009F52E6" w:rsidRPr="009F52E6" w:rsidRDefault="009F52E6" w:rsidP="00071058">
      <w:pPr>
        <w:pStyle w:val="NormalWeb"/>
        <w:spacing w:line="276" w:lineRule="auto"/>
        <w:jc w:val="both"/>
        <w:rPr>
          <w:rFonts w:asciiTheme="majorBidi" w:hAnsiTheme="majorBidi" w:cstheme="majorBidi"/>
        </w:rPr>
      </w:pPr>
      <w:r w:rsidRPr="009F52E6">
        <w:rPr>
          <w:rFonts w:asciiTheme="majorBidi" w:hAnsiTheme="majorBidi" w:cstheme="majorBidi"/>
        </w:rPr>
        <w:lastRenderedPageBreak/>
        <w:t xml:space="preserve">For relational leximetrics, authority can be coded at the level of the relationship while remaining traceable to the legal provision establishing it. This allows researchers to distinguish between the presence of a governance relationship and the strength or consequence of that relationship. It also helps address a central aggregation problem: a rarely mentioned actor may nevertheless be architecturally central if law assigns it decisive authority. Counting relationships alone would miss this feature. Authority therefore provides one of the </w:t>
      </w:r>
      <w:proofErr w:type="gramStart"/>
      <w:r w:rsidRPr="009F52E6">
        <w:rPr>
          <w:rFonts w:asciiTheme="majorBidi" w:hAnsiTheme="majorBidi" w:cstheme="majorBidi"/>
        </w:rPr>
        <w:t>principal</w:t>
      </w:r>
      <w:proofErr w:type="gramEnd"/>
      <w:r w:rsidRPr="009F52E6">
        <w:rPr>
          <w:rFonts w:asciiTheme="majorBidi" w:hAnsiTheme="majorBidi" w:cstheme="majorBidi"/>
        </w:rPr>
        <w:t xml:space="preserve"> means of weighting the structural significance of legally constituted relationships.</w:t>
      </w:r>
    </w:p>
    <w:p w14:paraId="16EAFC31" w14:textId="187F69CE" w:rsidR="00071058" w:rsidRPr="00071058" w:rsidRDefault="00671550" w:rsidP="00071058">
      <w:pPr>
        <w:rPr>
          <w:rFonts w:asciiTheme="majorBidi" w:hAnsiTheme="majorBidi" w:cstheme="majorBidi"/>
          <w:b/>
          <w:bCs/>
          <w:sz w:val="24"/>
          <w:szCs w:val="24"/>
        </w:rPr>
      </w:pPr>
      <w:proofErr w:type="gramStart"/>
      <w:r>
        <w:rPr>
          <w:rFonts w:asciiTheme="majorBidi" w:hAnsiTheme="majorBidi" w:cstheme="majorBidi"/>
          <w:b/>
          <w:bCs/>
          <w:sz w:val="24"/>
          <w:szCs w:val="24"/>
        </w:rPr>
        <w:t>4</w:t>
      </w:r>
      <w:r w:rsidR="00071058" w:rsidRPr="00071058">
        <w:rPr>
          <w:rFonts w:asciiTheme="majorBidi" w:hAnsiTheme="majorBidi" w:cstheme="majorBidi"/>
          <w:b/>
          <w:bCs/>
          <w:sz w:val="24"/>
          <w:szCs w:val="24"/>
        </w:rPr>
        <w:t>.2  Discretion</w:t>
      </w:r>
      <w:proofErr w:type="gramEnd"/>
      <w:r w:rsidR="00071058" w:rsidRPr="00071058">
        <w:rPr>
          <w:rFonts w:asciiTheme="majorBidi" w:hAnsiTheme="majorBidi" w:cstheme="majorBidi"/>
          <w:b/>
          <w:bCs/>
          <w:sz w:val="24"/>
          <w:szCs w:val="24"/>
        </w:rPr>
        <w:t>: the legally structured space for choice</w:t>
      </w:r>
    </w:p>
    <w:p w14:paraId="6B8A1992" w14:textId="676A98FD" w:rsidR="00071058" w:rsidRDefault="00071058" w:rsidP="00071058">
      <w:pPr>
        <w:pStyle w:val="NormalWeb"/>
        <w:jc w:val="both"/>
      </w:pPr>
      <w:r>
        <w:t>If authority concerns whether and to what extent an actor possesses the capacity to govern, discretion concerns the range of choices available in exercising that capacity. Discretion exists where law permits an actor to select among legally acceptable courses of action, interpretations, priorities, procedures, standards, or responses. It is therefore neither the absence of law nor simply freedom from regulation. Discretion is itself legally structured: law can create, enlarge, constrain, channel, review, or withdraw the space within which actors exercise judgment. The study of discretion has been central to administrative law and public administration because legal rules cannot fully specify every future circumstance in which governing decisions must be made. Administrative organizations consequently operate within varying combinations of rule-bound constraint and delegated judgment. Classic accounts treated discretion as the space left by incomplete specification, while later work emphasized that discretion is often deliberately designed into regulatory systems to permit expertise, adaptation, prioritization, and responsiveness (Davis 1969; Galligan 1986; Hawkins 1992). Regulatory scholarship similarly demonstrates that principles-based, risk-based, management-based, and responsive forms of regulation depend upon varying degrees and locations of discretion rather than its simple presence or absence.</w:t>
      </w:r>
    </w:p>
    <w:p w14:paraId="2C03F545" w14:textId="77777777" w:rsidR="00071058" w:rsidRDefault="00071058" w:rsidP="00071058">
      <w:pPr>
        <w:pStyle w:val="NormalWeb"/>
      </w:pPr>
      <w:r>
        <w:t xml:space="preserve">For the present framework, discretion is important because identical functions and instruments can be embedded in very different governance architectures depending on how much choice actors possess. A regulator may be legally required to issue a </w:t>
      </w:r>
      <w:proofErr w:type="spellStart"/>
      <w:r>
        <w:t>licence</w:t>
      </w:r>
      <w:proofErr w:type="spellEnd"/>
      <w:r>
        <w:t xml:space="preserve"> once specified criteria are satisfied, or may retain broad discretion to consider additional factors. An auditor may apply a tightly specified checklist or exercise professional judgment in interpreting a general standard. A regulated firm may be required to use a prescribed technology or may be allowed to design its own compliance system. The institutional consequences of these arrangements differ even when the actors and nominal instruments appear similar.</w:t>
      </w:r>
    </w:p>
    <w:p w14:paraId="2EE51C07" w14:textId="77777777" w:rsidR="00071058" w:rsidRDefault="00071058" w:rsidP="00071058">
      <w:pPr>
        <w:pStyle w:val="NormalWeb"/>
      </w:pPr>
      <w:r>
        <w:t>Discretion should therefore be treated as relational and function-specific. An actor does not simply “have discretion.” It may possess extensive discretion in one governance function and very little in another. A regulator may have wide discretion over enforcement prioritization but little discretion over the substantive standard it applies. A certifier may exercise considerable technical judgment while having no authority to alter the legal consequences of certification. A regulated firm may enjoy broad implementation discretion while remaining subject to tightly specified performance outcomes.</w:t>
      </w:r>
    </w:p>
    <w:p w14:paraId="267108B8" w14:textId="77777777" w:rsidR="00071058" w:rsidRDefault="00071058" w:rsidP="00071058">
      <w:pPr>
        <w:pStyle w:val="NormalWeb"/>
      </w:pPr>
      <w:r>
        <w:t>At least five forms of discretion are analytically distinguishable.</w:t>
      </w:r>
    </w:p>
    <w:p w14:paraId="59683BF5" w14:textId="77777777" w:rsidR="00071058" w:rsidRDefault="00071058" w:rsidP="00071058">
      <w:pPr>
        <w:pStyle w:val="NormalWeb"/>
      </w:pPr>
      <w:r>
        <w:rPr>
          <w:rStyle w:val="Strong"/>
        </w:rPr>
        <w:t>Rule-making discretion</w:t>
      </w:r>
      <w:r>
        <w:t xml:space="preserve"> concerns the capacity to formulate, elaborate, or specify standards and requirements.</w:t>
      </w:r>
    </w:p>
    <w:p w14:paraId="0ED0F9ED" w14:textId="77777777" w:rsidR="00071058" w:rsidRDefault="00071058" w:rsidP="00071058">
      <w:pPr>
        <w:pStyle w:val="NormalWeb"/>
      </w:pPr>
      <w:r>
        <w:rPr>
          <w:rStyle w:val="Strong"/>
        </w:rPr>
        <w:lastRenderedPageBreak/>
        <w:t>Interpretive discretion</w:t>
      </w:r>
      <w:r>
        <w:t xml:space="preserve"> concerns the capacity to determine the meaning or application of open-textured legal standards.</w:t>
      </w:r>
    </w:p>
    <w:p w14:paraId="0210BD5D" w14:textId="77777777" w:rsidR="00071058" w:rsidRDefault="00071058" w:rsidP="00071058">
      <w:pPr>
        <w:pStyle w:val="NormalWeb"/>
      </w:pPr>
      <w:r>
        <w:rPr>
          <w:rStyle w:val="Strong"/>
        </w:rPr>
        <w:t>Implementation discretion</w:t>
      </w:r>
      <w:r>
        <w:t xml:space="preserve"> concerns the capacity to choose the means through which legal obligations or policy goals are achieved.</w:t>
      </w:r>
    </w:p>
    <w:p w14:paraId="573D381B" w14:textId="77777777" w:rsidR="00071058" w:rsidRDefault="00071058" w:rsidP="00071058">
      <w:pPr>
        <w:pStyle w:val="NormalWeb"/>
        <w:jc w:val="both"/>
      </w:pPr>
      <w:r>
        <w:rPr>
          <w:rStyle w:val="Strong"/>
        </w:rPr>
        <w:t>Monitoring and assessment discretion</w:t>
      </w:r>
      <w:r>
        <w:t xml:space="preserve"> concerns choices about what evidence to examine, how to evaluate it, and how to determine conformity, risk, or performance.</w:t>
      </w:r>
    </w:p>
    <w:p w14:paraId="629E3ACD" w14:textId="77777777" w:rsidR="00071058" w:rsidRDefault="00071058" w:rsidP="00071058">
      <w:pPr>
        <w:pStyle w:val="NormalWeb"/>
        <w:jc w:val="both"/>
      </w:pPr>
      <w:r>
        <w:rPr>
          <w:rStyle w:val="Strong"/>
        </w:rPr>
        <w:t>Enforcement discretion</w:t>
      </w:r>
      <w:r>
        <w:t xml:space="preserve"> concerns choices about whether, when, and how strongly to respond to non-compliance.</w:t>
      </w:r>
    </w:p>
    <w:p w14:paraId="6B42B6E4" w14:textId="77777777" w:rsidR="00071058" w:rsidRDefault="00071058" w:rsidP="00071058">
      <w:pPr>
        <w:pStyle w:val="NormalWeb"/>
        <w:jc w:val="both"/>
      </w:pPr>
      <w:r>
        <w:t>These dimensions can coexist within the same relationship. An intermediary, for example, may have little rule-making discretion but substantial assessment discretion. A regulated organization operating under management-based regulation may have extensive implementation discretion but limited discretion over reporting or audit requirements.</w:t>
      </w:r>
    </w:p>
    <w:p w14:paraId="3C5D34B9" w14:textId="1BE8C837" w:rsidR="00071058" w:rsidRDefault="00071058" w:rsidP="00071058">
      <w:pPr>
        <w:pStyle w:val="NormalWeb"/>
        <w:jc w:val="both"/>
      </w:pPr>
      <w:r>
        <w:t xml:space="preserve">Discretion also has several attributes that can be coded. </w:t>
      </w:r>
      <w:r>
        <w:rPr>
          <w:rStyle w:val="Strong"/>
        </w:rPr>
        <w:t>Range</w:t>
      </w:r>
      <w:r>
        <w:t xml:space="preserve"> concerns the breadth of permissible choices. </w:t>
      </w:r>
      <w:r>
        <w:rPr>
          <w:rStyle w:val="Strong"/>
        </w:rPr>
        <w:t>Specificity of constraint</w:t>
      </w:r>
      <w:r>
        <w:t xml:space="preserve"> concerns how precisely law structures those choices. </w:t>
      </w:r>
      <w:r>
        <w:rPr>
          <w:rStyle w:val="Strong"/>
        </w:rPr>
        <w:t>Conditionality</w:t>
      </w:r>
      <w:r>
        <w:t xml:space="preserve"> concerns whether discretion becomes available only when specified conditions are met. </w:t>
      </w:r>
      <w:r>
        <w:rPr>
          <w:rStyle w:val="Strong"/>
        </w:rPr>
        <w:t>Reviewability</w:t>
      </w:r>
      <w:r>
        <w:t xml:space="preserve"> concerns whether another actor can reconsider or overturn the exercise of discretion. </w:t>
      </w:r>
      <w:r>
        <w:rPr>
          <w:rStyle w:val="Strong"/>
        </w:rPr>
        <w:t>Justification requirements</w:t>
      </w:r>
      <w:r>
        <w:t xml:space="preserve"> concern whether the actor must provide reasons or evidence supporting its choice. These dimensions make it possible to distinguish formally similar grants of discretion that differ substantially in institutional effect. A simplified coding formulation might therefore be:</w:t>
      </w:r>
    </w:p>
    <w:p w14:paraId="5EBC6343" w14:textId="668C9323" w:rsidR="00071058" w:rsidRPr="00071058" w:rsidRDefault="00071058" w:rsidP="00071058">
      <w:pPr>
        <w:jc w:val="center"/>
        <w:rPr>
          <w:rFonts w:asciiTheme="majorBidi" w:hAnsiTheme="majorBidi" w:cstheme="majorBidi"/>
        </w:rPr>
      </w:pPr>
      <w:r w:rsidRPr="00071058">
        <w:rPr>
          <w:rFonts w:asciiTheme="majorBidi" w:hAnsiTheme="majorBidi" w:cstheme="majorBidi"/>
        </w:rPr>
        <w:t xml:space="preserve">Discretion= </w:t>
      </w:r>
      <w:proofErr w:type="gramStart"/>
      <w:r w:rsidRPr="00071058">
        <w:rPr>
          <w:rFonts w:asciiTheme="majorBidi" w:hAnsiTheme="majorBidi" w:cstheme="majorBidi"/>
        </w:rPr>
        <w:t>f(</w:t>
      </w:r>
      <w:proofErr w:type="gramEnd"/>
      <w:r w:rsidRPr="00071058">
        <w:rPr>
          <w:rFonts w:asciiTheme="majorBidi" w:hAnsiTheme="majorBidi" w:cstheme="majorBidi"/>
        </w:rPr>
        <w:t>Range,\ Specificity,\ Conditionality,\ Reviewability,\ Justification)</w:t>
      </w:r>
    </w:p>
    <w:p w14:paraId="7DBC19F2" w14:textId="14015D24" w:rsidR="00071058" w:rsidRDefault="00071058" w:rsidP="00071058">
      <w:pPr>
        <w:pStyle w:val="NormalWeb"/>
        <w:jc w:val="both"/>
      </w:pPr>
      <w:r>
        <w:t>The relationship between authority and discretion is especially important. They should not be treated as synonymous. An actor may possess substantial authority but little discretion where law tightly determines the action it must take. Conversely, an actor may possess substantial discretion within a limited technical role while lacking broader authority over regulatory targets. The two dimensions are therefore analytically separable. A useful way of representing their interaction is:</w:t>
      </w:r>
    </w:p>
    <w:tbl>
      <w:tblPr>
        <w:tblW w:w="0" w:type="auto"/>
        <w:tblCellSpacing w:w="15" w:type="dxa"/>
        <w:tblInd w:w="9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2"/>
        <w:gridCol w:w="2406"/>
        <w:gridCol w:w="2869"/>
      </w:tblGrid>
      <w:tr w:rsidR="00071058" w14:paraId="750F7523" w14:textId="77777777" w:rsidTr="00071058">
        <w:trPr>
          <w:tblHeader/>
          <w:tblCellSpacing w:w="15" w:type="dxa"/>
        </w:trPr>
        <w:tc>
          <w:tcPr>
            <w:tcW w:w="0" w:type="auto"/>
            <w:vAlign w:val="center"/>
            <w:hideMark/>
          </w:tcPr>
          <w:p w14:paraId="343C65B5" w14:textId="77777777" w:rsidR="00071058" w:rsidRPr="009A22BF" w:rsidRDefault="00071058">
            <w:pPr>
              <w:rPr>
                <w:rFonts w:asciiTheme="majorBidi" w:hAnsiTheme="majorBidi" w:cstheme="majorBidi"/>
                <w:sz w:val="24"/>
                <w:szCs w:val="24"/>
              </w:rPr>
            </w:pPr>
          </w:p>
        </w:tc>
        <w:tc>
          <w:tcPr>
            <w:tcW w:w="0" w:type="auto"/>
            <w:vAlign w:val="center"/>
            <w:hideMark/>
          </w:tcPr>
          <w:p w14:paraId="0C168FEC" w14:textId="77777777" w:rsidR="00071058" w:rsidRPr="009A22BF" w:rsidRDefault="00071058">
            <w:pPr>
              <w:jc w:val="center"/>
              <w:rPr>
                <w:rFonts w:asciiTheme="majorBidi" w:hAnsiTheme="majorBidi" w:cstheme="majorBidi"/>
                <w:b/>
                <w:bCs/>
                <w:sz w:val="24"/>
                <w:szCs w:val="24"/>
              </w:rPr>
            </w:pPr>
            <w:r w:rsidRPr="009A22BF">
              <w:rPr>
                <w:rFonts w:asciiTheme="majorBidi" w:hAnsiTheme="majorBidi" w:cstheme="majorBidi"/>
                <w:b/>
                <w:bCs/>
                <w:sz w:val="24"/>
                <w:szCs w:val="24"/>
              </w:rPr>
              <w:t>Low discretion</w:t>
            </w:r>
          </w:p>
        </w:tc>
        <w:tc>
          <w:tcPr>
            <w:tcW w:w="0" w:type="auto"/>
            <w:vAlign w:val="center"/>
            <w:hideMark/>
          </w:tcPr>
          <w:p w14:paraId="589C08EE" w14:textId="77777777" w:rsidR="00071058" w:rsidRPr="009A22BF" w:rsidRDefault="00071058">
            <w:pPr>
              <w:jc w:val="center"/>
              <w:rPr>
                <w:rFonts w:asciiTheme="majorBidi" w:hAnsiTheme="majorBidi" w:cstheme="majorBidi"/>
                <w:b/>
                <w:bCs/>
                <w:sz w:val="24"/>
                <w:szCs w:val="24"/>
              </w:rPr>
            </w:pPr>
            <w:r w:rsidRPr="009A22BF">
              <w:rPr>
                <w:rFonts w:asciiTheme="majorBidi" w:hAnsiTheme="majorBidi" w:cstheme="majorBidi"/>
                <w:b/>
                <w:bCs/>
                <w:sz w:val="24"/>
                <w:szCs w:val="24"/>
              </w:rPr>
              <w:t>High discretion</w:t>
            </w:r>
          </w:p>
        </w:tc>
      </w:tr>
      <w:tr w:rsidR="00071058" w14:paraId="5CC4D9F9" w14:textId="77777777" w:rsidTr="00071058">
        <w:trPr>
          <w:tblCellSpacing w:w="15" w:type="dxa"/>
        </w:trPr>
        <w:tc>
          <w:tcPr>
            <w:tcW w:w="0" w:type="auto"/>
            <w:vAlign w:val="center"/>
            <w:hideMark/>
          </w:tcPr>
          <w:p w14:paraId="6D0DC862" w14:textId="77777777" w:rsidR="00071058" w:rsidRPr="009A22BF" w:rsidRDefault="00071058">
            <w:pPr>
              <w:rPr>
                <w:rFonts w:asciiTheme="majorBidi" w:hAnsiTheme="majorBidi" w:cstheme="majorBidi"/>
                <w:b/>
                <w:bCs/>
                <w:sz w:val="24"/>
                <w:szCs w:val="24"/>
              </w:rPr>
            </w:pPr>
            <w:r w:rsidRPr="009A22BF">
              <w:rPr>
                <w:rFonts w:asciiTheme="majorBidi" w:hAnsiTheme="majorBidi" w:cstheme="majorBidi"/>
                <w:b/>
                <w:bCs/>
                <w:sz w:val="24"/>
                <w:szCs w:val="24"/>
              </w:rPr>
              <w:t>High authority</w:t>
            </w:r>
          </w:p>
        </w:tc>
        <w:tc>
          <w:tcPr>
            <w:tcW w:w="0" w:type="auto"/>
            <w:vAlign w:val="center"/>
            <w:hideMark/>
          </w:tcPr>
          <w:p w14:paraId="2CA131D0" w14:textId="25963B9C" w:rsidR="009A22BF" w:rsidRPr="009A22BF" w:rsidRDefault="00071058" w:rsidP="009A22BF">
            <w:pPr>
              <w:jc w:val="center"/>
              <w:rPr>
                <w:rFonts w:asciiTheme="majorBidi" w:hAnsiTheme="majorBidi" w:cstheme="majorBidi"/>
                <w:sz w:val="24"/>
                <w:szCs w:val="24"/>
              </w:rPr>
            </w:pPr>
            <w:r w:rsidRPr="009A22BF">
              <w:rPr>
                <w:rFonts w:asciiTheme="majorBidi" w:hAnsiTheme="majorBidi" w:cstheme="majorBidi"/>
                <w:sz w:val="24"/>
                <w:szCs w:val="24"/>
              </w:rPr>
              <w:t>rule-bound authoritative</w:t>
            </w:r>
          </w:p>
          <w:p w14:paraId="44CD3D6E" w14:textId="5D51F7ED" w:rsidR="00071058" w:rsidRPr="009A22BF" w:rsidRDefault="00071058" w:rsidP="009A22BF">
            <w:pPr>
              <w:jc w:val="center"/>
              <w:rPr>
                <w:rFonts w:asciiTheme="majorBidi" w:hAnsiTheme="majorBidi" w:cstheme="majorBidi"/>
                <w:sz w:val="24"/>
                <w:szCs w:val="24"/>
              </w:rPr>
            </w:pPr>
            <w:r w:rsidRPr="009A22BF">
              <w:rPr>
                <w:rFonts w:asciiTheme="majorBidi" w:hAnsiTheme="majorBidi" w:cstheme="majorBidi"/>
                <w:sz w:val="24"/>
                <w:szCs w:val="24"/>
              </w:rPr>
              <w:t>governance</w:t>
            </w:r>
          </w:p>
        </w:tc>
        <w:tc>
          <w:tcPr>
            <w:tcW w:w="0" w:type="auto"/>
            <w:vAlign w:val="center"/>
            <w:hideMark/>
          </w:tcPr>
          <w:p w14:paraId="49602657" w14:textId="77777777" w:rsidR="009A22BF" w:rsidRPr="009A22BF" w:rsidRDefault="00071058" w:rsidP="009A22BF">
            <w:pPr>
              <w:jc w:val="center"/>
              <w:rPr>
                <w:rFonts w:asciiTheme="majorBidi" w:hAnsiTheme="majorBidi" w:cstheme="majorBidi"/>
                <w:sz w:val="24"/>
                <w:szCs w:val="24"/>
              </w:rPr>
            </w:pPr>
            <w:r w:rsidRPr="009A22BF">
              <w:rPr>
                <w:rFonts w:asciiTheme="majorBidi" w:hAnsiTheme="majorBidi" w:cstheme="majorBidi"/>
                <w:sz w:val="24"/>
                <w:szCs w:val="24"/>
              </w:rPr>
              <w:t>discretionary authoritative</w:t>
            </w:r>
          </w:p>
          <w:p w14:paraId="10BA791C" w14:textId="0F798925" w:rsidR="00071058" w:rsidRPr="009A22BF" w:rsidRDefault="00071058" w:rsidP="009A22BF">
            <w:pPr>
              <w:jc w:val="center"/>
              <w:rPr>
                <w:rFonts w:asciiTheme="majorBidi" w:hAnsiTheme="majorBidi" w:cstheme="majorBidi"/>
                <w:sz w:val="24"/>
                <w:szCs w:val="24"/>
              </w:rPr>
            </w:pPr>
            <w:r w:rsidRPr="009A22BF">
              <w:rPr>
                <w:rFonts w:asciiTheme="majorBidi" w:hAnsiTheme="majorBidi" w:cstheme="majorBidi"/>
                <w:sz w:val="24"/>
                <w:szCs w:val="24"/>
              </w:rPr>
              <w:t>governance</w:t>
            </w:r>
          </w:p>
        </w:tc>
      </w:tr>
      <w:tr w:rsidR="00071058" w14:paraId="0D1C07E8" w14:textId="77777777" w:rsidTr="00071058">
        <w:trPr>
          <w:tblCellSpacing w:w="15" w:type="dxa"/>
        </w:trPr>
        <w:tc>
          <w:tcPr>
            <w:tcW w:w="0" w:type="auto"/>
            <w:vAlign w:val="center"/>
            <w:hideMark/>
          </w:tcPr>
          <w:p w14:paraId="06EB0525" w14:textId="77777777" w:rsidR="00071058" w:rsidRPr="009A22BF" w:rsidRDefault="00071058">
            <w:pPr>
              <w:rPr>
                <w:rFonts w:asciiTheme="majorBidi" w:hAnsiTheme="majorBidi" w:cstheme="majorBidi"/>
                <w:b/>
                <w:bCs/>
                <w:sz w:val="24"/>
                <w:szCs w:val="24"/>
              </w:rPr>
            </w:pPr>
            <w:r w:rsidRPr="009A22BF">
              <w:rPr>
                <w:rFonts w:asciiTheme="majorBidi" w:hAnsiTheme="majorBidi" w:cstheme="majorBidi"/>
                <w:b/>
                <w:bCs/>
                <w:sz w:val="24"/>
                <w:szCs w:val="24"/>
              </w:rPr>
              <w:t>Low authority</w:t>
            </w:r>
          </w:p>
        </w:tc>
        <w:tc>
          <w:tcPr>
            <w:tcW w:w="0" w:type="auto"/>
            <w:vAlign w:val="center"/>
            <w:hideMark/>
          </w:tcPr>
          <w:p w14:paraId="1E1BA504" w14:textId="77777777" w:rsidR="009A22BF" w:rsidRPr="009A22BF" w:rsidRDefault="00071058" w:rsidP="009A22BF">
            <w:pPr>
              <w:jc w:val="center"/>
              <w:rPr>
                <w:rFonts w:asciiTheme="majorBidi" w:hAnsiTheme="majorBidi" w:cstheme="majorBidi"/>
                <w:sz w:val="24"/>
                <w:szCs w:val="24"/>
              </w:rPr>
            </w:pPr>
            <w:r w:rsidRPr="009A22BF">
              <w:rPr>
                <w:rFonts w:asciiTheme="majorBidi" w:hAnsiTheme="majorBidi" w:cstheme="majorBidi"/>
                <w:sz w:val="24"/>
                <w:szCs w:val="24"/>
              </w:rPr>
              <w:t>constrained supporting</w:t>
            </w:r>
          </w:p>
          <w:p w14:paraId="01310E33" w14:textId="448F1021" w:rsidR="00071058" w:rsidRPr="009A22BF" w:rsidRDefault="00071058" w:rsidP="009A22BF">
            <w:pPr>
              <w:jc w:val="center"/>
              <w:rPr>
                <w:rFonts w:asciiTheme="majorBidi" w:hAnsiTheme="majorBidi" w:cstheme="majorBidi"/>
                <w:sz w:val="24"/>
                <w:szCs w:val="24"/>
              </w:rPr>
            </w:pPr>
            <w:r w:rsidRPr="009A22BF">
              <w:rPr>
                <w:rFonts w:asciiTheme="majorBidi" w:hAnsiTheme="majorBidi" w:cstheme="majorBidi"/>
                <w:sz w:val="24"/>
                <w:szCs w:val="24"/>
              </w:rPr>
              <w:t>role</w:t>
            </w:r>
          </w:p>
        </w:tc>
        <w:tc>
          <w:tcPr>
            <w:tcW w:w="0" w:type="auto"/>
            <w:vAlign w:val="center"/>
            <w:hideMark/>
          </w:tcPr>
          <w:p w14:paraId="3DB4D4BC" w14:textId="77777777" w:rsidR="009A22BF" w:rsidRPr="009A22BF" w:rsidRDefault="00071058" w:rsidP="009A22BF">
            <w:pPr>
              <w:jc w:val="center"/>
              <w:rPr>
                <w:rFonts w:asciiTheme="majorBidi" w:hAnsiTheme="majorBidi" w:cstheme="majorBidi"/>
                <w:sz w:val="24"/>
                <w:szCs w:val="24"/>
              </w:rPr>
            </w:pPr>
            <w:r w:rsidRPr="009A22BF">
              <w:rPr>
                <w:rFonts w:asciiTheme="majorBidi" w:hAnsiTheme="majorBidi" w:cstheme="majorBidi"/>
                <w:sz w:val="24"/>
                <w:szCs w:val="24"/>
              </w:rPr>
              <w:t>autonomous but non-binding</w:t>
            </w:r>
          </w:p>
          <w:p w14:paraId="51FA5F04" w14:textId="3F6AAAF7" w:rsidR="00071058" w:rsidRPr="009A22BF" w:rsidRDefault="00071058" w:rsidP="009A22BF">
            <w:pPr>
              <w:jc w:val="center"/>
              <w:rPr>
                <w:rFonts w:asciiTheme="majorBidi" w:hAnsiTheme="majorBidi" w:cstheme="majorBidi"/>
                <w:sz w:val="24"/>
                <w:szCs w:val="24"/>
              </w:rPr>
            </w:pPr>
            <w:r w:rsidRPr="009A22BF">
              <w:rPr>
                <w:rFonts w:asciiTheme="majorBidi" w:hAnsiTheme="majorBidi" w:cstheme="majorBidi"/>
                <w:sz w:val="24"/>
                <w:szCs w:val="24"/>
              </w:rPr>
              <w:t>judgment</w:t>
            </w:r>
          </w:p>
        </w:tc>
      </w:tr>
    </w:tbl>
    <w:p w14:paraId="3691F297" w14:textId="77777777" w:rsidR="00071058" w:rsidRDefault="00071058" w:rsidP="00071058">
      <w:pPr>
        <w:pStyle w:val="NormalWeb"/>
        <w:spacing w:line="276" w:lineRule="auto"/>
        <w:jc w:val="both"/>
      </w:pPr>
    </w:p>
    <w:p w14:paraId="0767F9FF" w14:textId="138D80C6" w:rsidR="00071058" w:rsidRDefault="00071058" w:rsidP="00071058">
      <w:pPr>
        <w:pStyle w:val="NormalWeb"/>
        <w:spacing w:line="276" w:lineRule="auto"/>
        <w:jc w:val="both"/>
      </w:pPr>
      <w:r>
        <w:t xml:space="preserve">This distinction is particularly valuable for </w:t>
      </w:r>
      <w:proofErr w:type="spellStart"/>
      <w:r>
        <w:t>analysing</w:t>
      </w:r>
      <w:proofErr w:type="spellEnd"/>
      <w:r>
        <w:t xml:space="preserve"> regulatory intermediaries. Some intermediaries perform tightly specified verification tasks whose consequences are legally significant: high authority, relatively low discretion. Others provide assessments, ratings, guidance, or standards that are formally non-binding but depend heavily upon professional or technical judgment: lower formal authority, higher </w:t>
      </w:r>
      <w:r>
        <w:lastRenderedPageBreak/>
        <w:t>discretion. Still others combine both, as where accredited conformity-assessment bodies exercise substantial technical judgment and their decisions determine access to regulated markets.</w:t>
      </w:r>
    </w:p>
    <w:p w14:paraId="3AEE4D48" w14:textId="5B9BD9E9" w:rsidR="00071058" w:rsidRDefault="00071058" w:rsidP="00071058">
      <w:pPr>
        <w:pStyle w:val="NormalWeb"/>
        <w:spacing w:line="276" w:lineRule="auto"/>
        <w:jc w:val="both"/>
      </w:pPr>
      <w:r>
        <w:t xml:space="preserve">Discretion also connects directly to regulatory strategies. Prescriptive regulation generally seeks to reduce implementation discretion by specifying actions, technologies, or inputs. Performance-based regulation constrains outcomes while leaving greater discretion over means. Management-based regulation deliberately relocates discretion to regulated organizations by requiring them to design systems appropriate to their circumstances. Principles-based regulation transfers interpretive discretion to regulators, regulatees, courts, and intermediaries. Risk-based and responsive regulation allocate discretion over prioritization and enforcement sequencing. These strategies can therefore be understood partly as different ways of distributing discretion across the governance architecture. Your current discussion already points in this direction when distinguishing where along the regulatory chain the legally enforceable standard is located. </w:t>
      </w:r>
    </w:p>
    <w:p w14:paraId="63178BFC" w14:textId="77777777" w:rsidR="00071058" w:rsidRPr="00071058" w:rsidRDefault="00071058" w:rsidP="00071058">
      <w:pPr>
        <w:pStyle w:val="NormalWeb"/>
        <w:spacing w:line="276" w:lineRule="auto"/>
        <w:jc w:val="both"/>
        <w:rPr>
          <w:b/>
          <w:bCs/>
        </w:rPr>
      </w:pPr>
      <w:r>
        <w:t xml:space="preserve">The distribution of discretion is consequently an architectural property as well as a relational one. Two laws can contain the same actors, instruments, and formal relationships but differ substantially in where discretion is located. One may concentrate judgment in a public authority; another may shift interpretive responsibility to firms; another may allocate technical judgment to professional intermediaries; and an experimentalist arrangement may deliberately distribute discretion across several levels while requiring reporting, comparison, and revision. Mapping discretion therefore reveals not only how much flexibility a legal regime provides, but </w:t>
      </w:r>
      <w:r w:rsidRPr="00071058">
        <w:rPr>
          <w:rStyle w:val="Strong"/>
          <w:b w:val="0"/>
          <w:bCs w:val="0"/>
        </w:rPr>
        <w:t>who is trusted or authorized to exercise judgment within it</w:t>
      </w:r>
      <w:r w:rsidRPr="00071058">
        <w:rPr>
          <w:b/>
          <w:bCs/>
        </w:rPr>
        <w:t>.</w:t>
      </w:r>
    </w:p>
    <w:p w14:paraId="196231AB" w14:textId="77777777" w:rsidR="00071058" w:rsidRDefault="00071058" w:rsidP="00071058">
      <w:pPr>
        <w:pStyle w:val="NormalWeb"/>
        <w:spacing w:line="276" w:lineRule="auto"/>
        <w:jc w:val="both"/>
      </w:pPr>
      <w:r>
        <w:t>For relational leximetrics, discretion should ordinarily be coded from explicit legal indicators rather than inferred from general assumptions about institutional roles. Relevant indicators include open-textured standards, powers framed in permissive rather than mandatory terms, requirements to take specified factors into account, choice among alternative compliance methods, authority to set priorities, exemptions or derogations, and requirements to provide reasons for judgment. Where the legal text does not permit a reliable assessment, discretion should remain uncoded rather than inferred from external expectations about how the actor normally operates.</w:t>
      </w:r>
    </w:p>
    <w:p w14:paraId="67182EE8" w14:textId="77777777" w:rsidR="00071058" w:rsidRDefault="00071058" w:rsidP="00071058">
      <w:pPr>
        <w:pStyle w:val="NormalWeb"/>
        <w:spacing w:line="276" w:lineRule="auto"/>
        <w:jc w:val="both"/>
      </w:pPr>
      <w:r>
        <w:t>Taken together, authority and discretion permit a richer reconstruction of governance architecture than actor and relationship coding alone. Authority identifies where law locates consequential decision-making capacity; discretion identifies where it locates judgment. Their joint distribution helps reveal whether governance is centralized or dispersed, rule-bound or adaptive, directly administered or intermediated, and tightly controlled or dependent upon professional, organizational, or private judgment.</w:t>
      </w:r>
    </w:p>
    <w:p w14:paraId="29C52A16" w14:textId="77777777" w:rsidR="00071058" w:rsidRDefault="00071058" w:rsidP="00071058">
      <w:pPr>
        <w:pStyle w:val="NormalWeb"/>
        <w:spacing w:line="276" w:lineRule="auto"/>
        <w:jc w:val="both"/>
      </w:pPr>
      <w:r>
        <w:t xml:space="preserve">Authority and discretion are thus not independent additions to the architecture framework but attributes that qualify the governance relationships reconstructed from law. Functions identify what actors do; mechanisms identify how influence operates; instruments identify the institutional devices through which governance is organized; relationships identify how actors are connected; authority identifies the legally consequential capacity attached to those relationships; and discretion identifies the scope of legally structured choice in exercising that capacity. Together these dimensions permit governance architectures </w:t>
      </w:r>
      <w:r>
        <w:lastRenderedPageBreak/>
        <w:t>to be distinguished not simply by their participants or formal structures, but by the distribution of governing power and judgment across the system.</w:t>
      </w:r>
    </w:p>
    <w:p w14:paraId="25EBB6A9" w14:textId="4E0D6E43" w:rsidR="00071058" w:rsidRDefault="00071058" w:rsidP="0036629B">
      <w:pPr>
        <w:rPr>
          <w:rFonts w:asciiTheme="majorBidi" w:hAnsiTheme="majorBidi" w:cstheme="majorBidi"/>
          <w:b/>
          <w:bCs/>
          <w:sz w:val="24"/>
          <w:szCs w:val="24"/>
        </w:rPr>
      </w:pPr>
    </w:p>
    <w:p w14:paraId="6B9D5FF2" w14:textId="77777777" w:rsidR="0040748E" w:rsidRPr="009A22BF" w:rsidRDefault="0040748E" w:rsidP="009A22BF">
      <w:pPr>
        <w:rPr>
          <w:rFonts w:asciiTheme="majorBidi" w:hAnsiTheme="majorBidi" w:cstheme="majorBidi"/>
          <w:b/>
          <w:bCs/>
          <w:sz w:val="24"/>
          <w:szCs w:val="24"/>
        </w:rPr>
      </w:pPr>
      <w:r w:rsidRPr="009A22BF">
        <w:rPr>
          <w:rFonts w:asciiTheme="majorBidi" w:hAnsiTheme="majorBidi" w:cstheme="majorBidi"/>
          <w:b/>
          <w:bCs/>
          <w:sz w:val="24"/>
          <w:szCs w:val="24"/>
        </w:rPr>
        <w:t>4.3 Accountability: answerability, assessment and consequences</w:t>
      </w:r>
    </w:p>
    <w:p w14:paraId="0F76AC4C" w14:textId="77777777"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t xml:space="preserve">Governance relationships differ not only in the authority and discretion allocated to actors, but also in the arrangements through which the exercise of governing power is rendered answerable. Accountability refers to an institutionalized relationship in which an actor is required to provide information or justification concerning its conduct to another actor or forum that is entitled to scrutinize, assess, question, or respond to that conduct. Accountability is therefore relational rather than simply an attribute of an organization. An actor is accountable </w:t>
      </w:r>
      <w:r w:rsidRPr="009A22BF">
        <w:rPr>
          <w:rStyle w:val="Strong"/>
          <w:rFonts w:asciiTheme="majorBidi" w:hAnsiTheme="majorBidi" w:cstheme="majorBidi"/>
          <w:b w:val="0"/>
          <w:bCs w:val="0"/>
        </w:rPr>
        <w:t>to whom</w:t>
      </w:r>
      <w:r w:rsidRPr="009A22BF">
        <w:rPr>
          <w:rFonts w:asciiTheme="majorBidi" w:hAnsiTheme="majorBidi" w:cstheme="majorBidi"/>
          <w:b/>
          <w:bCs/>
        </w:rPr>
        <w:t xml:space="preserve">, </w:t>
      </w:r>
      <w:r w:rsidRPr="009A22BF">
        <w:rPr>
          <w:rStyle w:val="Strong"/>
          <w:rFonts w:asciiTheme="majorBidi" w:hAnsiTheme="majorBidi" w:cstheme="majorBidi"/>
          <w:b w:val="0"/>
          <w:bCs w:val="0"/>
        </w:rPr>
        <w:t>for what</w:t>
      </w:r>
      <w:r w:rsidRPr="009A22BF">
        <w:rPr>
          <w:rFonts w:asciiTheme="majorBidi" w:hAnsiTheme="majorBidi" w:cstheme="majorBidi"/>
          <w:b/>
          <w:bCs/>
        </w:rPr>
        <w:t xml:space="preserve">, </w:t>
      </w:r>
      <w:r w:rsidRPr="009A22BF">
        <w:rPr>
          <w:rStyle w:val="Strong"/>
          <w:rFonts w:asciiTheme="majorBidi" w:hAnsiTheme="majorBidi" w:cstheme="majorBidi"/>
          <w:b w:val="0"/>
          <w:bCs w:val="0"/>
        </w:rPr>
        <w:t>through which procedure</w:t>
      </w:r>
      <w:r w:rsidRPr="009A22BF">
        <w:rPr>
          <w:rFonts w:asciiTheme="majorBidi" w:hAnsiTheme="majorBidi" w:cstheme="majorBidi"/>
        </w:rPr>
        <w:t xml:space="preserve">, and </w:t>
      </w:r>
      <w:r w:rsidRPr="009A22BF">
        <w:rPr>
          <w:rStyle w:val="Strong"/>
          <w:rFonts w:asciiTheme="majorBidi" w:hAnsiTheme="majorBidi" w:cstheme="majorBidi"/>
          <w:b w:val="0"/>
          <w:bCs w:val="0"/>
        </w:rPr>
        <w:t>with what possible consequences</w:t>
      </w:r>
      <w:r w:rsidRPr="009A22BF">
        <w:rPr>
          <w:rFonts w:asciiTheme="majorBidi" w:hAnsiTheme="majorBidi" w:cstheme="majorBidi"/>
          <w:b/>
          <w:bCs/>
        </w:rPr>
        <w:t xml:space="preserve"> </w:t>
      </w:r>
      <w:r w:rsidRPr="009A22BF">
        <w:rPr>
          <w:rFonts w:asciiTheme="majorBidi" w:hAnsiTheme="majorBidi" w:cstheme="majorBidi"/>
        </w:rPr>
        <w:t>are distinct questions that must be recovered from the legal architecture.</w:t>
      </w:r>
    </w:p>
    <w:p w14:paraId="56BC89F1" w14:textId="7FB02D94"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t xml:space="preserve">This understanding builds on a large literature in public administration and democratic governance that treats accountability as a structured relationship between an actor and a forum. </w:t>
      </w:r>
      <w:proofErr w:type="spellStart"/>
      <w:r w:rsidRPr="009A22BF">
        <w:rPr>
          <w:rFonts w:asciiTheme="majorBidi" w:hAnsiTheme="majorBidi" w:cstheme="majorBidi"/>
        </w:rPr>
        <w:t>Bovens</w:t>
      </w:r>
      <w:proofErr w:type="spellEnd"/>
      <w:r w:rsidRPr="009A22BF">
        <w:rPr>
          <w:rFonts w:asciiTheme="majorBidi" w:hAnsiTheme="majorBidi" w:cstheme="majorBidi"/>
        </w:rPr>
        <w:t xml:space="preserve"> (2007), for example, conceptualizes accountability as a relationship in which an actor is obliged to explain and justify conduct, a forum can question and pass judgment, and consequences may follow. </w:t>
      </w:r>
      <w:proofErr w:type="spellStart"/>
      <w:r w:rsidRPr="009A22BF">
        <w:rPr>
          <w:rFonts w:asciiTheme="majorBidi" w:hAnsiTheme="majorBidi" w:cstheme="majorBidi"/>
        </w:rPr>
        <w:t>Mulgan</w:t>
      </w:r>
      <w:proofErr w:type="spellEnd"/>
      <w:r w:rsidRPr="009A22BF">
        <w:rPr>
          <w:rFonts w:asciiTheme="majorBidi" w:hAnsiTheme="majorBidi" w:cstheme="majorBidi"/>
        </w:rPr>
        <w:t xml:space="preserve"> (2000, 2003) similarly emphasizes answerability and external scrutiny, while </w:t>
      </w:r>
      <w:proofErr w:type="spellStart"/>
      <w:r w:rsidRPr="009A22BF">
        <w:rPr>
          <w:rFonts w:asciiTheme="majorBidi" w:hAnsiTheme="majorBidi" w:cstheme="majorBidi"/>
        </w:rPr>
        <w:t>Romzek</w:t>
      </w:r>
      <w:proofErr w:type="spellEnd"/>
      <w:r w:rsidRPr="009A22BF">
        <w:rPr>
          <w:rFonts w:asciiTheme="majorBidi" w:hAnsiTheme="majorBidi" w:cstheme="majorBidi"/>
        </w:rPr>
        <w:t xml:space="preserve"> and </w:t>
      </w:r>
      <w:proofErr w:type="spellStart"/>
      <w:r w:rsidRPr="009A22BF">
        <w:rPr>
          <w:rFonts w:asciiTheme="majorBidi" w:hAnsiTheme="majorBidi" w:cstheme="majorBidi"/>
        </w:rPr>
        <w:t>Dubnick</w:t>
      </w:r>
      <w:proofErr w:type="spellEnd"/>
      <w:r w:rsidRPr="009A22BF">
        <w:rPr>
          <w:rFonts w:asciiTheme="majorBidi" w:hAnsiTheme="majorBidi" w:cstheme="majorBidi"/>
        </w:rPr>
        <w:t xml:space="preserve"> (1987) demonstrate that public organizations are commonly subject to multiple accountability relationships operating through hierarchical, legal, professional and political channels. These traditions are particularly useful for relational leximetrics because they direct attention away from abstract statements that an organization is “accountable” and toward the specific institutional relationships through which accountability is constituted.</w:t>
      </w:r>
      <w:r w:rsidR="00164E4D">
        <w:rPr>
          <w:rFonts w:asciiTheme="majorBidi" w:hAnsiTheme="majorBidi" w:cstheme="majorBidi"/>
        </w:rPr>
        <w:t xml:space="preserve"> </w:t>
      </w:r>
      <w:r w:rsidR="00164E4D">
        <w:t>This relational understanding is especially important in regulatory governance, where accountability is distributed across multiple public and private actors, audiences and control relationships rather than organized exclusively through hierarchical chains (Jordana, Bianculli and Fernández-</w:t>
      </w:r>
      <w:proofErr w:type="spellStart"/>
      <w:r w:rsidR="00164E4D">
        <w:t>i</w:t>
      </w:r>
      <w:proofErr w:type="spellEnd"/>
      <w:r w:rsidR="00164E4D">
        <w:t>-Marín 2015).</w:t>
      </w:r>
    </w:p>
    <w:p w14:paraId="1A04D472" w14:textId="77777777"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t xml:space="preserve">Accountability should be distinguished from several neighboring concepts in the framework. </w:t>
      </w:r>
      <w:r w:rsidRPr="009A22BF">
        <w:rPr>
          <w:rStyle w:val="Strong"/>
          <w:rFonts w:asciiTheme="majorBidi" w:hAnsiTheme="majorBidi" w:cstheme="majorBidi"/>
        </w:rPr>
        <w:t>Reporting</w:t>
      </w:r>
      <w:r w:rsidRPr="009A22BF">
        <w:rPr>
          <w:rFonts w:asciiTheme="majorBidi" w:hAnsiTheme="majorBidi" w:cstheme="majorBidi"/>
        </w:rPr>
        <w:t xml:space="preserve"> is an information relationship: Actor A provides information to Actor B. Reporting may support accountability, but information provision alone does not necessarily create an accountability relationship. </w:t>
      </w:r>
      <w:r w:rsidRPr="009A22BF">
        <w:rPr>
          <w:rStyle w:val="Strong"/>
          <w:rFonts w:asciiTheme="majorBidi" w:hAnsiTheme="majorBidi" w:cstheme="majorBidi"/>
        </w:rPr>
        <w:t>Monitoring</w:t>
      </w:r>
      <w:r w:rsidRPr="009A22BF">
        <w:rPr>
          <w:rFonts w:asciiTheme="majorBidi" w:hAnsiTheme="majorBidi" w:cstheme="majorBidi"/>
        </w:rPr>
        <w:t xml:space="preserve"> concerns observation of conduct or performance. </w:t>
      </w:r>
      <w:r w:rsidRPr="009A22BF">
        <w:rPr>
          <w:rStyle w:val="Strong"/>
          <w:rFonts w:asciiTheme="majorBidi" w:hAnsiTheme="majorBidi" w:cstheme="majorBidi"/>
        </w:rPr>
        <w:t>Review</w:t>
      </w:r>
      <w:r w:rsidRPr="009A22BF">
        <w:rPr>
          <w:rFonts w:asciiTheme="majorBidi" w:hAnsiTheme="majorBidi" w:cstheme="majorBidi"/>
        </w:rPr>
        <w:t xml:space="preserve"> concerns reconsideration or assessment of a decision. </w:t>
      </w:r>
      <w:r w:rsidRPr="009A22BF">
        <w:rPr>
          <w:rStyle w:val="Strong"/>
          <w:rFonts w:asciiTheme="majorBidi" w:hAnsiTheme="majorBidi" w:cstheme="majorBidi"/>
        </w:rPr>
        <w:t>Enforcement</w:t>
      </w:r>
      <w:r w:rsidRPr="009A22BF">
        <w:rPr>
          <w:rFonts w:asciiTheme="majorBidi" w:hAnsiTheme="majorBidi" w:cstheme="majorBidi"/>
        </w:rPr>
        <w:t xml:space="preserve"> concerns the imposition of corrective or punitive consequences. Accountability may incorporate all of these, but it is not reducible to any one of them. A reporting requirement without a right to question or assess may constitute transparency rather than accountability; a monitoring system may detect </w:t>
      </w:r>
      <w:proofErr w:type="spellStart"/>
      <w:r w:rsidRPr="009A22BF">
        <w:rPr>
          <w:rFonts w:asciiTheme="majorBidi" w:hAnsiTheme="majorBidi" w:cstheme="majorBidi"/>
        </w:rPr>
        <w:t>behaviour</w:t>
      </w:r>
      <w:proofErr w:type="spellEnd"/>
      <w:r w:rsidRPr="009A22BF">
        <w:rPr>
          <w:rFonts w:asciiTheme="majorBidi" w:hAnsiTheme="majorBidi" w:cstheme="majorBidi"/>
        </w:rPr>
        <w:t xml:space="preserve"> without requiring justification; and enforcement may be triggered automatically without any meaningful process of answerability.</w:t>
      </w:r>
    </w:p>
    <w:p w14:paraId="248F9AA5" w14:textId="03AB5013"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t>For purposes of coding, accountability can therefore be understood as a composite relational structure linking several possible components:</w:t>
      </w:r>
      <w:r w:rsidR="009A22BF" w:rsidRPr="009A22BF">
        <w:rPr>
          <w:rFonts w:asciiTheme="majorBidi" w:hAnsiTheme="majorBidi" w:cstheme="majorBidi"/>
        </w:rPr>
        <w:t xml:space="preserve"> information, explanation, justification, assessment, response and consequence.  </w:t>
      </w:r>
      <w:r w:rsidRPr="009A22BF">
        <w:rPr>
          <w:rFonts w:asciiTheme="majorBidi" w:hAnsiTheme="majorBidi" w:cstheme="majorBidi"/>
        </w:rPr>
        <w:t xml:space="preserve">Not every accountability relationship will contain all </w:t>
      </w:r>
      <w:r w:rsidR="009A22BF" w:rsidRPr="009A22BF">
        <w:rPr>
          <w:rFonts w:asciiTheme="majorBidi" w:hAnsiTheme="majorBidi" w:cstheme="majorBidi"/>
        </w:rPr>
        <w:t>these</w:t>
      </w:r>
      <w:r w:rsidRPr="009A22BF">
        <w:rPr>
          <w:rFonts w:asciiTheme="majorBidi" w:hAnsiTheme="majorBidi" w:cstheme="majorBidi"/>
        </w:rPr>
        <w:t xml:space="preserve"> components, and their institutional strength may vary considerably. The analytical objective should not be to impose an </w:t>
      </w:r>
      <w:r w:rsidRPr="009A22BF">
        <w:rPr>
          <w:rFonts w:asciiTheme="majorBidi" w:hAnsiTheme="majorBidi" w:cstheme="majorBidi"/>
        </w:rPr>
        <w:lastRenderedPageBreak/>
        <w:t>excessively restrictive definition, but to identify which components are legally constituted and how they are distributed across actors.</w:t>
      </w:r>
    </w:p>
    <w:p w14:paraId="2649B28D" w14:textId="77777777"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t>At least six dimensions of legally constituted accountability can be distinguished.</w:t>
      </w:r>
    </w:p>
    <w:p w14:paraId="74539F97" w14:textId="77777777" w:rsidR="0040748E" w:rsidRPr="009A22BF" w:rsidRDefault="0040748E" w:rsidP="009A22BF">
      <w:pPr>
        <w:pStyle w:val="NormalWeb"/>
        <w:spacing w:line="276" w:lineRule="auto"/>
        <w:jc w:val="both"/>
        <w:rPr>
          <w:rFonts w:asciiTheme="majorBidi" w:hAnsiTheme="majorBidi" w:cstheme="majorBidi"/>
        </w:rPr>
      </w:pPr>
      <w:r w:rsidRPr="009A22BF">
        <w:rPr>
          <w:rStyle w:val="Strong"/>
          <w:rFonts w:asciiTheme="majorBidi" w:hAnsiTheme="majorBidi" w:cstheme="majorBidi"/>
        </w:rPr>
        <w:t>First, the accountability forum</w:t>
      </w:r>
      <w:r w:rsidRPr="009A22BF">
        <w:rPr>
          <w:rFonts w:asciiTheme="majorBidi" w:hAnsiTheme="majorBidi" w:cstheme="majorBidi"/>
        </w:rPr>
        <w:t xml:space="preserve"> identifies the actor or institution to whom another actor is answerable. A public agency may be accountable to a ministry, legislature, court, auditor, ombudsman, supervisory authority, professional body, or affected public. A regulatory intermediary may be answerable to an accreditor, competent authority, client, professional association, or beneficiary. Because contemporary governance frequently contains several accountability forums simultaneously, the database should permit multiple accountability relationships rather than assigning each actor a single accountability status.</w:t>
      </w:r>
    </w:p>
    <w:p w14:paraId="471E51ED" w14:textId="77777777" w:rsidR="0040748E" w:rsidRPr="009A22BF" w:rsidRDefault="0040748E" w:rsidP="009A22BF">
      <w:pPr>
        <w:pStyle w:val="NormalWeb"/>
        <w:spacing w:line="276" w:lineRule="auto"/>
        <w:jc w:val="both"/>
        <w:rPr>
          <w:rFonts w:asciiTheme="majorBidi" w:hAnsiTheme="majorBidi" w:cstheme="majorBidi"/>
        </w:rPr>
      </w:pPr>
      <w:r w:rsidRPr="009A22BF">
        <w:rPr>
          <w:rStyle w:val="Strong"/>
          <w:rFonts w:asciiTheme="majorBidi" w:hAnsiTheme="majorBidi" w:cstheme="majorBidi"/>
        </w:rPr>
        <w:t>Second, the object of accountability</w:t>
      </w:r>
      <w:r w:rsidRPr="009A22BF">
        <w:rPr>
          <w:rFonts w:asciiTheme="majorBidi" w:hAnsiTheme="majorBidi" w:cstheme="majorBidi"/>
        </w:rPr>
        <w:t xml:space="preserve"> identifies what conduct, decision, function, or outcome must be accounted for. Accountability may concern the legality of a decision, financial management, procedural compliance, technical performance, risk assessment, enforcement activity, use of delegated authority, or protection of rights. The object of accountability should therefore remain linked to the particular governance function and relationship rather than being treated as a general property of the actor.</w:t>
      </w:r>
    </w:p>
    <w:p w14:paraId="7139C47D" w14:textId="77777777" w:rsidR="0040748E" w:rsidRPr="009A22BF" w:rsidRDefault="0040748E" w:rsidP="009A22BF">
      <w:pPr>
        <w:pStyle w:val="NormalWeb"/>
        <w:spacing w:line="276" w:lineRule="auto"/>
        <w:jc w:val="both"/>
        <w:rPr>
          <w:rFonts w:asciiTheme="majorBidi" w:hAnsiTheme="majorBidi" w:cstheme="majorBidi"/>
        </w:rPr>
      </w:pPr>
      <w:r w:rsidRPr="009A22BF">
        <w:rPr>
          <w:rStyle w:val="Strong"/>
          <w:rFonts w:asciiTheme="majorBidi" w:hAnsiTheme="majorBidi" w:cstheme="majorBidi"/>
        </w:rPr>
        <w:t>Third, the information obligation</w:t>
      </w:r>
      <w:r w:rsidRPr="009A22BF">
        <w:rPr>
          <w:rFonts w:asciiTheme="majorBidi" w:hAnsiTheme="majorBidi" w:cstheme="majorBidi"/>
        </w:rPr>
        <w:t xml:space="preserve"> concerns whether the accountable actor must disclose or transmit information concerning its actions. Relevant devices include periodic reports, notification requirements, record-keeping duties, publication obligations, audit trails, reasons for decisions, and access to documents. This is the informational foundation upon which stronger forms of accountability may be constructed.</w:t>
      </w:r>
    </w:p>
    <w:p w14:paraId="5033F5FB" w14:textId="77777777" w:rsidR="0040748E" w:rsidRPr="009A22BF" w:rsidRDefault="0040748E" w:rsidP="009A22BF">
      <w:pPr>
        <w:pStyle w:val="NormalWeb"/>
        <w:spacing w:line="276" w:lineRule="auto"/>
        <w:jc w:val="both"/>
        <w:rPr>
          <w:rFonts w:asciiTheme="majorBidi" w:hAnsiTheme="majorBidi" w:cstheme="majorBidi"/>
        </w:rPr>
      </w:pPr>
      <w:r w:rsidRPr="009A22BF">
        <w:rPr>
          <w:rStyle w:val="Strong"/>
          <w:rFonts w:asciiTheme="majorBidi" w:hAnsiTheme="majorBidi" w:cstheme="majorBidi"/>
        </w:rPr>
        <w:t>Fourth, justification or answerability</w:t>
      </w:r>
      <w:r w:rsidRPr="009A22BF">
        <w:rPr>
          <w:rFonts w:asciiTheme="majorBidi" w:hAnsiTheme="majorBidi" w:cstheme="majorBidi"/>
        </w:rPr>
        <w:t xml:space="preserve"> concerns whether the actor must explain or defend its conduct rather than merely provide information. Duties to give reasons, respond to questions, demonstrate compliance, explain methodological choices, or justify departures from standards indicate stronger answerability than simple reporting.</w:t>
      </w:r>
    </w:p>
    <w:p w14:paraId="747080B6" w14:textId="77777777" w:rsidR="0040748E" w:rsidRPr="009A22BF" w:rsidRDefault="0040748E" w:rsidP="009A22BF">
      <w:pPr>
        <w:pStyle w:val="NormalWeb"/>
        <w:spacing w:line="276" w:lineRule="auto"/>
        <w:jc w:val="both"/>
        <w:rPr>
          <w:rFonts w:asciiTheme="majorBidi" w:hAnsiTheme="majorBidi" w:cstheme="majorBidi"/>
        </w:rPr>
      </w:pPr>
      <w:r w:rsidRPr="009A22BF">
        <w:rPr>
          <w:rStyle w:val="Strong"/>
          <w:rFonts w:asciiTheme="majorBidi" w:hAnsiTheme="majorBidi" w:cstheme="majorBidi"/>
        </w:rPr>
        <w:t>Fifth, assessment and judgment</w:t>
      </w:r>
      <w:r w:rsidRPr="009A22BF">
        <w:rPr>
          <w:rFonts w:asciiTheme="majorBidi" w:hAnsiTheme="majorBidi" w:cstheme="majorBidi"/>
        </w:rPr>
        <w:t xml:space="preserve"> concern whether the accountability forum has authority to evaluate the conduct or explanation provided. Assessment may take the form of audit findings, supervisory determinations, parliamentary scrutiny, professional review, judicial review, accreditation decisions, or administrative approval. An information relationship becomes more clearly accountability-oriented where the receiving forum possesses an institutionalized capacity to judge adequacy or compliance.</w:t>
      </w:r>
    </w:p>
    <w:p w14:paraId="1B06C0DA" w14:textId="77777777" w:rsidR="0040748E" w:rsidRPr="009A22BF" w:rsidRDefault="0040748E" w:rsidP="009A22BF">
      <w:pPr>
        <w:pStyle w:val="NormalWeb"/>
        <w:spacing w:line="276" w:lineRule="auto"/>
        <w:jc w:val="both"/>
        <w:rPr>
          <w:rFonts w:asciiTheme="majorBidi" w:hAnsiTheme="majorBidi" w:cstheme="majorBidi"/>
        </w:rPr>
      </w:pPr>
      <w:r w:rsidRPr="009A22BF">
        <w:rPr>
          <w:rStyle w:val="Strong"/>
          <w:rFonts w:asciiTheme="majorBidi" w:hAnsiTheme="majorBidi" w:cstheme="majorBidi"/>
        </w:rPr>
        <w:t>Sixth, consequences</w:t>
      </w:r>
      <w:r w:rsidRPr="009A22BF">
        <w:rPr>
          <w:rFonts w:asciiTheme="majorBidi" w:hAnsiTheme="majorBidi" w:cstheme="majorBidi"/>
        </w:rPr>
        <w:t xml:space="preserve"> concern what may follow from adverse assessment. Consequences may range from recommendations and reputational exposure to corrective orders, withdrawal of designation, financial penalties, reversal of decisions, disciplinary action, or removal from office. The existence of consequences strengthens accountability but should not be treated as a necessary condition for every form of answerability. Some accountability institutions rely principally on publicity, explanation, review, or reputational effects rather than formal sanctions.</w:t>
      </w:r>
    </w:p>
    <w:p w14:paraId="619F2054" w14:textId="77777777"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lastRenderedPageBreak/>
        <w:t>As with authority and discretion, the purpose of this representation is not necessarily to construct a single additive index. Rather, it allows accountability relationships to be decomposed into comparable attributes and prevents formally different arrangements from being collapsed into a simple dichotomy of accountable/not accountable.</w:t>
      </w:r>
    </w:p>
    <w:p w14:paraId="3EA73545" w14:textId="77777777"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t xml:space="preserve">Accountability is particularly important for </w:t>
      </w:r>
      <w:proofErr w:type="spellStart"/>
      <w:r w:rsidRPr="009A22BF">
        <w:rPr>
          <w:rFonts w:asciiTheme="majorBidi" w:hAnsiTheme="majorBidi" w:cstheme="majorBidi"/>
        </w:rPr>
        <w:t>analysing</w:t>
      </w:r>
      <w:proofErr w:type="spellEnd"/>
      <w:r w:rsidRPr="009A22BF">
        <w:rPr>
          <w:rFonts w:asciiTheme="majorBidi" w:hAnsiTheme="majorBidi" w:cstheme="majorBidi"/>
        </w:rPr>
        <w:t xml:space="preserve"> indirect and intermediary-based governance. The delegation or intermediation of regulatory functions creates a recurrent problem: actors exercising important governance functions may not be embedded in conventional hierarchical accountability relationships. A private auditor, certifier, standards body, or platform may exercise considerable discretion and produce decisions with substantial regulatory consequences while remaining formally outside the administrative hierarchy. The relevant empirical question is therefore not simply whether authority has been distributed away from the state, but whether accountability has been redistributed alongside it.</w:t>
      </w:r>
    </w:p>
    <w:p w14:paraId="775A4588" w14:textId="70C6750A"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t xml:space="preserve">This suggests distinguishing between the </w:t>
      </w:r>
      <w:r w:rsidRPr="009A22BF">
        <w:rPr>
          <w:rStyle w:val="Strong"/>
          <w:rFonts w:asciiTheme="majorBidi" w:hAnsiTheme="majorBidi" w:cstheme="majorBidi"/>
        </w:rPr>
        <w:t>allocation of governing capacity</w:t>
      </w:r>
      <w:r w:rsidRPr="009A22BF">
        <w:rPr>
          <w:rFonts w:asciiTheme="majorBidi" w:hAnsiTheme="majorBidi" w:cstheme="majorBidi"/>
        </w:rPr>
        <w:t xml:space="preserve"> and the </w:t>
      </w:r>
      <w:r w:rsidRPr="009A22BF">
        <w:rPr>
          <w:rStyle w:val="Strong"/>
          <w:rFonts w:asciiTheme="majorBidi" w:hAnsiTheme="majorBidi" w:cstheme="majorBidi"/>
        </w:rPr>
        <w:t>allocation of accountability</w:t>
      </w:r>
      <w:r w:rsidRPr="009A22BF">
        <w:rPr>
          <w:rFonts w:asciiTheme="majorBidi" w:hAnsiTheme="majorBidi" w:cstheme="majorBidi"/>
        </w:rPr>
        <w:t>. A governance architecture may delegate authority while retaining strong public supervision and review. Alternatively, it may confer substantial authority and discretion upon an intermediary while establishing only weak informational duties. The two architectures therefore differ not in the amount of delegation alone but in the extent to which accountability follows delegated</w:t>
      </w:r>
      <w:r w:rsidR="009A22BF" w:rsidRPr="009A22BF">
        <w:rPr>
          <w:rFonts w:asciiTheme="majorBidi" w:hAnsiTheme="majorBidi" w:cstheme="majorBidi"/>
        </w:rPr>
        <w:t xml:space="preserve">. </w:t>
      </w:r>
      <w:r w:rsidRPr="009A22BF">
        <w:rPr>
          <w:rFonts w:asciiTheme="majorBidi" w:hAnsiTheme="majorBidi" w:cstheme="majorBidi"/>
        </w:rPr>
        <w:t>This distinction is central to the analysis of regulatory intermediaries. An accreditation body may authorize a certifier; the certifier may assess a regulated firm; the certifier may then be required to report to a competent authority; the firm may challenge the certification decision; and the competent authority may withdraw the certifier's designation. Accountability architecture is therefore produced by a configuration of information, justification, assessment, review, and sanction relations rather than by a single legal clause.</w:t>
      </w:r>
    </w:p>
    <w:p w14:paraId="3D036475" w14:textId="77777777"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t xml:space="preserve">The direction of accountability should also be preserved. Traditional administrative systems emphasize </w:t>
      </w:r>
      <w:r w:rsidRPr="009A22BF">
        <w:rPr>
          <w:rStyle w:val="Strong"/>
          <w:rFonts w:asciiTheme="majorBidi" w:hAnsiTheme="majorBidi" w:cstheme="majorBidi"/>
        </w:rPr>
        <w:t>vertical accountability</w:t>
      </w:r>
      <w:r w:rsidRPr="009A22BF">
        <w:rPr>
          <w:rFonts w:asciiTheme="majorBidi" w:hAnsiTheme="majorBidi" w:cstheme="majorBidi"/>
        </w:rPr>
        <w:t xml:space="preserve">, in which lower-level actors answer to superior public authorities. Contemporary governance additionally relies on </w:t>
      </w:r>
      <w:r w:rsidRPr="009A22BF">
        <w:rPr>
          <w:rStyle w:val="Strong"/>
          <w:rFonts w:asciiTheme="majorBidi" w:hAnsiTheme="majorBidi" w:cstheme="majorBidi"/>
        </w:rPr>
        <w:t>horizontal accountability</w:t>
      </w:r>
      <w:r w:rsidRPr="009A22BF">
        <w:rPr>
          <w:rFonts w:asciiTheme="majorBidi" w:hAnsiTheme="majorBidi" w:cstheme="majorBidi"/>
        </w:rPr>
        <w:t xml:space="preserve">, where agencies, courts, auditors, ombudsmen or other bodies scrutinize one another without a simple superior–subordinate relationship. Regulatory governance may also create forms of </w:t>
      </w:r>
      <w:r w:rsidRPr="009A22BF">
        <w:rPr>
          <w:rStyle w:val="Strong"/>
          <w:rFonts w:asciiTheme="majorBidi" w:hAnsiTheme="majorBidi" w:cstheme="majorBidi"/>
        </w:rPr>
        <w:t>downward or stakeholder accountability</w:t>
      </w:r>
      <w:r w:rsidRPr="009A22BF">
        <w:rPr>
          <w:rFonts w:asciiTheme="majorBidi" w:hAnsiTheme="majorBidi" w:cstheme="majorBidi"/>
        </w:rPr>
        <w:t>, in which regulators, firms or intermediaries must provide reasons, information, complaint procedures or remedies to citizens, consumers, workers or other beneficiaries.</w:t>
      </w:r>
    </w:p>
    <w:p w14:paraId="4631A4E2" w14:textId="77777777"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t>These directions are analytically consequential. A regime may exhibit strong upward reporting to the regulator while providing weak opportunities for affected parties to challenge decisions. Another may combine relatively weak hierarchical supervision with substantial transparency, complaints and judicial review. Both may appear “accountable” in aggregate, but the architecture and beneficiaries of accountability differ.</w:t>
      </w:r>
    </w:p>
    <w:p w14:paraId="798F5DC5" w14:textId="77777777"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t>For coding purposes, accountability direction can therefore be represented as:</w:t>
      </w:r>
    </w:p>
    <w:p w14:paraId="0C0D4F72" w14:textId="77777777" w:rsidR="0040748E" w:rsidRPr="009A22BF" w:rsidRDefault="0040748E" w:rsidP="009A22BF">
      <w:pPr>
        <w:numPr>
          <w:ilvl w:val="0"/>
          <w:numId w:val="16"/>
        </w:numPr>
        <w:spacing w:before="100" w:beforeAutospacing="1" w:afterAutospacing="1" w:line="276" w:lineRule="auto"/>
        <w:jc w:val="both"/>
        <w:rPr>
          <w:rFonts w:asciiTheme="majorBidi" w:hAnsiTheme="majorBidi" w:cstheme="majorBidi"/>
          <w:sz w:val="24"/>
          <w:szCs w:val="24"/>
        </w:rPr>
      </w:pPr>
      <w:r w:rsidRPr="009A22BF">
        <w:rPr>
          <w:rFonts w:asciiTheme="majorBidi" w:hAnsiTheme="majorBidi" w:cstheme="majorBidi"/>
          <w:sz w:val="24"/>
          <w:szCs w:val="24"/>
        </w:rPr>
        <w:t>upward accountability;</w:t>
      </w:r>
    </w:p>
    <w:p w14:paraId="75AD8C12" w14:textId="77777777" w:rsidR="0040748E" w:rsidRPr="009A22BF" w:rsidRDefault="0040748E" w:rsidP="009A22BF">
      <w:pPr>
        <w:numPr>
          <w:ilvl w:val="0"/>
          <w:numId w:val="16"/>
        </w:numPr>
        <w:spacing w:before="100" w:beforeAutospacing="1" w:afterAutospacing="1" w:line="276" w:lineRule="auto"/>
        <w:jc w:val="both"/>
        <w:rPr>
          <w:rFonts w:asciiTheme="majorBidi" w:hAnsiTheme="majorBidi" w:cstheme="majorBidi"/>
          <w:sz w:val="24"/>
          <w:szCs w:val="24"/>
        </w:rPr>
      </w:pPr>
      <w:r w:rsidRPr="009A22BF">
        <w:rPr>
          <w:rFonts w:asciiTheme="majorBidi" w:hAnsiTheme="majorBidi" w:cstheme="majorBidi"/>
          <w:sz w:val="24"/>
          <w:szCs w:val="24"/>
        </w:rPr>
        <w:lastRenderedPageBreak/>
        <w:t>horizontal accountability;</w:t>
      </w:r>
    </w:p>
    <w:p w14:paraId="1DE38F91" w14:textId="77777777" w:rsidR="0040748E" w:rsidRPr="009A22BF" w:rsidRDefault="0040748E" w:rsidP="009A22BF">
      <w:pPr>
        <w:numPr>
          <w:ilvl w:val="0"/>
          <w:numId w:val="16"/>
        </w:numPr>
        <w:spacing w:before="100" w:beforeAutospacing="1" w:afterAutospacing="1" w:line="276" w:lineRule="auto"/>
        <w:jc w:val="both"/>
        <w:rPr>
          <w:rFonts w:asciiTheme="majorBidi" w:hAnsiTheme="majorBidi" w:cstheme="majorBidi"/>
          <w:sz w:val="24"/>
          <w:szCs w:val="24"/>
        </w:rPr>
      </w:pPr>
      <w:r w:rsidRPr="009A22BF">
        <w:rPr>
          <w:rFonts w:asciiTheme="majorBidi" w:hAnsiTheme="majorBidi" w:cstheme="majorBidi"/>
          <w:sz w:val="24"/>
          <w:szCs w:val="24"/>
        </w:rPr>
        <w:t>downward/stakeholder accountability;</w:t>
      </w:r>
    </w:p>
    <w:p w14:paraId="3E077F6C" w14:textId="77777777" w:rsidR="0040748E" w:rsidRPr="009A22BF" w:rsidRDefault="0040748E" w:rsidP="009A22BF">
      <w:pPr>
        <w:numPr>
          <w:ilvl w:val="0"/>
          <w:numId w:val="16"/>
        </w:numPr>
        <w:spacing w:before="100" w:beforeAutospacing="1" w:afterAutospacing="1" w:line="276" w:lineRule="auto"/>
        <w:jc w:val="both"/>
        <w:rPr>
          <w:rFonts w:asciiTheme="majorBidi" w:hAnsiTheme="majorBidi" w:cstheme="majorBidi"/>
          <w:sz w:val="24"/>
          <w:szCs w:val="24"/>
        </w:rPr>
      </w:pPr>
      <w:r w:rsidRPr="009A22BF">
        <w:rPr>
          <w:rFonts w:asciiTheme="majorBidi" w:hAnsiTheme="majorBidi" w:cstheme="majorBidi"/>
          <w:sz w:val="24"/>
          <w:szCs w:val="24"/>
        </w:rPr>
        <w:t>reciprocal or mutual accountability.</w:t>
      </w:r>
    </w:p>
    <w:p w14:paraId="40B03298" w14:textId="77777777"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t>The categories should describe relational position rather than assume that one form is normatively superior.</w:t>
      </w:r>
    </w:p>
    <w:p w14:paraId="666D2063" w14:textId="201E6B98"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t xml:space="preserve">The framework also permits analysis of the </w:t>
      </w:r>
      <w:r w:rsidRPr="009A22BF">
        <w:rPr>
          <w:rFonts w:asciiTheme="majorBidi" w:hAnsiTheme="majorBidi" w:cstheme="majorBidi"/>
          <w:u w:val="single"/>
        </w:rPr>
        <w:t>completeness</w:t>
      </w:r>
      <w:r w:rsidRPr="009A22BF">
        <w:rPr>
          <w:rFonts w:asciiTheme="majorBidi" w:hAnsiTheme="majorBidi" w:cstheme="majorBidi"/>
        </w:rPr>
        <w:t xml:space="preserve"> of accountability arrangements. A weak accountability relationship may involve only periodic reporting. A stronger relationship may combine information, justification, scrutiny and consequences. Different accountability mechanisms serve different purposes and excessive oversight may constrain expertise, flexibility or innovation. The point is instead to identify how many stages of the accountability process are legally institutionalized and where gaps occur.</w:t>
      </w:r>
    </w:p>
    <w:p w14:paraId="03805354" w14:textId="77777777"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t>This is particularly relevant to the relationship between discretion and accountability. Governance systems frequently grant discretion precisely because detailed ex ante rules cannot anticipate complex circumstances. Where discretion expands, legal architecture may compensate through stronger obligations to explain, disclose, document, review, or justify choices. The distribution of discretion should therefore be studied together with the distribution of accountability.</w:t>
      </w:r>
    </w:p>
    <w:p w14:paraId="2C8B6752" w14:textId="3CA8F79B"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t>Whether actual laws establish such compensating arrangements is an empirical question rather than an assumption. Relational leximetrics makes it possible to investigate it systematically.</w:t>
      </w:r>
      <w:r w:rsidR="009A22BF" w:rsidRPr="009A22BF">
        <w:rPr>
          <w:rFonts w:asciiTheme="majorBidi" w:hAnsiTheme="majorBidi" w:cstheme="majorBidi"/>
        </w:rPr>
        <w:t xml:space="preserve"> </w:t>
      </w:r>
      <w:r w:rsidRPr="009A22BF">
        <w:rPr>
          <w:rFonts w:asciiTheme="majorBidi" w:hAnsiTheme="majorBidi" w:cstheme="majorBidi"/>
        </w:rPr>
        <w:t>At the primary coding stage, researchers should avoid assigning broad judgments such as “strong accountability” or “weak accountability.” Instead, they should record the observable legal components from which such judgments can later be derived. A useful coding structure 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2"/>
        <w:gridCol w:w="4754"/>
      </w:tblGrid>
      <w:tr w:rsidR="0040748E" w:rsidRPr="009A22BF" w14:paraId="0EBEF58E" w14:textId="77777777" w:rsidTr="009A22BF">
        <w:trPr>
          <w:tblHeader/>
          <w:tblCellSpacing w:w="15" w:type="dxa"/>
        </w:trPr>
        <w:tc>
          <w:tcPr>
            <w:tcW w:w="0" w:type="auto"/>
            <w:vAlign w:val="center"/>
            <w:hideMark/>
          </w:tcPr>
          <w:p w14:paraId="7B077A9E" w14:textId="77777777" w:rsidR="0040748E" w:rsidRPr="009A22BF" w:rsidRDefault="0040748E" w:rsidP="009A22BF">
            <w:pPr>
              <w:spacing w:line="276" w:lineRule="auto"/>
              <w:jc w:val="both"/>
              <w:rPr>
                <w:rFonts w:asciiTheme="majorBidi" w:hAnsiTheme="majorBidi" w:cstheme="majorBidi"/>
                <w:b/>
                <w:bCs/>
                <w:sz w:val="24"/>
                <w:szCs w:val="24"/>
              </w:rPr>
            </w:pPr>
            <w:r w:rsidRPr="009A22BF">
              <w:rPr>
                <w:rFonts w:asciiTheme="majorBidi" w:hAnsiTheme="majorBidi" w:cstheme="majorBidi"/>
                <w:b/>
                <w:bCs/>
                <w:sz w:val="24"/>
                <w:szCs w:val="24"/>
              </w:rPr>
              <w:t>Variable</w:t>
            </w:r>
          </w:p>
        </w:tc>
        <w:tc>
          <w:tcPr>
            <w:tcW w:w="0" w:type="auto"/>
            <w:vAlign w:val="center"/>
            <w:hideMark/>
          </w:tcPr>
          <w:p w14:paraId="68F80AB0" w14:textId="77777777" w:rsidR="0040748E" w:rsidRPr="009A22BF" w:rsidRDefault="0040748E" w:rsidP="009A22BF">
            <w:pPr>
              <w:spacing w:line="276" w:lineRule="auto"/>
              <w:jc w:val="both"/>
              <w:rPr>
                <w:rFonts w:asciiTheme="majorBidi" w:hAnsiTheme="majorBidi" w:cstheme="majorBidi"/>
                <w:b/>
                <w:bCs/>
                <w:sz w:val="24"/>
                <w:szCs w:val="24"/>
              </w:rPr>
            </w:pPr>
            <w:r w:rsidRPr="009A22BF">
              <w:rPr>
                <w:rFonts w:asciiTheme="majorBidi" w:hAnsiTheme="majorBidi" w:cstheme="majorBidi"/>
                <w:b/>
                <w:bCs/>
                <w:sz w:val="24"/>
                <w:szCs w:val="24"/>
              </w:rPr>
              <w:t>Coding question</w:t>
            </w:r>
          </w:p>
        </w:tc>
      </w:tr>
      <w:tr w:rsidR="0040748E" w:rsidRPr="009A22BF" w14:paraId="232BC43E" w14:textId="77777777" w:rsidTr="009A22BF">
        <w:trPr>
          <w:tblCellSpacing w:w="15" w:type="dxa"/>
        </w:trPr>
        <w:tc>
          <w:tcPr>
            <w:tcW w:w="0" w:type="auto"/>
            <w:vAlign w:val="center"/>
            <w:hideMark/>
          </w:tcPr>
          <w:p w14:paraId="4EDF067A" w14:textId="77777777" w:rsidR="0040748E" w:rsidRPr="009A22BF" w:rsidRDefault="0040748E" w:rsidP="009A22BF">
            <w:pPr>
              <w:spacing w:line="276" w:lineRule="auto"/>
              <w:jc w:val="both"/>
              <w:rPr>
                <w:rFonts w:asciiTheme="majorBidi" w:hAnsiTheme="majorBidi" w:cstheme="majorBidi"/>
                <w:sz w:val="24"/>
                <w:szCs w:val="24"/>
              </w:rPr>
            </w:pPr>
            <w:proofErr w:type="spellStart"/>
            <w:r w:rsidRPr="009A22BF">
              <w:rPr>
                <w:rFonts w:asciiTheme="majorBidi" w:hAnsiTheme="majorBidi" w:cstheme="majorBidi"/>
                <w:sz w:val="24"/>
                <w:szCs w:val="24"/>
              </w:rPr>
              <w:t>accountable_actor</w:t>
            </w:r>
            <w:proofErr w:type="spellEnd"/>
          </w:p>
        </w:tc>
        <w:tc>
          <w:tcPr>
            <w:tcW w:w="0" w:type="auto"/>
            <w:vAlign w:val="center"/>
            <w:hideMark/>
          </w:tcPr>
          <w:p w14:paraId="5D085182" w14:textId="77777777" w:rsidR="0040748E" w:rsidRPr="009A22BF" w:rsidRDefault="0040748E" w:rsidP="009A22BF">
            <w:pPr>
              <w:spacing w:line="276" w:lineRule="auto"/>
              <w:jc w:val="both"/>
              <w:rPr>
                <w:rFonts w:asciiTheme="majorBidi" w:hAnsiTheme="majorBidi" w:cstheme="majorBidi"/>
                <w:sz w:val="24"/>
                <w:szCs w:val="24"/>
              </w:rPr>
            </w:pPr>
            <w:r w:rsidRPr="009A22BF">
              <w:rPr>
                <w:rFonts w:asciiTheme="majorBidi" w:hAnsiTheme="majorBidi" w:cstheme="majorBidi"/>
                <w:sz w:val="24"/>
                <w:szCs w:val="24"/>
              </w:rPr>
              <w:t>Who must account?</w:t>
            </w:r>
          </w:p>
        </w:tc>
      </w:tr>
      <w:tr w:rsidR="0040748E" w:rsidRPr="009A22BF" w14:paraId="554D63D0" w14:textId="77777777" w:rsidTr="009A22BF">
        <w:trPr>
          <w:tblCellSpacing w:w="15" w:type="dxa"/>
        </w:trPr>
        <w:tc>
          <w:tcPr>
            <w:tcW w:w="0" w:type="auto"/>
            <w:vAlign w:val="center"/>
            <w:hideMark/>
          </w:tcPr>
          <w:p w14:paraId="61143418" w14:textId="77777777" w:rsidR="0040748E" w:rsidRPr="009A22BF" w:rsidRDefault="0040748E" w:rsidP="009A22BF">
            <w:pPr>
              <w:spacing w:line="276" w:lineRule="auto"/>
              <w:jc w:val="both"/>
              <w:rPr>
                <w:rFonts w:asciiTheme="majorBidi" w:hAnsiTheme="majorBidi" w:cstheme="majorBidi"/>
                <w:sz w:val="24"/>
                <w:szCs w:val="24"/>
              </w:rPr>
            </w:pPr>
            <w:proofErr w:type="spellStart"/>
            <w:r w:rsidRPr="009A22BF">
              <w:rPr>
                <w:rFonts w:asciiTheme="majorBidi" w:hAnsiTheme="majorBidi" w:cstheme="majorBidi"/>
                <w:sz w:val="24"/>
                <w:szCs w:val="24"/>
              </w:rPr>
              <w:t>accountability_forum</w:t>
            </w:r>
            <w:proofErr w:type="spellEnd"/>
          </w:p>
        </w:tc>
        <w:tc>
          <w:tcPr>
            <w:tcW w:w="0" w:type="auto"/>
            <w:vAlign w:val="center"/>
            <w:hideMark/>
          </w:tcPr>
          <w:p w14:paraId="5F1F780D" w14:textId="77777777" w:rsidR="0040748E" w:rsidRPr="009A22BF" w:rsidRDefault="0040748E" w:rsidP="009A22BF">
            <w:pPr>
              <w:spacing w:line="276" w:lineRule="auto"/>
              <w:jc w:val="both"/>
              <w:rPr>
                <w:rFonts w:asciiTheme="majorBidi" w:hAnsiTheme="majorBidi" w:cstheme="majorBidi"/>
                <w:sz w:val="24"/>
                <w:szCs w:val="24"/>
              </w:rPr>
            </w:pPr>
            <w:r w:rsidRPr="009A22BF">
              <w:rPr>
                <w:rFonts w:asciiTheme="majorBidi" w:hAnsiTheme="majorBidi" w:cstheme="majorBidi"/>
                <w:sz w:val="24"/>
                <w:szCs w:val="24"/>
              </w:rPr>
              <w:t>To whom?</w:t>
            </w:r>
          </w:p>
        </w:tc>
      </w:tr>
      <w:tr w:rsidR="0040748E" w:rsidRPr="009A22BF" w14:paraId="78F59062" w14:textId="77777777" w:rsidTr="009A22BF">
        <w:trPr>
          <w:tblCellSpacing w:w="15" w:type="dxa"/>
        </w:trPr>
        <w:tc>
          <w:tcPr>
            <w:tcW w:w="0" w:type="auto"/>
            <w:vAlign w:val="center"/>
            <w:hideMark/>
          </w:tcPr>
          <w:p w14:paraId="14FAFB48" w14:textId="77777777" w:rsidR="0040748E" w:rsidRPr="009A22BF" w:rsidRDefault="0040748E" w:rsidP="009A22BF">
            <w:pPr>
              <w:spacing w:line="276" w:lineRule="auto"/>
              <w:jc w:val="both"/>
              <w:rPr>
                <w:rFonts w:asciiTheme="majorBidi" w:hAnsiTheme="majorBidi" w:cstheme="majorBidi"/>
                <w:sz w:val="24"/>
                <w:szCs w:val="24"/>
              </w:rPr>
            </w:pPr>
            <w:proofErr w:type="spellStart"/>
            <w:r w:rsidRPr="009A22BF">
              <w:rPr>
                <w:rFonts w:asciiTheme="majorBidi" w:hAnsiTheme="majorBidi" w:cstheme="majorBidi"/>
                <w:sz w:val="24"/>
                <w:szCs w:val="24"/>
              </w:rPr>
              <w:t>accountability_object</w:t>
            </w:r>
            <w:proofErr w:type="spellEnd"/>
          </w:p>
        </w:tc>
        <w:tc>
          <w:tcPr>
            <w:tcW w:w="0" w:type="auto"/>
            <w:vAlign w:val="center"/>
            <w:hideMark/>
          </w:tcPr>
          <w:p w14:paraId="7B86AF07" w14:textId="77777777" w:rsidR="0040748E" w:rsidRPr="009A22BF" w:rsidRDefault="0040748E" w:rsidP="009A22BF">
            <w:pPr>
              <w:spacing w:line="276" w:lineRule="auto"/>
              <w:jc w:val="both"/>
              <w:rPr>
                <w:rFonts w:asciiTheme="majorBidi" w:hAnsiTheme="majorBidi" w:cstheme="majorBidi"/>
                <w:sz w:val="24"/>
                <w:szCs w:val="24"/>
              </w:rPr>
            </w:pPr>
            <w:r w:rsidRPr="009A22BF">
              <w:rPr>
                <w:rFonts w:asciiTheme="majorBidi" w:hAnsiTheme="majorBidi" w:cstheme="majorBidi"/>
                <w:sz w:val="24"/>
                <w:szCs w:val="24"/>
              </w:rPr>
              <w:t>For which decision, function or conduct?</w:t>
            </w:r>
          </w:p>
        </w:tc>
      </w:tr>
      <w:tr w:rsidR="0040748E" w:rsidRPr="009A22BF" w14:paraId="6EA70C7D" w14:textId="77777777" w:rsidTr="009A22BF">
        <w:trPr>
          <w:tblCellSpacing w:w="15" w:type="dxa"/>
        </w:trPr>
        <w:tc>
          <w:tcPr>
            <w:tcW w:w="0" w:type="auto"/>
            <w:vAlign w:val="center"/>
            <w:hideMark/>
          </w:tcPr>
          <w:p w14:paraId="7FB0EEB7" w14:textId="77777777" w:rsidR="0040748E" w:rsidRPr="009A22BF" w:rsidRDefault="0040748E" w:rsidP="009A22BF">
            <w:pPr>
              <w:spacing w:line="276" w:lineRule="auto"/>
              <w:jc w:val="both"/>
              <w:rPr>
                <w:rFonts w:asciiTheme="majorBidi" w:hAnsiTheme="majorBidi" w:cstheme="majorBidi"/>
                <w:sz w:val="24"/>
                <w:szCs w:val="24"/>
              </w:rPr>
            </w:pPr>
            <w:proofErr w:type="spellStart"/>
            <w:r w:rsidRPr="009A22BF">
              <w:rPr>
                <w:rFonts w:asciiTheme="majorBidi" w:hAnsiTheme="majorBidi" w:cstheme="majorBidi"/>
                <w:sz w:val="24"/>
                <w:szCs w:val="24"/>
              </w:rPr>
              <w:t>information_required</w:t>
            </w:r>
            <w:proofErr w:type="spellEnd"/>
          </w:p>
        </w:tc>
        <w:tc>
          <w:tcPr>
            <w:tcW w:w="0" w:type="auto"/>
            <w:vAlign w:val="center"/>
            <w:hideMark/>
          </w:tcPr>
          <w:p w14:paraId="41C2F112" w14:textId="77777777" w:rsidR="0040748E" w:rsidRPr="009A22BF" w:rsidRDefault="0040748E" w:rsidP="009A22BF">
            <w:pPr>
              <w:spacing w:line="276" w:lineRule="auto"/>
              <w:jc w:val="both"/>
              <w:rPr>
                <w:rFonts w:asciiTheme="majorBidi" w:hAnsiTheme="majorBidi" w:cstheme="majorBidi"/>
                <w:sz w:val="24"/>
                <w:szCs w:val="24"/>
              </w:rPr>
            </w:pPr>
            <w:r w:rsidRPr="009A22BF">
              <w:rPr>
                <w:rFonts w:asciiTheme="majorBidi" w:hAnsiTheme="majorBidi" w:cstheme="majorBidi"/>
                <w:sz w:val="24"/>
                <w:szCs w:val="24"/>
              </w:rPr>
              <w:t>Must information be provided?</w:t>
            </w:r>
          </w:p>
        </w:tc>
      </w:tr>
      <w:tr w:rsidR="0040748E" w:rsidRPr="009A22BF" w14:paraId="4AF75F5C" w14:textId="77777777" w:rsidTr="009A22BF">
        <w:trPr>
          <w:tblCellSpacing w:w="15" w:type="dxa"/>
        </w:trPr>
        <w:tc>
          <w:tcPr>
            <w:tcW w:w="0" w:type="auto"/>
            <w:vAlign w:val="center"/>
            <w:hideMark/>
          </w:tcPr>
          <w:p w14:paraId="19970628" w14:textId="77777777" w:rsidR="0040748E" w:rsidRPr="009A22BF" w:rsidRDefault="0040748E" w:rsidP="009A22BF">
            <w:pPr>
              <w:spacing w:line="276" w:lineRule="auto"/>
              <w:jc w:val="both"/>
              <w:rPr>
                <w:rFonts w:asciiTheme="majorBidi" w:hAnsiTheme="majorBidi" w:cstheme="majorBidi"/>
                <w:sz w:val="24"/>
                <w:szCs w:val="24"/>
              </w:rPr>
            </w:pPr>
            <w:proofErr w:type="spellStart"/>
            <w:r w:rsidRPr="009A22BF">
              <w:rPr>
                <w:rFonts w:asciiTheme="majorBidi" w:hAnsiTheme="majorBidi" w:cstheme="majorBidi"/>
                <w:sz w:val="24"/>
                <w:szCs w:val="24"/>
              </w:rPr>
              <w:t>justification_required</w:t>
            </w:r>
            <w:proofErr w:type="spellEnd"/>
          </w:p>
        </w:tc>
        <w:tc>
          <w:tcPr>
            <w:tcW w:w="0" w:type="auto"/>
            <w:vAlign w:val="center"/>
            <w:hideMark/>
          </w:tcPr>
          <w:p w14:paraId="51D3F1FD" w14:textId="77777777" w:rsidR="0040748E" w:rsidRPr="009A22BF" w:rsidRDefault="0040748E" w:rsidP="009A22BF">
            <w:pPr>
              <w:spacing w:line="276" w:lineRule="auto"/>
              <w:jc w:val="both"/>
              <w:rPr>
                <w:rFonts w:asciiTheme="majorBidi" w:hAnsiTheme="majorBidi" w:cstheme="majorBidi"/>
                <w:sz w:val="24"/>
                <w:szCs w:val="24"/>
              </w:rPr>
            </w:pPr>
            <w:r w:rsidRPr="009A22BF">
              <w:rPr>
                <w:rFonts w:asciiTheme="majorBidi" w:hAnsiTheme="majorBidi" w:cstheme="majorBidi"/>
                <w:sz w:val="24"/>
                <w:szCs w:val="24"/>
              </w:rPr>
              <w:t>Must reasons or explanations be given?</w:t>
            </w:r>
          </w:p>
        </w:tc>
      </w:tr>
      <w:tr w:rsidR="0040748E" w:rsidRPr="009A22BF" w14:paraId="1578E6E4" w14:textId="77777777" w:rsidTr="009A22BF">
        <w:trPr>
          <w:tblCellSpacing w:w="15" w:type="dxa"/>
        </w:trPr>
        <w:tc>
          <w:tcPr>
            <w:tcW w:w="0" w:type="auto"/>
            <w:vAlign w:val="center"/>
            <w:hideMark/>
          </w:tcPr>
          <w:p w14:paraId="0F122E35" w14:textId="77777777" w:rsidR="0040748E" w:rsidRPr="009A22BF" w:rsidRDefault="0040748E" w:rsidP="009A22BF">
            <w:pPr>
              <w:spacing w:line="276" w:lineRule="auto"/>
              <w:jc w:val="both"/>
              <w:rPr>
                <w:rFonts w:asciiTheme="majorBidi" w:hAnsiTheme="majorBidi" w:cstheme="majorBidi"/>
                <w:sz w:val="24"/>
                <w:szCs w:val="24"/>
              </w:rPr>
            </w:pPr>
            <w:proofErr w:type="spellStart"/>
            <w:r w:rsidRPr="009A22BF">
              <w:rPr>
                <w:rFonts w:asciiTheme="majorBidi" w:hAnsiTheme="majorBidi" w:cstheme="majorBidi"/>
                <w:sz w:val="24"/>
                <w:szCs w:val="24"/>
              </w:rPr>
              <w:t>assessment_power</w:t>
            </w:r>
            <w:proofErr w:type="spellEnd"/>
          </w:p>
        </w:tc>
        <w:tc>
          <w:tcPr>
            <w:tcW w:w="0" w:type="auto"/>
            <w:vAlign w:val="center"/>
            <w:hideMark/>
          </w:tcPr>
          <w:p w14:paraId="47835C4E" w14:textId="77777777" w:rsidR="0040748E" w:rsidRPr="009A22BF" w:rsidRDefault="0040748E" w:rsidP="009A22BF">
            <w:pPr>
              <w:spacing w:line="276" w:lineRule="auto"/>
              <w:jc w:val="both"/>
              <w:rPr>
                <w:rFonts w:asciiTheme="majorBidi" w:hAnsiTheme="majorBidi" w:cstheme="majorBidi"/>
                <w:sz w:val="24"/>
                <w:szCs w:val="24"/>
              </w:rPr>
            </w:pPr>
            <w:r w:rsidRPr="009A22BF">
              <w:rPr>
                <w:rFonts w:asciiTheme="majorBidi" w:hAnsiTheme="majorBidi" w:cstheme="majorBidi"/>
                <w:sz w:val="24"/>
                <w:szCs w:val="24"/>
              </w:rPr>
              <w:t>Can the forum evaluate or judge conduct?</w:t>
            </w:r>
          </w:p>
        </w:tc>
      </w:tr>
      <w:tr w:rsidR="0040748E" w:rsidRPr="009A22BF" w14:paraId="2424491E" w14:textId="77777777" w:rsidTr="009A22BF">
        <w:trPr>
          <w:tblCellSpacing w:w="15" w:type="dxa"/>
        </w:trPr>
        <w:tc>
          <w:tcPr>
            <w:tcW w:w="0" w:type="auto"/>
            <w:vAlign w:val="center"/>
            <w:hideMark/>
          </w:tcPr>
          <w:p w14:paraId="5A3E8867" w14:textId="77777777" w:rsidR="0040748E" w:rsidRPr="009A22BF" w:rsidRDefault="0040748E" w:rsidP="009A22BF">
            <w:pPr>
              <w:spacing w:line="276" w:lineRule="auto"/>
              <w:jc w:val="both"/>
              <w:rPr>
                <w:rFonts w:asciiTheme="majorBidi" w:hAnsiTheme="majorBidi" w:cstheme="majorBidi"/>
                <w:sz w:val="24"/>
                <w:szCs w:val="24"/>
              </w:rPr>
            </w:pPr>
            <w:proofErr w:type="spellStart"/>
            <w:r w:rsidRPr="009A22BF">
              <w:rPr>
                <w:rFonts w:asciiTheme="majorBidi" w:hAnsiTheme="majorBidi" w:cstheme="majorBidi"/>
                <w:sz w:val="24"/>
                <w:szCs w:val="24"/>
              </w:rPr>
              <w:t>consequence_power</w:t>
            </w:r>
            <w:proofErr w:type="spellEnd"/>
          </w:p>
        </w:tc>
        <w:tc>
          <w:tcPr>
            <w:tcW w:w="0" w:type="auto"/>
            <w:vAlign w:val="center"/>
            <w:hideMark/>
          </w:tcPr>
          <w:p w14:paraId="2C03AD83" w14:textId="77777777" w:rsidR="0040748E" w:rsidRPr="009A22BF" w:rsidRDefault="0040748E" w:rsidP="009A22BF">
            <w:pPr>
              <w:spacing w:line="276" w:lineRule="auto"/>
              <w:jc w:val="both"/>
              <w:rPr>
                <w:rFonts w:asciiTheme="majorBidi" w:hAnsiTheme="majorBidi" w:cstheme="majorBidi"/>
                <w:sz w:val="24"/>
                <w:szCs w:val="24"/>
              </w:rPr>
            </w:pPr>
            <w:r w:rsidRPr="009A22BF">
              <w:rPr>
                <w:rFonts w:asciiTheme="majorBidi" w:hAnsiTheme="majorBidi" w:cstheme="majorBidi"/>
                <w:sz w:val="24"/>
                <w:szCs w:val="24"/>
              </w:rPr>
              <w:t>Can consequences follow?</w:t>
            </w:r>
          </w:p>
        </w:tc>
      </w:tr>
      <w:tr w:rsidR="0040748E" w:rsidRPr="009A22BF" w14:paraId="397F8322" w14:textId="77777777" w:rsidTr="009A22BF">
        <w:trPr>
          <w:tblCellSpacing w:w="15" w:type="dxa"/>
        </w:trPr>
        <w:tc>
          <w:tcPr>
            <w:tcW w:w="0" w:type="auto"/>
            <w:vAlign w:val="center"/>
            <w:hideMark/>
          </w:tcPr>
          <w:p w14:paraId="1F15C52A" w14:textId="77777777" w:rsidR="0040748E" w:rsidRPr="009A22BF" w:rsidRDefault="0040748E" w:rsidP="009A22BF">
            <w:pPr>
              <w:spacing w:line="276" w:lineRule="auto"/>
              <w:jc w:val="both"/>
              <w:rPr>
                <w:rFonts w:asciiTheme="majorBidi" w:hAnsiTheme="majorBidi" w:cstheme="majorBidi"/>
                <w:sz w:val="24"/>
                <w:szCs w:val="24"/>
              </w:rPr>
            </w:pPr>
            <w:proofErr w:type="spellStart"/>
            <w:r w:rsidRPr="009A22BF">
              <w:rPr>
                <w:rFonts w:asciiTheme="majorBidi" w:hAnsiTheme="majorBidi" w:cstheme="majorBidi"/>
                <w:sz w:val="24"/>
                <w:szCs w:val="24"/>
              </w:rPr>
              <w:t>review_available</w:t>
            </w:r>
            <w:proofErr w:type="spellEnd"/>
          </w:p>
        </w:tc>
        <w:tc>
          <w:tcPr>
            <w:tcW w:w="0" w:type="auto"/>
            <w:vAlign w:val="center"/>
            <w:hideMark/>
          </w:tcPr>
          <w:p w14:paraId="213997C1" w14:textId="77777777" w:rsidR="0040748E" w:rsidRPr="009A22BF" w:rsidRDefault="0040748E" w:rsidP="009A22BF">
            <w:pPr>
              <w:spacing w:line="276" w:lineRule="auto"/>
              <w:jc w:val="both"/>
              <w:rPr>
                <w:rFonts w:asciiTheme="majorBidi" w:hAnsiTheme="majorBidi" w:cstheme="majorBidi"/>
                <w:sz w:val="24"/>
                <w:szCs w:val="24"/>
              </w:rPr>
            </w:pPr>
            <w:r w:rsidRPr="009A22BF">
              <w:rPr>
                <w:rFonts w:asciiTheme="majorBidi" w:hAnsiTheme="majorBidi" w:cstheme="majorBidi"/>
                <w:sz w:val="24"/>
                <w:szCs w:val="24"/>
              </w:rPr>
              <w:t>Can the decision be reconsidered or challenged?</w:t>
            </w:r>
          </w:p>
        </w:tc>
      </w:tr>
      <w:tr w:rsidR="0040748E" w:rsidRPr="009A22BF" w14:paraId="23E14FBE" w14:textId="77777777" w:rsidTr="009A22BF">
        <w:trPr>
          <w:tblCellSpacing w:w="15" w:type="dxa"/>
        </w:trPr>
        <w:tc>
          <w:tcPr>
            <w:tcW w:w="0" w:type="auto"/>
            <w:vAlign w:val="center"/>
            <w:hideMark/>
          </w:tcPr>
          <w:p w14:paraId="6BD675C8" w14:textId="77777777" w:rsidR="0040748E" w:rsidRPr="009A22BF" w:rsidRDefault="0040748E" w:rsidP="009A22BF">
            <w:pPr>
              <w:spacing w:line="276" w:lineRule="auto"/>
              <w:jc w:val="both"/>
              <w:rPr>
                <w:rFonts w:asciiTheme="majorBidi" w:hAnsiTheme="majorBidi" w:cstheme="majorBidi"/>
                <w:sz w:val="24"/>
                <w:szCs w:val="24"/>
              </w:rPr>
            </w:pPr>
            <w:r w:rsidRPr="009A22BF">
              <w:rPr>
                <w:rFonts w:asciiTheme="majorBidi" w:hAnsiTheme="majorBidi" w:cstheme="majorBidi"/>
                <w:sz w:val="24"/>
                <w:szCs w:val="24"/>
              </w:rPr>
              <w:t>transparency</w:t>
            </w:r>
          </w:p>
        </w:tc>
        <w:tc>
          <w:tcPr>
            <w:tcW w:w="0" w:type="auto"/>
            <w:vAlign w:val="center"/>
            <w:hideMark/>
          </w:tcPr>
          <w:p w14:paraId="1D716FF8" w14:textId="77777777" w:rsidR="0040748E" w:rsidRPr="009A22BF" w:rsidRDefault="0040748E" w:rsidP="009A22BF">
            <w:pPr>
              <w:spacing w:line="276" w:lineRule="auto"/>
              <w:jc w:val="both"/>
              <w:rPr>
                <w:rFonts w:asciiTheme="majorBidi" w:hAnsiTheme="majorBidi" w:cstheme="majorBidi"/>
                <w:sz w:val="24"/>
                <w:szCs w:val="24"/>
              </w:rPr>
            </w:pPr>
            <w:r w:rsidRPr="009A22BF">
              <w:rPr>
                <w:rFonts w:asciiTheme="majorBidi" w:hAnsiTheme="majorBidi" w:cstheme="majorBidi"/>
                <w:sz w:val="24"/>
                <w:szCs w:val="24"/>
              </w:rPr>
              <w:t>Is the process public, restricted or confidential?</w:t>
            </w:r>
          </w:p>
        </w:tc>
      </w:tr>
      <w:tr w:rsidR="0040748E" w:rsidRPr="009A22BF" w14:paraId="33DD92CE" w14:textId="77777777" w:rsidTr="009A22BF">
        <w:trPr>
          <w:tblCellSpacing w:w="15" w:type="dxa"/>
        </w:trPr>
        <w:tc>
          <w:tcPr>
            <w:tcW w:w="0" w:type="auto"/>
            <w:vAlign w:val="center"/>
            <w:hideMark/>
          </w:tcPr>
          <w:p w14:paraId="15BCECEA" w14:textId="77777777" w:rsidR="0040748E" w:rsidRPr="009A22BF" w:rsidRDefault="0040748E" w:rsidP="009A22BF">
            <w:pPr>
              <w:spacing w:line="276" w:lineRule="auto"/>
              <w:jc w:val="both"/>
              <w:rPr>
                <w:rFonts w:asciiTheme="majorBidi" w:hAnsiTheme="majorBidi" w:cstheme="majorBidi"/>
                <w:sz w:val="24"/>
                <w:szCs w:val="24"/>
              </w:rPr>
            </w:pPr>
            <w:r w:rsidRPr="009A22BF">
              <w:rPr>
                <w:rFonts w:asciiTheme="majorBidi" w:hAnsiTheme="majorBidi" w:cstheme="majorBidi"/>
                <w:sz w:val="24"/>
                <w:szCs w:val="24"/>
              </w:rPr>
              <w:lastRenderedPageBreak/>
              <w:t>frequency</w:t>
            </w:r>
          </w:p>
        </w:tc>
        <w:tc>
          <w:tcPr>
            <w:tcW w:w="0" w:type="auto"/>
            <w:vAlign w:val="center"/>
            <w:hideMark/>
          </w:tcPr>
          <w:p w14:paraId="0BD98C07" w14:textId="77777777" w:rsidR="0040748E" w:rsidRPr="009A22BF" w:rsidRDefault="0040748E" w:rsidP="009A22BF">
            <w:pPr>
              <w:spacing w:line="276" w:lineRule="auto"/>
              <w:jc w:val="both"/>
              <w:rPr>
                <w:rFonts w:asciiTheme="majorBidi" w:hAnsiTheme="majorBidi" w:cstheme="majorBidi"/>
                <w:sz w:val="24"/>
                <w:szCs w:val="24"/>
              </w:rPr>
            </w:pPr>
            <w:r w:rsidRPr="009A22BF">
              <w:rPr>
                <w:rFonts w:asciiTheme="majorBidi" w:hAnsiTheme="majorBidi" w:cstheme="majorBidi"/>
                <w:sz w:val="24"/>
                <w:szCs w:val="24"/>
              </w:rPr>
              <w:t>Continuous, periodic, event-triggered or ad hoc?</w:t>
            </w:r>
          </w:p>
        </w:tc>
      </w:tr>
    </w:tbl>
    <w:p w14:paraId="39D9A6C2" w14:textId="5180771A"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t>These variables should remain anchored in the provisions that establish them. Where accountability is constituted across several provisions, the database should preserve the links among those provisions rather than force the relationship into a single textual observation.</w:t>
      </w:r>
      <w:r w:rsidR="009A22BF" w:rsidRPr="009A22BF">
        <w:rPr>
          <w:rFonts w:asciiTheme="majorBidi" w:hAnsiTheme="majorBidi" w:cstheme="majorBidi"/>
        </w:rPr>
        <w:t xml:space="preserve"> </w:t>
      </w:r>
      <w:r w:rsidRPr="009A22BF">
        <w:rPr>
          <w:rFonts w:asciiTheme="majorBidi" w:hAnsiTheme="majorBidi" w:cstheme="majorBidi"/>
        </w:rPr>
        <w:t>The resulting approach permits accountability to be analyzed both relationally and architecturally. At the relational level, it identifies who answers to whom and through which processes. At the architectural level, it reveals whether accountability follows the distribution of authority and discretion across the governance system. A law that decentralizes regulatory functions while concentrating accountability upward to a public regulator produces a different governance architecture from one in which intermediaries are primarily accountable to clients, professional bodies or affected stakeholders.</w:t>
      </w:r>
      <w:r w:rsidR="009A22BF" w:rsidRPr="009A22BF">
        <w:rPr>
          <w:rFonts w:asciiTheme="majorBidi" w:hAnsiTheme="majorBidi" w:cstheme="majorBidi"/>
        </w:rPr>
        <w:t xml:space="preserve"> </w:t>
      </w:r>
      <w:r w:rsidRPr="009A22BF">
        <w:rPr>
          <w:rFonts w:asciiTheme="majorBidi" w:hAnsiTheme="majorBidi" w:cstheme="majorBidi"/>
        </w:rPr>
        <w:t>Accountability is therefore not simply a constraint imposed upon governance. It is one of the principal ways in which law structures governance itself. Mapping accountability relationships makes visible the countervailing arrangements through which authority and discretion are supervised, explained, contested and corrected.</w:t>
      </w:r>
    </w:p>
    <w:p w14:paraId="64F291FD" w14:textId="48D780DC" w:rsidR="00656BE6" w:rsidRDefault="00656BE6" w:rsidP="0036629B">
      <w:pPr>
        <w:rPr>
          <w:rFonts w:asciiTheme="majorBidi" w:hAnsiTheme="majorBidi" w:cstheme="majorBidi"/>
          <w:b/>
          <w:bCs/>
          <w:sz w:val="24"/>
          <w:szCs w:val="24"/>
        </w:rPr>
      </w:pPr>
    </w:p>
    <w:p w14:paraId="19BFB560" w14:textId="07DA9F75" w:rsidR="00667343" w:rsidRPr="00115660" w:rsidRDefault="00667343" w:rsidP="00667343">
      <w:pPr>
        <w:spacing w:beforeAutospacing="1" w:afterAutospacing="1"/>
        <w:rPr>
          <w:rFonts w:asciiTheme="majorBidi" w:eastAsia="Times New Roman" w:hAnsiTheme="majorBidi" w:cstheme="majorBidi"/>
          <w:sz w:val="26"/>
          <w:szCs w:val="26"/>
        </w:rPr>
      </w:pPr>
      <w:r w:rsidRPr="00115660">
        <w:rPr>
          <w:rFonts w:asciiTheme="majorBidi" w:eastAsia="Times New Roman" w:hAnsiTheme="majorBidi" w:cstheme="majorBidi"/>
          <w:b/>
          <w:bCs/>
          <w:sz w:val="26"/>
          <w:szCs w:val="26"/>
        </w:rPr>
        <w:t>5. Higher-Order Constructs: Strategies, Architectures, Regimes and Governance Logics</w:t>
      </w:r>
    </w:p>
    <w:p w14:paraId="45CFCAF2" w14:textId="6A9DEE5A" w:rsidR="00656BE6" w:rsidRDefault="00656BE6" w:rsidP="00667343">
      <w:pPr>
        <w:rPr>
          <w:rFonts w:asciiTheme="majorBidi" w:hAnsiTheme="majorBidi" w:cstheme="majorBidi"/>
          <w:b/>
          <w:bCs/>
          <w:sz w:val="24"/>
          <w:szCs w:val="24"/>
        </w:rPr>
      </w:pPr>
    </w:p>
    <w:p w14:paraId="0169AAE1" w14:textId="7E91AAA8" w:rsidR="003902C2" w:rsidRPr="0036629B" w:rsidRDefault="00656BE6" w:rsidP="0036629B">
      <w:pPr>
        <w:rPr>
          <w:rFonts w:asciiTheme="majorBidi" w:hAnsiTheme="majorBidi" w:cstheme="majorBidi"/>
          <w:b/>
          <w:bCs/>
          <w:sz w:val="24"/>
          <w:szCs w:val="24"/>
        </w:rPr>
      </w:pPr>
      <w:r>
        <w:rPr>
          <w:rFonts w:asciiTheme="majorBidi" w:hAnsiTheme="majorBidi" w:cstheme="majorBidi"/>
          <w:b/>
          <w:bCs/>
          <w:sz w:val="24"/>
          <w:szCs w:val="24"/>
        </w:rPr>
        <w:t xml:space="preserve">5.1 </w:t>
      </w:r>
      <w:r w:rsidR="00094FA3">
        <w:rPr>
          <w:rFonts w:asciiTheme="majorBidi" w:hAnsiTheme="majorBidi" w:cstheme="majorBidi"/>
          <w:b/>
          <w:bCs/>
          <w:sz w:val="24"/>
          <w:szCs w:val="24"/>
        </w:rPr>
        <w:t xml:space="preserve"> </w:t>
      </w:r>
      <w:r w:rsidR="00BB24A5" w:rsidRPr="0036629B">
        <w:rPr>
          <w:rFonts w:asciiTheme="majorBidi" w:hAnsiTheme="majorBidi" w:cstheme="majorBidi"/>
          <w:b/>
          <w:bCs/>
          <w:sz w:val="24"/>
          <w:szCs w:val="24"/>
        </w:rPr>
        <w:t xml:space="preserve"> Strategies: Patterned Combinations of Mechanisms</w:t>
      </w:r>
    </w:p>
    <w:p w14:paraId="3E913EFB" w14:textId="77777777" w:rsidR="00356192" w:rsidRPr="009D1438" w:rsidRDefault="00356192" w:rsidP="00071058">
      <w:pPr>
        <w:spacing w:before="180" w:after="180" w:line="276" w:lineRule="auto"/>
        <w:jc w:val="both"/>
        <w:rPr>
          <w:rFonts w:asciiTheme="majorBidi" w:hAnsiTheme="majorBidi" w:cstheme="majorBidi"/>
          <w:sz w:val="24"/>
          <w:szCs w:val="24"/>
        </w:rPr>
      </w:pPr>
      <w:r w:rsidRPr="009D1438">
        <w:rPr>
          <w:rFonts w:asciiTheme="majorBidi" w:hAnsiTheme="majorBidi" w:cstheme="majorBidi"/>
          <w:sz w:val="24"/>
          <w:szCs w:val="24"/>
        </w:rPr>
        <w:t xml:space="preserve">A </w:t>
      </w:r>
      <w:r w:rsidRPr="009D1438">
        <w:rPr>
          <w:rFonts w:asciiTheme="majorBidi" w:hAnsiTheme="majorBidi" w:cstheme="majorBidi"/>
          <w:b/>
          <w:bCs/>
          <w:sz w:val="24"/>
          <w:szCs w:val="24"/>
        </w:rPr>
        <w:t>strategy of regulation</w:t>
      </w:r>
      <w:r w:rsidRPr="009D1438">
        <w:rPr>
          <w:rFonts w:asciiTheme="majorBidi" w:hAnsiTheme="majorBidi" w:cstheme="majorBidi"/>
          <w:sz w:val="24"/>
          <w:szCs w:val="24"/>
        </w:rPr>
        <w:t xml:space="preserve"> is a patterned approach through which public authority structures the obligations of regulated actors in order to achieve regulatory goals. Strategies differ according to </w:t>
      </w:r>
      <w:r w:rsidRPr="009D1438">
        <w:rPr>
          <w:rFonts w:asciiTheme="majorBidi" w:hAnsiTheme="majorBidi" w:cstheme="majorBidi"/>
          <w:i/>
          <w:iCs/>
          <w:sz w:val="24"/>
          <w:szCs w:val="24"/>
        </w:rPr>
        <w:t>what the regulator specifies and makes the principal object of compliance</w:t>
      </w:r>
      <w:r w:rsidRPr="009D1438">
        <w:rPr>
          <w:rFonts w:asciiTheme="majorBidi" w:hAnsiTheme="majorBidi" w:cstheme="majorBidi"/>
          <w:sz w:val="24"/>
          <w:szCs w:val="24"/>
        </w:rPr>
        <w:t xml:space="preserve">: prescribed conduct or technology, organizational processes, management systems, procedures, measurable performance, or ultimate outcomes. A single regulatory strategy may employ several mechanisms and functions and may be embedded in different architectures. Moreover, the categories are not necessarily mutually exclusive: a statute may combine detailed procedural requirements with management-system duties and performance or outcome standards (Coglianese and </w:t>
      </w:r>
      <w:proofErr w:type="spellStart"/>
      <w:r w:rsidRPr="009D1438">
        <w:rPr>
          <w:rFonts w:asciiTheme="majorBidi" w:hAnsiTheme="majorBidi" w:cstheme="majorBidi"/>
          <w:sz w:val="24"/>
          <w:szCs w:val="24"/>
        </w:rPr>
        <w:t>Lazer</w:t>
      </w:r>
      <w:proofErr w:type="spellEnd"/>
      <w:r w:rsidRPr="009D1438">
        <w:rPr>
          <w:rFonts w:asciiTheme="majorBidi" w:hAnsiTheme="majorBidi" w:cstheme="majorBidi"/>
          <w:sz w:val="24"/>
          <w:szCs w:val="24"/>
        </w:rPr>
        <w:t xml:space="preserve"> 2003; May 2007; Baldwin, Cave and Lodge 2012).</w:t>
      </w:r>
    </w:p>
    <w:p w14:paraId="652A027E" w14:textId="77777777" w:rsidR="00356192" w:rsidRPr="00356192" w:rsidRDefault="00356192" w:rsidP="00071058">
      <w:pPr>
        <w:spacing w:line="276" w:lineRule="auto"/>
        <w:jc w:val="both"/>
        <w:rPr>
          <w:rFonts w:asciiTheme="majorBidi" w:hAnsiTheme="majorBidi" w:cstheme="majorBidi"/>
          <w:sz w:val="24"/>
          <w:szCs w:val="24"/>
        </w:rPr>
      </w:pPr>
      <w:r w:rsidRPr="00356192">
        <w:rPr>
          <w:rFonts w:asciiTheme="majorBidi" w:hAnsiTheme="majorBidi" w:cstheme="majorBidi"/>
          <w:b/>
          <w:bCs/>
          <w:sz w:val="24"/>
          <w:szCs w:val="24"/>
        </w:rPr>
        <w:t>Prescriptive regulation</w:t>
      </w:r>
      <w:r w:rsidRPr="00356192">
        <w:rPr>
          <w:rFonts w:asciiTheme="majorBidi" w:hAnsiTheme="majorBidi" w:cstheme="majorBidi"/>
          <w:sz w:val="24"/>
          <w:szCs w:val="24"/>
        </w:rPr>
        <w:t xml:space="preserve"> specifies the actions, technologies, inputs, designs, or practices that regulated actors must use or avoid. Compliance is established primarily by determining whether the prescribed requirement has been followed. Technology-based rules, detailed design standards, equipment mandates, and specified operating practices are characteristic examples. Prescriptive regulation can provide clarity and facilitate enforcement, particularly where regulators know which practices reliably reduce harm, but it may reduce flexibility and become obsolete when technology or organizational practice changes rapidly (May 2007; Coglianese, Nash and Olmstead 2003). It provides the principal contrast against which management-, performance-, and outcome-based strategies are usually defined.</w:t>
      </w:r>
    </w:p>
    <w:p w14:paraId="2FCD80F6" w14:textId="77777777" w:rsidR="00356192" w:rsidRDefault="00356192" w:rsidP="00356192">
      <w:pPr>
        <w:jc w:val="both"/>
        <w:rPr>
          <w:rFonts w:asciiTheme="majorBidi" w:hAnsiTheme="majorBidi" w:cstheme="majorBidi"/>
          <w:b/>
          <w:bCs/>
          <w:sz w:val="24"/>
          <w:szCs w:val="24"/>
        </w:rPr>
      </w:pPr>
    </w:p>
    <w:p w14:paraId="17AE776A" w14:textId="5435D231" w:rsidR="00356192" w:rsidRPr="00356192" w:rsidRDefault="00356192" w:rsidP="00356192">
      <w:pPr>
        <w:jc w:val="both"/>
        <w:rPr>
          <w:rFonts w:asciiTheme="majorBidi" w:hAnsiTheme="majorBidi" w:cstheme="majorBidi"/>
          <w:sz w:val="24"/>
          <w:szCs w:val="24"/>
        </w:rPr>
      </w:pPr>
      <w:r w:rsidRPr="00356192">
        <w:rPr>
          <w:rFonts w:asciiTheme="majorBidi" w:hAnsiTheme="majorBidi" w:cstheme="majorBidi"/>
          <w:b/>
          <w:bCs/>
          <w:sz w:val="24"/>
          <w:szCs w:val="24"/>
        </w:rPr>
        <w:lastRenderedPageBreak/>
        <w:t>Procedural-based regulation</w:t>
      </w:r>
      <w:r w:rsidRPr="00356192">
        <w:rPr>
          <w:rFonts w:asciiTheme="majorBidi" w:hAnsiTheme="majorBidi" w:cstheme="majorBidi"/>
          <w:sz w:val="24"/>
          <w:szCs w:val="24"/>
        </w:rPr>
        <w:t xml:space="preserve"> requires regulated actors or public decision-makers to follow specified decision-making, consultation, documentation, notification, review, or participation procedures. Its immediate regulatory object is therefore not necessarily the substantive result or the quality of a management system, but the </w:t>
      </w:r>
      <w:r w:rsidRPr="00356192">
        <w:rPr>
          <w:rFonts w:asciiTheme="majorBidi" w:hAnsiTheme="majorBidi" w:cstheme="majorBidi"/>
          <w:b/>
          <w:bCs/>
          <w:sz w:val="24"/>
          <w:szCs w:val="24"/>
        </w:rPr>
        <w:t>procedure through which decisions and actions are taken</w:t>
      </w:r>
      <w:r w:rsidRPr="00356192">
        <w:rPr>
          <w:rFonts w:asciiTheme="majorBidi" w:hAnsiTheme="majorBidi" w:cstheme="majorBidi"/>
          <w:sz w:val="24"/>
          <w:szCs w:val="24"/>
        </w:rPr>
        <w:t xml:space="preserve">. Examples include duties to consult affected parties, provide reasons, conduct an impact assessment, disclose specified information, observe notice-and-comment requirements, maintain an appeal process, or obtain independent review. Procedural regulation can serve substantive goals indirectly by improving information, consistency, participation, transparency, or accountability. It overlaps with process-based regulation, but a useful distinction is that </w:t>
      </w:r>
      <w:r w:rsidRPr="00356192">
        <w:rPr>
          <w:rFonts w:asciiTheme="majorBidi" w:hAnsiTheme="majorBidi" w:cstheme="majorBidi"/>
          <w:i/>
          <w:iCs/>
          <w:sz w:val="24"/>
          <w:szCs w:val="24"/>
        </w:rPr>
        <w:t>process-based regulation</w:t>
      </w:r>
      <w:r w:rsidRPr="00356192">
        <w:rPr>
          <w:rFonts w:asciiTheme="majorBidi" w:hAnsiTheme="majorBidi" w:cstheme="majorBidi"/>
          <w:sz w:val="24"/>
          <w:szCs w:val="24"/>
        </w:rPr>
        <w:t xml:space="preserve"> ordinarily concerns operational or production processes used to control substantive risks, whereas </w:t>
      </w:r>
      <w:r w:rsidRPr="00356192">
        <w:rPr>
          <w:rFonts w:asciiTheme="majorBidi" w:hAnsiTheme="majorBidi" w:cstheme="majorBidi"/>
          <w:i/>
          <w:iCs/>
          <w:sz w:val="24"/>
          <w:szCs w:val="24"/>
        </w:rPr>
        <w:t>procedural regulation</w:t>
      </w:r>
      <w:r w:rsidRPr="00356192">
        <w:rPr>
          <w:rFonts w:asciiTheme="majorBidi" w:hAnsiTheme="majorBidi" w:cstheme="majorBidi"/>
          <w:sz w:val="24"/>
          <w:szCs w:val="24"/>
        </w:rPr>
        <w:t xml:space="preserve"> concerns the legally structured steps through which decisions, authorizations, participation, or accountability are organized. The boundary is empirical rather than absolute, and coding should preserve the underlying legal requirement rather than assume that the two categories are always exclusive.</w:t>
      </w:r>
    </w:p>
    <w:p w14:paraId="1B5612E1" w14:textId="77777777" w:rsidR="00356192" w:rsidRDefault="00356192" w:rsidP="00356192">
      <w:pPr>
        <w:jc w:val="both"/>
        <w:rPr>
          <w:rFonts w:asciiTheme="majorBidi" w:hAnsiTheme="majorBidi" w:cstheme="majorBidi"/>
          <w:sz w:val="24"/>
          <w:szCs w:val="24"/>
        </w:rPr>
      </w:pPr>
    </w:p>
    <w:p w14:paraId="1B27D69B" w14:textId="79D92B11" w:rsidR="00356192" w:rsidRPr="00356192" w:rsidRDefault="00356192" w:rsidP="00356192">
      <w:pPr>
        <w:jc w:val="both"/>
        <w:rPr>
          <w:rFonts w:asciiTheme="majorBidi" w:hAnsiTheme="majorBidi" w:cstheme="majorBidi"/>
          <w:sz w:val="24"/>
          <w:szCs w:val="24"/>
        </w:rPr>
      </w:pPr>
      <w:r w:rsidRPr="00356192">
        <w:rPr>
          <w:rFonts w:asciiTheme="majorBidi" w:hAnsiTheme="majorBidi" w:cstheme="majorBidi"/>
          <w:b/>
          <w:bCs/>
          <w:sz w:val="24"/>
          <w:szCs w:val="24"/>
        </w:rPr>
        <w:t>Process-based regulation</w:t>
      </w:r>
      <w:r w:rsidRPr="00356192">
        <w:rPr>
          <w:rFonts w:asciiTheme="majorBidi" w:hAnsiTheme="majorBidi" w:cstheme="majorBidi"/>
          <w:sz w:val="24"/>
          <w:szCs w:val="24"/>
        </w:rPr>
        <w:t xml:space="preserve"> makes specified processes or systems of activity the principal object of regulatory obligation. Gilad (2010) provides an important integrative contribution by treating systems-based regulation, enforced self-regulation, management-based regulation, principles-based regulation, and meta-regulation as members of a broader family of ‘process-oriented regulation’: approaches that permit organizations to adapt regulation to their circumstances while holding them accountable for the adequacy and effectiveness of their self-regulatory systems. Rather than prescribing every substantive action or demanding only a final result, it requires regulated organizations to establish or follow processes believed to increase the probability of achieving public goals. Examples include requirements for hazard analysis, due diligence, quality-control processes, risk assessment, consultation, record keeping, or internal review. In the literature, process-based, system-based, and management-based regulation are sometimes used interchangeably, especially where the required process concerns organizational systems for controlling risk (Coglianese and </w:t>
      </w:r>
      <w:proofErr w:type="spellStart"/>
      <w:r w:rsidRPr="00356192">
        <w:rPr>
          <w:rFonts w:asciiTheme="majorBidi" w:hAnsiTheme="majorBidi" w:cstheme="majorBidi"/>
          <w:sz w:val="24"/>
          <w:szCs w:val="24"/>
        </w:rPr>
        <w:t>Lazer</w:t>
      </w:r>
      <w:proofErr w:type="spellEnd"/>
      <w:r w:rsidRPr="00356192">
        <w:rPr>
          <w:rFonts w:asciiTheme="majorBidi" w:hAnsiTheme="majorBidi" w:cstheme="majorBidi"/>
          <w:sz w:val="24"/>
          <w:szCs w:val="24"/>
        </w:rPr>
        <w:t xml:space="preserve"> 2003; May 2007). Analytically, however, process-based regulation can be treated as the broader category: it governs how an activity is organized or conducted, whether or not it requires a comprehensive managerial system.</w:t>
      </w:r>
    </w:p>
    <w:p w14:paraId="50F0F6C9" w14:textId="77777777" w:rsidR="00356192" w:rsidRDefault="00356192" w:rsidP="00356192">
      <w:pPr>
        <w:jc w:val="both"/>
        <w:rPr>
          <w:rFonts w:asciiTheme="majorBidi" w:hAnsiTheme="majorBidi" w:cstheme="majorBidi"/>
          <w:b/>
          <w:bCs/>
          <w:sz w:val="24"/>
          <w:szCs w:val="24"/>
        </w:rPr>
      </w:pPr>
    </w:p>
    <w:p w14:paraId="6260BB84" w14:textId="501F0433" w:rsidR="00356192" w:rsidRPr="00356192" w:rsidRDefault="00356192" w:rsidP="00356192">
      <w:pPr>
        <w:jc w:val="both"/>
        <w:rPr>
          <w:rFonts w:asciiTheme="majorBidi" w:hAnsiTheme="majorBidi" w:cstheme="majorBidi"/>
          <w:sz w:val="24"/>
          <w:szCs w:val="24"/>
        </w:rPr>
      </w:pPr>
      <w:r w:rsidRPr="00356192">
        <w:rPr>
          <w:rFonts w:asciiTheme="majorBidi" w:hAnsiTheme="majorBidi" w:cstheme="majorBidi"/>
          <w:b/>
          <w:bCs/>
          <w:sz w:val="24"/>
          <w:szCs w:val="24"/>
        </w:rPr>
        <w:t>Management-based regulation</w:t>
      </w:r>
      <w:r w:rsidRPr="00356192">
        <w:rPr>
          <w:rFonts w:asciiTheme="majorBidi" w:hAnsiTheme="majorBidi" w:cstheme="majorBidi"/>
          <w:sz w:val="24"/>
          <w:szCs w:val="24"/>
        </w:rPr>
        <w:t xml:space="preserve"> is a more specific strategy that requires regulated organizations to develop and operate their own planning, risk-management, monitoring, and corrective systems directed toward publicly specified goals. Coglianese and </w:t>
      </w:r>
      <w:proofErr w:type="spellStart"/>
      <w:r w:rsidRPr="00356192">
        <w:rPr>
          <w:rFonts w:asciiTheme="majorBidi" w:hAnsiTheme="majorBidi" w:cstheme="majorBidi"/>
          <w:sz w:val="24"/>
          <w:szCs w:val="24"/>
        </w:rPr>
        <w:t>Lazer</w:t>
      </w:r>
      <w:proofErr w:type="spellEnd"/>
      <w:r w:rsidRPr="00356192">
        <w:rPr>
          <w:rFonts w:asciiTheme="majorBidi" w:hAnsiTheme="majorBidi" w:cstheme="majorBidi"/>
          <w:sz w:val="24"/>
          <w:szCs w:val="24"/>
        </w:rPr>
        <w:t xml:space="preserve"> (2003) define its distinctive feature as directing firms to engage in planning processes aimed at public objectives while leaving them significant discretion over the substantive means chosen. The regulator thus regulates the organization’s </w:t>
      </w:r>
      <w:r w:rsidRPr="00356192">
        <w:rPr>
          <w:rFonts w:asciiTheme="majorBidi" w:hAnsiTheme="majorBidi" w:cstheme="majorBidi"/>
          <w:b/>
          <w:bCs/>
          <w:sz w:val="24"/>
          <w:szCs w:val="24"/>
        </w:rPr>
        <w:t>capacity to regulate itself</w:t>
      </w:r>
      <w:r w:rsidRPr="00356192">
        <w:rPr>
          <w:rFonts w:asciiTheme="majorBidi" w:hAnsiTheme="majorBidi" w:cstheme="majorBidi"/>
          <w:sz w:val="24"/>
          <w:szCs w:val="24"/>
        </w:rPr>
        <w:t xml:space="preserve"> rather than attempting to prescribe all operational conduct. Management-based regulation is especially attractive where regulated entities are heterogeneous, regulators possess less information than firms about internal operations, and outputs or harms are difficult to measure directly. Food-safety systems, environmental management systems, and industrial risk-management plans provide prominent examples (Coglianese and </w:t>
      </w:r>
      <w:proofErr w:type="spellStart"/>
      <w:r w:rsidRPr="00356192">
        <w:rPr>
          <w:rFonts w:asciiTheme="majorBidi" w:hAnsiTheme="majorBidi" w:cstheme="majorBidi"/>
          <w:sz w:val="24"/>
          <w:szCs w:val="24"/>
        </w:rPr>
        <w:t>Lazer</w:t>
      </w:r>
      <w:proofErr w:type="spellEnd"/>
      <w:r w:rsidRPr="00356192">
        <w:rPr>
          <w:rFonts w:asciiTheme="majorBidi" w:hAnsiTheme="majorBidi" w:cstheme="majorBidi"/>
          <w:sz w:val="24"/>
          <w:szCs w:val="24"/>
        </w:rPr>
        <w:t xml:space="preserve"> 2003). Management-based regulation is closely related to meta-regulation, although the latter places greater conceptual emphasis on the regulator’s oversight of the regulated organization’s own regulatory or compliance system. Prescriptive, process/management, performance, and outcome approaches primarily differ in where along the causal chain the regulator places the legally enforceable standard: inputs and conduct; organizational processes and systems; measurable performance; or ultimate results. Procedural regulation focuses on the legally required steps through which decisions and accountability are organized. Principles-based regulation varies the </w:t>
      </w:r>
      <w:r w:rsidRPr="00356192">
        <w:rPr>
          <w:rFonts w:asciiTheme="majorBidi" w:hAnsiTheme="majorBidi" w:cstheme="majorBidi"/>
          <w:sz w:val="24"/>
          <w:szCs w:val="24"/>
        </w:rPr>
        <w:lastRenderedPageBreak/>
        <w:t>specificity and openness of the norm; risk-based regulation varies the allocation of regulatory attention; and responsive regulation varies the sequencing of intervention and enforcement. A law may therefore simultaneously be management-based, risk-based, principles-based, and responsively enforced. For comparative coding, the strongest approach is to code these dimensions separately rather than force each law into a single regulatory-strategy category.</w:t>
      </w:r>
    </w:p>
    <w:p w14:paraId="5A4EA63A" w14:textId="77777777" w:rsidR="00356192" w:rsidRDefault="00356192" w:rsidP="00356192">
      <w:pPr>
        <w:jc w:val="both"/>
        <w:rPr>
          <w:rFonts w:asciiTheme="majorBidi" w:hAnsiTheme="majorBidi" w:cstheme="majorBidi"/>
          <w:b/>
          <w:bCs/>
          <w:sz w:val="24"/>
          <w:szCs w:val="24"/>
        </w:rPr>
      </w:pPr>
    </w:p>
    <w:p w14:paraId="3406B489" w14:textId="47386A31" w:rsidR="00356192" w:rsidRPr="00356192" w:rsidRDefault="00356192" w:rsidP="00356192">
      <w:pPr>
        <w:jc w:val="both"/>
        <w:rPr>
          <w:rFonts w:asciiTheme="majorBidi" w:hAnsiTheme="majorBidi" w:cstheme="majorBidi"/>
          <w:sz w:val="24"/>
          <w:szCs w:val="24"/>
        </w:rPr>
      </w:pPr>
      <w:r w:rsidRPr="00356192">
        <w:rPr>
          <w:rFonts w:asciiTheme="majorBidi" w:hAnsiTheme="majorBidi" w:cstheme="majorBidi"/>
          <w:b/>
          <w:bCs/>
          <w:sz w:val="24"/>
          <w:szCs w:val="24"/>
        </w:rPr>
        <w:t>Performance-based regulation</w:t>
      </w:r>
      <w:r w:rsidRPr="00356192">
        <w:rPr>
          <w:rFonts w:asciiTheme="majorBidi" w:hAnsiTheme="majorBidi" w:cstheme="majorBidi"/>
          <w:sz w:val="24"/>
          <w:szCs w:val="24"/>
        </w:rPr>
        <w:t xml:space="preserve"> specifies a measurable level of performance that regulated actors must achieve or avoid while leaving them discretion over the means used to meet that standard. Instead of requiring a particular technology, design, or procedure, the regulator incorporates the desired performance into the regulatory standard itself (Coglianese, Nash and Olmstead 2003). Examples include maximum emission rates, energy-efficiency levels, safety tolerances, or reliability standards. Its central trade-off is between flexibility and measurability: performance standards can encourage innovation and adaptation, but they depend on the regulator’s ability to define, observe, and verify relevant performance. Performance-based regulation therefore differs from management-based regulation in the location of regulatory attention: the former evaluates what level of performance is achieved, whereas the latter evaluates whether an adequate management system or process has been established and operated.</w:t>
      </w:r>
    </w:p>
    <w:p w14:paraId="785FA235" w14:textId="77777777" w:rsidR="00356192" w:rsidRDefault="00356192" w:rsidP="00356192">
      <w:pPr>
        <w:jc w:val="both"/>
        <w:rPr>
          <w:rFonts w:asciiTheme="majorBidi" w:hAnsiTheme="majorBidi" w:cstheme="majorBidi"/>
          <w:b/>
          <w:bCs/>
          <w:sz w:val="24"/>
          <w:szCs w:val="24"/>
        </w:rPr>
      </w:pPr>
    </w:p>
    <w:p w14:paraId="0048AFBC" w14:textId="164BE367" w:rsidR="00356192" w:rsidRPr="00356192" w:rsidRDefault="00356192" w:rsidP="00356192">
      <w:pPr>
        <w:jc w:val="both"/>
        <w:rPr>
          <w:rFonts w:asciiTheme="majorBidi" w:hAnsiTheme="majorBidi" w:cstheme="majorBidi"/>
          <w:sz w:val="24"/>
          <w:szCs w:val="24"/>
        </w:rPr>
      </w:pPr>
      <w:r w:rsidRPr="00356192">
        <w:rPr>
          <w:rFonts w:asciiTheme="majorBidi" w:hAnsiTheme="majorBidi" w:cstheme="majorBidi"/>
          <w:b/>
          <w:bCs/>
          <w:sz w:val="24"/>
          <w:szCs w:val="24"/>
        </w:rPr>
        <w:t>Outcomes-based regulation</w:t>
      </w:r>
      <w:r w:rsidRPr="00356192">
        <w:rPr>
          <w:rFonts w:asciiTheme="majorBidi" w:hAnsiTheme="majorBidi" w:cstheme="majorBidi"/>
          <w:sz w:val="24"/>
          <w:szCs w:val="24"/>
        </w:rPr>
        <w:t xml:space="preserve"> focuses regulatory obligations on the ultimate result or public condition that regulation seeks to produce, allowing regulated actors substantial discretion in determining how to achieve it. The terminology overlaps considerably with performance-based and goals-based regulation, and these expressions are frequently used interchangeably in both academic and policy literatures. A useful analytical distinction, however, is to reserve </w:t>
      </w:r>
      <w:r w:rsidRPr="00356192">
        <w:rPr>
          <w:rFonts w:asciiTheme="majorBidi" w:hAnsiTheme="majorBidi" w:cstheme="majorBidi"/>
          <w:i/>
          <w:iCs/>
          <w:sz w:val="24"/>
          <w:szCs w:val="24"/>
        </w:rPr>
        <w:t>performance</w:t>
      </w:r>
      <w:r w:rsidRPr="00356192">
        <w:rPr>
          <w:rFonts w:asciiTheme="majorBidi" w:hAnsiTheme="majorBidi" w:cstheme="majorBidi"/>
          <w:sz w:val="24"/>
          <w:szCs w:val="24"/>
        </w:rPr>
        <w:t xml:space="preserve"> for measurable outputs or standards attributable relatively directly to regulated conduct, and </w:t>
      </w:r>
      <w:r w:rsidRPr="00356192">
        <w:rPr>
          <w:rFonts w:asciiTheme="majorBidi" w:hAnsiTheme="majorBidi" w:cstheme="majorBidi"/>
          <w:i/>
          <w:iCs/>
          <w:sz w:val="24"/>
          <w:szCs w:val="24"/>
        </w:rPr>
        <w:t>outcomes</w:t>
      </w:r>
      <w:r w:rsidRPr="00356192">
        <w:rPr>
          <w:rFonts w:asciiTheme="majorBidi" w:hAnsiTheme="majorBidi" w:cstheme="majorBidi"/>
          <w:sz w:val="24"/>
          <w:szCs w:val="24"/>
        </w:rPr>
        <w:t xml:space="preserve"> for the broader consequences that regulation ultimately seeks to secure. Thus, a required reduction in the emission rate of a facility can be treated as a performance standard, whereas achievement of a specified level of ambient environmental quality is an outcome. Outcome-based regulation offers high flexibility but becomes difficult where causal attribution is weak, outcomes are affected by multiple actors, or results emerge only after long time lags (Coglianese, Nash and Olmstead 2003; OECD 2021).</w:t>
      </w:r>
    </w:p>
    <w:p w14:paraId="08E55C9E" w14:textId="77777777" w:rsidR="00356192" w:rsidRDefault="00356192" w:rsidP="00356192">
      <w:pPr>
        <w:jc w:val="both"/>
        <w:rPr>
          <w:rFonts w:asciiTheme="majorBidi" w:hAnsiTheme="majorBidi" w:cstheme="majorBidi"/>
          <w:b/>
          <w:bCs/>
          <w:sz w:val="24"/>
          <w:szCs w:val="24"/>
        </w:rPr>
      </w:pPr>
    </w:p>
    <w:p w14:paraId="526FE181" w14:textId="77777777" w:rsidR="00356192" w:rsidRDefault="00356192" w:rsidP="00356192">
      <w:pPr>
        <w:jc w:val="both"/>
        <w:rPr>
          <w:rFonts w:asciiTheme="majorBidi" w:hAnsiTheme="majorBidi" w:cstheme="majorBidi"/>
          <w:b/>
          <w:bCs/>
          <w:sz w:val="24"/>
          <w:szCs w:val="24"/>
        </w:rPr>
      </w:pPr>
    </w:p>
    <w:p w14:paraId="7F8A691A" w14:textId="621ECB73" w:rsidR="00356192" w:rsidRPr="00356192" w:rsidRDefault="00356192" w:rsidP="00356192">
      <w:pPr>
        <w:jc w:val="both"/>
        <w:rPr>
          <w:rFonts w:asciiTheme="majorBidi" w:hAnsiTheme="majorBidi" w:cstheme="majorBidi"/>
          <w:sz w:val="24"/>
          <w:szCs w:val="24"/>
        </w:rPr>
      </w:pPr>
      <w:r w:rsidRPr="00356192">
        <w:rPr>
          <w:rFonts w:asciiTheme="majorBidi" w:hAnsiTheme="majorBidi" w:cstheme="majorBidi"/>
          <w:b/>
          <w:bCs/>
          <w:sz w:val="24"/>
          <w:szCs w:val="24"/>
        </w:rPr>
        <w:t>Principles-based regulation</w:t>
      </w:r>
      <w:r w:rsidRPr="00356192">
        <w:rPr>
          <w:rFonts w:asciiTheme="majorBidi" w:hAnsiTheme="majorBidi" w:cstheme="majorBidi"/>
          <w:sz w:val="24"/>
          <w:szCs w:val="24"/>
        </w:rPr>
        <w:t xml:space="preserve"> articulates broad standards, duties, or normative principles rather than detailed rules specifying exactly how compliance must be achieved. Related </w:t>
      </w:r>
      <w:r w:rsidRPr="00356192">
        <w:rPr>
          <w:rFonts w:asciiTheme="majorBidi" w:hAnsiTheme="majorBidi" w:cstheme="majorBidi"/>
          <w:b/>
          <w:bCs/>
          <w:sz w:val="24"/>
          <w:szCs w:val="24"/>
        </w:rPr>
        <w:t>goals-based regulation</w:t>
      </w:r>
      <w:r w:rsidRPr="00356192">
        <w:rPr>
          <w:rFonts w:asciiTheme="majorBidi" w:hAnsiTheme="majorBidi" w:cstheme="majorBidi"/>
          <w:sz w:val="24"/>
          <w:szCs w:val="24"/>
        </w:rPr>
        <w:t xml:space="preserve"> states the regulatory objective while leaving significant discretion concerning the means. Such strategies can accommodate heterogeneity and technological change but transfer interpretive responsibility to regulatees, regulators, courts, and intermediaries. They consequently require institutional capacities for interpretation, supervision, and ex post assessment. Principles-, goals-, performance-, and outcomes-based approaches overlap because all reduce reliance on detailed prescriptions, but they differ in what substitutes for prescription: a normative standard, a goal, a measurable performance threshold, or an ultimate outcome.</w:t>
      </w:r>
    </w:p>
    <w:p w14:paraId="6ECC481F" w14:textId="77777777" w:rsidR="00356192" w:rsidRDefault="00356192" w:rsidP="00356192">
      <w:pPr>
        <w:jc w:val="both"/>
        <w:rPr>
          <w:rFonts w:asciiTheme="majorBidi" w:hAnsiTheme="majorBidi" w:cstheme="majorBidi"/>
          <w:b/>
          <w:bCs/>
          <w:sz w:val="24"/>
          <w:szCs w:val="24"/>
        </w:rPr>
      </w:pPr>
    </w:p>
    <w:p w14:paraId="7BEF1848" w14:textId="292AECD4" w:rsidR="00356192" w:rsidRPr="00356192" w:rsidRDefault="00356192" w:rsidP="00356192">
      <w:pPr>
        <w:jc w:val="both"/>
        <w:rPr>
          <w:rFonts w:asciiTheme="majorBidi" w:hAnsiTheme="majorBidi" w:cstheme="majorBidi"/>
          <w:sz w:val="24"/>
          <w:szCs w:val="24"/>
        </w:rPr>
      </w:pPr>
      <w:r w:rsidRPr="00356192">
        <w:rPr>
          <w:rFonts w:asciiTheme="majorBidi" w:hAnsiTheme="majorBidi" w:cstheme="majorBidi"/>
          <w:b/>
          <w:bCs/>
          <w:sz w:val="24"/>
          <w:szCs w:val="24"/>
        </w:rPr>
        <w:t>Risk-based regulation</w:t>
      </w:r>
      <w:r w:rsidRPr="00356192">
        <w:rPr>
          <w:rFonts w:asciiTheme="majorBidi" w:hAnsiTheme="majorBidi" w:cstheme="majorBidi"/>
          <w:sz w:val="24"/>
          <w:szCs w:val="24"/>
        </w:rPr>
        <w:t xml:space="preserve"> allocates regulatory attention and resources according to assessments of the probability and magnitude of harm. It is therefore less a specification of the content of individual obligations than a strategy for prioritizing regulatory intervention, inspection, supervision, and </w:t>
      </w:r>
      <w:r w:rsidRPr="00356192">
        <w:rPr>
          <w:rFonts w:asciiTheme="majorBidi" w:hAnsiTheme="majorBidi" w:cstheme="majorBidi"/>
          <w:sz w:val="24"/>
          <w:szCs w:val="24"/>
        </w:rPr>
        <w:lastRenderedPageBreak/>
        <w:t>enforcement. Risk-based regulators classify activities or regulatees according to risk and concentrate attention where expected harms are greatest (Black and Baldwin 2010; Baldwin, Cave and Lodge 2012). Risk-based regulation can consequently coexist with prescriptive, process-, management-, performance-, or outcome-based standards. Its distinctive logic is selectivity according to risk, rather than the form taken by the substantive standard.</w:t>
      </w:r>
    </w:p>
    <w:p w14:paraId="12FD2929" w14:textId="77777777" w:rsidR="00356192" w:rsidRDefault="00356192" w:rsidP="00356192">
      <w:pPr>
        <w:jc w:val="both"/>
        <w:rPr>
          <w:rFonts w:asciiTheme="majorBidi" w:hAnsiTheme="majorBidi" w:cstheme="majorBidi"/>
          <w:b/>
          <w:bCs/>
          <w:sz w:val="24"/>
          <w:szCs w:val="24"/>
        </w:rPr>
      </w:pPr>
    </w:p>
    <w:p w14:paraId="1E838AE7" w14:textId="1520C730" w:rsidR="00356192" w:rsidRDefault="00356192" w:rsidP="00356192">
      <w:pPr>
        <w:jc w:val="both"/>
        <w:rPr>
          <w:rFonts w:asciiTheme="majorBidi" w:hAnsiTheme="majorBidi" w:cstheme="majorBidi"/>
          <w:sz w:val="24"/>
          <w:szCs w:val="24"/>
        </w:rPr>
      </w:pPr>
      <w:r w:rsidRPr="00356192">
        <w:rPr>
          <w:rFonts w:asciiTheme="majorBidi" w:hAnsiTheme="majorBidi" w:cstheme="majorBidi"/>
          <w:b/>
          <w:bCs/>
          <w:sz w:val="24"/>
          <w:szCs w:val="24"/>
        </w:rPr>
        <w:t>Responsive regulation</w:t>
      </w:r>
      <w:r w:rsidRPr="00356192">
        <w:rPr>
          <w:rFonts w:asciiTheme="majorBidi" w:hAnsiTheme="majorBidi" w:cstheme="majorBidi"/>
          <w:sz w:val="24"/>
          <w:szCs w:val="24"/>
        </w:rPr>
        <w:t xml:space="preserve"> is an enforcement and implementation strategy in which regulatory intervention varies in response to the conduct, capacities, and motivations of regulated actors. Rather than applying one instrument uniformly, regulators may begin with persuasion or cooperative measures and escalate toward increasingly coercive sanctions when compliance fails (Ayres and Braithwaite 1992). Responsive regulation therefore differs from the preceding strategies because it principally concerns the sequencing and calibration of regulatory intervention, rather than whether the underlying legal standard regulates inputs, processes, performance, or outcomes. It can be layered on top of any of these substantive strategies.</w:t>
      </w:r>
    </w:p>
    <w:p w14:paraId="2586463E" w14:textId="2B418F24" w:rsidR="00356192" w:rsidRDefault="00356192" w:rsidP="00356192">
      <w:pPr>
        <w:jc w:val="both"/>
        <w:rPr>
          <w:rFonts w:asciiTheme="majorBidi" w:hAnsiTheme="majorBidi" w:cstheme="majorBidi"/>
          <w:sz w:val="24"/>
          <w:szCs w:val="24"/>
        </w:rPr>
      </w:pPr>
    </w:p>
    <w:p w14:paraId="1A59D67E" w14:textId="77777777" w:rsidR="00356192" w:rsidRPr="00356192" w:rsidRDefault="00356192" w:rsidP="00356192">
      <w:pPr>
        <w:jc w:val="both"/>
        <w:rPr>
          <w:rFonts w:asciiTheme="majorBidi" w:hAnsiTheme="majorBidi" w:cstheme="majorBidi"/>
          <w:sz w:val="24"/>
          <w:szCs w:val="24"/>
        </w:rPr>
      </w:pPr>
    </w:p>
    <w:tbl>
      <w:tblPr>
        <w:tblW w:w="79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640"/>
        <w:gridCol w:w="2640"/>
        <w:gridCol w:w="2640"/>
      </w:tblGrid>
      <w:tr w:rsidR="00356192" w:rsidRPr="009D1438" w14:paraId="0390F814" w14:textId="77777777" w:rsidTr="00356192">
        <w:tc>
          <w:tcPr>
            <w:tcW w:w="2640" w:type="dxa"/>
          </w:tcPr>
          <w:p w14:paraId="72DB815A" w14:textId="28036057" w:rsidR="00356192" w:rsidRPr="00356192" w:rsidRDefault="00356192" w:rsidP="00356192">
            <w:pPr>
              <w:jc w:val="both"/>
              <w:rPr>
                <w:rFonts w:asciiTheme="majorBidi" w:hAnsiTheme="majorBidi" w:cstheme="majorBidi"/>
                <w:b/>
                <w:bCs/>
                <w:sz w:val="24"/>
                <w:szCs w:val="24"/>
              </w:rPr>
            </w:pPr>
            <w:r w:rsidRPr="00356192">
              <w:rPr>
                <w:rFonts w:asciiTheme="majorBidi" w:hAnsiTheme="majorBidi" w:cstheme="majorBidi"/>
                <w:b/>
                <w:bCs/>
                <w:sz w:val="24"/>
                <w:szCs w:val="24"/>
              </w:rPr>
              <w:t>Strategy</w:t>
            </w:r>
          </w:p>
        </w:tc>
        <w:tc>
          <w:tcPr>
            <w:tcW w:w="2640" w:type="dxa"/>
            <w:tcMar>
              <w:left w:w="108" w:type="dxa"/>
              <w:right w:w="108" w:type="dxa"/>
            </w:tcMar>
          </w:tcPr>
          <w:p w14:paraId="0C55DA85" w14:textId="77777777" w:rsidR="00356192" w:rsidRPr="00356192" w:rsidRDefault="00356192" w:rsidP="00356192">
            <w:pPr>
              <w:jc w:val="both"/>
              <w:rPr>
                <w:rFonts w:asciiTheme="majorBidi" w:hAnsiTheme="majorBidi" w:cstheme="majorBidi"/>
                <w:b/>
                <w:bCs/>
                <w:sz w:val="24"/>
                <w:szCs w:val="24"/>
              </w:rPr>
            </w:pPr>
            <w:r w:rsidRPr="00356192">
              <w:rPr>
                <w:rFonts w:asciiTheme="majorBidi" w:hAnsiTheme="majorBidi" w:cstheme="majorBidi"/>
                <w:b/>
                <w:bCs/>
                <w:sz w:val="24"/>
                <w:szCs w:val="24"/>
              </w:rPr>
              <w:t>Primary object of regulatory specification</w:t>
            </w:r>
          </w:p>
        </w:tc>
        <w:tc>
          <w:tcPr>
            <w:tcW w:w="2640" w:type="dxa"/>
            <w:tcMar>
              <w:left w:w="108" w:type="dxa"/>
              <w:right w:w="108" w:type="dxa"/>
            </w:tcMar>
          </w:tcPr>
          <w:p w14:paraId="54ACC867" w14:textId="3ACF7226" w:rsidR="00356192" w:rsidRPr="00356192" w:rsidRDefault="00356192" w:rsidP="00356192">
            <w:pPr>
              <w:jc w:val="both"/>
              <w:rPr>
                <w:rFonts w:asciiTheme="majorBidi" w:hAnsiTheme="majorBidi" w:cstheme="majorBidi"/>
                <w:b/>
                <w:bCs/>
                <w:sz w:val="24"/>
                <w:szCs w:val="24"/>
              </w:rPr>
            </w:pPr>
            <w:r w:rsidRPr="00356192">
              <w:rPr>
                <w:rFonts w:asciiTheme="majorBidi" w:hAnsiTheme="majorBidi" w:cstheme="majorBidi"/>
                <w:b/>
                <w:bCs/>
                <w:sz w:val="24"/>
                <w:szCs w:val="24"/>
              </w:rPr>
              <w:t>Core regulatory logic</w:t>
            </w:r>
          </w:p>
        </w:tc>
      </w:tr>
      <w:tr w:rsidR="00356192" w:rsidRPr="009D1438" w14:paraId="7EB9DE9B" w14:textId="77777777" w:rsidTr="00356192">
        <w:tc>
          <w:tcPr>
            <w:tcW w:w="2640" w:type="dxa"/>
          </w:tcPr>
          <w:p w14:paraId="599ED926" w14:textId="2493A9E5" w:rsidR="00356192" w:rsidRPr="00356192" w:rsidRDefault="00356192" w:rsidP="00356192">
            <w:pPr>
              <w:jc w:val="both"/>
              <w:rPr>
                <w:rFonts w:asciiTheme="majorBidi" w:hAnsiTheme="majorBidi" w:cstheme="majorBidi"/>
                <w:b/>
                <w:bCs/>
                <w:sz w:val="22"/>
              </w:rPr>
            </w:pPr>
            <w:r w:rsidRPr="00356192">
              <w:rPr>
                <w:rFonts w:asciiTheme="majorBidi" w:hAnsiTheme="majorBidi" w:cstheme="majorBidi"/>
                <w:b/>
                <w:bCs/>
                <w:sz w:val="22"/>
              </w:rPr>
              <w:t>Prescriptive / technology-based</w:t>
            </w:r>
          </w:p>
        </w:tc>
        <w:tc>
          <w:tcPr>
            <w:tcW w:w="2640" w:type="dxa"/>
            <w:tcMar>
              <w:left w:w="108" w:type="dxa"/>
              <w:right w:w="108" w:type="dxa"/>
            </w:tcMar>
          </w:tcPr>
          <w:p w14:paraId="78AA85BE" w14:textId="77777777"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Inputs, technologies, or specified conduct</w:t>
            </w:r>
          </w:p>
        </w:tc>
        <w:tc>
          <w:tcPr>
            <w:tcW w:w="2640" w:type="dxa"/>
            <w:tcMar>
              <w:left w:w="108" w:type="dxa"/>
              <w:right w:w="108" w:type="dxa"/>
            </w:tcMar>
          </w:tcPr>
          <w:p w14:paraId="40D9CDD3" w14:textId="435AE0F7"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Tell regulatees what to do or use</w:t>
            </w:r>
          </w:p>
        </w:tc>
      </w:tr>
      <w:tr w:rsidR="00356192" w:rsidRPr="009D1438" w14:paraId="7B44FB5B" w14:textId="77777777" w:rsidTr="00356192">
        <w:tc>
          <w:tcPr>
            <w:tcW w:w="2640" w:type="dxa"/>
          </w:tcPr>
          <w:p w14:paraId="3EB33D15" w14:textId="4FE98A2F" w:rsidR="00356192" w:rsidRPr="00356192" w:rsidRDefault="00356192" w:rsidP="00356192">
            <w:pPr>
              <w:jc w:val="both"/>
              <w:rPr>
                <w:rFonts w:asciiTheme="majorBidi" w:hAnsiTheme="majorBidi" w:cstheme="majorBidi"/>
                <w:b/>
                <w:bCs/>
                <w:sz w:val="22"/>
              </w:rPr>
            </w:pPr>
            <w:r w:rsidRPr="00356192">
              <w:rPr>
                <w:rFonts w:asciiTheme="majorBidi" w:hAnsiTheme="majorBidi" w:cstheme="majorBidi"/>
                <w:b/>
                <w:bCs/>
                <w:sz w:val="22"/>
              </w:rPr>
              <w:t>Process-based</w:t>
            </w:r>
          </w:p>
        </w:tc>
        <w:tc>
          <w:tcPr>
            <w:tcW w:w="2640" w:type="dxa"/>
            <w:tcMar>
              <w:left w:w="108" w:type="dxa"/>
              <w:right w:w="108" w:type="dxa"/>
            </w:tcMar>
          </w:tcPr>
          <w:p w14:paraId="32CEF282" w14:textId="77777777"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Operational processes or systems</w:t>
            </w:r>
          </w:p>
        </w:tc>
        <w:tc>
          <w:tcPr>
            <w:tcW w:w="2640" w:type="dxa"/>
            <w:tcMar>
              <w:left w:w="108" w:type="dxa"/>
              <w:right w:w="108" w:type="dxa"/>
            </w:tcMar>
          </w:tcPr>
          <w:p w14:paraId="483A2FB5" w14:textId="1075304F"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Require processes expected to reduce risk or advance goals</w:t>
            </w:r>
          </w:p>
        </w:tc>
      </w:tr>
      <w:tr w:rsidR="00356192" w:rsidRPr="009D1438" w14:paraId="36433FEC" w14:textId="77777777" w:rsidTr="00356192">
        <w:tc>
          <w:tcPr>
            <w:tcW w:w="2640" w:type="dxa"/>
          </w:tcPr>
          <w:p w14:paraId="62A048D9" w14:textId="4D671EAA" w:rsidR="00356192" w:rsidRPr="00356192" w:rsidRDefault="00356192" w:rsidP="00356192">
            <w:pPr>
              <w:jc w:val="both"/>
              <w:rPr>
                <w:rFonts w:asciiTheme="majorBidi" w:hAnsiTheme="majorBidi" w:cstheme="majorBidi"/>
                <w:b/>
                <w:bCs/>
                <w:sz w:val="22"/>
              </w:rPr>
            </w:pPr>
            <w:r w:rsidRPr="00356192">
              <w:rPr>
                <w:rFonts w:asciiTheme="majorBidi" w:hAnsiTheme="majorBidi" w:cstheme="majorBidi"/>
                <w:b/>
                <w:bCs/>
                <w:sz w:val="22"/>
              </w:rPr>
              <w:t>Management-based</w:t>
            </w:r>
          </w:p>
        </w:tc>
        <w:tc>
          <w:tcPr>
            <w:tcW w:w="2640" w:type="dxa"/>
            <w:tcMar>
              <w:left w:w="108" w:type="dxa"/>
              <w:right w:w="108" w:type="dxa"/>
            </w:tcMar>
          </w:tcPr>
          <w:p w14:paraId="637C855D" w14:textId="77777777"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Internal planning and management systems</w:t>
            </w:r>
          </w:p>
        </w:tc>
        <w:tc>
          <w:tcPr>
            <w:tcW w:w="2640" w:type="dxa"/>
            <w:tcMar>
              <w:left w:w="108" w:type="dxa"/>
              <w:right w:w="108" w:type="dxa"/>
            </w:tcMar>
          </w:tcPr>
          <w:p w14:paraId="3B152BEF" w14:textId="7ACB1299"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Require regulatees to organize their own systems for achieving public goals</w:t>
            </w:r>
          </w:p>
        </w:tc>
      </w:tr>
      <w:tr w:rsidR="00356192" w:rsidRPr="009D1438" w14:paraId="1C797A85" w14:textId="77777777" w:rsidTr="00356192">
        <w:tc>
          <w:tcPr>
            <w:tcW w:w="2640" w:type="dxa"/>
          </w:tcPr>
          <w:p w14:paraId="377E9927" w14:textId="081047B0" w:rsidR="00356192" w:rsidRPr="00356192" w:rsidRDefault="00356192" w:rsidP="00356192">
            <w:pPr>
              <w:jc w:val="both"/>
              <w:rPr>
                <w:rFonts w:asciiTheme="majorBidi" w:hAnsiTheme="majorBidi" w:cstheme="majorBidi"/>
                <w:b/>
                <w:bCs/>
                <w:sz w:val="22"/>
              </w:rPr>
            </w:pPr>
            <w:r w:rsidRPr="00356192">
              <w:rPr>
                <w:rFonts w:asciiTheme="majorBidi" w:hAnsiTheme="majorBidi" w:cstheme="majorBidi"/>
                <w:b/>
                <w:bCs/>
                <w:sz w:val="22"/>
              </w:rPr>
              <w:t>Procedural-based</w:t>
            </w:r>
          </w:p>
        </w:tc>
        <w:tc>
          <w:tcPr>
            <w:tcW w:w="2640" w:type="dxa"/>
            <w:tcMar>
              <w:left w:w="108" w:type="dxa"/>
              <w:right w:w="108" w:type="dxa"/>
            </w:tcMar>
          </w:tcPr>
          <w:p w14:paraId="66201F90" w14:textId="77777777"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Decision, participation, documentation, or review procedures</w:t>
            </w:r>
          </w:p>
        </w:tc>
        <w:tc>
          <w:tcPr>
            <w:tcW w:w="2640" w:type="dxa"/>
            <w:tcMar>
              <w:left w:w="108" w:type="dxa"/>
              <w:right w:w="108" w:type="dxa"/>
            </w:tcMar>
          </w:tcPr>
          <w:p w14:paraId="7967C18F" w14:textId="5B9577DC"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Govern how decisions and accountability processes are conducted</w:t>
            </w:r>
          </w:p>
        </w:tc>
      </w:tr>
      <w:tr w:rsidR="00356192" w:rsidRPr="009D1438" w14:paraId="2ABD26D3" w14:textId="77777777" w:rsidTr="00356192">
        <w:tc>
          <w:tcPr>
            <w:tcW w:w="2640" w:type="dxa"/>
          </w:tcPr>
          <w:p w14:paraId="655A4385" w14:textId="739ADBF0" w:rsidR="00356192" w:rsidRPr="00356192" w:rsidRDefault="00356192" w:rsidP="00356192">
            <w:pPr>
              <w:jc w:val="both"/>
              <w:rPr>
                <w:rFonts w:asciiTheme="majorBidi" w:hAnsiTheme="majorBidi" w:cstheme="majorBidi"/>
                <w:b/>
                <w:bCs/>
                <w:sz w:val="22"/>
              </w:rPr>
            </w:pPr>
            <w:r w:rsidRPr="00356192">
              <w:rPr>
                <w:rFonts w:asciiTheme="majorBidi" w:hAnsiTheme="majorBidi" w:cstheme="majorBidi"/>
                <w:b/>
                <w:bCs/>
                <w:sz w:val="22"/>
              </w:rPr>
              <w:t>Performance-based</w:t>
            </w:r>
          </w:p>
        </w:tc>
        <w:tc>
          <w:tcPr>
            <w:tcW w:w="2640" w:type="dxa"/>
            <w:tcMar>
              <w:left w:w="108" w:type="dxa"/>
              <w:right w:w="108" w:type="dxa"/>
            </w:tcMar>
          </w:tcPr>
          <w:p w14:paraId="610AA5A3" w14:textId="77777777"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Measurable outputs or performance standards</w:t>
            </w:r>
          </w:p>
        </w:tc>
        <w:tc>
          <w:tcPr>
            <w:tcW w:w="2640" w:type="dxa"/>
            <w:tcMar>
              <w:left w:w="108" w:type="dxa"/>
              <w:right w:w="108" w:type="dxa"/>
            </w:tcMar>
          </w:tcPr>
          <w:p w14:paraId="7081483C" w14:textId="10240B91"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Specify the required performance while leaving means flexible</w:t>
            </w:r>
          </w:p>
        </w:tc>
      </w:tr>
      <w:tr w:rsidR="00356192" w:rsidRPr="009D1438" w14:paraId="2E8C362A" w14:textId="77777777" w:rsidTr="00356192">
        <w:tc>
          <w:tcPr>
            <w:tcW w:w="2640" w:type="dxa"/>
          </w:tcPr>
          <w:p w14:paraId="0BF4E5AF" w14:textId="16F47E73" w:rsidR="00356192" w:rsidRPr="00356192" w:rsidRDefault="00356192" w:rsidP="00356192">
            <w:pPr>
              <w:jc w:val="both"/>
              <w:rPr>
                <w:rFonts w:asciiTheme="majorBidi" w:hAnsiTheme="majorBidi" w:cstheme="majorBidi"/>
                <w:b/>
                <w:bCs/>
                <w:sz w:val="22"/>
              </w:rPr>
            </w:pPr>
            <w:r w:rsidRPr="00356192">
              <w:rPr>
                <w:rFonts w:asciiTheme="majorBidi" w:hAnsiTheme="majorBidi" w:cstheme="majorBidi"/>
                <w:b/>
                <w:bCs/>
                <w:sz w:val="22"/>
              </w:rPr>
              <w:t>Outcomes-based</w:t>
            </w:r>
          </w:p>
        </w:tc>
        <w:tc>
          <w:tcPr>
            <w:tcW w:w="2640" w:type="dxa"/>
            <w:tcMar>
              <w:left w:w="108" w:type="dxa"/>
              <w:right w:w="108" w:type="dxa"/>
            </w:tcMar>
          </w:tcPr>
          <w:p w14:paraId="2071AF6A" w14:textId="77777777"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Ultimate results or conditions</w:t>
            </w:r>
          </w:p>
        </w:tc>
        <w:tc>
          <w:tcPr>
            <w:tcW w:w="2640" w:type="dxa"/>
            <w:tcMar>
              <w:left w:w="108" w:type="dxa"/>
              <w:right w:w="108" w:type="dxa"/>
            </w:tcMar>
          </w:tcPr>
          <w:p w14:paraId="44633F9D" w14:textId="51DC6895"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Specify the desired end-state while leaving pathways flexible</w:t>
            </w:r>
          </w:p>
        </w:tc>
      </w:tr>
      <w:tr w:rsidR="00356192" w:rsidRPr="009D1438" w14:paraId="3F2CE40C" w14:textId="77777777" w:rsidTr="00356192">
        <w:tc>
          <w:tcPr>
            <w:tcW w:w="2640" w:type="dxa"/>
          </w:tcPr>
          <w:p w14:paraId="4BBC5EC1" w14:textId="3CA3C9C9" w:rsidR="00356192" w:rsidRPr="00356192" w:rsidRDefault="00356192" w:rsidP="00356192">
            <w:pPr>
              <w:jc w:val="both"/>
              <w:rPr>
                <w:rFonts w:asciiTheme="majorBidi" w:hAnsiTheme="majorBidi" w:cstheme="majorBidi"/>
                <w:b/>
                <w:bCs/>
                <w:sz w:val="22"/>
              </w:rPr>
            </w:pPr>
            <w:r w:rsidRPr="00356192">
              <w:rPr>
                <w:rFonts w:asciiTheme="majorBidi" w:hAnsiTheme="majorBidi" w:cstheme="majorBidi"/>
                <w:b/>
                <w:bCs/>
                <w:sz w:val="22"/>
              </w:rPr>
              <w:t>Principles / goals-based</w:t>
            </w:r>
          </w:p>
        </w:tc>
        <w:tc>
          <w:tcPr>
            <w:tcW w:w="2640" w:type="dxa"/>
            <w:tcMar>
              <w:left w:w="108" w:type="dxa"/>
              <w:right w:w="108" w:type="dxa"/>
            </w:tcMar>
          </w:tcPr>
          <w:p w14:paraId="1FDC85C2" w14:textId="77777777"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Broad principles or regulatory goals</w:t>
            </w:r>
          </w:p>
        </w:tc>
        <w:tc>
          <w:tcPr>
            <w:tcW w:w="2640" w:type="dxa"/>
            <w:tcMar>
              <w:left w:w="108" w:type="dxa"/>
              <w:right w:w="108" w:type="dxa"/>
            </w:tcMar>
          </w:tcPr>
          <w:p w14:paraId="6A0439DE" w14:textId="0FA4EABB"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Establish open-textured standards rather than detailed prescriptions</w:t>
            </w:r>
          </w:p>
        </w:tc>
      </w:tr>
      <w:tr w:rsidR="00356192" w:rsidRPr="009D1438" w14:paraId="5BFE2F5F" w14:textId="77777777" w:rsidTr="00356192">
        <w:tc>
          <w:tcPr>
            <w:tcW w:w="2640" w:type="dxa"/>
          </w:tcPr>
          <w:p w14:paraId="58BF2C1A" w14:textId="7280ECD9" w:rsidR="00356192" w:rsidRPr="00356192" w:rsidRDefault="00356192" w:rsidP="00356192">
            <w:pPr>
              <w:jc w:val="both"/>
              <w:rPr>
                <w:rFonts w:asciiTheme="majorBidi" w:hAnsiTheme="majorBidi" w:cstheme="majorBidi"/>
                <w:b/>
                <w:bCs/>
                <w:sz w:val="22"/>
              </w:rPr>
            </w:pPr>
            <w:r w:rsidRPr="00356192">
              <w:rPr>
                <w:rFonts w:asciiTheme="majorBidi" w:hAnsiTheme="majorBidi" w:cstheme="majorBidi"/>
                <w:b/>
                <w:bCs/>
                <w:sz w:val="22"/>
              </w:rPr>
              <w:t>Risk-based</w:t>
            </w:r>
          </w:p>
        </w:tc>
        <w:tc>
          <w:tcPr>
            <w:tcW w:w="2640" w:type="dxa"/>
            <w:tcMar>
              <w:left w:w="108" w:type="dxa"/>
              <w:right w:w="108" w:type="dxa"/>
            </w:tcMar>
          </w:tcPr>
          <w:p w14:paraId="76364CDA" w14:textId="77777777"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Distribution of regulatory attention</w:t>
            </w:r>
          </w:p>
        </w:tc>
        <w:tc>
          <w:tcPr>
            <w:tcW w:w="2640" w:type="dxa"/>
            <w:tcMar>
              <w:left w:w="108" w:type="dxa"/>
              <w:right w:w="108" w:type="dxa"/>
            </w:tcMar>
          </w:tcPr>
          <w:p w14:paraId="1C2F41DB" w14:textId="44CDD02A"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Prioritize intervention according to assessed risk</w:t>
            </w:r>
          </w:p>
        </w:tc>
      </w:tr>
      <w:tr w:rsidR="00356192" w:rsidRPr="009D1438" w14:paraId="33F576E1" w14:textId="77777777" w:rsidTr="00356192">
        <w:tc>
          <w:tcPr>
            <w:tcW w:w="2640" w:type="dxa"/>
          </w:tcPr>
          <w:p w14:paraId="143ED89F" w14:textId="570B2FF3" w:rsidR="00356192" w:rsidRPr="00356192" w:rsidRDefault="00356192" w:rsidP="00356192">
            <w:pPr>
              <w:jc w:val="both"/>
              <w:rPr>
                <w:rFonts w:asciiTheme="majorBidi" w:hAnsiTheme="majorBidi" w:cstheme="majorBidi"/>
                <w:b/>
                <w:bCs/>
                <w:sz w:val="22"/>
              </w:rPr>
            </w:pPr>
            <w:r w:rsidRPr="00356192">
              <w:rPr>
                <w:rFonts w:asciiTheme="majorBidi" w:hAnsiTheme="majorBidi" w:cstheme="majorBidi"/>
                <w:b/>
                <w:bCs/>
                <w:sz w:val="22"/>
              </w:rPr>
              <w:t>Responsive</w:t>
            </w:r>
          </w:p>
        </w:tc>
        <w:tc>
          <w:tcPr>
            <w:tcW w:w="2640" w:type="dxa"/>
            <w:tcMar>
              <w:left w:w="108" w:type="dxa"/>
              <w:right w:w="108" w:type="dxa"/>
            </w:tcMar>
          </w:tcPr>
          <w:p w14:paraId="6E2A8B7A" w14:textId="77777777"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Sequence and intensity of intervention</w:t>
            </w:r>
          </w:p>
        </w:tc>
        <w:tc>
          <w:tcPr>
            <w:tcW w:w="2640" w:type="dxa"/>
            <w:tcMar>
              <w:left w:w="108" w:type="dxa"/>
              <w:right w:w="108" w:type="dxa"/>
            </w:tcMar>
          </w:tcPr>
          <w:p w14:paraId="7135B1DE" w14:textId="26B7B8FF"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 xml:space="preserve">Adjust and escalate regulatory response </w:t>
            </w:r>
            <w:r w:rsidRPr="00356192">
              <w:rPr>
                <w:rFonts w:asciiTheme="majorBidi" w:hAnsiTheme="majorBidi" w:cstheme="majorBidi"/>
                <w:sz w:val="22"/>
              </w:rPr>
              <w:lastRenderedPageBreak/>
              <w:t xml:space="preserve">according to </w:t>
            </w:r>
            <w:proofErr w:type="spellStart"/>
            <w:r w:rsidRPr="00356192">
              <w:rPr>
                <w:rFonts w:asciiTheme="majorBidi" w:hAnsiTheme="majorBidi" w:cstheme="majorBidi"/>
                <w:sz w:val="22"/>
              </w:rPr>
              <w:t>behaviour</w:t>
            </w:r>
            <w:proofErr w:type="spellEnd"/>
            <w:r w:rsidRPr="00356192">
              <w:rPr>
                <w:rFonts w:asciiTheme="majorBidi" w:hAnsiTheme="majorBidi" w:cstheme="majorBidi"/>
                <w:sz w:val="22"/>
              </w:rPr>
              <w:t xml:space="preserve"> and context</w:t>
            </w:r>
          </w:p>
        </w:tc>
      </w:tr>
    </w:tbl>
    <w:p w14:paraId="1C81FA52" w14:textId="034736BE" w:rsidR="0033094E" w:rsidRDefault="0033094E" w:rsidP="00BB24A5">
      <w:pPr>
        <w:spacing w:line="276" w:lineRule="auto"/>
        <w:jc w:val="both"/>
        <w:rPr>
          <w:rFonts w:asciiTheme="majorBidi" w:hAnsiTheme="majorBidi" w:cstheme="majorBidi"/>
          <w:sz w:val="24"/>
          <w:szCs w:val="24"/>
        </w:rPr>
      </w:pPr>
    </w:p>
    <w:p w14:paraId="199F34AB" w14:textId="2FA4A712" w:rsidR="003902C2" w:rsidRPr="0033094E" w:rsidRDefault="005D4593" w:rsidP="0033094E">
      <w:pPr>
        <w:rPr>
          <w:rFonts w:asciiTheme="majorBidi" w:hAnsiTheme="majorBidi" w:cstheme="majorBidi"/>
          <w:b/>
          <w:bCs/>
          <w:sz w:val="24"/>
          <w:szCs w:val="24"/>
        </w:rPr>
      </w:pPr>
      <w:r>
        <w:rPr>
          <w:rFonts w:asciiTheme="majorBidi" w:hAnsiTheme="majorBidi" w:cstheme="majorBidi"/>
          <w:b/>
          <w:bCs/>
          <w:sz w:val="24"/>
          <w:szCs w:val="24"/>
        </w:rPr>
        <w:t>5</w:t>
      </w:r>
      <w:r w:rsidR="009F52E6">
        <w:rPr>
          <w:rFonts w:asciiTheme="majorBidi" w:hAnsiTheme="majorBidi" w:cstheme="majorBidi"/>
          <w:b/>
          <w:bCs/>
          <w:sz w:val="24"/>
          <w:szCs w:val="24"/>
        </w:rPr>
        <w:t>.</w:t>
      </w:r>
      <w:r>
        <w:rPr>
          <w:rFonts w:asciiTheme="majorBidi" w:hAnsiTheme="majorBidi" w:cstheme="majorBidi"/>
          <w:b/>
          <w:bCs/>
          <w:sz w:val="24"/>
          <w:szCs w:val="24"/>
        </w:rPr>
        <w:t>2</w:t>
      </w:r>
      <w:r w:rsidR="00BB24A5" w:rsidRPr="0033094E">
        <w:rPr>
          <w:rFonts w:asciiTheme="majorBidi" w:hAnsiTheme="majorBidi" w:cstheme="majorBidi"/>
          <w:b/>
          <w:bCs/>
          <w:sz w:val="24"/>
          <w:szCs w:val="24"/>
        </w:rPr>
        <w:t xml:space="preserve"> Governance Architectures: The Structural Configuration</w:t>
      </w:r>
    </w:p>
    <w:p w14:paraId="40C804A6"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A governance architecture is the legally constituted configuration through which governance work, authority, discretion and accountability are distributed among actors and organized through relationships, mechanisms and instruments. Architecture therefore concerns the patterned organization of governance rather than the presence of any individual rule, actor, instrument or mechanism. Two laws may employ similar substantive requirements or regulatory devices while nevertheless construct different governance architectures because they allocate governing functions and capacities differently among public authorities, regulated organizations, intermediaries, beneficiaries and other actors. Conversely, similar architectural arrangements may recur across policy domains that differ substantially in their substantive objectives.</w:t>
      </w:r>
    </w:p>
    <w:p w14:paraId="546725AD" w14:textId="77777777" w:rsidR="00E60B76" w:rsidRPr="00E60B76" w:rsidRDefault="00E60B76" w:rsidP="00E60B76">
      <w:pPr>
        <w:jc w:val="both"/>
        <w:rPr>
          <w:rFonts w:asciiTheme="majorBidi" w:hAnsiTheme="majorBidi" w:cstheme="majorBidi"/>
          <w:sz w:val="24"/>
          <w:szCs w:val="24"/>
        </w:rPr>
      </w:pPr>
      <w:proofErr w:type="gramStart"/>
      <w:r w:rsidRPr="00E60B76">
        <w:rPr>
          <w:rFonts w:asciiTheme="majorBidi" w:hAnsiTheme="majorBidi" w:cstheme="majorBidi"/>
          <w:sz w:val="24"/>
          <w:szCs w:val="24"/>
        </w:rPr>
        <w:t>This understanding places</w:t>
      </w:r>
      <w:proofErr w:type="gramEnd"/>
      <w:r w:rsidRPr="00E60B76">
        <w:rPr>
          <w:rFonts w:asciiTheme="majorBidi" w:hAnsiTheme="majorBidi" w:cstheme="majorBidi"/>
          <w:sz w:val="24"/>
          <w:szCs w:val="24"/>
        </w:rPr>
        <w:t xml:space="preserve"> structure at the </w:t>
      </w:r>
      <w:proofErr w:type="spellStart"/>
      <w:r w:rsidRPr="00E60B76">
        <w:rPr>
          <w:rFonts w:asciiTheme="majorBidi" w:hAnsiTheme="majorBidi" w:cstheme="majorBidi"/>
          <w:sz w:val="24"/>
          <w:szCs w:val="24"/>
        </w:rPr>
        <w:t>centre</w:t>
      </w:r>
      <w:proofErr w:type="spellEnd"/>
      <w:r w:rsidRPr="00E60B76">
        <w:rPr>
          <w:rFonts w:asciiTheme="majorBidi" w:hAnsiTheme="majorBidi" w:cstheme="majorBidi"/>
          <w:sz w:val="24"/>
          <w:szCs w:val="24"/>
        </w:rPr>
        <w:t xml:space="preserve"> of the analysis. A governance architecture specifies not only which actors participate, but also which functions they perform, how they are connected, what authority and discretion they possess, how they are held accountable, and through which instruments their governing roles are made operational. Architecture is therefore an emergent property of a configuration. It cannot normally be inferred from the presence of a single instrument, relationship or actor. A statute containing an audit requirement is not necessarily audit-based; a statute containing an intermediary is not necessarily intermediated; and a statute requiring firms to adopt internal controls is not necessarily self-regulatory. Architectural classification requires attention to the wider distribution and interaction of governance work.</w:t>
      </w:r>
    </w:p>
    <w:p w14:paraId="141D41BB"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Governance architectures are consequently best understood multidimensionally rather than as mutually exclusive types. Labels such as hierarchical governance, self-regulation, meta-regulation, enhanced self-regulation, polycentric governance and multilevel governance capture recurrent configurations, but they refer to different structural properties and frequently overlap in practice. A single legal regime may be multilevel in its jurisdictional distribution, polycentric in the location of decision-making authority, strongly intermediated in monitoring and verification, meta-regulatory in its treatment of organizational compliance systems, and hierarchical in its ultimate enforcement structure. Treating these forms as exclusive alternatives would therefore obscure rather than clarify the architecture of contemporary governance.</w:t>
      </w:r>
    </w:p>
    <w:p w14:paraId="416F5B48" w14:textId="77777777" w:rsidR="00E60B76" w:rsidRPr="00E60B76" w:rsidRDefault="00E60B76" w:rsidP="00E60B76">
      <w:pPr>
        <w:pStyle w:val="Heading2"/>
        <w:jc w:val="both"/>
        <w:rPr>
          <w:rFonts w:asciiTheme="majorBidi" w:hAnsiTheme="majorBidi"/>
          <w:color w:val="auto"/>
          <w:sz w:val="24"/>
          <w:szCs w:val="24"/>
        </w:rPr>
      </w:pPr>
      <w:r w:rsidRPr="00E60B76">
        <w:rPr>
          <w:rFonts w:asciiTheme="majorBidi" w:hAnsiTheme="majorBidi"/>
          <w:color w:val="auto"/>
          <w:sz w:val="24"/>
          <w:szCs w:val="24"/>
        </w:rPr>
        <w:t>5.2.1 Architectural dimensions</w:t>
      </w:r>
    </w:p>
    <w:p w14:paraId="680DA368"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A multidimensional approach makes it possible to specify more precisely how governance is organized. The dimensions below do not exhaust all possible architectural properties, but they capture major sources of structural variation and provide a basis for systematic comparison across laws.</w:t>
      </w:r>
    </w:p>
    <w:tbl>
      <w:tblPr>
        <w:tblStyle w:val="TableGrid"/>
        <w:tblW w:w="0" w:type="auto"/>
        <w:jc w:val="center"/>
        <w:tblLook w:val="04A0" w:firstRow="1" w:lastRow="0" w:firstColumn="1" w:lastColumn="0" w:noHBand="0" w:noVBand="1"/>
      </w:tblPr>
      <w:tblGrid>
        <w:gridCol w:w="3264"/>
        <w:gridCol w:w="3264"/>
        <w:gridCol w:w="3264"/>
      </w:tblGrid>
      <w:tr w:rsidR="00E60B76" w:rsidRPr="00E60B76" w14:paraId="7B3BECFF" w14:textId="77777777" w:rsidTr="00E60B76">
        <w:trPr>
          <w:jc w:val="center"/>
        </w:trPr>
        <w:tc>
          <w:tcPr>
            <w:tcW w:w="3264" w:type="dxa"/>
            <w:tcBorders>
              <w:top w:val="single" w:sz="4" w:space="0" w:color="auto"/>
              <w:left w:val="single" w:sz="4" w:space="0" w:color="auto"/>
              <w:bottom w:val="single" w:sz="4" w:space="0" w:color="auto"/>
              <w:right w:val="single" w:sz="4" w:space="0" w:color="auto"/>
            </w:tcBorders>
            <w:hideMark/>
          </w:tcPr>
          <w:p w14:paraId="6E42CD35"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Architectural dimension</w:t>
            </w:r>
          </w:p>
        </w:tc>
        <w:tc>
          <w:tcPr>
            <w:tcW w:w="3264" w:type="dxa"/>
            <w:tcBorders>
              <w:top w:val="single" w:sz="4" w:space="0" w:color="auto"/>
              <w:left w:val="single" w:sz="4" w:space="0" w:color="auto"/>
              <w:bottom w:val="single" w:sz="4" w:space="0" w:color="auto"/>
              <w:right w:val="single" w:sz="4" w:space="0" w:color="auto"/>
            </w:tcBorders>
            <w:hideMark/>
          </w:tcPr>
          <w:p w14:paraId="13C750D5"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Core question</w:t>
            </w:r>
          </w:p>
        </w:tc>
        <w:tc>
          <w:tcPr>
            <w:tcW w:w="3264" w:type="dxa"/>
            <w:tcBorders>
              <w:top w:val="single" w:sz="4" w:space="0" w:color="auto"/>
              <w:left w:val="single" w:sz="4" w:space="0" w:color="auto"/>
              <w:bottom w:val="single" w:sz="4" w:space="0" w:color="auto"/>
              <w:right w:val="single" w:sz="4" w:space="0" w:color="auto"/>
            </w:tcBorders>
            <w:hideMark/>
          </w:tcPr>
          <w:p w14:paraId="6074C87A"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Illustrative contrast</w:t>
            </w:r>
          </w:p>
        </w:tc>
      </w:tr>
      <w:tr w:rsidR="00E60B76" w:rsidRPr="00E60B76" w14:paraId="748875A4" w14:textId="77777777" w:rsidTr="00E60B76">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44FFFC6E"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Centralization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2B83E34D"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Where is governing authority concentrated?</w:t>
            </w:r>
          </w:p>
        </w:tc>
        <w:tc>
          <w:tcPr>
            <w:tcW w:w="3264" w:type="dxa"/>
            <w:tcBorders>
              <w:top w:val="single" w:sz="4" w:space="0" w:color="auto"/>
              <w:left w:val="single" w:sz="4" w:space="0" w:color="auto"/>
              <w:bottom w:val="single" w:sz="4" w:space="0" w:color="auto"/>
              <w:right w:val="single" w:sz="4" w:space="0" w:color="auto"/>
            </w:tcBorders>
            <w:vAlign w:val="center"/>
            <w:hideMark/>
          </w:tcPr>
          <w:p w14:paraId="7DB3C48E"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centralized / dispersed</w:t>
            </w:r>
          </w:p>
        </w:tc>
      </w:tr>
      <w:tr w:rsidR="00E60B76" w:rsidRPr="00E60B76" w14:paraId="4DDD6272" w14:textId="77777777" w:rsidTr="00E60B76">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321610BC"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Directness and intermediation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138CD564"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Is governance exercised directly or through third parties?</w:t>
            </w:r>
          </w:p>
        </w:tc>
        <w:tc>
          <w:tcPr>
            <w:tcW w:w="3264" w:type="dxa"/>
            <w:tcBorders>
              <w:top w:val="single" w:sz="4" w:space="0" w:color="auto"/>
              <w:left w:val="single" w:sz="4" w:space="0" w:color="auto"/>
              <w:bottom w:val="single" w:sz="4" w:space="0" w:color="auto"/>
              <w:right w:val="single" w:sz="4" w:space="0" w:color="auto"/>
            </w:tcBorders>
            <w:vAlign w:val="center"/>
            <w:hideMark/>
          </w:tcPr>
          <w:p w14:paraId="1CE30FAF"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direct / intermediated</w:t>
            </w:r>
          </w:p>
        </w:tc>
      </w:tr>
      <w:tr w:rsidR="00E60B76" w:rsidRPr="00E60B76" w14:paraId="57EFE01E" w14:textId="77777777" w:rsidTr="00E60B76">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4116A042"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lastRenderedPageBreak/>
              <w:t>Public-private allocation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1C0ECC96"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Who performs regulatory work?</w:t>
            </w:r>
          </w:p>
        </w:tc>
        <w:tc>
          <w:tcPr>
            <w:tcW w:w="3264" w:type="dxa"/>
            <w:tcBorders>
              <w:top w:val="single" w:sz="4" w:space="0" w:color="auto"/>
              <w:left w:val="single" w:sz="4" w:space="0" w:color="auto"/>
              <w:bottom w:val="single" w:sz="4" w:space="0" w:color="auto"/>
              <w:right w:val="single" w:sz="4" w:space="0" w:color="auto"/>
            </w:tcBorders>
            <w:vAlign w:val="center"/>
            <w:hideMark/>
          </w:tcPr>
          <w:p w14:paraId="7ECB4A57"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public / hybrid / private</w:t>
            </w:r>
          </w:p>
        </w:tc>
      </w:tr>
      <w:tr w:rsidR="00E60B76" w:rsidRPr="00E60B76" w14:paraId="35BD2E56" w14:textId="77777777" w:rsidTr="00E60B76">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2875CA1F"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Self-regulatory autonomy</w:t>
            </w:r>
          </w:p>
        </w:tc>
        <w:tc>
          <w:tcPr>
            <w:tcW w:w="3264" w:type="dxa"/>
            <w:tcBorders>
              <w:top w:val="single" w:sz="4" w:space="0" w:color="auto"/>
              <w:left w:val="single" w:sz="4" w:space="0" w:color="auto"/>
              <w:bottom w:val="single" w:sz="4" w:space="0" w:color="auto"/>
              <w:right w:val="single" w:sz="4" w:space="0" w:color="auto"/>
            </w:tcBorders>
            <w:vAlign w:val="center"/>
            <w:hideMark/>
          </w:tcPr>
          <w:p w14:paraId="49D7DE54"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How much governance is allocated to regulated actors themselves?</w:t>
            </w:r>
          </w:p>
        </w:tc>
        <w:tc>
          <w:tcPr>
            <w:tcW w:w="3264" w:type="dxa"/>
            <w:tcBorders>
              <w:top w:val="single" w:sz="4" w:space="0" w:color="auto"/>
              <w:left w:val="single" w:sz="4" w:space="0" w:color="auto"/>
              <w:bottom w:val="single" w:sz="4" w:space="0" w:color="auto"/>
              <w:right w:val="single" w:sz="4" w:space="0" w:color="auto"/>
            </w:tcBorders>
            <w:vAlign w:val="center"/>
            <w:hideMark/>
          </w:tcPr>
          <w:p w14:paraId="797918E6"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externally controlled / self-regulatory</w:t>
            </w:r>
          </w:p>
        </w:tc>
      </w:tr>
      <w:tr w:rsidR="00E60B76" w:rsidRPr="00E60B76" w14:paraId="294F5E25" w14:textId="77777777" w:rsidTr="00E60B76">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35A7599B"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Vertical distribution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70256A45"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Across how many governmental levels is authority distributed?</w:t>
            </w:r>
          </w:p>
        </w:tc>
        <w:tc>
          <w:tcPr>
            <w:tcW w:w="3264" w:type="dxa"/>
            <w:tcBorders>
              <w:top w:val="single" w:sz="4" w:space="0" w:color="auto"/>
              <w:left w:val="single" w:sz="4" w:space="0" w:color="auto"/>
              <w:bottom w:val="single" w:sz="4" w:space="0" w:color="auto"/>
              <w:right w:val="single" w:sz="4" w:space="0" w:color="auto"/>
            </w:tcBorders>
            <w:vAlign w:val="center"/>
            <w:hideMark/>
          </w:tcPr>
          <w:p w14:paraId="666AC689"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single-level / multilevel</w:t>
            </w:r>
          </w:p>
        </w:tc>
      </w:tr>
      <w:tr w:rsidR="00E60B76" w:rsidRPr="00E60B76" w14:paraId="2A7F46A5" w14:textId="77777777" w:rsidTr="00E60B76">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64DB8C41"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Decision-</w:t>
            </w:r>
            <w:proofErr w:type="spellStart"/>
            <w:r w:rsidRPr="00E60B76">
              <w:rPr>
                <w:rFonts w:asciiTheme="majorBidi" w:hAnsiTheme="majorBidi" w:cstheme="majorBidi"/>
                <w:sz w:val="24"/>
                <w:szCs w:val="24"/>
              </w:rPr>
              <w:t>centre</w:t>
            </w:r>
            <w:proofErr w:type="spellEnd"/>
            <w:r w:rsidRPr="00E60B76">
              <w:rPr>
                <w:rFonts w:asciiTheme="majorBidi" w:hAnsiTheme="majorBidi" w:cstheme="majorBidi"/>
                <w:sz w:val="24"/>
                <w:szCs w:val="24"/>
              </w:rPr>
              <w:t xml:space="preserve"> plurality</w:t>
            </w:r>
          </w:p>
        </w:tc>
        <w:tc>
          <w:tcPr>
            <w:tcW w:w="3264" w:type="dxa"/>
            <w:tcBorders>
              <w:top w:val="single" w:sz="4" w:space="0" w:color="auto"/>
              <w:left w:val="single" w:sz="4" w:space="0" w:color="auto"/>
              <w:bottom w:val="single" w:sz="4" w:space="0" w:color="auto"/>
              <w:right w:val="single" w:sz="4" w:space="0" w:color="auto"/>
            </w:tcBorders>
            <w:vAlign w:val="center"/>
            <w:hideMark/>
          </w:tcPr>
          <w:p w14:paraId="55A07925"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 xml:space="preserve">How many partly autonomous decision </w:t>
            </w:r>
            <w:proofErr w:type="spellStart"/>
            <w:r w:rsidRPr="00E60B76">
              <w:rPr>
                <w:rFonts w:asciiTheme="majorBidi" w:hAnsiTheme="majorBidi" w:cstheme="majorBidi"/>
                <w:sz w:val="24"/>
                <w:szCs w:val="24"/>
              </w:rPr>
              <w:t>centres</w:t>
            </w:r>
            <w:proofErr w:type="spellEnd"/>
            <w:r w:rsidRPr="00E60B76">
              <w:rPr>
                <w:rFonts w:asciiTheme="majorBidi" w:hAnsiTheme="majorBidi" w:cstheme="majorBidi"/>
                <w:sz w:val="24"/>
                <w:szCs w:val="24"/>
              </w:rPr>
              <w:t xml:space="preserve"> possess governing capacity?</w:t>
            </w:r>
          </w:p>
        </w:tc>
        <w:tc>
          <w:tcPr>
            <w:tcW w:w="3264" w:type="dxa"/>
            <w:tcBorders>
              <w:top w:val="single" w:sz="4" w:space="0" w:color="auto"/>
              <w:left w:val="single" w:sz="4" w:space="0" w:color="auto"/>
              <w:bottom w:val="single" w:sz="4" w:space="0" w:color="auto"/>
              <w:right w:val="single" w:sz="4" w:space="0" w:color="auto"/>
            </w:tcBorders>
            <w:vAlign w:val="center"/>
            <w:hideMark/>
          </w:tcPr>
          <w:p w14:paraId="085470FD"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monocentric / polycentric</w:t>
            </w:r>
          </w:p>
        </w:tc>
      </w:tr>
      <w:tr w:rsidR="00E60B76" w:rsidRPr="00E60B76" w14:paraId="5BBC7A2F" w14:textId="77777777" w:rsidTr="00E60B76">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6FC5EC46"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Relational depth</w:t>
            </w:r>
          </w:p>
        </w:tc>
        <w:tc>
          <w:tcPr>
            <w:tcW w:w="3264" w:type="dxa"/>
            <w:tcBorders>
              <w:top w:val="single" w:sz="4" w:space="0" w:color="auto"/>
              <w:left w:val="single" w:sz="4" w:space="0" w:color="auto"/>
              <w:bottom w:val="single" w:sz="4" w:space="0" w:color="auto"/>
              <w:right w:val="single" w:sz="4" w:space="0" w:color="auto"/>
            </w:tcBorders>
            <w:vAlign w:val="center"/>
            <w:hideMark/>
          </w:tcPr>
          <w:p w14:paraId="17062C73"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How many legally consequential stages or actors structure the path from rule-making to implementation?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62E3E45C"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dyadic / chained</w:t>
            </w:r>
          </w:p>
        </w:tc>
      </w:tr>
      <w:tr w:rsidR="00E60B76" w:rsidRPr="00E60B76" w14:paraId="2D8E70CA" w14:textId="77777777" w:rsidTr="00E60B76">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68A831F7"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Functional allocation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1791C938"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 xml:space="preserve">Where </w:t>
            </w:r>
            <w:proofErr w:type="gramStart"/>
            <w:r w:rsidRPr="00E60B76">
              <w:rPr>
                <w:rFonts w:asciiTheme="majorBidi" w:hAnsiTheme="majorBidi" w:cstheme="majorBidi"/>
                <w:sz w:val="24"/>
                <w:szCs w:val="24"/>
              </w:rPr>
              <w:t>are</w:t>
            </w:r>
            <w:proofErr w:type="gramEnd"/>
            <w:r w:rsidRPr="00E60B76">
              <w:rPr>
                <w:rFonts w:asciiTheme="majorBidi" w:hAnsiTheme="majorBidi" w:cstheme="majorBidi"/>
                <w:sz w:val="24"/>
                <w:szCs w:val="24"/>
              </w:rPr>
              <w:t xml:space="preserve"> rule-making, monitoring, verification and enforcement located?</w:t>
            </w:r>
          </w:p>
        </w:tc>
        <w:tc>
          <w:tcPr>
            <w:tcW w:w="3264" w:type="dxa"/>
            <w:tcBorders>
              <w:top w:val="single" w:sz="4" w:space="0" w:color="auto"/>
              <w:left w:val="single" w:sz="4" w:space="0" w:color="auto"/>
              <w:bottom w:val="single" w:sz="4" w:space="0" w:color="auto"/>
              <w:right w:val="single" w:sz="4" w:space="0" w:color="auto"/>
            </w:tcBorders>
            <w:vAlign w:val="center"/>
            <w:hideMark/>
          </w:tcPr>
          <w:p w14:paraId="4EE11FD1"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concentrated / distributed</w:t>
            </w:r>
          </w:p>
        </w:tc>
      </w:tr>
      <w:tr w:rsidR="00E60B76" w:rsidRPr="00E60B76" w14:paraId="6DA44FAD" w14:textId="77777777" w:rsidTr="00E60B76">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4C89C362"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Discretion distribution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5C1963D0"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Where is legally structured judgment located?</w:t>
            </w:r>
          </w:p>
        </w:tc>
        <w:tc>
          <w:tcPr>
            <w:tcW w:w="3264" w:type="dxa"/>
            <w:tcBorders>
              <w:top w:val="single" w:sz="4" w:space="0" w:color="auto"/>
              <w:left w:val="single" w:sz="4" w:space="0" w:color="auto"/>
              <w:bottom w:val="single" w:sz="4" w:space="0" w:color="auto"/>
              <w:right w:val="single" w:sz="4" w:space="0" w:color="auto"/>
            </w:tcBorders>
            <w:vAlign w:val="center"/>
            <w:hideMark/>
          </w:tcPr>
          <w:p w14:paraId="5516FAE7" w14:textId="6BE3E1D9"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regulator-centered / distributed</w:t>
            </w:r>
          </w:p>
        </w:tc>
      </w:tr>
      <w:tr w:rsidR="00E60B76" w:rsidRPr="00E60B76" w14:paraId="004A7420" w14:textId="77777777" w:rsidTr="00E60B76">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53917EEE"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Accountability structure</w:t>
            </w:r>
          </w:p>
        </w:tc>
        <w:tc>
          <w:tcPr>
            <w:tcW w:w="3264" w:type="dxa"/>
            <w:tcBorders>
              <w:top w:val="single" w:sz="4" w:space="0" w:color="auto"/>
              <w:left w:val="single" w:sz="4" w:space="0" w:color="auto"/>
              <w:bottom w:val="single" w:sz="4" w:space="0" w:color="auto"/>
              <w:right w:val="single" w:sz="4" w:space="0" w:color="auto"/>
            </w:tcBorders>
            <w:vAlign w:val="center"/>
            <w:hideMark/>
          </w:tcPr>
          <w:p w14:paraId="0FBF5DA2"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To whom are governing actors answerable and through how many forums?</w:t>
            </w:r>
          </w:p>
        </w:tc>
        <w:tc>
          <w:tcPr>
            <w:tcW w:w="3264" w:type="dxa"/>
            <w:tcBorders>
              <w:top w:val="single" w:sz="4" w:space="0" w:color="auto"/>
              <w:left w:val="single" w:sz="4" w:space="0" w:color="auto"/>
              <w:bottom w:val="single" w:sz="4" w:space="0" w:color="auto"/>
              <w:right w:val="single" w:sz="4" w:space="0" w:color="auto"/>
            </w:tcBorders>
            <w:vAlign w:val="center"/>
            <w:hideMark/>
          </w:tcPr>
          <w:p w14:paraId="3B77DC47"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concentrated / multiple</w:t>
            </w:r>
          </w:p>
        </w:tc>
      </w:tr>
    </w:tbl>
    <w:p w14:paraId="41CB8653" w14:textId="77777777" w:rsidR="00E60B76" w:rsidRDefault="00E60B76" w:rsidP="00E60B76">
      <w:pPr>
        <w:jc w:val="both"/>
        <w:rPr>
          <w:rFonts w:asciiTheme="majorBidi" w:hAnsiTheme="majorBidi" w:cstheme="majorBidi"/>
          <w:sz w:val="24"/>
          <w:szCs w:val="24"/>
        </w:rPr>
      </w:pPr>
    </w:p>
    <w:p w14:paraId="4355AB6B" w14:textId="0A1AD0DE"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Centralization concerns the concentration of legally consequential decision-making capacity. Highly centralized architectures concentrate rule-making, supervision and enforcement in a small number of public actors, whereas dispersed architectures distribute these functions across several institutions. Centralization is not equivalent to the number of actors. A system may contain many actors while leaving decisive authority concentrated in one regulator, or it may contain relatively few actors while distributing authority among several autonomous centers.</w:t>
      </w:r>
    </w:p>
    <w:p w14:paraId="489DFFC3"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Directness and intermediation concern the extent to which regulators govern targets directly or through third parties. Intermediation should be treated as a continuous architectural property rather than merely as a categorical type. The relevant issue is not simply whether intermediaries are present, but how much governance is routed through them, which functions they perform, how authoritative and indispensable they are, and how strongly they are themselves subject to regulation and supervision. Intermediation may therefore be central to an otherwise hierarchical, delegated, multilevel or polycentric architecture.</w:t>
      </w:r>
    </w:p>
    <w:p w14:paraId="7069C689"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Public-private allocation concerns the institutional location of regulatory work. Laws may concentrate rule-making, implementation, monitoring, verification and enforcement in public bodies, allocate substantial governance work to regulated firms and associations, or construct hybrid arrangements in which public and private actors perform complementary functions. The resulting architecture is not reducible to a simple public-private dichotomy because the same law may allocate different functions to different actor families.</w:t>
      </w:r>
    </w:p>
    <w:p w14:paraId="24F268C9"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lastRenderedPageBreak/>
        <w:t>Self-regulatory autonomy concerns the extent to which regulated actors themselves formulate, interpret, implement, monitor or enforce the rules governing their conduct. The concept therefore depends not merely on the presence of organizational compliance duties but on the substantive discretion and governance capacity retained by regulated actors. This dimension is central to distinguishing self-regulation, enforced self-regulation and meta-regulation, and it is analytically separable from intermediation. A regime may be highly intermediated yet leave little self-regulatory discretion to targets, while another may allocate extensive self-regulatory responsibilities without relying heavily on external intermediaries.</w:t>
      </w:r>
    </w:p>
    <w:p w14:paraId="02AAB9F8"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Vertical distribution concerns the location of authority across supranational, national, regional and local levels. Multilevel architectures distribute governing functions across several jurisdictional levels and may combine vertical hierarchy with horizontal coordination. Decision-</w:t>
      </w:r>
      <w:proofErr w:type="spellStart"/>
      <w:r w:rsidRPr="00E60B76">
        <w:rPr>
          <w:rFonts w:asciiTheme="majorBidi" w:hAnsiTheme="majorBidi" w:cstheme="majorBidi"/>
          <w:sz w:val="24"/>
          <w:szCs w:val="24"/>
        </w:rPr>
        <w:t>centre</w:t>
      </w:r>
      <w:proofErr w:type="spellEnd"/>
      <w:r w:rsidRPr="00E60B76">
        <w:rPr>
          <w:rFonts w:asciiTheme="majorBidi" w:hAnsiTheme="majorBidi" w:cstheme="majorBidi"/>
          <w:sz w:val="24"/>
          <w:szCs w:val="24"/>
        </w:rPr>
        <w:t xml:space="preserve"> plurality, by contrast, concerns the number and autonomy of </w:t>
      </w:r>
      <w:proofErr w:type="spellStart"/>
      <w:r w:rsidRPr="00E60B76">
        <w:rPr>
          <w:rFonts w:asciiTheme="majorBidi" w:hAnsiTheme="majorBidi" w:cstheme="majorBidi"/>
          <w:sz w:val="24"/>
          <w:szCs w:val="24"/>
        </w:rPr>
        <w:t>centres</w:t>
      </w:r>
      <w:proofErr w:type="spellEnd"/>
      <w:r w:rsidRPr="00E60B76">
        <w:rPr>
          <w:rFonts w:asciiTheme="majorBidi" w:hAnsiTheme="majorBidi" w:cstheme="majorBidi"/>
          <w:sz w:val="24"/>
          <w:szCs w:val="24"/>
        </w:rPr>
        <w:t xml:space="preserve"> possessing meaningful governing capacities. Polycentric governance therefore cannot be identified simply from the presence of multiple actors; it requires multiple </w:t>
      </w:r>
      <w:proofErr w:type="spellStart"/>
      <w:r w:rsidRPr="00E60B76">
        <w:rPr>
          <w:rFonts w:asciiTheme="majorBidi" w:hAnsiTheme="majorBidi" w:cstheme="majorBidi"/>
          <w:sz w:val="24"/>
          <w:szCs w:val="24"/>
        </w:rPr>
        <w:t>centres</w:t>
      </w:r>
      <w:proofErr w:type="spellEnd"/>
      <w:r w:rsidRPr="00E60B76">
        <w:rPr>
          <w:rFonts w:asciiTheme="majorBidi" w:hAnsiTheme="majorBidi" w:cstheme="majorBidi"/>
          <w:sz w:val="24"/>
          <w:szCs w:val="24"/>
        </w:rPr>
        <w:t xml:space="preserve"> that exercise partly autonomous decision-making capacities while remaining institutionally interdependent (Ostrom 2005).</w:t>
      </w:r>
    </w:p>
    <w:p w14:paraId="6AAD157D"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Relational depth concerns the number and sequence of legally consequential stages through which governance operates. A direct regulator-target arrangement has limited relational depth. An accreditation and assurance system may instead involve public authorities, accreditation bodies, conformity-assessment bodies, regulated firms and beneficiaries, each occupying a distinct position in the regulatory process. Greater relational depth is not inherently superior or inferior, but it changes the distribution of information, authority, dependence and accountability and may create both capacity and control problems.</w:t>
      </w:r>
    </w:p>
    <w:p w14:paraId="0D1E57AC"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Functional allocation concerns where the work of governance is located. This dimension is particularly important because two laws can contain the same actors while distributing functions very differently among them. One architecture may retain rule-making, monitoring and enforcement in a public agency; another may retain rule-making publicly while assigning monitoring and verification to intermediaries and implementation to regulated firms. Architectural analysis should therefore identify not only which actors participate but also the distribution of rule-making, interpretation, implementation, information, monitoring, verification, enforcement, adjudication and remediation across actor categories.</w:t>
      </w:r>
    </w:p>
    <w:p w14:paraId="6016243E"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Discretion and accountability should likewise be treated as architectural distributions. Discretion may be retained by public regulators, shifted to regulated organizations, delegated to technical intermediaries or distributed across several institutional levels. Accountability may be concentrated in a hierarchical relationship or distributed across courts, auditors, supervisory bodies, professional associations and affected publics. Two architectures with similar actor and instrument profiles may therefore differ substantially in where judgment is located and to whom those exercising it must answer.</w:t>
      </w:r>
    </w:p>
    <w:p w14:paraId="4C7958A8" w14:textId="77777777" w:rsidR="00E60B76" w:rsidRPr="00E60B76" w:rsidRDefault="00E60B76" w:rsidP="00E60B76">
      <w:pPr>
        <w:pStyle w:val="Heading2"/>
        <w:jc w:val="both"/>
        <w:rPr>
          <w:rFonts w:asciiTheme="majorBidi" w:hAnsiTheme="majorBidi"/>
          <w:color w:val="auto"/>
          <w:sz w:val="24"/>
          <w:szCs w:val="24"/>
        </w:rPr>
      </w:pPr>
      <w:r w:rsidRPr="00E60B76">
        <w:rPr>
          <w:rFonts w:asciiTheme="majorBidi" w:hAnsiTheme="majorBidi"/>
          <w:color w:val="auto"/>
          <w:sz w:val="24"/>
          <w:szCs w:val="24"/>
        </w:rPr>
        <w:t>5.2.2 Recurrent architectural configurations</w:t>
      </w:r>
    </w:p>
    <w:p w14:paraId="664B01B7"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The dimensional approach does not eliminate the usefulness of ideal types. Named architectures remain valuable because they identify recurrent combinations of structural properties. Their status, however, should be understood configurationally: they are theoretically meaningful patterns formed by combinations of dimensions rather than mutually exclusive classifications of entire laws.</w:t>
      </w:r>
    </w:p>
    <w:p w14:paraId="668DBDC4"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Hierarchical governance concentrates authoritative decision-making in public actors and relies heavily on direct relations between regulators and regulatory targets. Its defining property is not simply state involvement but the concentration of binding authority and sanctioning capacity within an ordered structure of public control.</w:t>
      </w:r>
    </w:p>
    <w:p w14:paraId="66B604CF"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lastRenderedPageBreak/>
        <w:t>Delegated governance arises where a principal legally transfers or authorizes governance capacity to another actor while retaining some combination of oversight, review, revocation or other forms of control. Delegation therefore modifies hierarchy without necessarily eliminating it. The central questions are what authority has been transferred, to whom, under what conditions and subject to which controls (Abbott et al. 2015, 2020).</w:t>
      </w:r>
    </w:p>
    <w:p w14:paraId="6FE355A8"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Self-regulation refers to arrangements in which regulated actors, individually or collectively, assume substantial responsibility for developing, interpreting, implementing, monitoring or enforcing the norms governing their own conduct (Black 1996; Gunningham and Rees 1997). Its defining property is meaningful self-regulatory autonomy rather than the mere existence of internal compliance obligations.</w:t>
      </w:r>
    </w:p>
    <w:p w14:paraId="7F5A13C6"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Enforced self-regulation combines self-regulatory capacity with authoritative public oversight and the possibility of public enforcement. Regulated organizations formulate or administer context-specific rules or systems, while public authorities retain powers of approval, monitoring, intervention or sanction (Ayres and Braithwaite 1992). The architecture therefore combines decentralization of regulatory design or implementation with a public enforcement framework.</w:t>
      </w:r>
    </w:p>
    <w:p w14:paraId="3DB59BF9"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Meta-regulation regulates the self-regulatory capacity of organizations. Instead of specifying every substantive action, public authority establishes requirements concerning the systems through which regulated organizations identify risks, organize compliance, monitor performance and correct failures (Parker 2002). The target's own governance system becomes an object of regulation. Meta-regulation may coexist with prescriptive requirements and can vary considerably in the discretion it affords regulated organizations.</w:t>
      </w:r>
    </w:p>
    <w:p w14:paraId="7B2D81D6"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Enhanced self-regulation adds a further architectural element: relatively autonomous intermediaries enhance, constrain or render credible the self-regulatory activity of regulated actors through functions such as monitoring, verification, certification, assurance, standard-setting or information provision. Its defining feature is therefore not intermediation alone, but the combination of meaningful self-regulatory capacity with institutionalized intermediary enhancement. This distinguishes enhanced self-regulation from regimes in which private intermediaries merely perform tightly prescribed functions on behalf of public authorities.</w:t>
      </w:r>
    </w:p>
    <w:p w14:paraId="1BDADB8A"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Accreditation and assurance architectures are characterized by relational depth and by the governance of those who themselves perform governance. Public authorities may recognize accreditation bodies, accreditation bodies may assess certifiers or verifiers, and those actors may in turn assess regulated organizations. Such arrangements create chains in which authority, competence and assurance are distributed across several organizational levels. Their architecture depends on both the verification of regulatory targets and the regulation of the verifying actors themselves.</w:t>
      </w:r>
    </w:p>
    <w:p w14:paraId="36250D15"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Networked governance is characterized by coordination among several interdependent actors where governance cannot be adequately represented as a single linear chain of command. Networked arrangements may contain hierarchy, bargaining, information exchange, professional authority and contractual relations simultaneously. The concept should therefore be reserved for configurations in which horizontal interdependence is structurally important rather than used whenever multiple actors participate.</w:t>
      </w:r>
    </w:p>
    <w:p w14:paraId="4673B133"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 xml:space="preserve">Polycentric governance involves multiple partly autonomous decision </w:t>
      </w:r>
      <w:proofErr w:type="spellStart"/>
      <w:r w:rsidRPr="00E60B76">
        <w:rPr>
          <w:rFonts w:asciiTheme="majorBidi" w:hAnsiTheme="majorBidi" w:cstheme="majorBidi"/>
          <w:sz w:val="24"/>
          <w:szCs w:val="24"/>
        </w:rPr>
        <w:t>centres</w:t>
      </w:r>
      <w:proofErr w:type="spellEnd"/>
      <w:r w:rsidRPr="00E60B76">
        <w:rPr>
          <w:rFonts w:asciiTheme="majorBidi" w:hAnsiTheme="majorBidi" w:cstheme="majorBidi"/>
          <w:sz w:val="24"/>
          <w:szCs w:val="24"/>
        </w:rPr>
        <w:t xml:space="preserve"> possessing meaningful governing capacities and interacting through overlapping responsibilities, mutual adjustment or coordination (Ostrom 2005). Polycentricity therefore concerns the distribution of decision-making authority rather than actor multiplicity alone. A law that creates several agencies but subjects all consequential decisions to one central authority remains more monocentric than polycentric.</w:t>
      </w:r>
    </w:p>
    <w:p w14:paraId="5F61D1CF"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lastRenderedPageBreak/>
        <w:t>Multilevel governance distributes authority and governance functions across jurisdictional levels. A multilevel architecture may combine supranational rule-making, national implementation, regional administration and local enforcement, while also incorporating horizontal coordination and private or intermediary actors. Multilevel governance is therefore compatible with hierarchy, intermediation and polycentricity and should not be treated as an alternative to them.</w:t>
      </w:r>
    </w:p>
    <w:p w14:paraId="07822A1B" w14:textId="77777777" w:rsidR="00E60B76" w:rsidRDefault="00E60B76" w:rsidP="00281531">
      <w:pPr>
        <w:spacing w:line="276" w:lineRule="auto"/>
        <w:jc w:val="both"/>
        <w:rPr>
          <w:rStyle w:val="Strong"/>
          <w:rFonts w:asciiTheme="majorBidi" w:hAnsiTheme="majorBidi" w:cstheme="majorBidi"/>
          <w:b w:val="0"/>
          <w:bCs w:val="0"/>
          <w:sz w:val="24"/>
          <w:szCs w:val="24"/>
        </w:rPr>
      </w:pPr>
    </w:p>
    <w:p w14:paraId="72E56630" w14:textId="04B85F5D" w:rsidR="0033094E" w:rsidRDefault="0033094E">
      <w:pPr>
        <w:rPr>
          <w:rFonts w:asciiTheme="majorBidi" w:hAnsiTheme="majorBidi" w:cstheme="majorBidi"/>
          <w:sz w:val="24"/>
          <w:szCs w:val="24"/>
        </w:rPr>
      </w:pPr>
    </w:p>
    <w:p w14:paraId="302F1FF8" w14:textId="1AEA34E1" w:rsidR="00E60B76" w:rsidRDefault="00E60B76">
      <w:pPr>
        <w:rPr>
          <w:rFonts w:asciiTheme="majorBidi" w:hAnsiTheme="majorBidi" w:cstheme="majorBidi"/>
          <w:sz w:val="24"/>
          <w:szCs w:val="24"/>
        </w:rPr>
      </w:pPr>
    </w:p>
    <w:p w14:paraId="25FB4FAA" w14:textId="352C01E1" w:rsidR="00E60B76" w:rsidRDefault="00E60B76">
      <w:pPr>
        <w:rPr>
          <w:rFonts w:asciiTheme="majorBidi" w:hAnsiTheme="majorBidi" w:cstheme="majorBidi"/>
          <w:sz w:val="24"/>
          <w:szCs w:val="24"/>
        </w:rPr>
      </w:pPr>
    </w:p>
    <w:p w14:paraId="7450D566" w14:textId="5C17A0E4" w:rsidR="00E60B76" w:rsidRDefault="00E60B76">
      <w:pPr>
        <w:rPr>
          <w:rFonts w:asciiTheme="majorBidi" w:hAnsiTheme="majorBidi" w:cstheme="majorBidi"/>
          <w:sz w:val="24"/>
          <w:szCs w:val="24"/>
        </w:rPr>
      </w:pPr>
    </w:p>
    <w:p w14:paraId="118427F8" w14:textId="77777777" w:rsidR="00E60B76" w:rsidRDefault="00E60B76">
      <w:pPr>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2495"/>
        <w:gridCol w:w="3247"/>
        <w:gridCol w:w="2121"/>
        <w:gridCol w:w="2121"/>
      </w:tblGrid>
      <w:tr w:rsidR="003902C2" w:rsidRPr="0036629B" w14:paraId="20252946" w14:textId="77777777" w:rsidTr="00094FA3">
        <w:trPr>
          <w:jc w:val="center"/>
        </w:trPr>
        <w:tc>
          <w:tcPr>
            <w:tcW w:w="2495" w:type="dxa"/>
            <w:vAlign w:val="center"/>
          </w:tcPr>
          <w:p w14:paraId="1D60C7C3" w14:textId="77777777" w:rsidR="003902C2" w:rsidRPr="0036629B" w:rsidRDefault="00BB24A5"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Architecture</w:t>
            </w:r>
          </w:p>
        </w:tc>
        <w:tc>
          <w:tcPr>
            <w:tcW w:w="3247" w:type="dxa"/>
            <w:vAlign w:val="center"/>
          </w:tcPr>
          <w:p w14:paraId="24DC4F5F" w14:textId="77777777" w:rsidR="003902C2" w:rsidRPr="0036629B" w:rsidRDefault="00BB24A5"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Core actors</w:t>
            </w:r>
          </w:p>
        </w:tc>
        <w:tc>
          <w:tcPr>
            <w:tcW w:w="2121" w:type="dxa"/>
            <w:vAlign w:val="center"/>
          </w:tcPr>
          <w:p w14:paraId="32DDA696" w14:textId="77777777" w:rsidR="003902C2" w:rsidRPr="0036629B" w:rsidRDefault="00BB24A5"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Defining structural feature</w:t>
            </w:r>
          </w:p>
        </w:tc>
        <w:tc>
          <w:tcPr>
            <w:tcW w:w="2121" w:type="dxa"/>
            <w:vAlign w:val="center"/>
          </w:tcPr>
          <w:p w14:paraId="7C4C8F5F" w14:textId="77777777" w:rsidR="003902C2" w:rsidRPr="0036629B" w:rsidRDefault="00BB24A5"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Stylized relation</w:t>
            </w:r>
          </w:p>
        </w:tc>
      </w:tr>
      <w:tr w:rsidR="00281531" w:rsidRPr="0036629B" w14:paraId="1A484046" w14:textId="77777777" w:rsidTr="00094FA3">
        <w:trPr>
          <w:jc w:val="center"/>
        </w:trPr>
        <w:tc>
          <w:tcPr>
            <w:tcW w:w="2495" w:type="dxa"/>
            <w:vAlign w:val="center"/>
          </w:tcPr>
          <w:p w14:paraId="5EC8D1E0" w14:textId="013C9336" w:rsidR="00281531" w:rsidRPr="0036629B" w:rsidRDefault="00281531"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Self-Regulation</w:t>
            </w:r>
          </w:p>
        </w:tc>
        <w:tc>
          <w:tcPr>
            <w:tcW w:w="3247" w:type="dxa"/>
            <w:vAlign w:val="center"/>
          </w:tcPr>
          <w:p w14:paraId="5928597D" w14:textId="132F3DC6" w:rsidR="00281531" w:rsidRPr="0036629B" w:rsidRDefault="00281531" w:rsidP="0033094E">
            <w:pPr>
              <w:spacing w:before="30" w:after="30" w:line="276" w:lineRule="auto"/>
              <w:rPr>
                <w:rFonts w:asciiTheme="majorBidi" w:hAnsiTheme="majorBidi" w:cstheme="majorBidi"/>
                <w:sz w:val="22"/>
              </w:rPr>
            </w:pPr>
            <w:r w:rsidRPr="0036629B">
              <w:rPr>
                <w:rFonts w:asciiTheme="majorBidi" w:hAnsiTheme="majorBidi" w:cstheme="majorBidi"/>
                <w:sz w:val="22"/>
              </w:rPr>
              <w:t>Actor regulate itself</w:t>
            </w:r>
          </w:p>
        </w:tc>
        <w:tc>
          <w:tcPr>
            <w:tcW w:w="2121" w:type="dxa"/>
            <w:vAlign w:val="center"/>
          </w:tcPr>
          <w:p w14:paraId="7BFDE573" w14:textId="77777777" w:rsidR="00281531" w:rsidRPr="0036629B" w:rsidRDefault="00281531" w:rsidP="0033094E">
            <w:pPr>
              <w:spacing w:before="30" w:after="30" w:line="276" w:lineRule="auto"/>
              <w:rPr>
                <w:rFonts w:asciiTheme="majorBidi" w:hAnsiTheme="majorBidi" w:cstheme="majorBidi"/>
                <w:sz w:val="22"/>
              </w:rPr>
            </w:pPr>
          </w:p>
        </w:tc>
        <w:tc>
          <w:tcPr>
            <w:tcW w:w="2121" w:type="dxa"/>
            <w:vAlign w:val="center"/>
          </w:tcPr>
          <w:p w14:paraId="56587333" w14:textId="77777777" w:rsidR="00281531" w:rsidRPr="0036629B" w:rsidRDefault="00281531" w:rsidP="0033094E">
            <w:pPr>
              <w:spacing w:before="30" w:after="30" w:line="276" w:lineRule="auto"/>
              <w:rPr>
                <w:rFonts w:asciiTheme="majorBidi" w:hAnsiTheme="majorBidi" w:cstheme="majorBidi"/>
                <w:sz w:val="22"/>
              </w:rPr>
            </w:pPr>
          </w:p>
        </w:tc>
      </w:tr>
      <w:tr w:rsidR="00281531" w:rsidRPr="0036629B" w14:paraId="4076C95A" w14:textId="77777777" w:rsidTr="00094FA3">
        <w:trPr>
          <w:jc w:val="center"/>
        </w:trPr>
        <w:tc>
          <w:tcPr>
            <w:tcW w:w="2495" w:type="dxa"/>
            <w:vAlign w:val="center"/>
          </w:tcPr>
          <w:p w14:paraId="570F98C8" w14:textId="433311EB" w:rsidR="00281531" w:rsidRPr="0036629B" w:rsidRDefault="00281531"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 xml:space="preserve">Enforced self-Regulation </w:t>
            </w:r>
          </w:p>
        </w:tc>
        <w:tc>
          <w:tcPr>
            <w:tcW w:w="3247" w:type="dxa"/>
            <w:vAlign w:val="center"/>
          </w:tcPr>
          <w:p w14:paraId="0C651CB5" w14:textId="7C2D3CB9" w:rsidR="00281531" w:rsidRPr="0036629B" w:rsidRDefault="00281531" w:rsidP="0033094E">
            <w:pPr>
              <w:spacing w:before="30" w:after="30" w:line="276" w:lineRule="auto"/>
              <w:rPr>
                <w:rFonts w:asciiTheme="majorBidi" w:hAnsiTheme="majorBidi" w:cstheme="majorBidi"/>
                <w:sz w:val="22"/>
              </w:rPr>
            </w:pPr>
            <w:r w:rsidRPr="0036629B">
              <w:rPr>
                <w:rFonts w:asciiTheme="majorBidi" w:hAnsiTheme="majorBidi" w:cstheme="majorBidi"/>
                <w:sz w:val="22"/>
              </w:rPr>
              <w:t>Public authority+ target</w:t>
            </w:r>
          </w:p>
        </w:tc>
        <w:tc>
          <w:tcPr>
            <w:tcW w:w="2121" w:type="dxa"/>
            <w:vAlign w:val="center"/>
          </w:tcPr>
          <w:p w14:paraId="1E0AFC63" w14:textId="56D65FDA" w:rsidR="00281531" w:rsidRPr="0036629B" w:rsidRDefault="00281531" w:rsidP="0033094E">
            <w:pPr>
              <w:spacing w:before="30" w:after="30" w:line="276" w:lineRule="auto"/>
              <w:rPr>
                <w:rFonts w:asciiTheme="majorBidi" w:hAnsiTheme="majorBidi" w:cstheme="majorBidi"/>
                <w:sz w:val="22"/>
              </w:rPr>
            </w:pPr>
            <w:r w:rsidRPr="0036629B">
              <w:rPr>
                <w:rFonts w:asciiTheme="majorBidi" w:hAnsiTheme="majorBidi" w:cstheme="majorBidi"/>
                <w:sz w:val="22"/>
              </w:rPr>
              <w:t xml:space="preserve">Indirect authoritative relations </w:t>
            </w:r>
          </w:p>
        </w:tc>
        <w:tc>
          <w:tcPr>
            <w:tcW w:w="2121" w:type="dxa"/>
            <w:vAlign w:val="center"/>
          </w:tcPr>
          <w:p w14:paraId="26811106" w14:textId="77777777" w:rsidR="00281531" w:rsidRPr="0036629B" w:rsidRDefault="00281531" w:rsidP="0033094E">
            <w:pPr>
              <w:spacing w:before="30" w:after="30" w:line="276" w:lineRule="auto"/>
              <w:rPr>
                <w:rFonts w:asciiTheme="majorBidi" w:hAnsiTheme="majorBidi" w:cstheme="majorBidi"/>
                <w:sz w:val="22"/>
              </w:rPr>
            </w:pPr>
          </w:p>
        </w:tc>
      </w:tr>
      <w:tr w:rsidR="00281531" w:rsidRPr="0036629B" w14:paraId="4F50C3EE" w14:textId="77777777" w:rsidTr="00094FA3">
        <w:trPr>
          <w:jc w:val="center"/>
        </w:trPr>
        <w:tc>
          <w:tcPr>
            <w:tcW w:w="2495" w:type="dxa"/>
            <w:vAlign w:val="center"/>
          </w:tcPr>
          <w:p w14:paraId="23061CE0" w14:textId="3381AB3E" w:rsidR="00281531" w:rsidRPr="0036629B" w:rsidRDefault="00281531"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 xml:space="preserve">Enhanced self-Regulation </w:t>
            </w:r>
          </w:p>
        </w:tc>
        <w:tc>
          <w:tcPr>
            <w:tcW w:w="3247" w:type="dxa"/>
            <w:vAlign w:val="center"/>
          </w:tcPr>
          <w:p w14:paraId="3C8E7845" w14:textId="23309548" w:rsidR="00281531" w:rsidRPr="0036629B" w:rsidRDefault="00281531" w:rsidP="0033094E">
            <w:pPr>
              <w:spacing w:before="30" w:after="30" w:line="276" w:lineRule="auto"/>
              <w:rPr>
                <w:rFonts w:asciiTheme="majorBidi" w:hAnsiTheme="majorBidi" w:cstheme="majorBidi"/>
                <w:sz w:val="22"/>
              </w:rPr>
            </w:pPr>
            <w:r w:rsidRPr="0036629B">
              <w:rPr>
                <w:rFonts w:asciiTheme="majorBidi" w:hAnsiTheme="majorBidi" w:cstheme="majorBidi"/>
                <w:sz w:val="22"/>
              </w:rPr>
              <w:t>regulator + intermediary + target</w:t>
            </w:r>
          </w:p>
        </w:tc>
        <w:tc>
          <w:tcPr>
            <w:tcW w:w="2121" w:type="dxa"/>
            <w:vAlign w:val="center"/>
          </w:tcPr>
          <w:p w14:paraId="40A8C010" w14:textId="3F4D010F" w:rsidR="00281531" w:rsidRPr="0036629B" w:rsidRDefault="00281531" w:rsidP="0033094E">
            <w:pPr>
              <w:spacing w:before="30" w:after="30" w:line="276" w:lineRule="auto"/>
              <w:rPr>
                <w:rFonts w:asciiTheme="majorBidi" w:hAnsiTheme="majorBidi" w:cstheme="majorBidi"/>
                <w:sz w:val="22"/>
              </w:rPr>
            </w:pPr>
            <w:r w:rsidRPr="0036629B">
              <w:rPr>
                <w:rFonts w:asciiTheme="majorBidi" w:hAnsiTheme="majorBidi" w:cstheme="majorBidi"/>
                <w:sz w:val="22"/>
              </w:rPr>
              <w:t>regulatory work routed through third party</w:t>
            </w:r>
          </w:p>
        </w:tc>
        <w:tc>
          <w:tcPr>
            <w:tcW w:w="2121" w:type="dxa"/>
            <w:vAlign w:val="center"/>
          </w:tcPr>
          <w:p w14:paraId="24DD0D37" w14:textId="3ECFE6B6" w:rsidR="00281531" w:rsidRPr="0036629B" w:rsidRDefault="00281531" w:rsidP="0033094E">
            <w:pPr>
              <w:spacing w:before="30" w:after="30" w:line="276" w:lineRule="auto"/>
              <w:rPr>
                <w:rFonts w:asciiTheme="majorBidi" w:hAnsiTheme="majorBidi" w:cstheme="majorBidi"/>
                <w:sz w:val="22"/>
              </w:rPr>
            </w:pPr>
            <w:r w:rsidRPr="0036629B">
              <w:rPr>
                <w:rFonts w:asciiTheme="majorBidi" w:hAnsiTheme="majorBidi" w:cstheme="majorBidi"/>
                <w:sz w:val="22"/>
              </w:rPr>
              <w:t>R -&gt; I -&gt; T</w:t>
            </w:r>
          </w:p>
        </w:tc>
      </w:tr>
      <w:tr w:rsidR="00281531" w:rsidRPr="0036629B" w14:paraId="7636086D" w14:textId="77777777" w:rsidTr="00094FA3">
        <w:trPr>
          <w:jc w:val="center"/>
        </w:trPr>
        <w:tc>
          <w:tcPr>
            <w:tcW w:w="2495" w:type="dxa"/>
            <w:vAlign w:val="center"/>
          </w:tcPr>
          <w:p w14:paraId="78F1C6CD" w14:textId="0D717064" w:rsidR="00281531" w:rsidRPr="0036629B" w:rsidRDefault="00281531"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 xml:space="preserve">Meta-Regulation </w:t>
            </w:r>
          </w:p>
        </w:tc>
        <w:tc>
          <w:tcPr>
            <w:tcW w:w="3247" w:type="dxa"/>
            <w:vAlign w:val="center"/>
          </w:tcPr>
          <w:p w14:paraId="6E64A699" w14:textId="6D7F58CF" w:rsidR="00281531" w:rsidRPr="0036629B" w:rsidRDefault="00281531" w:rsidP="0033094E">
            <w:pPr>
              <w:spacing w:before="30" w:after="30" w:line="276" w:lineRule="auto"/>
              <w:rPr>
                <w:rFonts w:asciiTheme="majorBidi" w:hAnsiTheme="majorBidi" w:cstheme="majorBidi"/>
                <w:sz w:val="22"/>
              </w:rPr>
            </w:pPr>
            <w:r w:rsidRPr="0036629B">
              <w:rPr>
                <w:rFonts w:asciiTheme="majorBidi" w:hAnsiTheme="majorBidi" w:cstheme="majorBidi"/>
                <w:sz w:val="22"/>
              </w:rPr>
              <w:t>Public authority+ target</w:t>
            </w:r>
          </w:p>
        </w:tc>
        <w:tc>
          <w:tcPr>
            <w:tcW w:w="2121" w:type="dxa"/>
            <w:vAlign w:val="center"/>
          </w:tcPr>
          <w:p w14:paraId="26582CCD" w14:textId="059AF2B6" w:rsidR="00281531" w:rsidRPr="0036629B" w:rsidRDefault="00281531" w:rsidP="0033094E">
            <w:pPr>
              <w:spacing w:before="30" w:after="30" w:line="276" w:lineRule="auto"/>
              <w:rPr>
                <w:rFonts w:asciiTheme="majorBidi" w:hAnsiTheme="majorBidi" w:cstheme="majorBidi"/>
                <w:sz w:val="22"/>
              </w:rPr>
            </w:pPr>
            <w:r w:rsidRPr="0036629B">
              <w:rPr>
                <w:rFonts w:asciiTheme="majorBidi" w:hAnsiTheme="majorBidi" w:cstheme="majorBidi"/>
                <w:sz w:val="22"/>
              </w:rPr>
              <w:t>Supervision of Target’s self-regulatory system</w:t>
            </w:r>
          </w:p>
        </w:tc>
        <w:tc>
          <w:tcPr>
            <w:tcW w:w="2121" w:type="dxa"/>
            <w:vAlign w:val="center"/>
          </w:tcPr>
          <w:p w14:paraId="1FBB79A2" w14:textId="77777777" w:rsidR="00281531" w:rsidRPr="0036629B" w:rsidRDefault="00281531" w:rsidP="0033094E">
            <w:pPr>
              <w:spacing w:before="30" w:after="30" w:line="276" w:lineRule="auto"/>
              <w:rPr>
                <w:rFonts w:asciiTheme="majorBidi" w:hAnsiTheme="majorBidi" w:cstheme="majorBidi"/>
                <w:sz w:val="22"/>
              </w:rPr>
            </w:pPr>
          </w:p>
        </w:tc>
      </w:tr>
      <w:tr w:rsidR="003902C2" w:rsidRPr="0036629B" w14:paraId="087BE2D7" w14:textId="77777777" w:rsidTr="00094FA3">
        <w:trPr>
          <w:jc w:val="center"/>
        </w:trPr>
        <w:tc>
          <w:tcPr>
            <w:tcW w:w="2495" w:type="dxa"/>
            <w:vAlign w:val="center"/>
          </w:tcPr>
          <w:p w14:paraId="4CAD1C59" w14:textId="77777777" w:rsidR="003902C2" w:rsidRPr="0036629B" w:rsidRDefault="00BB24A5"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Hierarchical</w:t>
            </w:r>
          </w:p>
        </w:tc>
        <w:tc>
          <w:tcPr>
            <w:tcW w:w="3247" w:type="dxa"/>
            <w:vAlign w:val="center"/>
          </w:tcPr>
          <w:p w14:paraId="28256BD5"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public authority + target</w:t>
            </w:r>
          </w:p>
        </w:tc>
        <w:tc>
          <w:tcPr>
            <w:tcW w:w="2121" w:type="dxa"/>
            <w:vAlign w:val="center"/>
          </w:tcPr>
          <w:p w14:paraId="3EA69AA1"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direct authoritative relation</w:t>
            </w:r>
          </w:p>
        </w:tc>
        <w:tc>
          <w:tcPr>
            <w:tcW w:w="2121" w:type="dxa"/>
            <w:vAlign w:val="center"/>
          </w:tcPr>
          <w:p w14:paraId="1886DA92"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R -&gt; T</w:t>
            </w:r>
          </w:p>
        </w:tc>
      </w:tr>
      <w:tr w:rsidR="003902C2" w:rsidRPr="0036629B" w14:paraId="767277D7" w14:textId="77777777" w:rsidTr="00094FA3">
        <w:trPr>
          <w:jc w:val="center"/>
        </w:trPr>
        <w:tc>
          <w:tcPr>
            <w:tcW w:w="2495" w:type="dxa"/>
            <w:vAlign w:val="center"/>
          </w:tcPr>
          <w:p w14:paraId="13BA16BE" w14:textId="77777777" w:rsidR="003902C2" w:rsidRPr="0036629B" w:rsidRDefault="00BB24A5"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Delegated</w:t>
            </w:r>
          </w:p>
        </w:tc>
        <w:tc>
          <w:tcPr>
            <w:tcW w:w="3247" w:type="dxa"/>
            <w:vAlign w:val="center"/>
          </w:tcPr>
          <w:p w14:paraId="6507392F"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principal + agent + target</w:t>
            </w:r>
          </w:p>
        </w:tc>
        <w:tc>
          <w:tcPr>
            <w:tcW w:w="2121" w:type="dxa"/>
            <w:vAlign w:val="center"/>
          </w:tcPr>
          <w:p w14:paraId="6129A8D3"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authority transferred under control</w:t>
            </w:r>
          </w:p>
        </w:tc>
        <w:tc>
          <w:tcPr>
            <w:tcW w:w="2121" w:type="dxa"/>
            <w:vAlign w:val="center"/>
          </w:tcPr>
          <w:p w14:paraId="163E7DF2"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P -&gt; A -&gt; T</w:t>
            </w:r>
          </w:p>
        </w:tc>
      </w:tr>
      <w:tr w:rsidR="003902C2" w:rsidRPr="0036629B" w14:paraId="4747F7D2" w14:textId="77777777" w:rsidTr="00094FA3">
        <w:trPr>
          <w:jc w:val="center"/>
        </w:trPr>
        <w:tc>
          <w:tcPr>
            <w:tcW w:w="2495" w:type="dxa"/>
            <w:vAlign w:val="center"/>
          </w:tcPr>
          <w:p w14:paraId="4ED04DA8" w14:textId="77777777" w:rsidR="003902C2" w:rsidRPr="0036629B" w:rsidRDefault="00BB24A5"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Accreditation/assurance chain</w:t>
            </w:r>
          </w:p>
        </w:tc>
        <w:tc>
          <w:tcPr>
            <w:tcW w:w="3247" w:type="dxa"/>
            <w:vAlign w:val="center"/>
          </w:tcPr>
          <w:p w14:paraId="284001AC"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regulator + accreditor + verifier + target</w:t>
            </w:r>
          </w:p>
        </w:tc>
        <w:tc>
          <w:tcPr>
            <w:tcW w:w="2121" w:type="dxa"/>
            <w:vAlign w:val="center"/>
          </w:tcPr>
          <w:p w14:paraId="3A8CDC95"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governance of verifier plus verification of target</w:t>
            </w:r>
          </w:p>
        </w:tc>
        <w:tc>
          <w:tcPr>
            <w:tcW w:w="2121" w:type="dxa"/>
            <w:vAlign w:val="center"/>
          </w:tcPr>
          <w:p w14:paraId="48F70357"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R -&gt; A -&gt; V -&gt; T</w:t>
            </w:r>
          </w:p>
        </w:tc>
      </w:tr>
      <w:tr w:rsidR="003902C2" w:rsidRPr="0036629B" w14:paraId="7C6E42B0" w14:textId="77777777" w:rsidTr="00094FA3">
        <w:trPr>
          <w:jc w:val="center"/>
        </w:trPr>
        <w:tc>
          <w:tcPr>
            <w:tcW w:w="2495" w:type="dxa"/>
            <w:vAlign w:val="center"/>
          </w:tcPr>
          <w:p w14:paraId="2EFB1D9D" w14:textId="77777777" w:rsidR="003902C2" w:rsidRPr="0036629B" w:rsidRDefault="00BB24A5"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Networked</w:t>
            </w:r>
          </w:p>
        </w:tc>
        <w:tc>
          <w:tcPr>
            <w:tcW w:w="3247" w:type="dxa"/>
            <w:vAlign w:val="center"/>
          </w:tcPr>
          <w:p w14:paraId="72ABE035"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multiple public/private actors</w:t>
            </w:r>
          </w:p>
        </w:tc>
        <w:tc>
          <w:tcPr>
            <w:tcW w:w="2121" w:type="dxa"/>
            <w:vAlign w:val="center"/>
          </w:tcPr>
          <w:p w14:paraId="46C538BB"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coordination among interdependent actors</w:t>
            </w:r>
          </w:p>
        </w:tc>
        <w:tc>
          <w:tcPr>
            <w:tcW w:w="2121" w:type="dxa"/>
            <w:vAlign w:val="center"/>
          </w:tcPr>
          <w:p w14:paraId="171E31EE"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many-to-many</w:t>
            </w:r>
          </w:p>
        </w:tc>
      </w:tr>
      <w:tr w:rsidR="003902C2" w:rsidRPr="0036629B" w14:paraId="3FEF1EBD" w14:textId="77777777" w:rsidTr="00094FA3">
        <w:trPr>
          <w:jc w:val="center"/>
        </w:trPr>
        <w:tc>
          <w:tcPr>
            <w:tcW w:w="2495" w:type="dxa"/>
            <w:vAlign w:val="center"/>
          </w:tcPr>
          <w:p w14:paraId="2D0141DD" w14:textId="77777777" w:rsidR="003902C2" w:rsidRPr="0036629B" w:rsidRDefault="00BB24A5"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Polycentric</w:t>
            </w:r>
          </w:p>
        </w:tc>
        <w:tc>
          <w:tcPr>
            <w:tcW w:w="3247" w:type="dxa"/>
            <w:vAlign w:val="center"/>
          </w:tcPr>
          <w:p w14:paraId="244892BA"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multiple decision centres</w:t>
            </w:r>
          </w:p>
        </w:tc>
        <w:tc>
          <w:tcPr>
            <w:tcW w:w="2121" w:type="dxa"/>
            <w:vAlign w:val="center"/>
          </w:tcPr>
          <w:p w14:paraId="0F31C270"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overlapping, partly autonomous authority</w:t>
            </w:r>
          </w:p>
        </w:tc>
        <w:tc>
          <w:tcPr>
            <w:tcW w:w="2121" w:type="dxa"/>
            <w:vAlign w:val="center"/>
          </w:tcPr>
          <w:p w14:paraId="02FD0680"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interdependent centres</w:t>
            </w:r>
          </w:p>
        </w:tc>
      </w:tr>
      <w:tr w:rsidR="003902C2" w:rsidRPr="0036629B" w14:paraId="1E8B0245" w14:textId="77777777" w:rsidTr="00094FA3">
        <w:trPr>
          <w:jc w:val="center"/>
        </w:trPr>
        <w:tc>
          <w:tcPr>
            <w:tcW w:w="2495" w:type="dxa"/>
            <w:vAlign w:val="center"/>
          </w:tcPr>
          <w:p w14:paraId="537B0204" w14:textId="77777777" w:rsidR="003902C2" w:rsidRPr="0036629B" w:rsidRDefault="00BB24A5"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Multi-level</w:t>
            </w:r>
          </w:p>
        </w:tc>
        <w:tc>
          <w:tcPr>
            <w:tcW w:w="3247" w:type="dxa"/>
            <w:vAlign w:val="center"/>
          </w:tcPr>
          <w:p w14:paraId="31093DA1"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supranational/national/subnational actors</w:t>
            </w:r>
          </w:p>
        </w:tc>
        <w:tc>
          <w:tcPr>
            <w:tcW w:w="2121" w:type="dxa"/>
            <w:vAlign w:val="center"/>
          </w:tcPr>
          <w:p w14:paraId="4A8E0BB9"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authority distributed vertically and horizontally</w:t>
            </w:r>
          </w:p>
        </w:tc>
        <w:tc>
          <w:tcPr>
            <w:tcW w:w="2121" w:type="dxa"/>
            <w:vAlign w:val="center"/>
          </w:tcPr>
          <w:p w14:paraId="4664A7ED"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L1 &lt;-&gt; L2 &lt;-&gt; L3</w:t>
            </w:r>
          </w:p>
        </w:tc>
      </w:tr>
    </w:tbl>
    <w:p w14:paraId="4033B8F2" w14:textId="09DBEF5F" w:rsidR="00BB24A5" w:rsidRDefault="00BB24A5">
      <w:pPr>
        <w:rPr>
          <w:rFonts w:asciiTheme="majorBidi" w:hAnsiTheme="majorBidi" w:cstheme="majorBidi"/>
          <w:sz w:val="24"/>
          <w:szCs w:val="24"/>
        </w:rPr>
      </w:pPr>
    </w:p>
    <w:p w14:paraId="64744B98" w14:textId="77777777" w:rsidR="00E60B76" w:rsidRPr="00E60B76" w:rsidRDefault="00E60B76" w:rsidP="00E60B76">
      <w:pPr>
        <w:pStyle w:val="Heading2"/>
        <w:jc w:val="both"/>
        <w:rPr>
          <w:rFonts w:asciiTheme="majorBidi" w:hAnsiTheme="majorBidi"/>
          <w:color w:val="auto"/>
          <w:sz w:val="24"/>
          <w:szCs w:val="24"/>
        </w:rPr>
      </w:pPr>
      <w:r w:rsidRPr="00E60B76">
        <w:rPr>
          <w:rFonts w:asciiTheme="majorBidi" w:hAnsiTheme="majorBidi"/>
          <w:color w:val="auto"/>
          <w:sz w:val="24"/>
          <w:szCs w:val="24"/>
        </w:rPr>
        <w:lastRenderedPageBreak/>
        <w:t>5.2.3 Mixed and overlapping architectures</w:t>
      </w:r>
    </w:p>
    <w:p w14:paraId="5C8504EC"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Actual legal systems commonly combine several of these configurations. A law may require firms to establish internal risk-management systems, subject those systems to verification by accredited private bodies, authorize national regulators to supervise the verifiers, and retain centralized public enforcement. Such an arrangement simultaneously displays elements of meta-regulation, enhanced self-regulation, accreditation-based assurance and hierarchy. The analytical task is therefore not necessarily to assign the law a single label, but to reconstruct how these components coexist and which are most consequential within the relevant regulatory domain.</w:t>
      </w:r>
    </w:p>
    <w:p w14:paraId="761AB17D"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This configurational perspective also permits architecture to vary within a single statute. Large contemporary laws frequently govern several objects, actor groups and regulatory stages. One part of a statute may rely on direct public authorization, another on internal organizational compliance systems, and another on intermediary verification. The legal act should consequently not be assumed to contain one homogeneous architecture. Architectural claims should specify the legal scope to which they apply and identify whether the observed configuration concerns the entire law, a subsystem, a regulatory function or a particular stage of the regulatory process.</w:t>
      </w:r>
    </w:p>
    <w:p w14:paraId="79180DDB"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The significance of a configuration should furthermore be distinguished from its frequency. A rarely mentioned relationship may be architecturally decisive where it constitutes a mandatory gateway, allocates binding authority, or occupies an indispensable position in a regulatory sequence. Conversely, frequently repeated provisions may remain structurally peripheral. Architectural analysis therefore requires attention to centrality, authority, indispensability, sequence and consequence as well as prevalence. This point is especially important for measuring intermediation, because the mere number of intermediary actors provides little indication of whether governance actually depends upon them.</w:t>
      </w:r>
    </w:p>
    <w:p w14:paraId="2AD877BB" w14:textId="7E596921" w:rsid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 xml:space="preserve">A multidimensional and configurational understanding of architecture consequently makes the concept suitable for comparative analysis. Laws can be compared not only by assigning them ideal-type labels but by examining how they distribute functions, authority, discretion and accountability; how direct or intermediated their regulatory pathways are; how deeply governance is chained across actors; how public and private capacities are combined; and how many partly autonomous decision </w:t>
      </w:r>
      <w:proofErr w:type="spellStart"/>
      <w:r w:rsidRPr="00E60B76">
        <w:rPr>
          <w:rFonts w:asciiTheme="majorBidi" w:hAnsiTheme="majorBidi" w:cstheme="majorBidi"/>
          <w:sz w:val="24"/>
          <w:szCs w:val="24"/>
        </w:rPr>
        <w:t>centres</w:t>
      </w:r>
      <w:proofErr w:type="spellEnd"/>
      <w:r w:rsidRPr="00E60B76">
        <w:rPr>
          <w:rFonts w:asciiTheme="majorBidi" w:hAnsiTheme="majorBidi" w:cstheme="majorBidi"/>
          <w:sz w:val="24"/>
          <w:szCs w:val="24"/>
        </w:rPr>
        <w:t xml:space="preserve"> they establish. Named architectural forms can then be understood as recurrent configurations within this larger multidimensional space.</w:t>
      </w:r>
    </w:p>
    <w:p w14:paraId="472321AE" w14:textId="29CFF272" w:rsidR="00CA0508" w:rsidRDefault="00CA0508" w:rsidP="00E60B76">
      <w:pPr>
        <w:jc w:val="both"/>
        <w:rPr>
          <w:rFonts w:asciiTheme="majorBidi" w:hAnsiTheme="majorBidi" w:cstheme="majorBidi"/>
          <w:sz w:val="24"/>
          <w:szCs w:val="24"/>
        </w:rPr>
      </w:pPr>
    </w:p>
    <w:p w14:paraId="5003DF3A" w14:textId="77777777" w:rsidR="003D1700" w:rsidRDefault="003D1700" w:rsidP="003D1700">
      <w:pPr>
        <w:rPr>
          <w:rFonts w:asciiTheme="majorBidi" w:hAnsiTheme="majorBidi" w:cstheme="majorBidi"/>
          <w:b/>
          <w:bCs/>
          <w:sz w:val="24"/>
          <w:szCs w:val="24"/>
        </w:rPr>
      </w:pPr>
      <w:r>
        <w:rPr>
          <w:rFonts w:asciiTheme="majorBidi" w:hAnsiTheme="majorBidi" w:cstheme="majorBidi"/>
          <w:b/>
          <w:bCs/>
          <w:sz w:val="24"/>
          <w:szCs w:val="24"/>
        </w:rPr>
        <w:t>5.3 Regimes within regimes: nested, embedded and cross-cutting governance</w:t>
      </w:r>
    </w:p>
    <w:p w14:paraId="3F97A151" w14:textId="77777777" w:rsidR="003D1700" w:rsidRDefault="003D1700" w:rsidP="003D1700">
      <w:pPr>
        <w:spacing w:before="100"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Regimes themselves can contain, overlap with, depend upon, and cut across other regimes. That complicates the inference ladder in a productive </w:t>
      </w:r>
      <w:proofErr w:type="gramStart"/>
      <w:r>
        <w:rPr>
          <w:rFonts w:ascii="Times New Roman" w:eastAsia="Times New Roman" w:hAnsi="Times New Roman" w:cs="Times New Roman"/>
          <w:sz w:val="24"/>
          <w:szCs w:val="24"/>
        </w:rPr>
        <w:t>way  The</w:t>
      </w:r>
      <w:proofErr w:type="gramEnd"/>
      <w:r>
        <w:rPr>
          <w:rFonts w:ascii="Times New Roman" w:eastAsia="Times New Roman" w:hAnsi="Times New Roman" w:cs="Times New Roman"/>
          <w:sz w:val="24"/>
          <w:szCs w:val="24"/>
        </w:rPr>
        <w:t xml:space="preserve"> concept of a regulatory regime was developed partly to move analysis beyond regulation understood as isolated or atomistic rule-making. Levi-Faur (2011) suggests that, for many theoretical, methodological and empirical purposes, the more appropriate object is the regulatory regime: the wider configuration of norms, decision-making mechanisms and networks of actors involved in regulation. Drawing on Krasner, Vogel and Hood, Rothstein and Baldwin, a regulatory regime incorporates principles and norms, rules and decision procedures, organizational arrangements and relations between public and private actors. Hood et al. further identify information gathering, standard setting and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modification as components of the regulatory control system, while distinguishing the context of regulation from the internal content of the regime, including its scale, institutional structure, fragmentation and regulatory style.  This conception is deliberately complex. It is consistent with Levi-</w:t>
      </w:r>
      <w:proofErr w:type="spellStart"/>
      <w:r>
        <w:rPr>
          <w:rFonts w:ascii="Times New Roman" w:eastAsia="Times New Roman" w:hAnsi="Times New Roman" w:cs="Times New Roman"/>
          <w:sz w:val="24"/>
          <w:szCs w:val="24"/>
        </w:rPr>
        <w:t>Faur's</w:t>
      </w:r>
      <w:proofErr w:type="spellEnd"/>
      <w:r>
        <w:rPr>
          <w:rFonts w:ascii="Times New Roman" w:eastAsia="Times New Roman" w:hAnsi="Times New Roman" w:cs="Times New Roman"/>
          <w:sz w:val="24"/>
          <w:szCs w:val="24"/>
        </w:rPr>
        <w:t xml:space="preserve"> broader argument that regulation itself is a plural and contested concept and that analytical progress should not depend upon forcing </w:t>
      </w:r>
      <w:r>
        <w:rPr>
          <w:rFonts w:ascii="Times New Roman" w:eastAsia="Times New Roman" w:hAnsi="Times New Roman" w:cs="Times New Roman"/>
          <w:sz w:val="24"/>
          <w:szCs w:val="24"/>
        </w:rPr>
        <w:lastRenderedPageBreak/>
        <w:t xml:space="preserve">heterogeneous governance arrangements into a single definition. (Levi-Faur, 2011). Regulatory governance is hybrid: rule-making, monitoring and enforcement may be distributed among state, market and civil actors; first-, second- and third-party regulation can coexist; and co-regulation, enforced self-regulation, meta-regulation and multilevel regulation can be combined within the same institutional arrangement. </w:t>
      </w:r>
    </w:p>
    <w:p w14:paraId="371473D2" w14:textId="77777777" w:rsidR="003D1700" w:rsidRDefault="003D1700" w:rsidP="003D1700">
      <w:pPr>
        <w:spacing w:before="100" w:beforeAutospacing="1"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implication that deserves greater attention is that regulatory regimes need not correspond to mutually exclusive or neatly bounded systems. A broad regulatory regime may contain more specialized regimes; several regimes may share actors and rules; and some functional regimes may cut across the boundaries of several formally recognizable legal regimes. The architecture of governance is therefore not necessarily a tree in which every lower-order element belongs exclusively to one higher-order regime. It is often better represented as a network of partially nested, overlapping and interdependent institutional configurations.  This is particularly visible where laws perform several governance functions simultaneously. A sustainable-finance regulatory regime may contain a disclosure regime, a classification regime, a fund-name regime, an assurance regime and a supervisory regime. At the same time, a trust regime may be present across several of these arrangements without being formally identified by lawmakers as a "trust regime." Its existence has to be inferred from rules and relationships governing verification, evidence, expertise, challenge, accountability and repair. The same may be true of knowledge regimes, accreditation regimes, risk regimes or accountability regimes. </w:t>
      </w:r>
      <w:proofErr w:type="gramStart"/>
      <w:r>
        <w:rPr>
          <w:rFonts w:ascii="Times New Roman" w:eastAsia="Times New Roman" w:hAnsi="Times New Roman" w:cs="Times New Roman"/>
          <w:sz w:val="24"/>
          <w:szCs w:val="24"/>
        </w:rPr>
        <w:t>Thus</w:t>
      </w:r>
      <w:proofErr w:type="gramEnd"/>
      <w:r>
        <w:rPr>
          <w:rFonts w:ascii="Times New Roman" w:eastAsia="Times New Roman" w:hAnsi="Times New Roman" w:cs="Times New Roman"/>
          <w:sz w:val="24"/>
          <w:szCs w:val="24"/>
        </w:rPr>
        <w:t xml:space="preserve"> some regimes are formally constituted and explicitly named, while others are latent functional regimes that become visible only through analytical reconstruction.</w:t>
      </w:r>
    </w:p>
    <w:p w14:paraId="26AC1F80" w14:textId="77777777" w:rsidR="003D1700" w:rsidRDefault="003D1700" w:rsidP="003D1700">
      <w:pPr>
        <w:spacing w:before="100"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Several terms should be distinguished because they describe different institutional relationships.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1"/>
        <w:gridCol w:w="4932"/>
        <w:gridCol w:w="3121"/>
      </w:tblGrid>
      <w:tr w:rsidR="003D1700" w14:paraId="70F89C00" w14:textId="77777777" w:rsidTr="003D170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412DAB" w14:textId="77777777" w:rsidR="003D1700" w:rsidRDefault="003D17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81CD7E" w14:textId="77777777" w:rsidR="003D1700" w:rsidRDefault="003D17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Meaning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B5227A" w14:textId="77777777" w:rsidR="003D1700" w:rsidRDefault="003D17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Implication for analysis</w:t>
            </w:r>
          </w:p>
        </w:tc>
      </w:tr>
      <w:tr w:rsidR="003D1700" w14:paraId="36122109" w14:textId="77777777" w:rsidTr="003D170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85AB9B"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Nested regime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1519AB"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Regime B is substantially contained within Regime A and operates at a narrower level of scope or function.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86B672"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Suggests hierarchical inclusion.</w:t>
            </w:r>
          </w:p>
        </w:tc>
      </w:tr>
      <w:tr w:rsidR="003D1700" w14:paraId="3EE74120" w14:textId="77777777" w:rsidTr="003D170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8A2624"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Sub-regime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E6250A"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specialized component of a broader regime, usually sharing its issue domain and boundaries.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27FB79"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Useful when boundaries are relatively clear.</w:t>
            </w:r>
          </w:p>
        </w:tc>
      </w:tr>
      <w:tr w:rsidR="003D1700" w14:paraId="14010735" w14:textId="77777777" w:rsidTr="003D170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BA3F3E"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Embedded regime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190677"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regime is institutionally situated within another and depends partly on its rules, actors or authority, without necessarily being hierarchically subordinate.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19CE02"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Broader and less hierarchical than “nested.”</w:t>
            </w:r>
          </w:p>
        </w:tc>
      </w:tr>
      <w:tr w:rsidR="003D1700" w14:paraId="7A984E79" w14:textId="77777777" w:rsidTr="003D170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7E45FD"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Layered regime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4FA432"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later institutional arrangement is added onto an existing regime while earlier structures remain in place.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5AEF3A"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sz w:val="24"/>
                <w:szCs w:val="24"/>
              </w:rPr>
              <w:t>Emphasizes temporal development rather than spatial containment.</w:t>
            </w:r>
          </w:p>
        </w:tc>
      </w:tr>
      <w:tr w:rsidR="003D1700" w14:paraId="38B46B0F" w14:textId="77777777" w:rsidTr="003D170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075FF5"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Overlapping regimes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F91856"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sz w:val="24"/>
                <w:szCs w:val="24"/>
              </w:rPr>
              <w:t>Two regimes govern some of the same actors, objects, relationships or activities, but neither contains the other.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278F61"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multiple membership in coding.</w:t>
            </w:r>
          </w:p>
        </w:tc>
      </w:tr>
      <w:tr w:rsidR="003D1700" w14:paraId="69EE4049" w14:textId="77777777" w:rsidTr="003D170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7BEACC"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Cross-cutting regime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EB97D6"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functional regime operates across several otherwise distinct regulatory subsystems.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2CACCE"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Particularly useful for trust, risk, information and accountability regimes.</w:t>
            </w:r>
          </w:p>
        </w:tc>
      </w:tr>
      <w:tr w:rsidR="003D1700" w14:paraId="1A815122" w14:textId="77777777" w:rsidTr="003D170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252E79"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Coupled regimes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74BEC2"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sz w:val="24"/>
                <w:szCs w:val="24"/>
              </w:rPr>
              <w:t>Two distinguishable regimes depend upon one another's outputs or decisions.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C6FA69"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Highlights functional interdependence.</w:t>
            </w:r>
          </w:p>
        </w:tc>
      </w:tr>
      <w:tr w:rsidR="003D1700" w14:paraId="0CAFFFE4" w14:textId="77777777" w:rsidTr="003D170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1247A9"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Constitutively linked regimes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541515"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One regime cannot operate in its existing form without the institutional work performed by another.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B995AF"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Stronger than simple overlap.</w:t>
            </w:r>
          </w:p>
        </w:tc>
      </w:tr>
      <w:tr w:rsidR="003D1700" w14:paraId="6D180192" w14:textId="77777777" w:rsidTr="003D170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F892D6"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Meta-regime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2600C0"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regime governs or structures the operation of another regulatory regime.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F77388"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Relevant to accreditation, regulatory-quality systems and meta-regulation.</w:t>
            </w:r>
          </w:p>
        </w:tc>
      </w:tr>
      <w:tr w:rsidR="003D1700" w14:paraId="5BD454B3" w14:textId="77777777" w:rsidTr="003D170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011DB9"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Regime complex</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DE1A66"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Several partially overlapping, non-hierarchical regimes jointly govern an issue area.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A78CE0"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Useful where no single encompassing regime dominates.</w:t>
            </w:r>
          </w:p>
        </w:tc>
      </w:tr>
      <w:tr w:rsidR="003D1700" w14:paraId="54C3E1E4" w14:textId="77777777" w:rsidTr="003D170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C2435F"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Latent or functional regime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9F8660"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coherent governance arrangement exists in practice or in legal architecture but is not formally named as a regime.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F2FC40" w14:textId="77777777" w:rsidR="003D1700" w:rsidRDefault="003D17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explicit inferential criteria.</w:t>
            </w:r>
          </w:p>
        </w:tc>
      </w:tr>
    </w:tbl>
    <w:p w14:paraId="79BDBBF8" w14:textId="77777777" w:rsidR="003D1700" w:rsidRDefault="003D1700" w:rsidP="003D1700">
      <w:pPr>
        <w:spacing w:before="100" w:beforeAutospacing="1"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terms should not be treated as synonyms. </w:t>
      </w:r>
      <w:proofErr w:type="spellStart"/>
      <w:r>
        <w:rPr>
          <w:rFonts w:ascii="Times New Roman" w:eastAsia="Times New Roman" w:hAnsi="Times New Roman" w:cs="Times New Roman"/>
          <w:sz w:val="24"/>
          <w:szCs w:val="24"/>
        </w:rPr>
        <w:t>Nestedness</w:t>
      </w:r>
      <w:proofErr w:type="spellEnd"/>
      <w:r>
        <w:rPr>
          <w:rFonts w:ascii="Times New Roman" w:eastAsia="Times New Roman" w:hAnsi="Times New Roman" w:cs="Times New Roman"/>
          <w:sz w:val="24"/>
          <w:szCs w:val="24"/>
        </w:rPr>
        <w:t xml:space="preserve"> concerns containment; embedding concerns institutional location and dependence; layering concerns historical addition; overlap concerns shared jurisdiction; cross-cutting concerns functional reach; coupling concerns dependence; and meta-regulation concerns regulation of regulation</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This distinction matters for the analysis of law as governance architecture because the same legal components can participate simultaneously in several regimes. A reporting obligation, for example, may be part of a disclosure regime, an accountability regime and a trust regime. A certification body may belong simultaneously to a conformity-assessment regime, an accreditation regime and a market-access regime. A regulatory authority may supervise each of these arrangements without any single statute explicitly defining them as separate regimes. The implication is that regime boundaries should be regarded as an object of analysis rather than an assumption of the research design.</w:t>
      </w:r>
    </w:p>
    <w:p w14:paraId="7EE1189E" w14:textId="77777777" w:rsidR="003D1700" w:rsidRDefault="003D1700" w:rsidP="003D1700">
      <w:pPr>
        <w:spacing w:before="100" w:beforeAutospacing="1"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From legal architecture to regime architecture</w:t>
      </w:r>
    </w:p>
    <w:p w14:paraId="1C7A6B99" w14:textId="77777777" w:rsidR="003D1700" w:rsidRDefault="003D1700" w:rsidP="003D1700">
      <w:pPr>
        <w:spacing w:before="100" w:beforeAutospacing="1"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relational-</w:t>
      </w:r>
      <w:proofErr w:type="spellStart"/>
      <w:r>
        <w:rPr>
          <w:rFonts w:ascii="Times New Roman" w:eastAsia="Times New Roman" w:hAnsi="Times New Roman" w:cs="Times New Roman"/>
          <w:sz w:val="24"/>
          <w:szCs w:val="24"/>
        </w:rPr>
        <w:t>leximetric</w:t>
      </w:r>
      <w:proofErr w:type="spellEnd"/>
      <w:r>
        <w:rPr>
          <w:rFonts w:ascii="Times New Roman" w:eastAsia="Times New Roman" w:hAnsi="Times New Roman" w:cs="Times New Roman"/>
          <w:sz w:val="24"/>
          <w:szCs w:val="24"/>
        </w:rPr>
        <w:t xml:space="preserve"> framework already distinguishes legal text, institutional statements, governance relationships, governance configurations, legal architectures and governance regimes. The recognition of regimes within regimes requires one refinement to this inference ladder. The movement from architecture to regime should not be understood only as vertical aggregation. It may also require </w:t>
      </w:r>
      <w:r>
        <w:rPr>
          <w:rFonts w:ascii="Times New Roman" w:eastAsia="Times New Roman" w:hAnsi="Times New Roman" w:cs="Times New Roman"/>
          <w:b/>
          <w:bCs/>
          <w:sz w:val="24"/>
          <w:szCs w:val="24"/>
        </w:rPr>
        <w:t>horizontal and configurational inference</w:t>
      </w:r>
      <w:r>
        <w:rPr>
          <w:rFonts w:ascii="Times New Roman" w:eastAsia="Times New Roman" w:hAnsi="Times New Roman" w:cs="Times New Roman"/>
          <w:sz w:val="24"/>
          <w:szCs w:val="24"/>
        </w:rPr>
        <w:t xml:space="preserve">. </w:t>
      </w:r>
    </w:p>
    <w:p w14:paraId="1F7E8C59" w14:textId="77777777" w:rsidR="003D1700" w:rsidRDefault="003D1700" w:rsidP="003D1700">
      <w:pPr>
        <w:spacing w:before="100" w:beforeAutospacing="1" w:afterAutospacing="1" w:line="276"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 xml:space="preserve">A provision establishes an obligation; several obligations establish relationships; relationships form configurations; configurations contribute to architectures. But architectures may then participate in several higher-order regimes simultaneously: </w:t>
      </w:r>
      <w:r>
        <w:rPr>
          <w:rFonts w:ascii="Times New Roman" w:eastAsia="Times New Roman" w:hAnsi="Times New Roman" w:cs="Times New Roman"/>
          <w:b/>
          <w:bCs/>
          <w:sz w:val="24"/>
          <w:szCs w:val="24"/>
        </w:rPr>
        <w:t xml:space="preserve"> </w:t>
      </w:r>
    </w:p>
    <w:p w14:paraId="54DAFBE9" w14:textId="77777777" w:rsidR="003D1700" w:rsidRDefault="003D1700" w:rsidP="003D1700">
      <w:pPr>
        <w:spacing w:before="100" w:beforeAutospacing="1" w:afterAutospacing="1"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Architecture → {Regime A, Regime B, Regime C}, with specified relations among them.</w:t>
      </w:r>
    </w:p>
    <w:p w14:paraId="6FFF01B8" w14:textId="77777777" w:rsidR="003D1700" w:rsidRDefault="003D1700" w:rsidP="003D1700">
      <w:pPr>
        <w:spacing w:before="100" w:beforeAutospacing="1"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is consistent with the argument that contemporary laws may combine hierarchical, self-regulatory, meta-regulatory, intermediated, networked and polycentric characteristics and therefore should not be forced into mutually exclusive architectural categories. The same principle should apply one level higher: regulatory regimes themselves may be multiplex rather than mutually exclusive.</w:t>
      </w:r>
    </w:p>
    <w:p w14:paraId="24F1D526" w14:textId="77777777" w:rsidR="003D1700" w:rsidRDefault="003D1700" w:rsidP="003D1700">
      <w:pPr>
        <w:spacing w:before="100" w:beforeAutospacing="1"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Recognizing regimes within regimes creates several methodological difficulties.  The first is the </w:t>
      </w:r>
      <w:r>
        <w:rPr>
          <w:rFonts w:ascii="Times New Roman" w:eastAsia="Times New Roman" w:hAnsi="Times New Roman" w:cs="Times New Roman"/>
          <w:b/>
          <w:bCs/>
          <w:sz w:val="24"/>
          <w:szCs w:val="24"/>
        </w:rPr>
        <w:t>boundary problem</w:t>
      </w:r>
      <w:r>
        <w:rPr>
          <w:rFonts w:ascii="Times New Roman" w:eastAsia="Times New Roman" w:hAnsi="Times New Roman" w:cs="Times New Roman"/>
          <w:sz w:val="24"/>
          <w:szCs w:val="24"/>
        </w:rPr>
        <w:t xml:space="preserve">. A statute rarely announces where one regime stops and another begins. Formal legal boundaries, organizational boundaries and functional boundaries may differ. If researchers simply reproduce statutory boundaries, they may miss cross-cutting regimes. If they define regimes entirely by function, however, they risk imposing theoretical categories on the material. Second is the problem of </w:t>
      </w:r>
      <w:r>
        <w:rPr>
          <w:rFonts w:ascii="Times New Roman" w:eastAsia="Times New Roman" w:hAnsi="Times New Roman" w:cs="Times New Roman"/>
          <w:b/>
          <w:bCs/>
          <w:sz w:val="24"/>
          <w:szCs w:val="24"/>
        </w:rPr>
        <w:t>latent regimes</w:t>
      </w:r>
      <w:r>
        <w:rPr>
          <w:rFonts w:ascii="Times New Roman" w:eastAsia="Times New Roman" w:hAnsi="Times New Roman" w:cs="Times New Roman"/>
          <w:sz w:val="24"/>
          <w:szCs w:val="24"/>
        </w:rPr>
        <w:t xml:space="preserve">. Trust regimes, knowledge regimes or accountability regimes may not be named anywhere in the legal text. Their identification therefore involves a higher level of inference than identifying an explicitly established licensing or registration system. Third is </w:t>
      </w:r>
      <w:r>
        <w:rPr>
          <w:rFonts w:ascii="Times New Roman" w:eastAsia="Times New Roman" w:hAnsi="Times New Roman" w:cs="Times New Roman"/>
          <w:b/>
          <w:bCs/>
          <w:sz w:val="24"/>
          <w:szCs w:val="24"/>
        </w:rPr>
        <w:t>multiple membership</w:t>
      </w:r>
      <w:r>
        <w:rPr>
          <w:rFonts w:ascii="Times New Roman" w:eastAsia="Times New Roman" w:hAnsi="Times New Roman" w:cs="Times New Roman"/>
          <w:sz w:val="24"/>
          <w:szCs w:val="24"/>
        </w:rPr>
        <w:t xml:space="preserve">. A single provision, actor or relationship may contribute to several regimes. Requiring each observation to belong to only one regime would artificially simplify the architecture. Fourth is </w:t>
      </w:r>
      <w:r>
        <w:rPr>
          <w:rFonts w:ascii="Times New Roman" w:eastAsia="Times New Roman" w:hAnsi="Times New Roman" w:cs="Times New Roman"/>
          <w:b/>
          <w:bCs/>
          <w:sz w:val="24"/>
          <w:szCs w:val="24"/>
        </w:rPr>
        <w:t>scale dependence</w:t>
      </w:r>
      <w:r>
        <w:rPr>
          <w:rFonts w:ascii="Times New Roman" w:eastAsia="Times New Roman" w:hAnsi="Times New Roman" w:cs="Times New Roman"/>
          <w:sz w:val="24"/>
          <w:szCs w:val="24"/>
        </w:rPr>
        <w:t xml:space="preserve">. What appears as a complete regime at one level may appear as a mechanism or subsystem at another. Certification may constitute a regime when certification governance itself is the research object but appear merely as one component of a broader product-safety regime. Fifth is the distinction between </w:t>
      </w:r>
      <w:r>
        <w:rPr>
          <w:rFonts w:ascii="Times New Roman" w:eastAsia="Times New Roman" w:hAnsi="Times New Roman" w:cs="Times New Roman"/>
          <w:b/>
          <w:bCs/>
          <w:sz w:val="24"/>
          <w:szCs w:val="24"/>
        </w:rPr>
        <w:t>presence and structural significance</w:t>
      </w:r>
      <w:r>
        <w:rPr>
          <w:rFonts w:ascii="Times New Roman" w:eastAsia="Times New Roman" w:hAnsi="Times New Roman" w:cs="Times New Roman"/>
          <w:sz w:val="24"/>
          <w:szCs w:val="24"/>
        </w:rPr>
        <w:t xml:space="preserve">. The appearance of one audit provision does not establish an audit regime, just as the current paper correctly argues that the appearance of an intermediary does not establish an intermediated architecture. Regime identification must depend upon configuration and institutional consequence rather than simple frequency. Sixth is the problem of </w:t>
      </w:r>
      <w:r>
        <w:rPr>
          <w:rFonts w:ascii="Times New Roman" w:eastAsia="Times New Roman" w:hAnsi="Times New Roman" w:cs="Times New Roman"/>
          <w:b/>
          <w:bCs/>
          <w:sz w:val="24"/>
          <w:szCs w:val="24"/>
        </w:rPr>
        <w:t>temporal change</w:t>
      </w:r>
      <w:r>
        <w:rPr>
          <w:rFonts w:ascii="Times New Roman" w:eastAsia="Times New Roman" w:hAnsi="Times New Roman" w:cs="Times New Roman"/>
          <w:sz w:val="24"/>
          <w:szCs w:val="24"/>
        </w:rPr>
        <w:t>. Regimes may emerge through layering, conversion and accretion. A disclosure system originally introduced for investor information may subsequently become infrastructure for certification, benchmarking or algorithmic supervision. Coding only the original purpose of the legal provision would miss the changing architectural role.</w:t>
      </w:r>
    </w:p>
    <w:p w14:paraId="6C8ADC75" w14:textId="77777777" w:rsidR="003D1700" w:rsidRDefault="003D1700" w:rsidP="003D1700">
      <w:pPr>
        <w:spacing w:before="100" w:beforeAutospacing="1"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Relational leximetrics can address these coding problems by separating </w:t>
      </w:r>
      <w:r>
        <w:rPr>
          <w:rFonts w:ascii="Times New Roman" w:eastAsia="Times New Roman" w:hAnsi="Times New Roman" w:cs="Times New Roman"/>
          <w:b/>
          <w:bCs/>
          <w:sz w:val="24"/>
          <w:szCs w:val="24"/>
        </w:rPr>
        <w:t xml:space="preserve">first-order </w:t>
      </w:r>
      <w:r>
        <w:rPr>
          <w:rFonts w:ascii="Times New Roman" w:eastAsia="Times New Roman" w:hAnsi="Times New Roman" w:cs="Times New Roman"/>
          <w:sz w:val="24"/>
          <w:szCs w:val="24"/>
        </w:rPr>
        <w:t>legal coding</w:t>
      </w:r>
      <w:r>
        <w:rPr>
          <w:rFonts w:ascii="Times New Roman" w:eastAsia="Times New Roman" w:hAnsi="Times New Roman" w:cs="Times New Roman"/>
          <w:b/>
          <w:bCs/>
          <w:sz w:val="24"/>
          <w:szCs w:val="24"/>
        </w:rPr>
        <w:t xml:space="preserve"> from second-order </w:t>
      </w:r>
      <w:r>
        <w:rPr>
          <w:rFonts w:ascii="Times New Roman" w:eastAsia="Times New Roman" w:hAnsi="Times New Roman" w:cs="Times New Roman"/>
          <w:sz w:val="24"/>
          <w:szCs w:val="24"/>
        </w:rPr>
        <w:t>regime reconstruction.   At the first stage, coders should continue to record observable elements—actors, objects, functions, mechanisms, instruments, relationships, authority, discretion and accountability—without requiring them to determine immediately which regime an observation belongs to. This preserves the evidentiary discipline already central to the paper.  At a second stage, researchers can reconstruct candidate regimes from configurations of these observations. A higher-order configuration should be classified as a regime only where there is evidence of several of the following characteristics:</w:t>
      </w:r>
    </w:p>
    <w:p w14:paraId="2638638D" w14:textId="77777777" w:rsidR="003D1700" w:rsidRDefault="003D1700" w:rsidP="003D1700">
      <w:pPr>
        <w:numPr>
          <w:ilvl w:val="0"/>
          <w:numId w:val="19"/>
        </w:numPr>
        <w:spacing w:before="100" w:beforeAutospacing="1" w:afterAutospacing="1"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recurrent and identifiable governance problem or function;</w:t>
      </w:r>
    </w:p>
    <w:p w14:paraId="5C4FD331" w14:textId="77777777" w:rsidR="003D1700" w:rsidRDefault="003D1700" w:rsidP="003D1700">
      <w:pPr>
        <w:numPr>
          <w:ilvl w:val="0"/>
          <w:numId w:val="19"/>
        </w:numPr>
        <w:spacing w:before="100" w:beforeAutospacing="1" w:afterAutospacing="1"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relatively stable set of actors or roles;</w:t>
      </w:r>
    </w:p>
    <w:p w14:paraId="7D65D6C3" w14:textId="77777777" w:rsidR="003D1700" w:rsidRDefault="003D1700" w:rsidP="003D1700">
      <w:pPr>
        <w:numPr>
          <w:ilvl w:val="0"/>
          <w:numId w:val="19"/>
        </w:numPr>
        <w:spacing w:before="100" w:beforeAutospacing="1" w:afterAutospacing="1"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rules or norms structuring their relationships;</w:t>
      </w:r>
    </w:p>
    <w:p w14:paraId="46ED007C" w14:textId="77777777" w:rsidR="003D1700" w:rsidRDefault="003D1700" w:rsidP="003D1700">
      <w:pPr>
        <w:numPr>
          <w:ilvl w:val="0"/>
          <w:numId w:val="19"/>
        </w:numPr>
        <w:spacing w:before="100" w:beforeAutospacing="1" w:afterAutospacing="1"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recognizable mechanisms of decision-making or standard setting;</w:t>
      </w:r>
    </w:p>
    <w:p w14:paraId="0D386274" w14:textId="77777777" w:rsidR="003D1700" w:rsidRDefault="003D1700" w:rsidP="003D1700">
      <w:pPr>
        <w:numPr>
          <w:ilvl w:val="0"/>
          <w:numId w:val="19"/>
        </w:numPr>
        <w:spacing w:before="100" w:beforeAutospacing="1" w:afterAutospacing="1"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monitoring, verification, enforcement or review;</w:t>
      </w:r>
    </w:p>
    <w:p w14:paraId="4725A19B" w14:textId="77777777" w:rsidR="003D1700" w:rsidRDefault="003D1700" w:rsidP="003D1700">
      <w:pPr>
        <w:numPr>
          <w:ilvl w:val="0"/>
          <w:numId w:val="19"/>
        </w:numPr>
        <w:spacing w:before="100" w:beforeAutospacing="1" w:afterAutospacing="1"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some continuity across provisions or legal instruments; and</w:t>
      </w:r>
    </w:p>
    <w:p w14:paraId="09B58A42" w14:textId="77777777" w:rsidR="003D1700" w:rsidRDefault="003D1700" w:rsidP="003D1700">
      <w:pPr>
        <w:numPr>
          <w:ilvl w:val="0"/>
          <w:numId w:val="19"/>
        </w:numPr>
        <w:spacing w:before="100" w:beforeAutospacing="1" w:afterAutospacing="1"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sufficient institutional coherence to distinguish the configuration from an isolated mechanism.</w:t>
      </w:r>
    </w:p>
    <w:p w14:paraId="1485BC61" w14:textId="77777777" w:rsidR="003D1700" w:rsidRDefault="003D1700" w:rsidP="003D1700">
      <w:pPr>
        <w:spacing w:before="100" w:beforeAutospacing="1" w:afterAutospacing="1" w:line="276" w:lineRule="auto"/>
        <w:rPr>
          <w:rFonts w:asciiTheme="majorBidi" w:eastAsia="Times New Roman" w:hAnsiTheme="majorBidi" w:cstheme="majorBidi"/>
          <w:sz w:val="24"/>
          <w:szCs w:val="24"/>
        </w:rPr>
      </w:pPr>
      <w:r>
        <w:rPr>
          <w:rFonts w:ascii="Times New Roman" w:eastAsia="Times New Roman" w:hAnsi="Times New Roman" w:cs="Times New Roman"/>
          <w:sz w:val="24"/>
          <w:szCs w:val="24"/>
        </w:rPr>
        <w:t xml:space="preserve">No single characteristic should automatically establish a regime. The judgment is configurational. </w:t>
      </w:r>
      <w:r>
        <w:rPr>
          <w:rFonts w:asciiTheme="majorBidi" w:eastAsia="Times New Roman" w:hAnsiTheme="majorBidi" w:cstheme="majorBidi"/>
          <w:sz w:val="24"/>
          <w:szCs w:val="24"/>
        </w:rPr>
        <w:t xml:space="preserve">The database should consequently use a many-to-many structure rather than assign one </w:t>
      </w:r>
      <w:proofErr w:type="spellStart"/>
      <w:r>
        <w:rPr>
          <w:rFonts w:asciiTheme="majorBidi" w:eastAsia="Times New Roman" w:hAnsiTheme="majorBidi" w:cstheme="majorBidi"/>
          <w:sz w:val="24"/>
          <w:szCs w:val="24"/>
        </w:rPr>
        <w:t>regime_id</w:t>
      </w:r>
      <w:proofErr w:type="spellEnd"/>
      <w:r>
        <w:rPr>
          <w:rFonts w:asciiTheme="majorBidi" w:eastAsia="Times New Roman" w:hAnsiTheme="majorBidi" w:cstheme="majorBidi"/>
          <w:sz w:val="24"/>
          <w:szCs w:val="24"/>
        </w:rPr>
        <w:t xml:space="preserve"> to every provision. A legal observation could be linked to multiple regime identifiers, while a separate regime-relation table records whether those regimes are nested, embedded, overlapping, cross-cutting, layered, coupled or meta-regulatory.  A minimal structure might be: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1"/>
        <w:gridCol w:w="7133"/>
      </w:tblGrid>
      <w:tr w:rsidR="003D1700" w14:paraId="00E8B2C7" w14:textId="77777777" w:rsidTr="003D170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9883C4" w14:textId="77777777" w:rsidR="003D1700" w:rsidRDefault="003D1700">
            <w:pPr>
              <w:jc w:val="center"/>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Field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03EEB1" w14:textId="77777777" w:rsidR="003D1700" w:rsidRDefault="003D1700">
            <w:pPr>
              <w:jc w:val="center"/>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Function</w:t>
            </w:r>
          </w:p>
        </w:tc>
      </w:tr>
      <w:tr w:rsidR="003D1700" w14:paraId="5CFDB636" w14:textId="77777777" w:rsidTr="003D170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1F31CA" w14:textId="77777777" w:rsidR="003D1700" w:rsidRDefault="003D1700">
            <w:pPr>
              <w:rPr>
                <w:rFonts w:asciiTheme="majorBidi" w:eastAsia="Times New Roman" w:hAnsiTheme="majorBidi" w:cstheme="majorBidi"/>
                <w:sz w:val="24"/>
                <w:szCs w:val="24"/>
              </w:rPr>
            </w:pPr>
            <w:proofErr w:type="spellStart"/>
            <w:r>
              <w:rPr>
                <w:rFonts w:asciiTheme="majorBidi" w:eastAsia="Times New Roman" w:hAnsiTheme="majorBidi" w:cstheme="majorBidi"/>
                <w:sz w:val="24"/>
                <w:szCs w:val="24"/>
              </w:rPr>
              <w:t>regime_id</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C606C0" w14:textId="77777777" w:rsidR="003D1700" w:rsidRDefault="003D1700">
            <w:pPr>
              <w:rPr>
                <w:rFonts w:asciiTheme="majorBidi" w:eastAsia="Times New Roman" w:hAnsiTheme="majorBidi" w:cstheme="majorBidi"/>
                <w:sz w:val="24"/>
                <w:szCs w:val="24"/>
              </w:rPr>
            </w:pPr>
            <w:r>
              <w:rPr>
                <w:rFonts w:asciiTheme="majorBidi" w:eastAsia="Times New Roman" w:hAnsiTheme="majorBidi" w:cstheme="majorBidi"/>
                <w:sz w:val="24"/>
                <w:szCs w:val="24"/>
              </w:rPr>
              <w:t>Unique analytical regime</w:t>
            </w:r>
          </w:p>
        </w:tc>
      </w:tr>
      <w:tr w:rsidR="003D1700" w14:paraId="72337849" w14:textId="77777777" w:rsidTr="003D170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4413E1" w14:textId="77777777" w:rsidR="003D1700" w:rsidRDefault="003D1700">
            <w:pPr>
              <w:rPr>
                <w:rFonts w:asciiTheme="majorBidi" w:eastAsia="Times New Roman" w:hAnsiTheme="majorBidi" w:cstheme="majorBidi"/>
                <w:sz w:val="24"/>
                <w:szCs w:val="24"/>
              </w:rPr>
            </w:pPr>
            <w:proofErr w:type="spellStart"/>
            <w:r>
              <w:rPr>
                <w:rFonts w:asciiTheme="majorBidi" w:eastAsia="Times New Roman" w:hAnsiTheme="majorBidi" w:cstheme="majorBidi"/>
                <w:sz w:val="24"/>
                <w:szCs w:val="24"/>
              </w:rPr>
              <w:t>regime_name</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BB658C" w14:textId="77777777" w:rsidR="003D1700" w:rsidRDefault="003D1700">
            <w:pPr>
              <w:rPr>
                <w:rFonts w:asciiTheme="majorBidi" w:eastAsia="Times New Roman" w:hAnsiTheme="majorBidi" w:cstheme="majorBidi"/>
                <w:sz w:val="24"/>
                <w:szCs w:val="24"/>
              </w:rPr>
            </w:pPr>
            <w:r>
              <w:rPr>
                <w:rFonts w:asciiTheme="majorBidi" w:eastAsia="Times New Roman" w:hAnsiTheme="majorBidi" w:cstheme="majorBidi"/>
                <w:sz w:val="24"/>
                <w:szCs w:val="24"/>
              </w:rPr>
              <w:t>Formal or analytical name</w:t>
            </w:r>
          </w:p>
        </w:tc>
      </w:tr>
      <w:tr w:rsidR="003D1700" w14:paraId="19D27BAD" w14:textId="77777777" w:rsidTr="003D170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9A6CD9" w14:textId="77777777" w:rsidR="003D1700" w:rsidRDefault="003D1700">
            <w:pPr>
              <w:rPr>
                <w:rFonts w:asciiTheme="majorBidi" w:eastAsia="Times New Roman" w:hAnsiTheme="majorBidi" w:cstheme="majorBidi"/>
                <w:sz w:val="24"/>
                <w:szCs w:val="24"/>
              </w:rPr>
            </w:pPr>
            <w:proofErr w:type="spellStart"/>
            <w:r>
              <w:rPr>
                <w:rFonts w:asciiTheme="majorBidi" w:eastAsia="Times New Roman" w:hAnsiTheme="majorBidi" w:cstheme="majorBidi"/>
                <w:sz w:val="24"/>
                <w:szCs w:val="24"/>
              </w:rPr>
              <w:t>regime_status</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4EA310" w14:textId="77777777" w:rsidR="003D1700" w:rsidRDefault="003D1700">
            <w:pPr>
              <w:rPr>
                <w:rFonts w:asciiTheme="majorBidi" w:eastAsia="Times New Roman" w:hAnsiTheme="majorBidi" w:cstheme="majorBidi"/>
                <w:sz w:val="24"/>
                <w:szCs w:val="24"/>
              </w:rPr>
            </w:pPr>
            <w:r>
              <w:rPr>
                <w:rFonts w:asciiTheme="majorBidi" w:eastAsia="Times New Roman" w:hAnsiTheme="majorBidi" w:cstheme="majorBidi"/>
                <w:sz w:val="24"/>
                <w:szCs w:val="24"/>
              </w:rPr>
              <w:t>formally named / analytically inferred</w:t>
            </w:r>
          </w:p>
        </w:tc>
      </w:tr>
      <w:tr w:rsidR="003D1700" w14:paraId="409A0273" w14:textId="77777777" w:rsidTr="003D170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DF4DAD" w14:textId="77777777" w:rsidR="003D1700" w:rsidRDefault="003D1700">
            <w:pPr>
              <w:rPr>
                <w:rFonts w:asciiTheme="majorBidi" w:eastAsia="Times New Roman" w:hAnsiTheme="majorBidi" w:cstheme="majorBidi"/>
                <w:sz w:val="24"/>
                <w:szCs w:val="24"/>
              </w:rPr>
            </w:pPr>
            <w:proofErr w:type="spellStart"/>
            <w:r>
              <w:rPr>
                <w:rFonts w:asciiTheme="majorBidi" w:eastAsia="Times New Roman" w:hAnsiTheme="majorBidi" w:cstheme="majorBidi"/>
                <w:sz w:val="24"/>
                <w:szCs w:val="24"/>
              </w:rPr>
              <w:t>regime_function</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B3B7AC" w14:textId="77777777" w:rsidR="003D1700" w:rsidRDefault="003D1700">
            <w:pPr>
              <w:rPr>
                <w:rFonts w:asciiTheme="majorBidi" w:eastAsia="Times New Roman" w:hAnsiTheme="majorBidi" w:cstheme="majorBidi"/>
                <w:sz w:val="24"/>
                <w:szCs w:val="24"/>
              </w:rPr>
            </w:pPr>
            <w:r>
              <w:rPr>
                <w:rFonts w:asciiTheme="majorBidi" w:eastAsia="Times New Roman" w:hAnsiTheme="majorBidi" w:cstheme="majorBidi"/>
                <w:sz w:val="24"/>
                <w:szCs w:val="24"/>
              </w:rPr>
              <w:t>licensing, trust, knowledge, assurance, risk, etc.</w:t>
            </w:r>
          </w:p>
        </w:tc>
      </w:tr>
      <w:tr w:rsidR="003D1700" w14:paraId="20F998FB" w14:textId="77777777" w:rsidTr="003D170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5CBBC2" w14:textId="77777777" w:rsidR="003D1700" w:rsidRDefault="003D1700">
            <w:pPr>
              <w:rPr>
                <w:rFonts w:asciiTheme="majorBidi" w:eastAsia="Times New Roman" w:hAnsiTheme="majorBidi" w:cstheme="majorBidi"/>
                <w:sz w:val="24"/>
                <w:szCs w:val="24"/>
              </w:rPr>
            </w:pPr>
            <w:proofErr w:type="spellStart"/>
            <w:r>
              <w:rPr>
                <w:rFonts w:asciiTheme="majorBidi" w:eastAsia="Times New Roman" w:hAnsiTheme="majorBidi" w:cstheme="majorBidi"/>
                <w:sz w:val="24"/>
                <w:szCs w:val="24"/>
              </w:rPr>
              <w:t>regime_scope</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9BF457" w14:textId="77777777" w:rsidR="003D1700" w:rsidRDefault="003D1700">
            <w:pPr>
              <w:rPr>
                <w:rFonts w:asciiTheme="majorBidi" w:eastAsia="Times New Roman" w:hAnsiTheme="majorBidi" w:cstheme="majorBidi"/>
                <w:sz w:val="24"/>
                <w:szCs w:val="24"/>
              </w:rPr>
            </w:pPr>
            <w:r>
              <w:rPr>
                <w:rFonts w:asciiTheme="majorBidi" w:eastAsia="Times New Roman" w:hAnsiTheme="majorBidi" w:cstheme="majorBidi"/>
                <w:sz w:val="24"/>
                <w:szCs w:val="24"/>
              </w:rPr>
              <w:t>provision / law / sector / jurisdiction / transnational</w:t>
            </w:r>
          </w:p>
        </w:tc>
      </w:tr>
      <w:tr w:rsidR="003D1700" w14:paraId="6B954046" w14:textId="77777777" w:rsidTr="003D170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6E93D3" w14:textId="77777777" w:rsidR="003D1700" w:rsidRDefault="003D1700">
            <w:pPr>
              <w:rPr>
                <w:rFonts w:asciiTheme="majorBidi" w:eastAsia="Times New Roman" w:hAnsiTheme="majorBidi" w:cstheme="majorBidi"/>
                <w:sz w:val="24"/>
                <w:szCs w:val="24"/>
              </w:rPr>
            </w:pPr>
            <w:proofErr w:type="spellStart"/>
            <w:r>
              <w:rPr>
                <w:rFonts w:asciiTheme="majorBidi" w:eastAsia="Times New Roman" w:hAnsiTheme="majorBidi" w:cstheme="majorBidi"/>
                <w:sz w:val="24"/>
                <w:szCs w:val="24"/>
              </w:rPr>
              <w:t>host_regime_id</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29D9CD" w14:textId="77777777" w:rsidR="003D1700" w:rsidRDefault="003D1700">
            <w:pPr>
              <w:rPr>
                <w:rFonts w:asciiTheme="majorBidi" w:eastAsia="Times New Roman" w:hAnsiTheme="majorBidi" w:cstheme="majorBidi"/>
                <w:sz w:val="24"/>
                <w:szCs w:val="24"/>
              </w:rPr>
            </w:pPr>
            <w:r>
              <w:rPr>
                <w:rFonts w:asciiTheme="majorBidi" w:eastAsia="Times New Roman" w:hAnsiTheme="majorBidi" w:cstheme="majorBidi"/>
                <w:sz w:val="24"/>
                <w:szCs w:val="24"/>
              </w:rPr>
              <w:t>broader regime, where applicable</w:t>
            </w:r>
          </w:p>
        </w:tc>
      </w:tr>
      <w:tr w:rsidR="003D1700" w14:paraId="59726664" w14:textId="77777777" w:rsidTr="003D170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CF9D1D" w14:textId="77777777" w:rsidR="003D1700" w:rsidRDefault="003D1700">
            <w:pPr>
              <w:rPr>
                <w:rFonts w:asciiTheme="majorBidi" w:eastAsia="Times New Roman" w:hAnsiTheme="majorBidi" w:cstheme="majorBidi"/>
                <w:sz w:val="24"/>
                <w:szCs w:val="24"/>
              </w:rPr>
            </w:pPr>
            <w:proofErr w:type="spellStart"/>
            <w:r>
              <w:rPr>
                <w:rFonts w:asciiTheme="majorBidi" w:eastAsia="Times New Roman" w:hAnsiTheme="majorBidi" w:cstheme="majorBidi"/>
                <w:sz w:val="24"/>
                <w:szCs w:val="24"/>
              </w:rPr>
              <w:t>related_regime_id</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CB39BA" w14:textId="77777777" w:rsidR="003D1700" w:rsidRDefault="003D1700">
            <w:pPr>
              <w:rPr>
                <w:rFonts w:asciiTheme="majorBidi" w:eastAsia="Times New Roman" w:hAnsiTheme="majorBidi" w:cstheme="majorBidi"/>
                <w:sz w:val="24"/>
                <w:szCs w:val="24"/>
              </w:rPr>
            </w:pPr>
            <w:r>
              <w:rPr>
                <w:rFonts w:asciiTheme="majorBidi" w:eastAsia="Times New Roman" w:hAnsiTheme="majorBidi" w:cstheme="majorBidi"/>
                <w:sz w:val="24"/>
                <w:szCs w:val="24"/>
              </w:rPr>
              <w:t>second regime in relationship</w:t>
            </w:r>
          </w:p>
        </w:tc>
      </w:tr>
      <w:tr w:rsidR="003D1700" w14:paraId="0750E5F5" w14:textId="77777777" w:rsidTr="003D170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CEF1A8" w14:textId="77777777" w:rsidR="003D1700" w:rsidRDefault="003D1700">
            <w:pPr>
              <w:rPr>
                <w:rFonts w:asciiTheme="majorBidi" w:eastAsia="Times New Roman" w:hAnsiTheme="majorBidi" w:cstheme="majorBidi"/>
                <w:sz w:val="24"/>
                <w:szCs w:val="24"/>
              </w:rPr>
            </w:pPr>
            <w:proofErr w:type="spellStart"/>
            <w:r>
              <w:rPr>
                <w:rFonts w:asciiTheme="majorBidi" w:eastAsia="Times New Roman" w:hAnsiTheme="majorBidi" w:cstheme="majorBidi"/>
                <w:sz w:val="24"/>
                <w:szCs w:val="24"/>
              </w:rPr>
              <w:t>relation_type</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198003" w14:textId="77777777" w:rsidR="003D1700" w:rsidRDefault="003D1700">
            <w:pPr>
              <w:rPr>
                <w:rFonts w:asciiTheme="majorBidi" w:eastAsia="Times New Roman" w:hAnsiTheme="majorBidi" w:cstheme="majorBidi"/>
                <w:sz w:val="24"/>
                <w:szCs w:val="24"/>
              </w:rPr>
            </w:pPr>
            <w:r>
              <w:rPr>
                <w:rFonts w:asciiTheme="majorBidi" w:eastAsia="Times New Roman" w:hAnsiTheme="majorBidi" w:cstheme="majorBidi"/>
                <w:sz w:val="24"/>
                <w:szCs w:val="24"/>
              </w:rPr>
              <w:t>nested / embedded / layered / overlapping / cross-cutting / coupled / meta</w:t>
            </w:r>
          </w:p>
        </w:tc>
      </w:tr>
      <w:tr w:rsidR="003D1700" w14:paraId="7895CFF8" w14:textId="77777777" w:rsidTr="003D170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92ACF0" w14:textId="77777777" w:rsidR="003D1700" w:rsidRDefault="003D1700">
            <w:pPr>
              <w:rPr>
                <w:rFonts w:asciiTheme="majorBidi" w:eastAsia="Times New Roman" w:hAnsiTheme="majorBidi" w:cstheme="majorBidi"/>
                <w:sz w:val="24"/>
                <w:szCs w:val="24"/>
              </w:rPr>
            </w:pPr>
            <w:proofErr w:type="spellStart"/>
            <w:r>
              <w:rPr>
                <w:rFonts w:asciiTheme="majorBidi" w:eastAsia="Times New Roman" w:hAnsiTheme="majorBidi" w:cstheme="majorBidi"/>
                <w:sz w:val="24"/>
                <w:szCs w:val="24"/>
              </w:rPr>
              <w:t>evidentiary_basis</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015139" w14:textId="77777777" w:rsidR="003D1700" w:rsidRDefault="003D1700">
            <w:pPr>
              <w:rPr>
                <w:rFonts w:asciiTheme="majorBidi" w:eastAsia="Times New Roman" w:hAnsiTheme="majorBidi" w:cstheme="majorBidi"/>
                <w:sz w:val="24"/>
                <w:szCs w:val="24"/>
              </w:rPr>
            </w:pPr>
            <w:r>
              <w:rPr>
                <w:rFonts w:asciiTheme="majorBidi" w:eastAsia="Times New Roman" w:hAnsiTheme="majorBidi" w:cstheme="majorBidi"/>
                <w:sz w:val="24"/>
                <w:szCs w:val="24"/>
              </w:rPr>
              <w:t>provisions and coded relationships supporting classification</w:t>
            </w:r>
          </w:p>
        </w:tc>
      </w:tr>
      <w:tr w:rsidR="003D1700" w14:paraId="3DF3FEF3" w14:textId="77777777" w:rsidTr="003D170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585C40" w14:textId="77777777" w:rsidR="003D1700" w:rsidRDefault="003D1700">
            <w:pPr>
              <w:rPr>
                <w:rFonts w:asciiTheme="majorBidi" w:eastAsia="Times New Roman" w:hAnsiTheme="majorBidi" w:cstheme="majorBidi"/>
                <w:sz w:val="24"/>
                <w:szCs w:val="24"/>
              </w:rPr>
            </w:pPr>
            <w:r>
              <w:rPr>
                <w:rFonts w:asciiTheme="majorBidi" w:eastAsia="Times New Roman" w:hAnsiTheme="majorBidi" w:cstheme="majorBidi"/>
                <w:sz w:val="24"/>
                <w:szCs w:val="24"/>
              </w:rPr>
              <w:t>confidence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D7C02B" w14:textId="77777777" w:rsidR="003D1700" w:rsidRDefault="003D1700">
            <w:pPr>
              <w:rPr>
                <w:rFonts w:asciiTheme="majorBidi" w:eastAsia="Times New Roman" w:hAnsiTheme="majorBidi" w:cstheme="majorBidi"/>
                <w:sz w:val="24"/>
                <w:szCs w:val="24"/>
              </w:rPr>
            </w:pPr>
            <w:r>
              <w:rPr>
                <w:rFonts w:asciiTheme="majorBidi" w:eastAsia="Times New Roman" w:hAnsiTheme="majorBidi" w:cstheme="majorBidi"/>
                <w:sz w:val="24"/>
                <w:szCs w:val="24"/>
              </w:rPr>
              <w:t>high / medium / provisional</w:t>
            </w:r>
          </w:p>
        </w:tc>
      </w:tr>
      <w:tr w:rsidR="003D1700" w14:paraId="085F530C" w14:textId="77777777" w:rsidTr="003D170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887523" w14:textId="77777777" w:rsidR="003D1700" w:rsidRDefault="003D1700">
            <w:pPr>
              <w:rPr>
                <w:rFonts w:asciiTheme="majorBidi" w:eastAsia="Times New Roman" w:hAnsiTheme="majorBidi" w:cstheme="majorBidi"/>
                <w:sz w:val="24"/>
                <w:szCs w:val="24"/>
              </w:rPr>
            </w:pPr>
            <w:proofErr w:type="spellStart"/>
            <w:r>
              <w:rPr>
                <w:rFonts w:asciiTheme="majorBidi" w:eastAsia="Times New Roman" w:hAnsiTheme="majorBidi" w:cstheme="majorBidi"/>
                <w:sz w:val="24"/>
                <w:szCs w:val="24"/>
              </w:rPr>
              <w:t>temporal_status</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0296C9" w14:textId="77777777" w:rsidR="003D1700" w:rsidRDefault="003D1700">
            <w:pPr>
              <w:rPr>
                <w:rFonts w:asciiTheme="majorBidi" w:eastAsia="Times New Roman" w:hAnsiTheme="majorBidi" w:cstheme="majorBidi"/>
                <w:sz w:val="24"/>
                <w:szCs w:val="24"/>
              </w:rPr>
            </w:pPr>
            <w:r>
              <w:rPr>
                <w:rFonts w:asciiTheme="majorBidi" w:eastAsia="Times New Roman" w:hAnsiTheme="majorBidi" w:cstheme="majorBidi"/>
                <w:sz w:val="24"/>
                <w:szCs w:val="24"/>
              </w:rPr>
              <w:t>original / layered / converted / superseded</w:t>
            </w:r>
          </w:p>
        </w:tc>
      </w:tr>
    </w:tbl>
    <w:p w14:paraId="4C01A569" w14:textId="77777777" w:rsidR="003D1700" w:rsidRDefault="003D1700" w:rsidP="003D1700">
      <w:pPr>
        <w:spacing w:before="100"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design has an important advantage: regime classifications become revisable analytical objects rather than permanent attributes of legal provisions.  It also allows alternative theoretical interpretations to be constructed from the same low-level data. One researcher may interpret an arrangement as part of a trust regime; another may conceptualize the same configuration as an assurance regime. Because both interpretations remain vertically traceable to the same legal relationships, disagreement can concern the higher-order classification rather than the accuracy of the underlying coding.  This is exactly the distinction the current manuscript seeks to preserve between units of coding, analysis and inference. </w:t>
      </w:r>
    </w:p>
    <w:p w14:paraId="763393DE" w14:textId="77777777" w:rsidR="003D1700" w:rsidRDefault="003D1700" w:rsidP="003D1700">
      <w:pPr>
        <w:spacing w:before="100" w:beforeAutospacing="1"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Regime architecture as an additional level of analysis</w:t>
      </w:r>
    </w:p>
    <w:p w14:paraId="33BCACFA" w14:textId="77777777" w:rsidR="003D1700" w:rsidRDefault="003D1700" w:rsidP="003D1700">
      <w:pPr>
        <w:spacing w:before="100"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recognition of regimes within regimes therefore suggests an extension of the concept of governance architecture. A law has an architecture because it organizes actors, functions, relationships, </w:t>
      </w:r>
      <w:r>
        <w:rPr>
          <w:rFonts w:ascii="Times New Roman" w:eastAsia="Times New Roman" w:hAnsi="Times New Roman" w:cs="Times New Roman"/>
          <w:sz w:val="24"/>
          <w:szCs w:val="24"/>
        </w:rPr>
        <w:lastRenderedPageBreak/>
        <w:t>authority, discretion and accountability. A regulatory regime similarly has an architecture, but that architecture may also be composed of relationships among regimes.</w:t>
      </w:r>
    </w:p>
    <w:p w14:paraId="6844BA13" w14:textId="77777777" w:rsidR="003D1700" w:rsidRDefault="003D1700" w:rsidP="003D1700">
      <w:pPr>
        <w:spacing w:before="100"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may therefore distinguish: </w:t>
      </w:r>
      <w:r>
        <w:rPr>
          <w:rFonts w:ascii="Times New Roman" w:eastAsia="Times New Roman" w:hAnsi="Times New Roman" w:cs="Times New Roman"/>
          <w:b/>
          <w:bCs/>
          <w:sz w:val="24"/>
          <w:szCs w:val="24"/>
        </w:rPr>
        <w:t>architecture within regimes</w:t>
      </w:r>
      <w:r>
        <w:rPr>
          <w:rFonts w:ascii="Times New Roman" w:eastAsia="Times New Roman" w:hAnsi="Times New Roman" w:cs="Times New Roman"/>
          <w:sz w:val="24"/>
          <w:szCs w:val="24"/>
        </w:rPr>
        <w:t xml:space="preserve"> — how actors and governance relationships are </w:t>
      </w:r>
      <w:proofErr w:type="gramStart"/>
      <w:r>
        <w:rPr>
          <w:rFonts w:ascii="Times New Roman" w:eastAsia="Times New Roman" w:hAnsi="Times New Roman" w:cs="Times New Roman"/>
          <w:sz w:val="24"/>
          <w:szCs w:val="24"/>
        </w:rPr>
        <w:t>organized;  from</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 architecture among regimes</w:t>
      </w:r>
      <w:r>
        <w:rPr>
          <w:rFonts w:ascii="Times New Roman" w:eastAsia="Times New Roman" w:hAnsi="Times New Roman" w:cs="Times New Roman"/>
          <w:sz w:val="24"/>
          <w:szCs w:val="24"/>
        </w:rPr>
        <w:t xml:space="preserve"> — how specialized governance regimes are nested, coupled, layered, overlapping or cross-cutting.</w:t>
      </w:r>
    </w:p>
    <w:p w14:paraId="6F2C455D" w14:textId="77777777" w:rsidR="00D11BF4" w:rsidRDefault="003D1700" w:rsidP="00D11BF4">
      <w:pPr>
        <w:spacing w:before="100"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second form might be called </w:t>
      </w:r>
      <w:r>
        <w:rPr>
          <w:rFonts w:ascii="Times New Roman" w:eastAsia="Times New Roman" w:hAnsi="Times New Roman" w:cs="Times New Roman"/>
          <w:b/>
          <w:bCs/>
          <w:sz w:val="24"/>
          <w:szCs w:val="24"/>
        </w:rPr>
        <w:t>regime architecture</w:t>
      </w:r>
      <w:r>
        <w:rPr>
          <w:rFonts w:ascii="Times New Roman" w:eastAsia="Times New Roman" w:hAnsi="Times New Roman" w:cs="Times New Roman"/>
          <w:sz w:val="24"/>
          <w:szCs w:val="24"/>
        </w:rPr>
        <w:t>. The distinction is analytically useful because two regulatory systems containing similar component regimes could nevertheless differ substantially in how those regimes are connected. A trust regime may be tightly coupled to a certification regime in one jurisdiction but primarily linked to disclosure and enforcement in another. An accreditation regime may sit hierarchically above certification in one system but be distributed among private associations in another. The architecture of relations among regimes</w:t>
      </w:r>
      <w:r w:rsidR="00D11BF4">
        <w:rPr>
          <w:rFonts w:ascii="Times New Roman" w:eastAsia="Times New Roman" w:hAnsi="Times New Roman" w:cs="Times New Roman"/>
          <w:sz w:val="24"/>
          <w:szCs w:val="24"/>
        </w:rPr>
        <w:t xml:space="preserve"> therefore becomes another source of comparative institutional variation.</w:t>
      </w:r>
    </w:p>
    <w:p w14:paraId="4D760D6F" w14:textId="106DE1D2" w:rsidR="00E60B76" w:rsidRDefault="00E60B76" w:rsidP="003D1700">
      <w:pPr>
        <w:spacing w:line="276" w:lineRule="auto"/>
        <w:jc w:val="both"/>
        <w:rPr>
          <w:rStyle w:val="Strong"/>
          <w:rFonts w:asciiTheme="majorBidi" w:hAnsiTheme="majorBidi" w:cstheme="majorBidi"/>
          <w:b w:val="0"/>
          <w:bCs w:val="0"/>
          <w:sz w:val="24"/>
          <w:szCs w:val="24"/>
        </w:rPr>
      </w:pPr>
    </w:p>
    <w:p w14:paraId="3A2CEBA6" w14:textId="77777777" w:rsidR="003E4474" w:rsidRPr="00E36096" w:rsidRDefault="003E4474" w:rsidP="003E4474">
      <w:pPr>
        <w:spacing w:before="100" w:beforeAutospacing="1" w:afterAutospacing="1"/>
        <w:jc w:val="both"/>
        <w:outlineLvl w:val="1"/>
        <w:rPr>
          <w:rFonts w:asciiTheme="majorBidi" w:eastAsia="Times New Roman" w:hAnsiTheme="majorBidi" w:cstheme="majorBidi"/>
          <w:b/>
          <w:bCs/>
          <w:sz w:val="24"/>
          <w:szCs w:val="24"/>
        </w:rPr>
      </w:pPr>
      <w:r w:rsidRPr="00E36096">
        <w:rPr>
          <w:rFonts w:asciiTheme="majorBidi" w:eastAsia="Times New Roman" w:hAnsiTheme="majorBidi" w:cstheme="majorBidi"/>
          <w:b/>
          <w:bCs/>
          <w:sz w:val="24"/>
          <w:szCs w:val="24"/>
        </w:rPr>
        <w:t>5.4 Governance Logics</w:t>
      </w:r>
    </w:p>
    <w:p w14:paraId="68591E29" w14:textId="77777777" w:rsidR="003E4474" w:rsidRPr="00E36096" w:rsidRDefault="003E4474" w:rsidP="003E4474">
      <w:pPr>
        <w:spacing w:before="100" w:beforeAutospacing="1" w:afterAutospacing="1" w:line="276" w:lineRule="auto"/>
        <w:jc w:val="both"/>
        <w:rPr>
          <w:rFonts w:asciiTheme="majorBidi" w:eastAsia="Times New Roman" w:hAnsiTheme="majorBidi" w:cstheme="majorBidi"/>
          <w:sz w:val="24"/>
          <w:szCs w:val="24"/>
        </w:rPr>
      </w:pPr>
      <w:r w:rsidRPr="00E36096">
        <w:rPr>
          <w:rFonts w:asciiTheme="majorBidi" w:eastAsia="Times New Roman" w:hAnsiTheme="majorBidi" w:cstheme="majorBidi"/>
          <w:sz w:val="24"/>
          <w:szCs w:val="24"/>
        </w:rPr>
        <w:t>Governance architecture describes the structural organization of governing relationships: which actors participate, which functions they perform, how authority and discretion are distributed, how deeply governance is intermediated, and where accountability is located. Governance logic addresses a different question. It concerns the organizing principle through which coordination, authority and responsibility are made intelligible and operational within that architecture. Whereas regulatory strategy concerns what the law principally specifies—conduct, processes, management systems, performance, outcomes or risks—and architecture concerns how governance capacities are distributed among actors, governance logic concerns the underlying mode through which those actors are expected to coordinate and exercise governing capacity.</w:t>
      </w:r>
    </w:p>
    <w:p w14:paraId="3DE70973" w14:textId="77777777" w:rsidR="003E4474" w:rsidRPr="00E36096" w:rsidRDefault="003E4474" w:rsidP="003E4474">
      <w:pPr>
        <w:spacing w:before="100" w:beforeAutospacing="1" w:afterAutospacing="1" w:line="276" w:lineRule="auto"/>
        <w:jc w:val="both"/>
        <w:rPr>
          <w:rFonts w:asciiTheme="majorBidi" w:eastAsia="Times New Roman" w:hAnsiTheme="majorBidi" w:cstheme="majorBidi"/>
          <w:sz w:val="24"/>
          <w:szCs w:val="24"/>
        </w:rPr>
      </w:pPr>
      <w:r w:rsidRPr="00E36096">
        <w:rPr>
          <w:rFonts w:asciiTheme="majorBidi" w:eastAsia="Times New Roman" w:hAnsiTheme="majorBidi" w:cstheme="majorBidi"/>
          <w:sz w:val="24"/>
          <w:szCs w:val="24"/>
        </w:rPr>
        <w:t>The distinction is important because similar architectures may operate according to different logics, and similar logics may be instantiated through different architectures. A system involving several private organizations may rely primarily on market competition, professional authority, associational self-governance or network coordination. Conversely, hierarchical authority may be present within otherwise decentralized, intermediated or multilevel architectures. Governance logic should therefore not be inferred directly from actor type or institutional form. Public organizations may use market mechanisms; private organizations may exercise hierarchical authority; professional bodies may operate within statutory frameworks; and networks may function under a strong hierarchical shadow.</w:t>
      </w:r>
    </w:p>
    <w:p w14:paraId="63625299" w14:textId="77777777" w:rsidR="003E4474" w:rsidRPr="00E36096" w:rsidRDefault="003E4474" w:rsidP="003E4474">
      <w:pPr>
        <w:spacing w:before="100" w:beforeAutospacing="1" w:afterAutospacing="1" w:line="276" w:lineRule="auto"/>
        <w:jc w:val="both"/>
        <w:rPr>
          <w:rFonts w:asciiTheme="majorBidi" w:eastAsia="Times New Roman" w:hAnsiTheme="majorBidi" w:cstheme="majorBidi"/>
          <w:sz w:val="24"/>
          <w:szCs w:val="24"/>
        </w:rPr>
      </w:pPr>
      <w:r w:rsidRPr="00E36096">
        <w:rPr>
          <w:rFonts w:asciiTheme="majorBidi" w:eastAsia="Times New Roman" w:hAnsiTheme="majorBidi" w:cstheme="majorBidi"/>
          <w:sz w:val="24"/>
          <w:szCs w:val="24"/>
        </w:rPr>
        <w:t>For present purposes, six recurrent governance logics are especially relevant: hierarchical, market, associational, professional, network and experimentalist. These are ideal-typical organizing principles rather than mutually exclusive classifications of laws. Contemporary legal systems commonly combine several of them.</w:t>
      </w:r>
    </w:p>
    <w:p w14:paraId="039BD736" w14:textId="3D0A599F" w:rsidR="003E4474" w:rsidRPr="00E36096" w:rsidRDefault="003E4474" w:rsidP="003E4474">
      <w:pPr>
        <w:spacing w:before="100" w:beforeAutospacing="1" w:afterAutospacing="1" w:line="276" w:lineRule="auto"/>
        <w:jc w:val="both"/>
        <w:rPr>
          <w:rFonts w:asciiTheme="majorBidi" w:eastAsia="Times New Roman" w:hAnsiTheme="majorBidi" w:cstheme="majorBidi"/>
          <w:sz w:val="24"/>
          <w:szCs w:val="24"/>
        </w:rPr>
      </w:pPr>
      <w:r w:rsidRPr="00E36096">
        <w:rPr>
          <w:rFonts w:asciiTheme="majorBidi" w:eastAsia="Times New Roman" w:hAnsiTheme="majorBidi" w:cstheme="majorBidi"/>
          <w:b/>
          <w:bCs/>
          <w:sz w:val="24"/>
          <w:szCs w:val="24"/>
        </w:rPr>
        <w:lastRenderedPageBreak/>
        <w:t>A hierarchical logic</w:t>
      </w:r>
      <w:r w:rsidRPr="00E36096">
        <w:rPr>
          <w:rFonts w:asciiTheme="majorBidi" w:eastAsia="Times New Roman" w:hAnsiTheme="majorBidi" w:cstheme="majorBidi"/>
          <w:sz w:val="24"/>
          <w:szCs w:val="24"/>
        </w:rPr>
        <w:t xml:space="preserve"> organizes governance through relations of authoritative direction. Actors occupy differentiated positions, and legally superior actors possess powers to issue binding rules, authorize conduct, supervise subordinate actors, review decisions or impose sanctions. Coordination depends principally upon command, delegation and compliance rather than bargaining or competition.</w:t>
      </w:r>
      <w:r>
        <w:rPr>
          <w:rFonts w:asciiTheme="majorBidi" w:eastAsia="Times New Roman" w:hAnsiTheme="majorBidi" w:cstheme="majorBidi"/>
          <w:sz w:val="24"/>
          <w:szCs w:val="24"/>
        </w:rPr>
        <w:t xml:space="preserve"> </w:t>
      </w:r>
      <w:r w:rsidRPr="00E36096">
        <w:rPr>
          <w:rFonts w:asciiTheme="majorBidi" w:eastAsia="Times New Roman" w:hAnsiTheme="majorBidi" w:cstheme="majorBidi"/>
          <w:sz w:val="24"/>
          <w:szCs w:val="24"/>
        </w:rPr>
        <w:t>Hierarchy should not be equated simply with state involvement. Its defining feature is the asymmetrical distribution of authoritative capacity. A private accreditation organization may exercise hierarchical authority over certification bodies where its determinations condition their legal capacity to operate. Conversely, several public agencies may interact through bargaining and coordination rather than hierarchy.</w:t>
      </w:r>
      <w:r>
        <w:rPr>
          <w:rFonts w:asciiTheme="majorBidi" w:eastAsia="Times New Roman" w:hAnsiTheme="majorBidi" w:cstheme="majorBidi"/>
          <w:sz w:val="24"/>
          <w:szCs w:val="24"/>
        </w:rPr>
        <w:t xml:space="preserve">  </w:t>
      </w:r>
      <w:r w:rsidRPr="00E36096">
        <w:rPr>
          <w:rFonts w:asciiTheme="majorBidi" w:eastAsia="Times New Roman" w:hAnsiTheme="majorBidi" w:cstheme="majorBidi"/>
          <w:sz w:val="24"/>
          <w:szCs w:val="24"/>
        </w:rPr>
        <w:t>Legal indicators of hierarchical logic include binding commands, formal delegation, approval requirements, powers of supervision, mandatory reporting to superior authorities, revocation powers and legally enforceable sanctions.</w:t>
      </w:r>
    </w:p>
    <w:p w14:paraId="5F75056C" w14:textId="2F61F680" w:rsidR="003E4474" w:rsidRPr="00E36096" w:rsidRDefault="003E4474" w:rsidP="003E4474">
      <w:pPr>
        <w:spacing w:before="100" w:beforeAutospacing="1" w:afterAutospacing="1" w:line="276" w:lineRule="auto"/>
        <w:jc w:val="both"/>
        <w:rPr>
          <w:rFonts w:asciiTheme="majorBidi" w:eastAsia="Times New Roman" w:hAnsiTheme="majorBidi" w:cstheme="majorBidi"/>
          <w:sz w:val="24"/>
          <w:szCs w:val="24"/>
        </w:rPr>
      </w:pPr>
      <w:r w:rsidRPr="00E36096">
        <w:rPr>
          <w:rFonts w:asciiTheme="majorBidi" w:eastAsia="Times New Roman" w:hAnsiTheme="majorBidi" w:cstheme="majorBidi"/>
          <w:b/>
          <w:bCs/>
          <w:sz w:val="24"/>
          <w:szCs w:val="24"/>
        </w:rPr>
        <w:t>A market logic</w:t>
      </w:r>
      <w:r w:rsidRPr="00E36096">
        <w:rPr>
          <w:rFonts w:asciiTheme="majorBidi" w:eastAsia="Times New Roman" w:hAnsiTheme="majorBidi" w:cstheme="majorBidi"/>
          <w:sz w:val="24"/>
          <w:szCs w:val="24"/>
        </w:rPr>
        <w:t xml:space="preserve"> coordinates governance through exchange, competition, incentives and choice. Instead of directing actors exclusively through authoritative commands, law structures conditions under which actors respond to prices, reputational rewards, contractual opportunities or competitive pressures. Regulatory capacity may consequently be generated through the design of markets as well as through direct public control.</w:t>
      </w:r>
      <w:r>
        <w:rPr>
          <w:rFonts w:asciiTheme="majorBidi" w:eastAsia="Times New Roman" w:hAnsiTheme="majorBidi" w:cstheme="majorBidi"/>
          <w:sz w:val="24"/>
          <w:szCs w:val="24"/>
        </w:rPr>
        <w:t xml:space="preserve"> </w:t>
      </w:r>
      <w:r w:rsidRPr="00E36096">
        <w:rPr>
          <w:rFonts w:asciiTheme="majorBidi" w:eastAsia="Times New Roman" w:hAnsiTheme="majorBidi" w:cstheme="majorBidi"/>
          <w:sz w:val="24"/>
          <w:szCs w:val="24"/>
        </w:rPr>
        <w:t xml:space="preserve">Market logic is especially visible where regulated actors can choose among competing auditors, certifiers, service providers or compliance mechanisms; where </w:t>
      </w:r>
      <w:proofErr w:type="spellStart"/>
      <w:r w:rsidRPr="00E36096">
        <w:rPr>
          <w:rFonts w:asciiTheme="majorBidi" w:eastAsia="Times New Roman" w:hAnsiTheme="majorBidi" w:cstheme="majorBidi"/>
          <w:sz w:val="24"/>
          <w:szCs w:val="24"/>
        </w:rPr>
        <w:t>licences</w:t>
      </w:r>
      <w:proofErr w:type="spellEnd"/>
      <w:r w:rsidRPr="00E36096">
        <w:rPr>
          <w:rFonts w:asciiTheme="majorBidi" w:eastAsia="Times New Roman" w:hAnsiTheme="majorBidi" w:cstheme="majorBidi"/>
          <w:sz w:val="24"/>
          <w:szCs w:val="24"/>
        </w:rPr>
        <w:t>, tradable rights or procurement incentives create economic rewards; or where disclosure is intended to mobilize consumer or investor choice.</w:t>
      </w:r>
      <w:r>
        <w:rPr>
          <w:rFonts w:asciiTheme="majorBidi" w:eastAsia="Times New Roman" w:hAnsiTheme="majorBidi" w:cstheme="majorBidi"/>
          <w:sz w:val="24"/>
          <w:szCs w:val="24"/>
        </w:rPr>
        <w:t xml:space="preserve">  </w:t>
      </w:r>
      <w:r w:rsidRPr="00E36096">
        <w:rPr>
          <w:rFonts w:asciiTheme="majorBidi" w:eastAsia="Times New Roman" w:hAnsiTheme="majorBidi" w:cstheme="majorBidi"/>
          <w:sz w:val="24"/>
          <w:szCs w:val="24"/>
        </w:rPr>
        <w:t>The presence of private actors does not by itself establish a market logic. Private actors may exercise delegated hierarchy or professional authority. Market logic requires evidence that competition, exchange or choice performs a meaningful coordinating function.</w:t>
      </w:r>
    </w:p>
    <w:p w14:paraId="4E294911" w14:textId="4C94E833" w:rsidR="003E4474" w:rsidRPr="00E36096" w:rsidRDefault="003E4474" w:rsidP="003E4474">
      <w:pPr>
        <w:spacing w:before="100" w:beforeAutospacing="1" w:afterAutospacing="1" w:line="276" w:lineRule="auto"/>
        <w:jc w:val="both"/>
        <w:rPr>
          <w:rFonts w:asciiTheme="majorBidi" w:eastAsia="Times New Roman" w:hAnsiTheme="majorBidi" w:cstheme="majorBidi"/>
          <w:sz w:val="24"/>
          <w:szCs w:val="24"/>
        </w:rPr>
      </w:pPr>
      <w:r w:rsidRPr="00E36096">
        <w:rPr>
          <w:rFonts w:asciiTheme="majorBidi" w:eastAsia="Times New Roman" w:hAnsiTheme="majorBidi" w:cstheme="majorBidi"/>
          <w:b/>
          <w:bCs/>
          <w:sz w:val="24"/>
          <w:szCs w:val="24"/>
        </w:rPr>
        <w:t>Associational governance</w:t>
      </w:r>
      <w:r w:rsidRPr="00E36096">
        <w:rPr>
          <w:rFonts w:asciiTheme="majorBidi" w:eastAsia="Times New Roman" w:hAnsiTheme="majorBidi" w:cstheme="majorBidi"/>
          <w:sz w:val="24"/>
          <w:szCs w:val="24"/>
        </w:rPr>
        <w:t xml:space="preserve"> relies upon collective self-organization among actors who share membership in an industry, sector, profession or other organized community. Rules and standards arise through collective institutions rather than exclusively through external command or bilateral exchange. Industry associations, standard-setting organizations, self-regulatory bodies and collective codes can embody associational logic where members participate in developing and administering common expectations.</w:t>
      </w:r>
      <w:r>
        <w:rPr>
          <w:rFonts w:asciiTheme="majorBidi" w:eastAsia="Times New Roman" w:hAnsiTheme="majorBidi" w:cstheme="majorBidi"/>
          <w:sz w:val="24"/>
          <w:szCs w:val="24"/>
        </w:rPr>
        <w:t xml:space="preserve"> </w:t>
      </w:r>
      <w:r w:rsidRPr="00E36096">
        <w:rPr>
          <w:rFonts w:asciiTheme="majorBidi" w:eastAsia="Times New Roman" w:hAnsiTheme="majorBidi" w:cstheme="majorBidi"/>
          <w:sz w:val="24"/>
          <w:szCs w:val="24"/>
        </w:rPr>
        <w:t>The underlying mechanism is neither primarily hierarchy nor competition but collective organization and membership-based governance. Authority may derive from participation, representation, mutual dependence or the practical necessity of common standards.</w:t>
      </w:r>
      <w:r>
        <w:rPr>
          <w:rFonts w:asciiTheme="majorBidi" w:eastAsia="Times New Roman" w:hAnsiTheme="majorBidi" w:cstheme="majorBidi"/>
          <w:sz w:val="24"/>
          <w:szCs w:val="24"/>
        </w:rPr>
        <w:t xml:space="preserve">  </w:t>
      </w:r>
      <w:r w:rsidRPr="00E36096">
        <w:rPr>
          <w:rFonts w:asciiTheme="majorBidi" w:eastAsia="Times New Roman" w:hAnsiTheme="majorBidi" w:cstheme="majorBidi"/>
          <w:sz w:val="24"/>
          <w:szCs w:val="24"/>
        </w:rPr>
        <w:t>Associational logic is particularly relevant to self-regulation and co-regulation, but the concepts should remain distinct. Self-regulation describes the location of governance capacity among regulatees; associational logic describes the mode through which that capacity is collectively organized. A firm regulating itself does not constitute associational governance, whereas an industry association collectively establishing standards may do so.</w:t>
      </w:r>
    </w:p>
    <w:p w14:paraId="02DD2697" w14:textId="0EAF3966" w:rsidR="003E4474" w:rsidRPr="00E36096" w:rsidRDefault="003E4474" w:rsidP="003E4474">
      <w:pPr>
        <w:spacing w:before="100" w:beforeAutospacing="1" w:afterAutospacing="1" w:line="276" w:lineRule="auto"/>
        <w:jc w:val="both"/>
        <w:rPr>
          <w:rFonts w:asciiTheme="majorBidi" w:eastAsia="Times New Roman" w:hAnsiTheme="majorBidi" w:cstheme="majorBidi"/>
          <w:sz w:val="24"/>
          <w:szCs w:val="24"/>
        </w:rPr>
      </w:pPr>
      <w:r w:rsidRPr="00E36096">
        <w:rPr>
          <w:rFonts w:asciiTheme="majorBidi" w:eastAsia="Times New Roman" w:hAnsiTheme="majorBidi" w:cstheme="majorBidi"/>
          <w:b/>
          <w:bCs/>
          <w:sz w:val="24"/>
          <w:szCs w:val="24"/>
        </w:rPr>
        <w:t>Professional logic</w:t>
      </w:r>
      <w:r w:rsidRPr="00E36096">
        <w:rPr>
          <w:rFonts w:asciiTheme="majorBidi" w:eastAsia="Times New Roman" w:hAnsiTheme="majorBidi" w:cstheme="majorBidi"/>
          <w:sz w:val="24"/>
          <w:szCs w:val="24"/>
        </w:rPr>
        <w:t xml:space="preserve"> organizes governance around specialized expertise, competence and peer judgment. Authority derives substantially from recognized knowledge and professional standing rather than solely from legal position or market power. Law often institutionalizes professional logic by recognizing qualifications, requiring independent expert judgment, incorporating technical standards or delegating assessment functions to specialists.</w:t>
      </w:r>
      <w:r>
        <w:rPr>
          <w:rFonts w:asciiTheme="majorBidi" w:eastAsia="Times New Roman" w:hAnsiTheme="majorBidi" w:cstheme="majorBidi"/>
          <w:sz w:val="24"/>
          <w:szCs w:val="24"/>
        </w:rPr>
        <w:t xml:space="preserve">  </w:t>
      </w:r>
      <w:r w:rsidRPr="00E36096">
        <w:rPr>
          <w:rFonts w:asciiTheme="majorBidi" w:eastAsia="Times New Roman" w:hAnsiTheme="majorBidi" w:cstheme="majorBidi"/>
          <w:sz w:val="24"/>
          <w:szCs w:val="24"/>
        </w:rPr>
        <w:t xml:space="preserve">Auditing, certification, medical regulation, engineering standards and conformity assessment frequently contain strong professional-logical elements. The relevant legal indicators include qualification requirements, professional independence, duties of expert judgment, peer </w:t>
      </w:r>
      <w:r w:rsidRPr="00E36096">
        <w:rPr>
          <w:rFonts w:asciiTheme="majorBidi" w:eastAsia="Times New Roman" w:hAnsiTheme="majorBidi" w:cstheme="majorBidi"/>
          <w:sz w:val="24"/>
          <w:szCs w:val="24"/>
        </w:rPr>
        <w:lastRenderedPageBreak/>
        <w:t>review, technical discretion, credentialing and recognition of professional standards.</w:t>
      </w:r>
      <w:r>
        <w:rPr>
          <w:rFonts w:asciiTheme="majorBidi" w:eastAsia="Times New Roman" w:hAnsiTheme="majorBidi" w:cstheme="majorBidi"/>
          <w:sz w:val="24"/>
          <w:szCs w:val="24"/>
        </w:rPr>
        <w:t xml:space="preserve">  </w:t>
      </w:r>
      <w:r w:rsidRPr="00E36096">
        <w:rPr>
          <w:rFonts w:asciiTheme="majorBidi" w:eastAsia="Times New Roman" w:hAnsiTheme="majorBidi" w:cstheme="majorBidi"/>
          <w:sz w:val="24"/>
          <w:szCs w:val="24"/>
        </w:rPr>
        <w:t>Professional logic is especially important for relational leximetrics because formal authority may understate actual governance significance. An expert body may possess limited coercive power yet exercise considerable epistemic authority where its assessments determine whether another actor or product is considered safe, compliant or trustworthy.</w:t>
      </w:r>
    </w:p>
    <w:p w14:paraId="3EF57A41" w14:textId="09CF23E4" w:rsidR="003E4474" w:rsidRPr="00E36096" w:rsidRDefault="003E4474" w:rsidP="003E4474">
      <w:pPr>
        <w:spacing w:before="100" w:beforeAutospacing="1" w:afterAutospacing="1" w:line="276" w:lineRule="auto"/>
        <w:jc w:val="both"/>
        <w:rPr>
          <w:rFonts w:asciiTheme="majorBidi" w:eastAsia="Times New Roman" w:hAnsiTheme="majorBidi" w:cstheme="majorBidi"/>
          <w:sz w:val="24"/>
          <w:szCs w:val="24"/>
        </w:rPr>
      </w:pPr>
      <w:r w:rsidRPr="00E36096">
        <w:rPr>
          <w:rFonts w:asciiTheme="majorBidi" w:eastAsia="Times New Roman" w:hAnsiTheme="majorBidi" w:cstheme="majorBidi"/>
          <w:b/>
          <w:bCs/>
          <w:sz w:val="24"/>
          <w:szCs w:val="24"/>
        </w:rPr>
        <w:t>A network logic</w:t>
      </w:r>
      <w:r w:rsidRPr="00E36096">
        <w:rPr>
          <w:rFonts w:asciiTheme="majorBidi" w:eastAsia="Times New Roman" w:hAnsiTheme="majorBidi" w:cstheme="majorBidi"/>
          <w:sz w:val="24"/>
          <w:szCs w:val="24"/>
        </w:rPr>
        <w:t xml:space="preserve"> coordinates governance through interdependence, negotiation, information exchange and mutual adjustment among actors that cannot be adequately represented as either superiors and subordinates or buyers and sellers. Participants retain some autonomy but depend upon one another for information, resources, implementation capacity or legitimacy.</w:t>
      </w:r>
      <w:r>
        <w:rPr>
          <w:rFonts w:asciiTheme="majorBidi" w:eastAsia="Times New Roman" w:hAnsiTheme="majorBidi" w:cstheme="majorBidi"/>
          <w:sz w:val="24"/>
          <w:szCs w:val="24"/>
        </w:rPr>
        <w:t xml:space="preserve"> </w:t>
      </w:r>
      <w:r w:rsidRPr="00E36096">
        <w:rPr>
          <w:rFonts w:asciiTheme="majorBidi" w:eastAsia="Times New Roman" w:hAnsiTheme="majorBidi" w:cstheme="majorBidi"/>
          <w:sz w:val="24"/>
          <w:szCs w:val="24"/>
        </w:rPr>
        <w:t>Network governance may involve public agencies, firms, civil-society organizations, professional bodies and intermediaries connected through consultation, joint committees, information-sharing arrangements or cooperative implementation. Its defining property is not simply actor multiplicity but horizontal or reciprocal dependence.</w:t>
      </w:r>
    </w:p>
    <w:p w14:paraId="6A5FF537" w14:textId="77777777" w:rsidR="003E4474" w:rsidRPr="00E36096" w:rsidRDefault="003E4474" w:rsidP="003E4474">
      <w:pPr>
        <w:spacing w:before="100" w:beforeAutospacing="1" w:afterAutospacing="1" w:line="276" w:lineRule="auto"/>
        <w:jc w:val="both"/>
        <w:rPr>
          <w:rFonts w:asciiTheme="majorBidi" w:eastAsia="Times New Roman" w:hAnsiTheme="majorBidi" w:cstheme="majorBidi"/>
          <w:sz w:val="24"/>
          <w:szCs w:val="24"/>
        </w:rPr>
      </w:pPr>
      <w:r w:rsidRPr="00E36096">
        <w:rPr>
          <w:rFonts w:asciiTheme="majorBidi" w:eastAsia="Times New Roman" w:hAnsiTheme="majorBidi" w:cstheme="majorBidi"/>
          <w:sz w:val="24"/>
          <w:szCs w:val="24"/>
        </w:rPr>
        <w:t>Network logic should therefore be distinguished from network architecture. Architecture describes the structural pattern of connections; network logic concerns the reliance on coordination and mutual adjustment as the governing principle. A dense network may nevertheless be hierarchically dominated, while a relatively small number of actors may interact through strongly networked coordination.</w:t>
      </w:r>
    </w:p>
    <w:p w14:paraId="68B96713" w14:textId="193F7E6D" w:rsidR="003E4474" w:rsidRPr="00E36096" w:rsidRDefault="003E4474" w:rsidP="003E4474">
      <w:pPr>
        <w:rPr>
          <w:rFonts w:asciiTheme="majorBidi" w:eastAsia="Times New Roman" w:hAnsiTheme="majorBidi" w:cstheme="majorBidi"/>
          <w:sz w:val="24"/>
          <w:szCs w:val="24"/>
        </w:rPr>
      </w:pPr>
      <w:r w:rsidRPr="003E4474">
        <w:rPr>
          <w:rFonts w:asciiTheme="majorBidi" w:hAnsiTheme="majorBidi" w:cstheme="majorBidi"/>
          <w:b/>
          <w:bCs/>
          <w:sz w:val="24"/>
          <w:szCs w:val="24"/>
        </w:rPr>
        <w:t>Governance logics as combinations.</w:t>
      </w:r>
      <w:r>
        <w:t xml:space="preserve"> </w:t>
      </w:r>
      <w:r w:rsidRPr="00E36096">
        <w:rPr>
          <w:rFonts w:asciiTheme="majorBidi" w:eastAsia="Times New Roman" w:hAnsiTheme="majorBidi" w:cstheme="majorBidi"/>
          <w:sz w:val="24"/>
          <w:szCs w:val="24"/>
        </w:rPr>
        <w:t>Actual laws rarely instantiate a single governance logic. A conformity-assessment regime, for example, may be hierarchical because public authorities designate or supervise conformity bodies; professional because assessment depends upon expert judgment; market-oriented because regulated firms may choose among competing bodies; and networked because standard-setting and implementation depend upon coordination among regulators, firms and technical organizations.</w:t>
      </w:r>
      <w:r>
        <w:rPr>
          <w:rFonts w:asciiTheme="majorBidi" w:eastAsia="Times New Roman" w:hAnsiTheme="majorBidi" w:cstheme="majorBidi"/>
          <w:sz w:val="24"/>
          <w:szCs w:val="24"/>
        </w:rPr>
        <w:t xml:space="preserve"> </w:t>
      </w:r>
      <w:r w:rsidRPr="00E36096">
        <w:rPr>
          <w:rFonts w:asciiTheme="majorBidi" w:eastAsia="Times New Roman" w:hAnsiTheme="majorBidi" w:cstheme="majorBidi"/>
          <w:sz w:val="24"/>
          <w:szCs w:val="24"/>
        </w:rPr>
        <w:t>Governance-logical hybridity should therefore be treated as an empirical property rather than a classification failure. The analytical question is not simply which logic is present, but which logic governs which function, relationship or stage of the regulatory process.</w:t>
      </w:r>
      <w:r>
        <w:rPr>
          <w:rFonts w:asciiTheme="majorBidi" w:eastAsia="Times New Roman" w:hAnsiTheme="majorBidi" w:cstheme="majorBidi"/>
          <w:sz w:val="24"/>
          <w:szCs w:val="24"/>
        </w:rPr>
        <w:t xml:space="preserve">  </w:t>
      </w:r>
      <w:r w:rsidRPr="00E36096">
        <w:rPr>
          <w:rFonts w:asciiTheme="majorBidi" w:eastAsia="Times New Roman" w:hAnsiTheme="majorBidi" w:cstheme="majorBidi"/>
          <w:sz w:val="24"/>
          <w:szCs w:val="24"/>
        </w:rPr>
        <w:t>This suggests distinguishing between logic presence, logic location and logic dominance. Presence asks whether a governance logic can be identified anywhere in the relevant legal architecture. Location asks which functions and relationships it organizes. Dominance asks whether the logic is structurally consequential to the operation of the relevant subsystem or regime. A market logic may govern the selection of assurance providers while hierarchical logic governs their authorization and enforcement; professional logic may govern technical assessment while network logic governs coordination among public authorities.</w:t>
      </w:r>
    </w:p>
    <w:p w14:paraId="10B7DB97" w14:textId="1493B0CB" w:rsidR="003E4474" w:rsidRPr="00E36096" w:rsidRDefault="003E4474" w:rsidP="003E4474">
      <w:pPr>
        <w:spacing w:before="100" w:beforeAutospacing="1" w:afterAutospacing="1" w:line="276" w:lineRule="auto"/>
        <w:jc w:val="both"/>
        <w:rPr>
          <w:rFonts w:asciiTheme="majorBidi" w:eastAsia="Times New Roman" w:hAnsiTheme="majorBidi" w:cstheme="majorBidi"/>
          <w:sz w:val="24"/>
          <w:szCs w:val="24"/>
        </w:rPr>
      </w:pPr>
      <w:r w:rsidRPr="00E36096">
        <w:rPr>
          <w:rFonts w:asciiTheme="majorBidi" w:eastAsia="Times New Roman" w:hAnsiTheme="majorBidi" w:cstheme="majorBidi"/>
          <w:sz w:val="24"/>
          <w:szCs w:val="24"/>
        </w:rPr>
        <w:t xml:space="preserve">This approach also guards against inferring governance logic from frequency alone. A single provision requiring authoritative approval may establish a decisive hierarchical gateway even where numerous other provisions concern consultation. Conversely, repeated references to competition do not establish market governance if legal outcomes ultimately depend upon a single authoritative decision. As with governance architecture more generally, structural consequence matters alongside prevalence. The current framework already recognizes that architectural significance depends upon authority, centrality, sequence, consequence and substitutability rather than simple counts. </w:t>
      </w:r>
      <w:r>
        <w:rPr>
          <w:rFonts w:asciiTheme="majorBidi" w:eastAsia="Times New Roman" w:hAnsiTheme="majorBidi" w:cstheme="majorBidi"/>
          <w:b/>
          <w:bCs/>
          <w:sz w:val="24"/>
          <w:szCs w:val="24"/>
        </w:rPr>
        <w:t xml:space="preserve"> </w:t>
      </w:r>
      <w:r>
        <w:rPr>
          <w:rFonts w:asciiTheme="majorBidi" w:eastAsia="Times New Roman" w:hAnsiTheme="majorBidi" w:cstheme="majorBidi"/>
          <w:sz w:val="24"/>
          <w:szCs w:val="24"/>
        </w:rPr>
        <w:t xml:space="preserve"> </w:t>
      </w:r>
      <w:r w:rsidRPr="00E36096">
        <w:rPr>
          <w:rFonts w:asciiTheme="majorBidi" w:eastAsia="Times New Roman" w:hAnsiTheme="majorBidi" w:cstheme="majorBidi"/>
          <w:sz w:val="24"/>
          <w:szCs w:val="24"/>
        </w:rPr>
        <w:t xml:space="preserve">Governance logic should be treated as a Level III higher-order construct, not ordinarily as a primary textual code. The legal text should first be coded for observable actors, relationships, functions, mechanisms, instruments, authority, </w:t>
      </w:r>
      <w:r w:rsidRPr="00E36096">
        <w:rPr>
          <w:rFonts w:asciiTheme="majorBidi" w:eastAsia="Times New Roman" w:hAnsiTheme="majorBidi" w:cstheme="majorBidi"/>
          <w:sz w:val="24"/>
          <w:szCs w:val="24"/>
        </w:rPr>
        <w:lastRenderedPageBreak/>
        <w:t xml:space="preserve">discretion and accountability. Governance logic should then be inferred from configurations of these elements. This follows the paper's existing principle that strategies, architectures and governance logics require theoretically informed aggregation rather than direct coding from isolated clauses. </w:t>
      </w:r>
      <w:r>
        <w:rPr>
          <w:rFonts w:asciiTheme="majorBidi" w:eastAsia="Times New Roman" w:hAnsiTheme="majorBidi" w:cstheme="majorBidi"/>
          <w:sz w:val="24"/>
          <w:szCs w:val="24"/>
        </w:rPr>
        <w:t xml:space="preserve">  </w:t>
      </w:r>
      <w:r w:rsidRPr="00E36096">
        <w:rPr>
          <w:rFonts w:asciiTheme="majorBidi" w:eastAsia="Times New Roman" w:hAnsiTheme="majorBidi" w:cstheme="majorBidi"/>
          <w:sz w:val="24"/>
          <w:szCs w:val="24"/>
        </w:rPr>
        <w:t>A useful coding framework 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3"/>
        <w:gridCol w:w="2288"/>
        <w:gridCol w:w="2551"/>
        <w:gridCol w:w="3552"/>
      </w:tblGrid>
      <w:tr w:rsidR="003E4474" w:rsidRPr="00E36096" w14:paraId="693D4FE8" w14:textId="77777777" w:rsidTr="00237B77">
        <w:trPr>
          <w:tblHeader/>
          <w:tblCellSpacing w:w="15" w:type="dxa"/>
        </w:trPr>
        <w:tc>
          <w:tcPr>
            <w:tcW w:w="0" w:type="auto"/>
            <w:vAlign w:val="center"/>
            <w:hideMark/>
          </w:tcPr>
          <w:p w14:paraId="786FEA72" w14:textId="77777777" w:rsidR="003E4474" w:rsidRPr="00E36096" w:rsidRDefault="003E4474" w:rsidP="00237B77">
            <w:pPr>
              <w:jc w:val="both"/>
              <w:rPr>
                <w:rFonts w:asciiTheme="majorBidi" w:eastAsia="Times New Roman" w:hAnsiTheme="majorBidi" w:cstheme="majorBidi"/>
                <w:b/>
                <w:bCs/>
                <w:sz w:val="24"/>
                <w:szCs w:val="24"/>
              </w:rPr>
            </w:pPr>
            <w:r w:rsidRPr="00E36096">
              <w:rPr>
                <w:rFonts w:asciiTheme="majorBidi" w:eastAsia="Times New Roman" w:hAnsiTheme="majorBidi" w:cstheme="majorBidi"/>
                <w:b/>
                <w:bCs/>
                <w:sz w:val="24"/>
                <w:szCs w:val="24"/>
              </w:rPr>
              <w:t>Governance logic</w:t>
            </w:r>
          </w:p>
        </w:tc>
        <w:tc>
          <w:tcPr>
            <w:tcW w:w="0" w:type="auto"/>
            <w:vAlign w:val="center"/>
            <w:hideMark/>
          </w:tcPr>
          <w:p w14:paraId="78821943" w14:textId="77777777" w:rsidR="003E4474" w:rsidRPr="00E36096" w:rsidRDefault="003E4474" w:rsidP="00237B77">
            <w:pPr>
              <w:jc w:val="both"/>
              <w:rPr>
                <w:rFonts w:asciiTheme="majorBidi" w:eastAsia="Times New Roman" w:hAnsiTheme="majorBidi" w:cstheme="majorBidi"/>
                <w:b/>
                <w:bCs/>
                <w:sz w:val="24"/>
                <w:szCs w:val="24"/>
              </w:rPr>
            </w:pPr>
            <w:r w:rsidRPr="00E36096">
              <w:rPr>
                <w:rFonts w:asciiTheme="majorBidi" w:eastAsia="Times New Roman" w:hAnsiTheme="majorBidi" w:cstheme="majorBidi"/>
                <w:b/>
                <w:bCs/>
                <w:sz w:val="24"/>
                <w:szCs w:val="24"/>
              </w:rPr>
              <w:t>Principal coordination mechanism</w:t>
            </w:r>
          </w:p>
        </w:tc>
        <w:tc>
          <w:tcPr>
            <w:tcW w:w="0" w:type="auto"/>
            <w:vAlign w:val="center"/>
            <w:hideMark/>
          </w:tcPr>
          <w:p w14:paraId="3210174D" w14:textId="77777777" w:rsidR="003E4474" w:rsidRPr="00E36096" w:rsidRDefault="003E4474" w:rsidP="00237B77">
            <w:pPr>
              <w:jc w:val="both"/>
              <w:rPr>
                <w:rFonts w:asciiTheme="majorBidi" w:eastAsia="Times New Roman" w:hAnsiTheme="majorBidi" w:cstheme="majorBidi"/>
                <w:b/>
                <w:bCs/>
                <w:sz w:val="24"/>
                <w:szCs w:val="24"/>
              </w:rPr>
            </w:pPr>
            <w:r w:rsidRPr="00E36096">
              <w:rPr>
                <w:rFonts w:asciiTheme="majorBidi" w:eastAsia="Times New Roman" w:hAnsiTheme="majorBidi" w:cstheme="majorBidi"/>
                <w:b/>
                <w:bCs/>
                <w:sz w:val="24"/>
                <w:szCs w:val="24"/>
              </w:rPr>
              <w:t>Characteristic source of authority</w:t>
            </w:r>
          </w:p>
        </w:tc>
        <w:tc>
          <w:tcPr>
            <w:tcW w:w="0" w:type="auto"/>
            <w:vAlign w:val="center"/>
            <w:hideMark/>
          </w:tcPr>
          <w:p w14:paraId="2E5AB778" w14:textId="77777777" w:rsidR="003E4474" w:rsidRPr="00E36096" w:rsidRDefault="003E4474" w:rsidP="00237B77">
            <w:pPr>
              <w:jc w:val="both"/>
              <w:rPr>
                <w:rFonts w:asciiTheme="majorBidi" w:eastAsia="Times New Roman" w:hAnsiTheme="majorBidi" w:cstheme="majorBidi"/>
                <w:b/>
                <w:bCs/>
                <w:sz w:val="24"/>
                <w:szCs w:val="24"/>
              </w:rPr>
            </w:pPr>
            <w:r w:rsidRPr="00E36096">
              <w:rPr>
                <w:rFonts w:asciiTheme="majorBidi" w:eastAsia="Times New Roman" w:hAnsiTheme="majorBidi" w:cstheme="majorBidi"/>
                <w:b/>
                <w:bCs/>
                <w:sz w:val="24"/>
                <w:szCs w:val="24"/>
              </w:rPr>
              <w:t>Typical legal indicators</w:t>
            </w:r>
          </w:p>
        </w:tc>
      </w:tr>
      <w:tr w:rsidR="003E4474" w:rsidRPr="00E36096" w14:paraId="0E63EF35" w14:textId="77777777" w:rsidTr="00237B77">
        <w:trPr>
          <w:tblCellSpacing w:w="15" w:type="dxa"/>
        </w:trPr>
        <w:tc>
          <w:tcPr>
            <w:tcW w:w="0" w:type="auto"/>
            <w:vAlign w:val="center"/>
            <w:hideMark/>
          </w:tcPr>
          <w:p w14:paraId="702F64E6" w14:textId="77777777" w:rsidR="003E4474" w:rsidRPr="00E36096" w:rsidRDefault="003E4474" w:rsidP="00237B77">
            <w:pPr>
              <w:jc w:val="both"/>
              <w:rPr>
                <w:rFonts w:asciiTheme="majorBidi" w:eastAsia="Times New Roman" w:hAnsiTheme="majorBidi" w:cstheme="majorBidi"/>
                <w:sz w:val="24"/>
                <w:szCs w:val="24"/>
              </w:rPr>
            </w:pPr>
            <w:r w:rsidRPr="00E36096">
              <w:rPr>
                <w:rFonts w:asciiTheme="majorBidi" w:eastAsia="Times New Roman" w:hAnsiTheme="majorBidi" w:cstheme="majorBidi"/>
                <w:sz w:val="24"/>
                <w:szCs w:val="24"/>
              </w:rPr>
              <w:t>Hierarchical</w:t>
            </w:r>
          </w:p>
        </w:tc>
        <w:tc>
          <w:tcPr>
            <w:tcW w:w="0" w:type="auto"/>
            <w:vAlign w:val="center"/>
            <w:hideMark/>
          </w:tcPr>
          <w:p w14:paraId="653EC1CA" w14:textId="77777777" w:rsidR="003E4474" w:rsidRPr="00E36096" w:rsidRDefault="003E4474" w:rsidP="00237B77">
            <w:pPr>
              <w:jc w:val="both"/>
              <w:rPr>
                <w:rFonts w:asciiTheme="majorBidi" w:eastAsia="Times New Roman" w:hAnsiTheme="majorBidi" w:cstheme="majorBidi"/>
                <w:sz w:val="24"/>
                <w:szCs w:val="24"/>
              </w:rPr>
            </w:pPr>
            <w:r w:rsidRPr="00E36096">
              <w:rPr>
                <w:rFonts w:asciiTheme="majorBidi" w:eastAsia="Times New Roman" w:hAnsiTheme="majorBidi" w:cstheme="majorBidi"/>
                <w:sz w:val="24"/>
                <w:szCs w:val="24"/>
              </w:rPr>
              <w:t>command and control</w:t>
            </w:r>
          </w:p>
        </w:tc>
        <w:tc>
          <w:tcPr>
            <w:tcW w:w="0" w:type="auto"/>
            <w:vAlign w:val="center"/>
            <w:hideMark/>
          </w:tcPr>
          <w:p w14:paraId="339D5480" w14:textId="77777777" w:rsidR="003E4474" w:rsidRPr="00E36096" w:rsidRDefault="003E4474" w:rsidP="00237B77">
            <w:pPr>
              <w:jc w:val="both"/>
              <w:rPr>
                <w:rFonts w:asciiTheme="majorBidi" w:eastAsia="Times New Roman" w:hAnsiTheme="majorBidi" w:cstheme="majorBidi"/>
                <w:sz w:val="24"/>
                <w:szCs w:val="24"/>
              </w:rPr>
            </w:pPr>
            <w:r w:rsidRPr="00E36096">
              <w:rPr>
                <w:rFonts w:asciiTheme="majorBidi" w:eastAsia="Times New Roman" w:hAnsiTheme="majorBidi" w:cstheme="majorBidi"/>
                <w:sz w:val="24"/>
                <w:szCs w:val="24"/>
              </w:rPr>
              <w:t>formal legal authority</w:t>
            </w:r>
          </w:p>
        </w:tc>
        <w:tc>
          <w:tcPr>
            <w:tcW w:w="0" w:type="auto"/>
            <w:vAlign w:val="center"/>
            <w:hideMark/>
          </w:tcPr>
          <w:p w14:paraId="35BF7E7A" w14:textId="77777777" w:rsidR="003E4474" w:rsidRPr="00E36096" w:rsidRDefault="003E4474" w:rsidP="00237B77">
            <w:pPr>
              <w:jc w:val="both"/>
              <w:rPr>
                <w:rFonts w:asciiTheme="majorBidi" w:eastAsia="Times New Roman" w:hAnsiTheme="majorBidi" w:cstheme="majorBidi"/>
                <w:sz w:val="24"/>
                <w:szCs w:val="24"/>
              </w:rPr>
            </w:pPr>
            <w:r w:rsidRPr="00E36096">
              <w:rPr>
                <w:rFonts w:asciiTheme="majorBidi" w:eastAsia="Times New Roman" w:hAnsiTheme="majorBidi" w:cstheme="majorBidi"/>
                <w:sz w:val="24"/>
                <w:szCs w:val="24"/>
              </w:rPr>
              <w:t>binding orders, supervision, approval, sanction</w:t>
            </w:r>
          </w:p>
        </w:tc>
      </w:tr>
      <w:tr w:rsidR="003E4474" w:rsidRPr="00E36096" w14:paraId="58C2902A" w14:textId="77777777" w:rsidTr="00237B77">
        <w:trPr>
          <w:tblCellSpacing w:w="15" w:type="dxa"/>
        </w:trPr>
        <w:tc>
          <w:tcPr>
            <w:tcW w:w="0" w:type="auto"/>
            <w:vAlign w:val="center"/>
            <w:hideMark/>
          </w:tcPr>
          <w:p w14:paraId="2ADC7269" w14:textId="77777777" w:rsidR="003E4474" w:rsidRPr="00E36096" w:rsidRDefault="003E4474" w:rsidP="00237B77">
            <w:pPr>
              <w:jc w:val="both"/>
              <w:rPr>
                <w:rFonts w:asciiTheme="majorBidi" w:eastAsia="Times New Roman" w:hAnsiTheme="majorBidi" w:cstheme="majorBidi"/>
                <w:sz w:val="24"/>
                <w:szCs w:val="24"/>
              </w:rPr>
            </w:pPr>
            <w:r w:rsidRPr="00E36096">
              <w:rPr>
                <w:rFonts w:asciiTheme="majorBidi" w:eastAsia="Times New Roman" w:hAnsiTheme="majorBidi" w:cstheme="majorBidi"/>
                <w:sz w:val="24"/>
                <w:szCs w:val="24"/>
              </w:rPr>
              <w:t>Market</w:t>
            </w:r>
          </w:p>
        </w:tc>
        <w:tc>
          <w:tcPr>
            <w:tcW w:w="0" w:type="auto"/>
            <w:vAlign w:val="center"/>
            <w:hideMark/>
          </w:tcPr>
          <w:p w14:paraId="661DFBC9" w14:textId="77777777" w:rsidR="003E4474" w:rsidRPr="00E36096" w:rsidRDefault="003E4474" w:rsidP="00237B77">
            <w:pPr>
              <w:jc w:val="both"/>
              <w:rPr>
                <w:rFonts w:asciiTheme="majorBidi" w:eastAsia="Times New Roman" w:hAnsiTheme="majorBidi" w:cstheme="majorBidi"/>
                <w:sz w:val="24"/>
                <w:szCs w:val="24"/>
              </w:rPr>
            </w:pPr>
            <w:r w:rsidRPr="00E36096">
              <w:rPr>
                <w:rFonts w:asciiTheme="majorBidi" w:eastAsia="Times New Roman" w:hAnsiTheme="majorBidi" w:cstheme="majorBidi"/>
                <w:sz w:val="24"/>
                <w:szCs w:val="24"/>
              </w:rPr>
              <w:t>competition and exchange</w:t>
            </w:r>
          </w:p>
        </w:tc>
        <w:tc>
          <w:tcPr>
            <w:tcW w:w="0" w:type="auto"/>
            <w:vAlign w:val="center"/>
            <w:hideMark/>
          </w:tcPr>
          <w:p w14:paraId="27513F76" w14:textId="77777777" w:rsidR="003E4474" w:rsidRPr="00E36096" w:rsidRDefault="003E4474" w:rsidP="00237B77">
            <w:pPr>
              <w:jc w:val="both"/>
              <w:rPr>
                <w:rFonts w:asciiTheme="majorBidi" w:eastAsia="Times New Roman" w:hAnsiTheme="majorBidi" w:cstheme="majorBidi"/>
                <w:sz w:val="24"/>
                <w:szCs w:val="24"/>
              </w:rPr>
            </w:pPr>
            <w:r w:rsidRPr="00E36096">
              <w:rPr>
                <w:rFonts w:asciiTheme="majorBidi" w:eastAsia="Times New Roman" w:hAnsiTheme="majorBidi" w:cstheme="majorBidi"/>
                <w:sz w:val="24"/>
                <w:szCs w:val="24"/>
              </w:rPr>
              <w:t>choice, incentives, market position</w:t>
            </w:r>
          </w:p>
        </w:tc>
        <w:tc>
          <w:tcPr>
            <w:tcW w:w="0" w:type="auto"/>
            <w:vAlign w:val="center"/>
            <w:hideMark/>
          </w:tcPr>
          <w:p w14:paraId="72FC6BDA" w14:textId="77777777" w:rsidR="003E4474" w:rsidRPr="00E36096" w:rsidRDefault="003E4474" w:rsidP="00237B77">
            <w:pPr>
              <w:jc w:val="both"/>
              <w:rPr>
                <w:rFonts w:asciiTheme="majorBidi" w:eastAsia="Times New Roman" w:hAnsiTheme="majorBidi" w:cstheme="majorBidi"/>
                <w:sz w:val="24"/>
                <w:szCs w:val="24"/>
              </w:rPr>
            </w:pPr>
            <w:r w:rsidRPr="00E36096">
              <w:rPr>
                <w:rFonts w:asciiTheme="majorBidi" w:eastAsia="Times New Roman" w:hAnsiTheme="majorBidi" w:cstheme="majorBidi"/>
                <w:sz w:val="24"/>
                <w:szCs w:val="24"/>
              </w:rPr>
              <w:t>competitive selection, procurement, prices, tradable rights</w:t>
            </w:r>
          </w:p>
        </w:tc>
      </w:tr>
      <w:tr w:rsidR="003E4474" w:rsidRPr="00E36096" w14:paraId="252F1D3B" w14:textId="77777777" w:rsidTr="00237B77">
        <w:trPr>
          <w:tblCellSpacing w:w="15" w:type="dxa"/>
        </w:trPr>
        <w:tc>
          <w:tcPr>
            <w:tcW w:w="0" w:type="auto"/>
            <w:vAlign w:val="center"/>
            <w:hideMark/>
          </w:tcPr>
          <w:p w14:paraId="3B2192C5" w14:textId="77777777" w:rsidR="003E4474" w:rsidRPr="00E36096" w:rsidRDefault="003E4474" w:rsidP="00237B77">
            <w:pPr>
              <w:jc w:val="both"/>
              <w:rPr>
                <w:rFonts w:asciiTheme="majorBidi" w:eastAsia="Times New Roman" w:hAnsiTheme="majorBidi" w:cstheme="majorBidi"/>
                <w:sz w:val="24"/>
                <w:szCs w:val="24"/>
              </w:rPr>
            </w:pPr>
            <w:r w:rsidRPr="00E36096">
              <w:rPr>
                <w:rFonts w:asciiTheme="majorBidi" w:eastAsia="Times New Roman" w:hAnsiTheme="majorBidi" w:cstheme="majorBidi"/>
                <w:sz w:val="24"/>
                <w:szCs w:val="24"/>
              </w:rPr>
              <w:t>Associational</w:t>
            </w:r>
          </w:p>
        </w:tc>
        <w:tc>
          <w:tcPr>
            <w:tcW w:w="0" w:type="auto"/>
            <w:vAlign w:val="center"/>
            <w:hideMark/>
          </w:tcPr>
          <w:p w14:paraId="12085E8B" w14:textId="77777777" w:rsidR="003E4474" w:rsidRPr="00E36096" w:rsidRDefault="003E4474" w:rsidP="00237B77">
            <w:pPr>
              <w:jc w:val="both"/>
              <w:rPr>
                <w:rFonts w:asciiTheme="majorBidi" w:eastAsia="Times New Roman" w:hAnsiTheme="majorBidi" w:cstheme="majorBidi"/>
                <w:sz w:val="24"/>
                <w:szCs w:val="24"/>
              </w:rPr>
            </w:pPr>
            <w:r w:rsidRPr="00E36096">
              <w:rPr>
                <w:rFonts w:asciiTheme="majorBidi" w:eastAsia="Times New Roman" w:hAnsiTheme="majorBidi" w:cstheme="majorBidi"/>
                <w:sz w:val="24"/>
                <w:szCs w:val="24"/>
              </w:rPr>
              <w:t>collective self-organization</w:t>
            </w:r>
          </w:p>
        </w:tc>
        <w:tc>
          <w:tcPr>
            <w:tcW w:w="0" w:type="auto"/>
            <w:vAlign w:val="center"/>
            <w:hideMark/>
          </w:tcPr>
          <w:p w14:paraId="661FBF34" w14:textId="77777777" w:rsidR="003E4474" w:rsidRPr="00E36096" w:rsidRDefault="003E4474" w:rsidP="00237B77">
            <w:pPr>
              <w:jc w:val="both"/>
              <w:rPr>
                <w:rFonts w:asciiTheme="majorBidi" w:eastAsia="Times New Roman" w:hAnsiTheme="majorBidi" w:cstheme="majorBidi"/>
                <w:sz w:val="24"/>
                <w:szCs w:val="24"/>
              </w:rPr>
            </w:pPr>
            <w:r w:rsidRPr="00E36096">
              <w:rPr>
                <w:rFonts w:asciiTheme="majorBidi" w:eastAsia="Times New Roman" w:hAnsiTheme="majorBidi" w:cstheme="majorBidi"/>
                <w:sz w:val="24"/>
                <w:szCs w:val="24"/>
              </w:rPr>
              <w:t>membership and representation</w:t>
            </w:r>
          </w:p>
        </w:tc>
        <w:tc>
          <w:tcPr>
            <w:tcW w:w="0" w:type="auto"/>
            <w:vAlign w:val="center"/>
            <w:hideMark/>
          </w:tcPr>
          <w:p w14:paraId="6AF71D62" w14:textId="77777777" w:rsidR="003E4474" w:rsidRPr="00E36096" w:rsidRDefault="003E4474" w:rsidP="00237B77">
            <w:pPr>
              <w:jc w:val="both"/>
              <w:rPr>
                <w:rFonts w:asciiTheme="majorBidi" w:eastAsia="Times New Roman" w:hAnsiTheme="majorBidi" w:cstheme="majorBidi"/>
                <w:sz w:val="24"/>
                <w:szCs w:val="24"/>
              </w:rPr>
            </w:pPr>
            <w:r w:rsidRPr="00E36096">
              <w:rPr>
                <w:rFonts w:asciiTheme="majorBidi" w:eastAsia="Times New Roman" w:hAnsiTheme="majorBidi" w:cstheme="majorBidi"/>
                <w:sz w:val="24"/>
                <w:szCs w:val="24"/>
              </w:rPr>
              <w:t>industry codes, collective rule-making, self-regulatory associations</w:t>
            </w:r>
          </w:p>
        </w:tc>
      </w:tr>
      <w:tr w:rsidR="003E4474" w:rsidRPr="00E36096" w14:paraId="556F7D83" w14:textId="77777777" w:rsidTr="00237B77">
        <w:trPr>
          <w:tblCellSpacing w:w="15" w:type="dxa"/>
        </w:trPr>
        <w:tc>
          <w:tcPr>
            <w:tcW w:w="0" w:type="auto"/>
            <w:vAlign w:val="center"/>
            <w:hideMark/>
          </w:tcPr>
          <w:p w14:paraId="1B81382D" w14:textId="77777777" w:rsidR="003E4474" w:rsidRPr="00E36096" w:rsidRDefault="003E4474" w:rsidP="00237B77">
            <w:pPr>
              <w:jc w:val="both"/>
              <w:rPr>
                <w:rFonts w:asciiTheme="majorBidi" w:eastAsia="Times New Roman" w:hAnsiTheme="majorBidi" w:cstheme="majorBidi"/>
                <w:sz w:val="24"/>
                <w:szCs w:val="24"/>
              </w:rPr>
            </w:pPr>
            <w:r w:rsidRPr="00E36096">
              <w:rPr>
                <w:rFonts w:asciiTheme="majorBidi" w:eastAsia="Times New Roman" w:hAnsiTheme="majorBidi" w:cstheme="majorBidi"/>
                <w:sz w:val="24"/>
                <w:szCs w:val="24"/>
              </w:rPr>
              <w:t>Professional</w:t>
            </w:r>
          </w:p>
        </w:tc>
        <w:tc>
          <w:tcPr>
            <w:tcW w:w="0" w:type="auto"/>
            <w:vAlign w:val="center"/>
            <w:hideMark/>
          </w:tcPr>
          <w:p w14:paraId="4754E4B9" w14:textId="77777777" w:rsidR="003E4474" w:rsidRPr="00E36096" w:rsidRDefault="003E4474" w:rsidP="00237B77">
            <w:pPr>
              <w:jc w:val="both"/>
              <w:rPr>
                <w:rFonts w:asciiTheme="majorBidi" w:eastAsia="Times New Roman" w:hAnsiTheme="majorBidi" w:cstheme="majorBidi"/>
                <w:sz w:val="24"/>
                <w:szCs w:val="24"/>
              </w:rPr>
            </w:pPr>
            <w:r w:rsidRPr="00E36096">
              <w:rPr>
                <w:rFonts w:asciiTheme="majorBidi" w:eastAsia="Times New Roman" w:hAnsiTheme="majorBidi" w:cstheme="majorBidi"/>
                <w:sz w:val="24"/>
                <w:szCs w:val="24"/>
              </w:rPr>
              <w:t>expertise and peer judgment</w:t>
            </w:r>
          </w:p>
        </w:tc>
        <w:tc>
          <w:tcPr>
            <w:tcW w:w="0" w:type="auto"/>
            <w:vAlign w:val="center"/>
            <w:hideMark/>
          </w:tcPr>
          <w:p w14:paraId="1ED766E6" w14:textId="77777777" w:rsidR="003E4474" w:rsidRPr="00E36096" w:rsidRDefault="003E4474" w:rsidP="00237B77">
            <w:pPr>
              <w:jc w:val="both"/>
              <w:rPr>
                <w:rFonts w:asciiTheme="majorBidi" w:eastAsia="Times New Roman" w:hAnsiTheme="majorBidi" w:cstheme="majorBidi"/>
                <w:sz w:val="24"/>
                <w:szCs w:val="24"/>
              </w:rPr>
            </w:pPr>
            <w:r w:rsidRPr="00E36096">
              <w:rPr>
                <w:rFonts w:asciiTheme="majorBidi" w:eastAsia="Times New Roman" w:hAnsiTheme="majorBidi" w:cstheme="majorBidi"/>
                <w:sz w:val="24"/>
                <w:szCs w:val="24"/>
              </w:rPr>
              <w:t>competence and specialized knowledge</w:t>
            </w:r>
          </w:p>
        </w:tc>
        <w:tc>
          <w:tcPr>
            <w:tcW w:w="0" w:type="auto"/>
            <w:vAlign w:val="center"/>
            <w:hideMark/>
          </w:tcPr>
          <w:p w14:paraId="4893494A" w14:textId="77777777" w:rsidR="003E4474" w:rsidRPr="00E36096" w:rsidRDefault="003E4474" w:rsidP="00237B77">
            <w:pPr>
              <w:jc w:val="both"/>
              <w:rPr>
                <w:rFonts w:asciiTheme="majorBidi" w:eastAsia="Times New Roman" w:hAnsiTheme="majorBidi" w:cstheme="majorBidi"/>
                <w:sz w:val="24"/>
                <w:szCs w:val="24"/>
              </w:rPr>
            </w:pPr>
            <w:r w:rsidRPr="00E36096">
              <w:rPr>
                <w:rFonts w:asciiTheme="majorBidi" w:eastAsia="Times New Roman" w:hAnsiTheme="majorBidi" w:cstheme="majorBidi"/>
                <w:sz w:val="24"/>
                <w:szCs w:val="24"/>
              </w:rPr>
              <w:t>qualification, accreditation, expert discretion, peer review</w:t>
            </w:r>
          </w:p>
        </w:tc>
      </w:tr>
      <w:tr w:rsidR="003E4474" w:rsidRPr="00E36096" w14:paraId="3648FB8B" w14:textId="77777777" w:rsidTr="00237B77">
        <w:trPr>
          <w:tblCellSpacing w:w="15" w:type="dxa"/>
        </w:trPr>
        <w:tc>
          <w:tcPr>
            <w:tcW w:w="0" w:type="auto"/>
            <w:vAlign w:val="center"/>
            <w:hideMark/>
          </w:tcPr>
          <w:p w14:paraId="312EFE6E" w14:textId="77777777" w:rsidR="003E4474" w:rsidRPr="00E36096" w:rsidRDefault="003E4474" w:rsidP="00237B77">
            <w:pPr>
              <w:jc w:val="both"/>
              <w:rPr>
                <w:rFonts w:asciiTheme="majorBidi" w:eastAsia="Times New Roman" w:hAnsiTheme="majorBidi" w:cstheme="majorBidi"/>
                <w:sz w:val="24"/>
                <w:szCs w:val="24"/>
              </w:rPr>
            </w:pPr>
            <w:r w:rsidRPr="00E36096">
              <w:rPr>
                <w:rFonts w:asciiTheme="majorBidi" w:eastAsia="Times New Roman" w:hAnsiTheme="majorBidi" w:cstheme="majorBidi"/>
                <w:sz w:val="24"/>
                <w:szCs w:val="24"/>
              </w:rPr>
              <w:t>Network</w:t>
            </w:r>
          </w:p>
        </w:tc>
        <w:tc>
          <w:tcPr>
            <w:tcW w:w="0" w:type="auto"/>
            <w:vAlign w:val="center"/>
            <w:hideMark/>
          </w:tcPr>
          <w:p w14:paraId="72E394C1" w14:textId="77777777" w:rsidR="003E4474" w:rsidRPr="00E36096" w:rsidRDefault="003E4474" w:rsidP="00237B77">
            <w:pPr>
              <w:jc w:val="both"/>
              <w:rPr>
                <w:rFonts w:asciiTheme="majorBidi" w:eastAsia="Times New Roman" w:hAnsiTheme="majorBidi" w:cstheme="majorBidi"/>
                <w:sz w:val="24"/>
                <w:szCs w:val="24"/>
              </w:rPr>
            </w:pPr>
            <w:r w:rsidRPr="00E36096">
              <w:rPr>
                <w:rFonts w:asciiTheme="majorBidi" w:eastAsia="Times New Roman" w:hAnsiTheme="majorBidi" w:cstheme="majorBidi"/>
                <w:sz w:val="24"/>
                <w:szCs w:val="24"/>
              </w:rPr>
              <w:t>coordination and mutual adjustment</w:t>
            </w:r>
          </w:p>
        </w:tc>
        <w:tc>
          <w:tcPr>
            <w:tcW w:w="0" w:type="auto"/>
            <w:vAlign w:val="center"/>
            <w:hideMark/>
          </w:tcPr>
          <w:p w14:paraId="1FCEA54E" w14:textId="77777777" w:rsidR="003E4474" w:rsidRPr="00E36096" w:rsidRDefault="003E4474" w:rsidP="00237B77">
            <w:pPr>
              <w:jc w:val="both"/>
              <w:rPr>
                <w:rFonts w:asciiTheme="majorBidi" w:eastAsia="Times New Roman" w:hAnsiTheme="majorBidi" w:cstheme="majorBidi"/>
                <w:sz w:val="24"/>
                <w:szCs w:val="24"/>
              </w:rPr>
            </w:pPr>
            <w:r w:rsidRPr="00E36096">
              <w:rPr>
                <w:rFonts w:asciiTheme="majorBidi" w:eastAsia="Times New Roman" w:hAnsiTheme="majorBidi" w:cstheme="majorBidi"/>
                <w:sz w:val="24"/>
                <w:szCs w:val="24"/>
              </w:rPr>
              <w:t>interdependence</w:t>
            </w:r>
          </w:p>
        </w:tc>
        <w:tc>
          <w:tcPr>
            <w:tcW w:w="0" w:type="auto"/>
            <w:vAlign w:val="center"/>
            <w:hideMark/>
          </w:tcPr>
          <w:p w14:paraId="55A8581C" w14:textId="77777777" w:rsidR="003E4474" w:rsidRPr="00E36096" w:rsidRDefault="003E4474" w:rsidP="00237B77">
            <w:pPr>
              <w:jc w:val="both"/>
              <w:rPr>
                <w:rFonts w:asciiTheme="majorBidi" w:eastAsia="Times New Roman" w:hAnsiTheme="majorBidi" w:cstheme="majorBidi"/>
                <w:sz w:val="24"/>
                <w:szCs w:val="24"/>
              </w:rPr>
            </w:pPr>
            <w:r w:rsidRPr="00E36096">
              <w:rPr>
                <w:rFonts w:asciiTheme="majorBidi" w:eastAsia="Times New Roman" w:hAnsiTheme="majorBidi" w:cstheme="majorBidi"/>
                <w:sz w:val="24"/>
                <w:szCs w:val="24"/>
              </w:rPr>
              <w:t>consultation, joint bodies, information sharing, cooperative decisions</w:t>
            </w:r>
          </w:p>
        </w:tc>
      </w:tr>
    </w:tbl>
    <w:p w14:paraId="28E6E761" w14:textId="77777777" w:rsidR="003E4474" w:rsidRPr="00E36096" w:rsidRDefault="003E4474" w:rsidP="003E4474">
      <w:pPr>
        <w:spacing w:before="100" w:beforeAutospacing="1" w:afterAutospacing="1"/>
        <w:jc w:val="both"/>
        <w:rPr>
          <w:rFonts w:asciiTheme="majorBidi" w:eastAsia="Times New Roman" w:hAnsiTheme="majorBidi" w:cstheme="majorBidi"/>
          <w:sz w:val="24"/>
          <w:szCs w:val="24"/>
        </w:rPr>
      </w:pPr>
      <w:r w:rsidRPr="00E36096">
        <w:rPr>
          <w:rFonts w:asciiTheme="majorBidi" w:eastAsia="Times New Roman" w:hAnsiTheme="majorBidi" w:cstheme="majorBidi"/>
          <w:sz w:val="24"/>
          <w:szCs w:val="24"/>
        </w:rPr>
        <w:t>Primary coders should not normally be asked to decide whether an entire law is "hierarchical" or "experimentalist." Instead, higher-level analysis should reconstruct these logics from evidence about how particular relationships and governance functions operate. Where several logics coexist, the database should permit multiple values and record the function or subsystem in which each occurs.  Governance logic therefore adds an interpretive layer to the architecture framework without duplicating it. Strategies identify the form of regulatory intervention; architectures identify the structural distribution of governance; logics identify the organizing principles through which governance is coordinated</w:t>
      </w:r>
      <w:r w:rsidRPr="00E36096">
        <w:rPr>
          <w:rFonts w:asciiTheme="majorBidi" w:eastAsia="Times New Roman" w:hAnsiTheme="majorBidi" w:cstheme="majorBidi"/>
          <w:b/>
          <w:bCs/>
          <w:sz w:val="24"/>
          <w:szCs w:val="24"/>
        </w:rPr>
        <w:t>.</w:t>
      </w:r>
      <w:r w:rsidRPr="00E36096">
        <w:rPr>
          <w:rFonts w:asciiTheme="majorBidi" w:eastAsia="Times New Roman" w:hAnsiTheme="majorBidi" w:cstheme="majorBidi"/>
          <w:sz w:val="24"/>
          <w:szCs w:val="24"/>
        </w:rPr>
        <w:t xml:space="preserve"> Keeping these concepts separate permits laws that appear institutionally similar to be distinguished according to how their actors are expected to interact, while also allowing different institutional structures to be recognized as expressions of similar governing principles.</w:t>
      </w:r>
    </w:p>
    <w:p w14:paraId="3AC9BC35" w14:textId="56FCF90E" w:rsidR="00A71381" w:rsidRDefault="00A71381" w:rsidP="00BB24A5">
      <w:pPr>
        <w:jc w:val="both"/>
        <w:rPr>
          <w:rFonts w:asciiTheme="majorBidi" w:hAnsiTheme="majorBidi" w:cstheme="majorBidi"/>
          <w:sz w:val="24"/>
          <w:szCs w:val="24"/>
        </w:rPr>
      </w:pPr>
    </w:p>
    <w:p w14:paraId="41EB7C75" w14:textId="02125D57" w:rsidR="00B746D2" w:rsidRDefault="00B746D2" w:rsidP="00BB24A5">
      <w:pPr>
        <w:jc w:val="both"/>
        <w:rPr>
          <w:rFonts w:asciiTheme="majorBidi" w:hAnsiTheme="majorBidi" w:cstheme="majorBidi"/>
          <w:sz w:val="24"/>
          <w:szCs w:val="24"/>
        </w:rPr>
      </w:pPr>
    </w:p>
    <w:p w14:paraId="0B63B934" w14:textId="77777777" w:rsidR="0034786B" w:rsidRPr="007142B2" w:rsidRDefault="0034786B" w:rsidP="0034786B">
      <w:pPr>
        <w:spacing w:before="100" w:beforeAutospacing="1" w:afterAutospacing="1" w:line="276" w:lineRule="auto"/>
        <w:jc w:val="both"/>
        <w:outlineLvl w:val="0"/>
        <w:rPr>
          <w:rFonts w:asciiTheme="majorBidi" w:eastAsia="Times New Roman" w:hAnsiTheme="majorBidi" w:cstheme="majorBidi"/>
          <w:b/>
          <w:bCs/>
          <w:kern w:val="36"/>
          <w:sz w:val="24"/>
          <w:szCs w:val="24"/>
        </w:rPr>
      </w:pPr>
      <w:r w:rsidRPr="007142B2">
        <w:rPr>
          <w:rFonts w:asciiTheme="majorBidi" w:eastAsia="Times New Roman" w:hAnsiTheme="majorBidi" w:cstheme="majorBidi"/>
          <w:b/>
          <w:bCs/>
          <w:kern w:val="36"/>
          <w:sz w:val="24"/>
          <w:szCs w:val="24"/>
        </w:rPr>
        <w:t>6. A Methodology of Relational Leximetrics: From Legal Text to Governance Architecture</w:t>
      </w:r>
    </w:p>
    <w:p w14:paraId="0BC4A56F"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The conceptual framework developed above requires a methodology capable of translating legal texts into systematic and comparable representations of governance. The methodological challenge is not simply one of coding granularity. Legal evidence is encountered in sentences, clauses, paragraphs and provisions, whereas the theoretical objects of interest—relationships, regulatory strategies, governance architectures and governance regimes—usually exist at higher levels of aggregation. Moving between </w:t>
      </w:r>
      <w:r w:rsidRPr="007142B2">
        <w:rPr>
          <w:rFonts w:asciiTheme="majorBidi" w:eastAsia="Times New Roman" w:hAnsiTheme="majorBidi" w:cstheme="majorBidi"/>
          <w:sz w:val="24"/>
          <w:szCs w:val="24"/>
        </w:rPr>
        <w:lastRenderedPageBreak/>
        <w:t>these levels therefore requires inference. A provision is not itself a governance architecture, the presence of an intermediary does not establish an intermediated regime, and the assignment of a monitoring function does not establish that monitoring occupies a central position in the regulatory system.</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Relational leximetrics addresses this problem by combining fine-grained legal coding with explicit rules of relational and configurational inference. Its purpose is to preserve the textual foundations of legal analysis while making it possible to compare the systems of governance constituted through law. The methodology rests on four principles. First, the unit of coding, unit of analysis and unit of inference should be distinguished. Second, legally constituted relationships provide a critical bridge between legal text and governance architecture. Third, higher-order properties should be reconstructed from configurations of lower-level elements rather than inferred from their simple frequency. Fourth, every higher-order claim should remain traceable to the legal observations upon which it rests.</w:t>
      </w:r>
    </w:p>
    <w:p w14:paraId="120B46E1" w14:textId="77777777" w:rsidR="0034786B" w:rsidRPr="007142B2" w:rsidRDefault="0034786B" w:rsidP="0034786B">
      <w:pPr>
        <w:spacing w:before="100" w:beforeAutospacing="1" w:afterAutospacing="1" w:line="276" w:lineRule="auto"/>
        <w:jc w:val="both"/>
        <w:outlineLvl w:val="1"/>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t>6.1 Units of coding, analysis and inference</w:t>
      </w:r>
    </w:p>
    <w:p w14:paraId="55AAD804"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A foundational methodological distinction concerns the unit of coding, the unit of analysis and the unit of inference. These units may coincide, but they frequently do not. Confusing them creates a risk that an empirical observation made at one level will be converted, without sufficient justification, into a theoretical claim at another.</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 xml:space="preserve">The </w:t>
      </w:r>
      <w:r w:rsidRPr="007142B2">
        <w:rPr>
          <w:rFonts w:asciiTheme="majorBidi" w:eastAsia="Times New Roman" w:hAnsiTheme="majorBidi" w:cstheme="majorBidi"/>
          <w:b/>
          <w:bCs/>
          <w:sz w:val="24"/>
          <w:szCs w:val="24"/>
        </w:rPr>
        <w:t>unit of coding</w:t>
      </w:r>
      <w:r w:rsidRPr="007142B2">
        <w:rPr>
          <w:rFonts w:asciiTheme="majorBidi" w:eastAsia="Times New Roman" w:hAnsiTheme="majorBidi" w:cstheme="majorBidi"/>
          <w:sz w:val="24"/>
          <w:szCs w:val="24"/>
        </w:rPr>
        <w:t xml:space="preserve"> is the smallest element to which a researcher assigns a code. In legal research this may be a sentence, clause, paragraph, provision or institutional statement. The choice depends partly on the structure of the legal text and partly on the research question. Sentence-level coding provides textual precision, but linguistic boundaries do not necessarily correspond to institutional boundaries. One sentence may establish several distinct obligations or relationships, while a single governance relationship may be constituted through several provisions.</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 xml:space="preserve">The </w:t>
      </w:r>
      <w:r w:rsidRPr="007142B2">
        <w:rPr>
          <w:rFonts w:asciiTheme="majorBidi" w:eastAsia="Times New Roman" w:hAnsiTheme="majorBidi" w:cstheme="majorBidi"/>
          <w:b/>
          <w:bCs/>
          <w:sz w:val="24"/>
          <w:szCs w:val="24"/>
        </w:rPr>
        <w:t>unit of analysis</w:t>
      </w:r>
      <w:r w:rsidRPr="007142B2">
        <w:rPr>
          <w:rFonts w:asciiTheme="majorBidi" w:eastAsia="Times New Roman" w:hAnsiTheme="majorBidi" w:cstheme="majorBidi"/>
          <w:sz w:val="24"/>
          <w:szCs w:val="24"/>
        </w:rPr>
        <w:t xml:space="preserve"> identifies the entity whose properties are actually being examined. For relational leximetrics, this may include actors and roles, governance functions, mechanisms, instruments, relationships, or relational attributes such as authority, discretion and accountability. The relationship is especially important because it records not merely that actors are mentioned, but how they are legally positioned relative to one another.</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 xml:space="preserve">The </w:t>
      </w:r>
      <w:r w:rsidRPr="007142B2">
        <w:rPr>
          <w:rFonts w:asciiTheme="majorBidi" w:eastAsia="Times New Roman" w:hAnsiTheme="majorBidi" w:cstheme="majorBidi"/>
          <w:b/>
          <w:bCs/>
          <w:sz w:val="24"/>
          <w:szCs w:val="24"/>
        </w:rPr>
        <w:t>unit of inference</w:t>
      </w:r>
      <w:r w:rsidRPr="007142B2">
        <w:rPr>
          <w:rFonts w:asciiTheme="majorBidi" w:eastAsia="Times New Roman" w:hAnsiTheme="majorBidi" w:cstheme="majorBidi"/>
          <w:sz w:val="24"/>
          <w:szCs w:val="24"/>
        </w:rPr>
        <w:t xml:space="preserve"> identifies the larger entity about which the researcher ultimately seeks to make a theoretical claim. Depending upon the research design, this may be a law, subsystem within a law, regulatory program, sectoral regime or broader governance system.</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The distinction can be summarized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6"/>
        <w:gridCol w:w="5994"/>
      </w:tblGrid>
      <w:tr w:rsidR="0034786B" w:rsidRPr="007142B2" w14:paraId="63C66E6E" w14:textId="77777777" w:rsidTr="00DA4984">
        <w:trPr>
          <w:tblHeader/>
          <w:tblCellSpacing w:w="15" w:type="dxa"/>
        </w:trPr>
        <w:tc>
          <w:tcPr>
            <w:tcW w:w="0" w:type="auto"/>
            <w:vAlign w:val="center"/>
            <w:hideMark/>
          </w:tcPr>
          <w:p w14:paraId="162DE6B9" w14:textId="77777777" w:rsidR="0034786B" w:rsidRPr="007142B2" w:rsidRDefault="0034786B" w:rsidP="00DA4984">
            <w:pPr>
              <w:spacing w:line="276" w:lineRule="auto"/>
              <w:jc w:val="both"/>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t>Methodological unit</w:t>
            </w:r>
          </w:p>
        </w:tc>
        <w:tc>
          <w:tcPr>
            <w:tcW w:w="0" w:type="auto"/>
            <w:vAlign w:val="center"/>
            <w:hideMark/>
          </w:tcPr>
          <w:p w14:paraId="79F915CE" w14:textId="77777777" w:rsidR="0034786B" w:rsidRPr="007142B2" w:rsidRDefault="0034786B" w:rsidP="00DA4984">
            <w:pPr>
              <w:spacing w:line="276" w:lineRule="auto"/>
              <w:jc w:val="both"/>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t>Typical manifestation</w:t>
            </w:r>
          </w:p>
        </w:tc>
      </w:tr>
      <w:tr w:rsidR="0034786B" w:rsidRPr="007142B2" w14:paraId="5645EC25" w14:textId="77777777" w:rsidTr="00DA4984">
        <w:trPr>
          <w:tblCellSpacing w:w="15" w:type="dxa"/>
        </w:trPr>
        <w:tc>
          <w:tcPr>
            <w:tcW w:w="0" w:type="auto"/>
            <w:vAlign w:val="center"/>
            <w:hideMark/>
          </w:tcPr>
          <w:p w14:paraId="4E874FB2" w14:textId="77777777" w:rsidR="0034786B" w:rsidRPr="007142B2" w:rsidRDefault="0034786B" w:rsidP="00DA4984">
            <w:pPr>
              <w:spacing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Unit of coding</w:t>
            </w:r>
          </w:p>
        </w:tc>
        <w:tc>
          <w:tcPr>
            <w:tcW w:w="0" w:type="auto"/>
            <w:vAlign w:val="center"/>
            <w:hideMark/>
          </w:tcPr>
          <w:p w14:paraId="3809426C" w14:textId="77777777" w:rsidR="0034786B" w:rsidRPr="007142B2" w:rsidRDefault="0034786B" w:rsidP="00DA4984">
            <w:pPr>
              <w:spacing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clause, sentence, paragraph, provision, institutional statement</w:t>
            </w:r>
          </w:p>
        </w:tc>
      </w:tr>
      <w:tr w:rsidR="0034786B" w:rsidRPr="007142B2" w14:paraId="336344ED" w14:textId="77777777" w:rsidTr="00DA4984">
        <w:trPr>
          <w:tblCellSpacing w:w="15" w:type="dxa"/>
        </w:trPr>
        <w:tc>
          <w:tcPr>
            <w:tcW w:w="0" w:type="auto"/>
            <w:vAlign w:val="center"/>
            <w:hideMark/>
          </w:tcPr>
          <w:p w14:paraId="53812926" w14:textId="77777777" w:rsidR="0034786B" w:rsidRPr="007142B2" w:rsidRDefault="0034786B" w:rsidP="00DA4984">
            <w:pPr>
              <w:spacing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Unit of analysis</w:t>
            </w:r>
          </w:p>
        </w:tc>
        <w:tc>
          <w:tcPr>
            <w:tcW w:w="0" w:type="auto"/>
            <w:vAlign w:val="center"/>
            <w:hideMark/>
          </w:tcPr>
          <w:p w14:paraId="1D146B40" w14:textId="77777777" w:rsidR="0034786B" w:rsidRPr="007142B2" w:rsidRDefault="0034786B" w:rsidP="00DA4984">
            <w:pPr>
              <w:spacing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actor, function, instrument, relationship, relational attribute</w:t>
            </w:r>
          </w:p>
        </w:tc>
      </w:tr>
      <w:tr w:rsidR="0034786B" w:rsidRPr="007142B2" w14:paraId="193A15D8" w14:textId="77777777" w:rsidTr="00DA4984">
        <w:trPr>
          <w:tblCellSpacing w:w="15" w:type="dxa"/>
        </w:trPr>
        <w:tc>
          <w:tcPr>
            <w:tcW w:w="0" w:type="auto"/>
            <w:vAlign w:val="center"/>
            <w:hideMark/>
          </w:tcPr>
          <w:p w14:paraId="0258074D" w14:textId="77777777" w:rsidR="0034786B" w:rsidRPr="007142B2" w:rsidRDefault="0034786B" w:rsidP="00DA4984">
            <w:pPr>
              <w:spacing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Unit of inference</w:t>
            </w:r>
          </w:p>
        </w:tc>
        <w:tc>
          <w:tcPr>
            <w:tcW w:w="0" w:type="auto"/>
            <w:vAlign w:val="center"/>
            <w:hideMark/>
          </w:tcPr>
          <w:p w14:paraId="061CC83A" w14:textId="77777777" w:rsidR="0034786B" w:rsidRPr="007142B2" w:rsidRDefault="0034786B" w:rsidP="00DA4984">
            <w:pPr>
              <w:spacing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architecture, law, regulatory regime, governance system</w:t>
            </w:r>
          </w:p>
        </w:tc>
      </w:tr>
    </w:tbl>
    <w:p w14:paraId="6464AF7D"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The central implication is that the unit of coding need not be the unit of analysis, and neither need be the unit of inference. A study may code individual provisions, </w:t>
      </w:r>
      <w:proofErr w:type="spellStart"/>
      <w:r w:rsidRPr="007142B2">
        <w:rPr>
          <w:rFonts w:asciiTheme="majorBidi" w:eastAsia="Times New Roman" w:hAnsiTheme="majorBidi" w:cstheme="majorBidi"/>
          <w:sz w:val="24"/>
          <w:szCs w:val="24"/>
        </w:rPr>
        <w:t>analyse</w:t>
      </w:r>
      <w:proofErr w:type="spellEnd"/>
      <w:r w:rsidRPr="007142B2">
        <w:rPr>
          <w:rFonts w:asciiTheme="majorBidi" w:eastAsia="Times New Roman" w:hAnsiTheme="majorBidi" w:cstheme="majorBidi"/>
          <w:sz w:val="24"/>
          <w:szCs w:val="24"/>
        </w:rPr>
        <w:t xml:space="preserve"> relationships and distributions of </w:t>
      </w:r>
      <w:r w:rsidRPr="007142B2">
        <w:rPr>
          <w:rFonts w:asciiTheme="majorBidi" w:eastAsia="Times New Roman" w:hAnsiTheme="majorBidi" w:cstheme="majorBidi"/>
          <w:sz w:val="24"/>
          <w:szCs w:val="24"/>
        </w:rPr>
        <w:lastRenderedPageBreak/>
        <w:t>governance functions, and ultimately make claims about the architecture of a regulatory regime. The legitimacy of the higher-level claim depends upon the inferential procedures connecting those levels.</w:t>
      </w:r>
    </w:p>
    <w:p w14:paraId="05AD2990" w14:textId="77777777" w:rsidR="0034786B" w:rsidRPr="007142B2" w:rsidRDefault="0034786B" w:rsidP="0034786B">
      <w:pPr>
        <w:spacing w:before="100" w:beforeAutospacing="1" w:afterAutospacing="1" w:line="276" w:lineRule="auto"/>
        <w:jc w:val="both"/>
        <w:outlineLvl w:val="1"/>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t>6.2 Levels of analysis and the Legal-Governance Inference Ladder</w:t>
      </w:r>
    </w:p>
    <w:p w14:paraId="5F203EB2"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Relational leximetrics can be represented through six analytical levels: legal text, institutional statements, governance relationships, governance configurations, legal architectures and governance regimes. These levels are nested but analytically distinct.</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 xml:space="preserve">At the first level, </w:t>
      </w:r>
      <w:r w:rsidRPr="007142B2">
        <w:rPr>
          <w:rFonts w:asciiTheme="majorBidi" w:eastAsia="Times New Roman" w:hAnsiTheme="majorBidi" w:cstheme="majorBidi"/>
          <w:b/>
          <w:bCs/>
          <w:sz w:val="24"/>
          <w:szCs w:val="24"/>
        </w:rPr>
        <w:t>legal text</w:t>
      </w:r>
      <w:r w:rsidRPr="007142B2">
        <w:rPr>
          <w:rFonts w:asciiTheme="majorBidi" w:eastAsia="Times New Roman" w:hAnsiTheme="majorBidi" w:cstheme="majorBidi"/>
          <w:sz w:val="24"/>
          <w:szCs w:val="24"/>
        </w:rPr>
        <w:t xml:space="preserve"> provides the evidentiary substrate. The researcher identifies the language through which rights, obligations, permissions, powers, conditions and institutional arrangements are expressed.</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 xml:space="preserve">At the second level, </w:t>
      </w:r>
      <w:r w:rsidRPr="007142B2">
        <w:rPr>
          <w:rFonts w:asciiTheme="majorBidi" w:eastAsia="Times New Roman" w:hAnsiTheme="majorBidi" w:cstheme="majorBidi"/>
          <w:b/>
          <w:bCs/>
          <w:sz w:val="24"/>
          <w:szCs w:val="24"/>
        </w:rPr>
        <w:t>institutional statements</w:t>
      </w:r>
      <w:r w:rsidRPr="007142B2">
        <w:rPr>
          <w:rFonts w:asciiTheme="majorBidi" w:eastAsia="Times New Roman" w:hAnsiTheme="majorBidi" w:cstheme="majorBidi"/>
          <w:sz w:val="24"/>
          <w:szCs w:val="24"/>
        </w:rPr>
        <w:t xml:space="preserve"> identify the legally significant propositions embedded in that text. Institutional Grammar demonstrates the usefulness of decomposing institutional statements into actors, actions, deontic operators, conditions and consequences (Crawford and Ostrom 1995; Frantz and </w:t>
      </w:r>
      <w:proofErr w:type="spellStart"/>
      <w:r w:rsidRPr="007142B2">
        <w:rPr>
          <w:rFonts w:asciiTheme="majorBidi" w:eastAsia="Times New Roman" w:hAnsiTheme="majorBidi" w:cstheme="majorBidi"/>
          <w:sz w:val="24"/>
          <w:szCs w:val="24"/>
        </w:rPr>
        <w:t>Siddiki</w:t>
      </w:r>
      <w:proofErr w:type="spellEnd"/>
      <w:r w:rsidRPr="007142B2">
        <w:rPr>
          <w:rFonts w:asciiTheme="majorBidi" w:eastAsia="Times New Roman" w:hAnsiTheme="majorBidi" w:cstheme="majorBidi"/>
          <w:sz w:val="24"/>
          <w:szCs w:val="24"/>
        </w:rPr>
        <w:t xml:space="preserve"> 2021, 2022). For present purposes, this level establishes, for example, that a provider must submit information, an authority may authorize an activity, or a verifier must assess compliance.</w:t>
      </w:r>
    </w:p>
    <w:p w14:paraId="73121425"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At the third level, </w:t>
      </w:r>
      <w:r w:rsidRPr="007142B2">
        <w:rPr>
          <w:rFonts w:asciiTheme="majorBidi" w:eastAsia="Times New Roman" w:hAnsiTheme="majorBidi" w:cstheme="majorBidi"/>
          <w:b/>
          <w:bCs/>
          <w:sz w:val="24"/>
          <w:szCs w:val="24"/>
        </w:rPr>
        <w:t>governance relationships</w:t>
      </w:r>
      <w:r w:rsidRPr="007142B2">
        <w:rPr>
          <w:rFonts w:asciiTheme="majorBidi" w:eastAsia="Times New Roman" w:hAnsiTheme="majorBidi" w:cstheme="majorBidi"/>
          <w:sz w:val="24"/>
          <w:szCs w:val="24"/>
        </w:rPr>
        <w:t xml:space="preserve"> identify the legally constituted connection among actors. A legal statement may establish that a regulator supervises a certifier, a certifier verifies a regulated firm, a </w:t>
      </w:r>
      <w:proofErr w:type="gramStart"/>
      <w:r w:rsidRPr="007142B2">
        <w:rPr>
          <w:rFonts w:asciiTheme="majorBidi" w:eastAsia="Times New Roman" w:hAnsiTheme="majorBidi" w:cstheme="majorBidi"/>
          <w:sz w:val="24"/>
          <w:szCs w:val="24"/>
        </w:rPr>
        <w:t>firm reports</w:t>
      </w:r>
      <w:proofErr w:type="gramEnd"/>
      <w:r w:rsidRPr="007142B2">
        <w:rPr>
          <w:rFonts w:asciiTheme="majorBidi" w:eastAsia="Times New Roman" w:hAnsiTheme="majorBidi" w:cstheme="majorBidi"/>
          <w:sz w:val="24"/>
          <w:szCs w:val="24"/>
        </w:rPr>
        <w:t xml:space="preserve"> to an authority, or a court reviews an agency decision. Relationships therefore transform isolated institutional statements into observations concerning the organization of governance.</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 xml:space="preserve">At the fourth level, </w:t>
      </w:r>
      <w:r w:rsidRPr="007142B2">
        <w:rPr>
          <w:rFonts w:asciiTheme="majorBidi" w:eastAsia="Times New Roman" w:hAnsiTheme="majorBidi" w:cstheme="majorBidi"/>
          <w:b/>
          <w:bCs/>
          <w:sz w:val="24"/>
          <w:szCs w:val="24"/>
        </w:rPr>
        <w:t>governance configurations</w:t>
      </w:r>
      <w:r w:rsidRPr="007142B2">
        <w:rPr>
          <w:rFonts w:asciiTheme="majorBidi" w:eastAsia="Times New Roman" w:hAnsiTheme="majorBidi" w:cstheme="majorBidi"/>
          <w:sz w:val="24"/>
          <w:szCs w:val="24"/>
        </w:rPr>
        <w:t xml:space="preserve"> combine relationships with functions, mechanisms, instruments and relational attributes. An accreditation and certification arrangement, for example, is not adequately represented by the isolated presence of accreditation, certification or reporting. Its institutional character derives from how these elements are connected and from the authority, discretion and accountability attached to the participating actors.</w:t>
      </w:r>
    </w:p>
    <w:p w14:paraId="179BB559"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At the fifth level, </w:t>
      </w:r>
      <w:r w:rsidRPr="007142B2">
        <w:rPr>
          <w:rFonts w:asciiTheme="majorBidi" w:eastAsia="Times New Roman" w:hAnsiTheme="majorBidi" w:cstheme="majorBidi"/>
          <w:b/>
          <w:bCs/>
          <w:sz w:val="24"/>
          <w:szCs w:val="24"/>
        </w:rPr>
        <w:t>legal architecture</w:t>
      </w:r>
      <w:r w:rsidRPr="007142B2">
        <w:rPr>
          <w:rFonts w:asciiTheme="majorBidi" w:eastAsia="Times New Roman" w:hAnsiTheme="majorBidi" w:cstheme="majorBidi"/>
          <w:sz w:val="24"/>
          <w:szCs w:val="24"/>
        </w:rPr>
        <w:t xml:space="preserve"> concerns the patterned organization of governance within a law or legally constituted subsystem. Architectural claims concern properties such as centralization, intermediation, hierarchical depth, public-private hybridity, delegation, distribution of discretion and concentration of enforcement authority.</w:t>
      </w:r>
    </w:p>
    <w:p w14:paraId="4B88CC02" w14:textId="77777777" w:rsidR="0034786B" w:rsidRDefault="0034786B" w:rsidP="0034786B">
      <w:pPr>
        <w:spacing w:before="100" w:beforeAutospacing="1" w:afterAutospacing="1" w:line="276" w:lineRule="auto"/>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Finally, the sixth level concerns the </w:t>
      </w:r>
      <w:r w:rsidRPr="007142B2">
        <w:rPr>
          <w:rFonts w:asciiTheme="majorBidi" w:eastAsia="Times New Roman" w:hAnsiTheme="majorBidi" w:cstheme="majorBidi"/>
          <w:b/>
          <w:bCs/>
          <w:sz w:val="24"/>
          <w:szCs w:val="24"/>
        </w:rPr>
        <w:t>governance regime</w:t>
      </w:r>
      <w:r w:rsidRPr="007142B2">
        <w:rPr>
          <w:rFonts w:asciiTheme="majorBidi" w:eastAsia="Times New Roman" w:hAnsiTheme="majorBidi" w:cstheme="majorBidi"/>
          <w:sz w:val="24"/>
          <w:szCs w:val="24"/>
        </w:rPr>
        <w:t>. Regulatory regimes often extend beyond a single statute and may incorporate multiple laws, delegated and implementing measures, administrative bodies, standards, judicial doctrines and legally recognized non-state institutions. Movement from the architecture of one law to the architecture of a regulatory regime therefore requires an explicit decision concerning the boundaries of the system under analysis.</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The essential methodological principle is that movement between these levels constitutes inference rather than mechanical transformation. The further the researcher moves from the original text, the greater the theoretical burden associated with the claim.</w:t>
      </w:r>
    </w:p>
    <w:p w14:paraId="3FACECE3" w14:textId="53255782" w:rsidR="0034786B" w:rsidRPr="007142B2" w:rsidRDefault="0034786B" w:rsidP="0034786B">
      <w:pPr>
        <w:spacing w:before="100" w:beforeAutospacing="1" w:afterAutospacing="1" w:line="276" w:lineRule="auto"/>
        <w:jc w:val="both"/>
        <w:outlineLvl w:val="1"/>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t>6.3 The relationship as the pivotal bridge</w:t>
      </w:r>
    </w:p>
    <w:p w14:paraId="6808A099"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lastRenderedPageBreak/>
        <w:t>Relationships occupy a distinctive position in this methodology because they connect elementary legal observations to the wider organization of governance. The presence of actors alone provides little information about architecture. A regulator, firm, auditor and standard-setting body could coexist in several fundamentally different governance arrangements. What distinguishes those arrangements is how law connects the actors and distributes governance work among them.</w:t>
      </w:r>
    </w:p>
    <w:p w14:paraId="2E05E925"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The basic relational observation can be represented as:</w:t>
      </w:r>
    </w:p>
    <w:p w14:paraId="33CE08EF" w14:textId="77777777" w:rsidR="0034786B" w:rsidRPr="007142B2" w:rsidRDefault="0034786B" w:rsidP="0034786B">
      <w:pPr>
        <w:spacing w:line="276" w:lineRule="auto"/>
        <w:jc w:val="center"/>
        <w:rPr>
          <w:rFonts w:asciiTheme="majorBidi" w:eastAsia="Times New Roman" w:hAnsiTheme="majorBidi" w:cstheme="majorBidi"/>
          <w:sz w:val="24"/>
          <w:szCs w:val="24"/>
        </w:rPr>
      </w:pPr>
      <w:proofErr w:type="spellStart"/>
      <w:r w:rsidRPr="007142B2">
        <w:rPr>
          <w:rFonts w:asciiTheme="majorBidi" w:eastAsia="Times New Roman" w:hAnsiTheme="majorBidi" w:cstheme="majorBidi"/>
          <w:sz w:val="24"/>
          <w:szCs w:val="24"/>
        </w:rPr>
        <w:t>R_i</w:t>
      </w:r>
      <w:proofErr w:type="spellEnd"/>
      <w:r w:rsidRPr="007142B2">
        <w:rPr>
          <w:rFonts w:asciiTheme="majorBidi" w:eastAsia="Times New Roman" w:hAnsiTheme="majorBidi" w:cstheme="majorBidi"/>
          <w:sz w:val="24"/>
          <w:szCs w:val="24"/>
        </w:rPr>
        <w:t xml:space="preserve"> = (</w:t>
      </w:r>
      <w:proofErr w:type="spellStart"/>
      <w:r w:rsidRPr="007142B2">
        <w:rPr>
          <w:rFonts w:asciiTheme="majorBidi" w:eastAsia="Times New Roman" w:hAnsiTheme="majorBidi" w:cstheme="majorBidi"/>
          <w:sz w:val="24"/>
          <w:szCs w:val="24"/>
        </w:rPr>
        <w:t>Actor_A</w:t>
      </w:r>
      <w:proofErr w:type="spellEnd"/>
      <w:r w:rsidRPr="007142B2">
        <w:rPr>
          <w:rFonts w:asciiTheme="majorBidi" w:eastAsia="Times New Roman" w:hAnsiTheme="majorBidi" w:cstheme="majorBidi"/>
          <w:sz w:val="24"/>
          <w:szCs w:val="24"/>
        </w:rPr>
        <w:t xml:space="preserve">, </w:t>
      </w:r>
      <w:proofErr w:type="gramStart"/>
      <w:r w:rsidRPr="007142B2">
        <w:rPr>
          <w:rFonts w:asciiTheme="majorBidi" w:eastAsia="Times New Roman" w:hAnsiTheme="majorBidi" w:cstheme="majorBidi"/>
          <w:sz w:val="24"/>
          <w:szCs w:val="24"/>
        </w:rPr>
        <w:t>Relationship</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 xml:space="preserve"> </w:t>
      </w:r>
      <w:proofErr w:type="spellStart"/>
      <w:r w:rsidRPr="007142B2">
        <w:rPr>
          <w:rFonts w:asciiTheme="majorBidi" w:eastAsia="Times New Roman" w:hAnsiTheme="majorBidi" w:cstheme="majorBidi"/>
          <w:sz w:val="24"/>
          <w:szCs w:val="24"/>
        </w:rPr>
        <w:t>Actor</w:t>
      </w:r>
      <w:proofErr w:type="gramEnd"/>
      <w:r w:rsidRPr="007142B2">
        <w:rPr>
          <w:rFonts w:asciiTheme="majorBidi" w:eastAsia="Times New Roman" w:hAnsiTheme="majorBidi" w:cstheme="majorBidi"/>
          <w:sz w:val="24"/>
          <w:szCs w:val="24"/>
        </w:rPr>
        <w:t>_B</w:t>
      </w:r>
      <w:proofErr w:type="spellEnd"/>
      <w:r w:rsidRPr="007142B2">
        <w:rPr>
          <w:rFonts w:asciiTheme="majorBidi" w:eastAsia="Times New Roman" w:hAnsiTheme="majorBidi" w:cstheme="majorBidi"/>
          <w:sz w:val="24"/>
          <w:szCs w:val="24"/>
        </w:rPr>
        <w:t>)</w:t>
      </w:r>
    </w:p>
    <w:p w14:paraId="02398029"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but should ordinarily be supplemented by the governance elements and relational attributes associated with that relationship:</w:t>
      </w:r>
    </w:p>
    <w:p w14:paraId="72F6555F" w14:textId="77777777" w:rsidR="0034786B" w:rsidRPr="007142B2" w:rsidRDefault="0034786B" w:rsidP="0034786B">
      <w:pPr>
        <w:spacing w:line="276" w:lineRule="auto"/>
        <w:jc w:val="center"/>
        <w:rPr>
          <w:rFonts w:asciiTheme="majorBidi" w:eastAsia="Times New Roman" w:hAnsiTheme="majorBidi" w:cstheme="majorBidi"/>
          <w:sz w:val="24"/>
          <w:szCs w:val="24"/>
        </w:rPr>
      </w:pPr>
      <w:proofErr w:type="spellStart"/>
      <w:r w:rsidRPr="007142B2">
        <w:rPr>
          <w:rFonts w:asciiTheme="majorBidi" w:eastAsia="Times New Roman" w:hAnsiTheme="majorBidi" w:cstheme="majorBidi"/>
          <w:sz w:val="24"/>
          <w:szCs w:val="24"/>
        </w:rPr>
        <w:t>R_i</w:t>
      </w:r>
      <w:proofErr w:type="spellEnd"/>
      <w:r w:rsidRPr="007142B2">
        <w:rPr>
          <w:rFonts w:asciiTheme="majorBidi" w:eastAsia="Times New Roman" w:hAnsiTheme="majorBidi" w:cstheme="majorBidi"/>
          <w:sz w:val="24"/>
          <w:szCs w:val="24"/>
        </w:rPr>
        <w:t xml:space="preserve"> = (</w:t>
      </w:r>
      <w:proofErr w:type="spellStart"/>
      <w:r w:rsidRPr="007142B2">
        <w:rPr>
          <w:rFonts w:asciiTheme="majorBidi" w:eastAsia="Times New Roman" w:hAnsiTheme="majorBidi" w:cstheme="majorBidi"/>
          <w:sz w:val="24"/>
          <w:szCs w:val="24"/>
        </w:rPr>
        <w:t>Actor_A</w:t>
      </w:r>
      <w:proofErr w:type="spellEnd"/>
      <w:r w:rsidRPr="007142B2">
        <w:rPr>
          <w:rFonts w:asciiTheme="majorBidi" w:eastAsia="Times New Roman" w:hAnsiTheme="majorBidi" w:cstheme="majorBidi"/>
          <w:sz w:val="24"/>
          <w:szCs w:val="24"/>
        </w:rPr>
        <w:t xml:space="preserve">, </w:t>
      </w:r>
      <w:proofErr w:type="spellStart"/>
      <w:r w:rsidRPr="007142B2">
        <w:rPr>
          <w:rFonts w:asciiTheme="majorBidi" w:eastAsia="Times New Roman" w:hAnsiTheme="majorBidi" w:cstheme="majorBidi"/>
          <w:sz w:val="24"/>
          <w:szCs w:val="24"/>
        </w:rPr>
        <w:t>Actor_B</w:t>
      </w:r>
      <w:proofErr w:type="spellEnd"/>
      <w:r w:rsidRPr="007142B2">
        <w:rPr>
          <w:rFonts w:asciiTheme="majorBidi" w:eastAsia="Times New Roman" w:hAnsiTheme="majorBidi" w:cstheme="majorBidi"/>
          <w:sz w:val="24"/>
          <w:szCs w:val="24"/>
        </w:rPr>
        <w:t>,</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Object,</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Function,</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Mechanism,</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Instrument, Authority,</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Discretion,</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Accountability)</w:t>
      </w:r>
    </w:p>
    <w:p w14:paraId="6F360B5B"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along with the legal provision or provisions from which the observation is derived.</w:t>
      </w:r>
    </w:p>
    <w:p w14:paraId="075E9DEB"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This formulation emphasizes that relationships are typed rather than generic. A relationship involving supervision differs substantively from one involving reporting, verification, delegation, representation or review even when it connects the same actors. A simple network representation in which all connections are observationally equivalent would therefore lose much of the legal and institutional meaning that relational leximetrics seeks to preserve.</w:t>
      </w:r>
    </w:p>
    <w:p w14:paraId="53DCFD96"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A single provision may generate several relational observations. Conversely, one governance relationship may depend upon several provisions. A certifier's relationship with a firm, for example, may be constituted through one provision requiring assessment, another defining access to information, another regulating independence, and another determining the legal consequences of certification. The database must consequently preserve many-to-many links between legal evidence and relational observations.</w:t>
      </w:r>
    </w:p>
    <w:p w14:paraId="5FF94CB1" w14:textId="77777777" w:rsidR="0034786B" w:rsidRPr="007142B2" w:rsidRDefault="0034786B" w:rsidP="0034786B">
      <w:pPr>
        <w:spacing w:before="100" w:beforeAutospacing="1" w:afterAutospacing="1" w:line="276" w:lineRule="auto"/>
        <w:jc w:val="both"/>
        <w:outlineLvl w:val="1"/>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t>6.4 Direct coding and theoretical inference</w:t>
      </w:r>
    </w:p>
    <w:p w14:paraId="79FFFD09"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A central methodological principle is to distinguish between relatively direct coding and progressively more interpretive inference.</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Objects, named actors, functions, instruments, mechanisms and explicit relationships can ordinarily be anchored relatively closely in legal text. Authority, discretion and accountability require greater interpretation but remain properties that can often be coded from identifiable legal indicators. Regulatory strategies, architectures and governance logics, by contrast, are higher-order constructs that normally require aggregation across multiple observations.</w:t>
      </w:r>
    </w:p>
    <w:p w14:paraId="6C9B4132"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Primary coding should therefore concentrate on evidence that can be located and adjudicated. Coders may identify, for example, that a conformity-assessment body verifies compliance, that its status depends upon accreditation, that a provider must supply specified information, that the assessment has legally consequential effects, and that a competent authority retains powers of supervision and withdrawal.</w:t>
      </w:r>
    </w:p>
    <w:p w14:paraId="1B210FFB"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lastRenderedPageBreak/>
        <w:t>The coder should not initially be required to decide whether these observations constitute enhanced self-regulation, polycentric governance or some other theoretically demanding architectural category. Such classifications should normally be constructed from the lower-level data.</w:t>
      </w:r>
    </w:p>
    <w:p w14:paraId="5E6ECA8D"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This separation serves two purposes. First, it improves reliability by reducing the theoretical burden imposed upon primary coders. Second, it allows competing theoretical classifications to be derived from the same empirical foundation. Researchers may disagree about the appropriate threshold for identifying polycentric or intermediated governance without having to reconstruct the underlying legal observations.</w:t>
      </w:r>
    </w:p>
    <w:p w14:paraId="5B5D702B" w14:textId="77777777" w:rsidR="0034786B" w:rsidRPr="007142B2" w:rsidRDefault="0034786B" w:rsidP="0034786B">
      <w:pPr>
        <w:spacing w:before="100" w:beforeAutospacing="1" w:afterAutospacing="1" w:line="276" w:lineRule="auto"/>
        <w:jc w:val="both"/>
        <w:outlineLvl w:val="1"/>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t>6.5 From individual relationships to governance configurations</w:t>
      </w:r>
    </w:p>
    <w:p w14:paraId="2AA4FF82"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The first major step in aggregation consists of identifying configurations of governance relationships. A configuration is a theoretically meaningful combination of actors, relationships, functions, mechanisms, instruments and relational attributes that jointly organizes a particular part of governance.</w:t>
      </w:r>
    </w:p>
    <w:p w14:paraId="16EAE88F"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Consider licensing. Licensing should not be identified merely because the word “</w:t>
      </w:r>
      <w:proofErr w:type="spellStart"/>
      <w:r w:rsidRPr="007142B2">
        <w:rPr>
          <w:rFonts w:asciiTheme="majorBidi" w:eastAsia="Times New Roman" w:hAnsiTheme="majorBidi" w:cstheme="majorBidi"/>
          <w:sz w:val="24"/>
          <w:szCs w:val="24"/>
        </w:rPr>
        <w:t>licence</w:t>
      </w:r>
      <w:proofErr w:type="spellEnd"/>
      <w:r w:rsidRPr="007142B2">
        <w:rPr>
          <w:rFonts w:asciiTheme="majorBidi" w:eastAsia="Times New Roman" w:hAnsiTheme="majorBidi" w:cstheme="majorBidi"/>
          <w:sz w:val="24"/>
          <w:szCs w:val="24"/>
        </w:rPr>
        <w:t>” occurs in the legislation. A developed licensing configuration may include an application by a target, provision of information to an authority, assessment of eligibility, authorization by that authority, continuing monitoring and powers of suspension or withdrawal. These relationships jointly constitute the institutional organization of licensing.</w:t>
      </w:r>
    </w:p>
    <w:p w14:paraId="4CE8709E"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A third-party assurance configuration may similarly include public recognition or accreditation of a verifier, assessment of a regulated organization by that verifier, information obligations owed by the regulatee, reporting by the verifier and supervisory powers retained by a public authority.</w:t>
      </w:r>
    </w:p>
    <w:p w14:paraId="0C353FDC"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Governance configurations can therefore be expressed conceptually as:</w:t>
      </w:r>
    </w:p>
    <w:p w14:paraId="71DF81F5" w14:textId="77777777" w:rsidR="0034786B" w:rsidRPr="007142B2" w:rsidRDefault="0034786B" w:rsidP="0034786B">
      <w:pPr>
        <w:spacing w:line="276" w:lineRule="auto"/>
        <w:jc w:val="center"/>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C = </w:t>
      </w:r>
      <w:proofErr w:type="gramStart"/>
      <w:r w:rsidRPr="007142B2">
        <w:rPr>
          <w:rFonts w:asciiTheme="majorBidi" w:eastAsia="Times New Roman" w:hAnsiTheme="majorBidi" w:cstheme="majorBidi"/>
          <w:sz w:val="24"/>
          <w:szCs w:val="24"/>
        </w:rPr>
        <w:t>f(</w:t>
      </w:r>
      <w:proofErr w:type="gramEnd"/>
      <w:r w:rsidRPr="007142B2">
        <w:rPr>
          <w:rFonts w:asciiTheme="majorBidi" w:eastAsia="Times New Roman" w:hAnsiTheme="majorBidi" w:cstheme="majorBidi"/>
          <w:sz w:val="24"/>
          <w:szCs w:val="24"/>
        </w:rPr>
        <w:t>Relationships,</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Functions,</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Mechanisms,</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Instruments,</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Relational</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Attributes)</w:t>
      </w:r>
    </w:p>
    <w:p w14:paraId="26898632"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The precise composition will vary across regulatory domains. The methodological requirement is not that all configurations contain identical elements, but that the criteria used to identify a configuration are theoretically specified and empirically recoverable.</w:t>
      </w:r>
    </w:p>
    <w:p w14:paraId="04EDFF1D" w14:textId="77777777" w:rsidR="0034786B" w:rsidRDefault="0034786B" w:rsidP="0034786B">
      <w:pPr>
        <w:spacing w:before="100" w:beforeAutospacing="1" w:afterAutospacing="1" w:line="276" w:lineRule="auto"/>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This approach also clarifies the distinction developed earlier between function, mechanism and instrument. An audit, for example, may constitute an instrument; verification may describe a mechanism through which credibility is established; and assurance may constitute the governance function performed. The architectural significance of these elements depends ultimately upon the relational configuration within which they operate.</w:t>
      </w:r>
    </w:p>
    <w:p w14:paraId="3960B1EF" w14:textId="77777777" w:rsidR="0034786B" w:rsidRDefault="0034786B" w:rsidP="0034786B">
      <w:pPr>
        <w:spacing w:before="100" w:beforeAutospacing="1" w:afterAutospacing="1" w:line="276" w:lineRule="auto"/>
        <w:rPr>
          <w:rFonts w:asciiTheme="majorBidi" w:eastAsia="Times New Roman" w:hAnsiTheme="majorBidi" w:cstheme="majorBidi"/>
          <w:sz w:val="24"/>
          <w:szCs w:val="24"/>
        </w:rPr>
      </w:pPr>
    </w:p>
    <w:p w14:paraId="4D96F2B8"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p>
    <w:p w14:paraId="32EA4EF7" w14:textId="77777777" w:rsidR="0034786B" w:rsidRPr="007142B2" w:rsidRDefault="0034786B" w:rsidP="0034786B">
      <w:pPr>
        <w:spacing w:before="100" w:beforeAutospacing="1" w:afterAutospacing="1" w:line="276" w:lineRule="auto"/>
        <w:jc w:val="both"/>
        <w:outlineLvl w:val="1"/>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t>6.6 Aggregation and architectural significance</w:t>
      </w:r>
    </w:p>
    <w:p w14:paraId="61E43691"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lastRenderedPageBreak/>
        <w:t>Movement from relationships and configurations to architecture is the most demanding inferential transition. The simplest approach would be to aggregate by frequency: count the number of obligations, actors, intermediary relationships, audits, reporting provisions or enforcement mechanisms. Such counts are useful descriptions of legal composition, but they do not necessarily reveal how governance is organized.</w:t>
      </w:r>
    </w:p>
    <w:p w14:paraId="0B0E348B"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Frequency should therefore be distinguished from architectural significance. A relationship or provision may occur rarely and nevertheless occupy a crucial structural position. A single rule requiring certification before a product can enter the market, for example, may make a private verifier indispensable to the operation of the regulatory regime. Conversely, repeated reporting requirements may generate large numbers of observations without conferring substantial authority upon the receiving institution.</w:t>
      </w:r>
    </w:p>
    <w:p w14:paraId="3B026022"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Architectural significance may depend upon several properties:</w:t>
      </w:r>
    </w:p>
    <w:p w14:paraId="652ED58F" w14:textId="77777777" w:rsidR="0034786B" w:rsidRPr="007142B2" w:rsidRDefault="0034786B" w:rsidP="0034786B">
      <w:pPr>
        <w:spacing w:line="276" w:lineRule="auto"/>
        <w:jc w:val="center"/>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Architectural</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 xml:space="preserve">Significance = </w:t>
      </w:r>
      <w:proofErr w:type="gramStart"/>
      <w:r w:rsidRPr="007142B2">
        <w:rPr>
          <w:rFonts w:asciiTheme="majorBidi" w:eastAsia="Times New Roman" w:hAnsiTheme="majorBidi" w:cstheme="majorBidi"/>
          <w:sz w:val="24"/>
          <w:szCs w:val="24"/>
        </w:rPr>
        <w:t>f(</w:t>
      </w:r>
      <w:proofErr w:type="gramEnd"/>
      <w:r w:rsidRPr="007142B2">
        <w:rPr>
          <w:rFonts w:asciiTheme="majorBidi" w:eastAsia="Times New Roman" w:hAnsiTheme="majorBidi" w:cstheme="majorBidi"/>
          <w:sz w:val="24"/>
          <w:szCs w:val="24"/>
        </w:rPr>
        <w:t>Frequency,</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Authority,</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Centrality,</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Exclusivity,</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Sequence, Consequence,</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Substitutability)</w:t>
      </w:r>
    </w:p>
    <w:p w14:paraId="50C3CDA7" w14:textId="77777777" w:rsidR="0034786B" w:rsidRPr="007142B2" w:rsidRDefault="0034786B" w:rsidP="0034786B">
      <w:pPr>
        <w:spacing w:before="100" w:beforeAutospacing="1" w:afterAutospacing="1" w:line="276" w:lineRule="auto"/>
        <w:rPr>
          <w:rFonts w:asciiTheme="majorBidi" w:eastAsia="Times New Roman" w:hAnsiTheme="majorBidi" w:cstheme="majorBidi"/>
          <w:sz w:val="24"/>
          <w:szCs w:val="24"/>
        </w:rPr>
      </w:pPr>
      <w:r w:rsidRPr="007142B2">
        <w:rPr>
          <w:rFonts w:asciiTheme="majorBidi" w:eastAsia="Times New Roman" w:hAnsiTheme="majorBidi" w:cstheme="majorBidi"/>
          <w:b/>
          <w:bCs/>
          <w:sz w:val="24"/>
          <w:szCs w:val="24"/>
        </w:rPr>
        <w:t>Frequency</w:t>
      </w:r>
      <w:r w:rsidRPr="007142B2">
        <w:rPr>
          <w:rFonts w:asciiTheme="majorBidi" w:eastAsia="Times New Roman" w:hAnsiTheme="majorBidi" w:cstheme="majorBidi"/>
          <w:sz w:val="24"/>
          <w:szCs w:val="24"/>
        </w:rPr>
        <w:t xml:space="preserve"> concerns how often an element appears.</w:t>
      </w:r>
      <w:r w:rsidRPr="007142B2">
        <w:rPr>
          <w:rFonts w:asciiTheme="majorBidi" w:eastAsia="Times New Roman" w:hAnsiTheme="majorBidi" w:cstheme="majorBidi"/>
          <w:sz w:val="24"/>
          <w:szCs w:val="24"/>
        </w:rPr>
        <w:br/>
      </w:r>
      <w:r w:rsidRPr="007142B2">
        <w:rPr>
          <w:rFonts w:asciiTheme="majorBidi" w:eastAsia="Times New Roman" w:hAnsiTheme="majorBidi" w:cstheme="majorBidi"/>
          <w:b/>
          <w:bCs/>
          <w:sz w:val="24"/>
          <w:szCs w:val="24"/>
        </w:rPr>
        <w:t>Authority</w:t>
      </w:r>
      <w:r w:rsidRPr="007142B2">
        <w:rPr>
          <w:rFonts w:asciiTheme="majorBidi" w:eastAsia="Times New Roman" w:hAnsiTheme="majorBidi" w:cstheme="majorBidi"/>
          <w:sz w:val="24"/>
          <w:szCs w:val="24"/>
        </w:rPr>
        <w:t xml:space="preserve"> concerns the legally consequential capacity attached to it.</w:t>
      </w:r>
      <w:r w:rsidRPr="007142B2">
        <w:rPr>
          <w:rFonts w:asciiTheme="majorBidi" w:eastAsia="Times New Roman" w:hAnsiTheme="majorBidi" w:cstheme="majorBidi"/>
          <w:sz w:val="24"/>
          <w:szCs w:val="24"/>
        </w:rPr>
        <w:br/>
      </w:r>
      <w:r w:rsidRPr="007142B2">
        <w:rPr>
          <w:rFonts w:asciiTheme="majorBidi" w:eastAsia="Times New Roman" w:hAnsiTheme="majorBidi" w:cstheme="majorBidi"/>
          <w:b/>
          <w:bCs/>
          <w:sz w:val="24"/>
          <w:szCs w:val="24"/>
        </w:rPr>
        <w:t>Centrality</w:t>
      </w:r>
      <w:r w:rsidRPr="007142B2">
        <w:rPr>
          <w:rFonts w:asciiTheme="majorBidi" w:eastAsia="Times New Roman" w:hAnsiTheme="majorBidi" w:cstheme="majorBidi"/>
          <w:sz w:val="24"/>
          <w:szCs w:val="24"/>
        </w:rPr>
        <w:t xml:space="preserve"> concerns its position within the network of governance relationships.</w:t>
      </w:r>
      <w:r w:rsidRPr="007142B2">
        <w:rPr>
          <w:rFonts w:asciiTheme="majorBidi" w:eastAsia="Times New Roman" w:hAnsiTheme="majorBidi" w:cstheme="majorBidi"/>
          <w:sz w:val="24"/>
          <w:szCs w:val="24"/>
        </w:rPr>
        <w:br/>
      </w:r>
      <w:r w:rsidRPr="007142B2">
        <w:rPr>
          <w:rFonts w:asciiTheme="majorBidi" w:eastAsia="Times New Roman" w:hAnsiTheme="majorBidi" w:cstheme="majorBidi"/>
          <w:b/>
          <w:bCs/>
          <w:sz w:val="24"/>
          <w:szCs w:val="24"/>
        </w:rPr>
        <w:t>Exclusivity</w:t>
      </w:r>
      <w:r w:rsidRPr="007142B2">
        <w:rPr>
          <w:rFonts w:asciiTheme="majorBidi" w:eastAsia="Times New Roman" w:hAnsiTheme="majorBidi" w:cstheme="majorBidi"/>
          <w:sz w:val="24"/>
          <w:szCs w:val="24"/>
        </w:rPr>
        <w:t xml:space="preserve"> concerns whether the function can be performed by alternative actors.</w:t>
      </w:r>
      <w:r w:rsidRPr="007142B2">
        <w:rPr>
          <w:rFonts w:asciiTheme="majorBidi" w:eastAsia="Times New Roman" w:hAnsiTheme="majorBidi" w:cstheme="majorBidi"/>
          <w:sz w:val="24"/>
          <w:szCs w:val="24"/>
        </w:rPr>
        <w:br/>
      </w:r>
      <w:r w:rsidRPr="007142B2">
        <w:rPr>
          <w:rFonts w:asciiTheme="majorBidi" w:eastAsia="Times New Roman" w:hAnsiTheme="majorBidi" w:cstheme="majorBidi"/>
          <w:b/>
          <w:bCs/>
          <w:sz w:val="24"/>
          <w:szCs w:val="24"/>
        </w:rPr>
        <w:t>Sequence</w:t>
      </w:r>
      <w:r w:rsidRPr="007142B2">
        <w:rPr>
          <w:rFonts w:asciiTheme="majorBidi" w:eastAsia="Times New Roman" w:hAnsiTheme="majorBidi" w:cstheme="majorBidi"/>
          <w:sz w:val="24"/>
          <w:szCs w:val="24"/>
        </w:rPr>
        <w:t xml:space="preserve"> concerns whether the relationship occupies a necessary stage within a process.</w:t>
      </w:r>
      <w:r w:rsidRPr="007142B2">
        <w:rPr>
          <w:rFonts w:asciiTheme="majorBidi" w:eastAsia="Times New Roman" w:hAnsiTheme="majorBidi" w:cstheme="majorBidi"/>
          <w:sz w:val="24"/>
          <w:szCs w:val="24"/>
        </w:rPr>
        <w:br/>
      </w:r>
      <w:r w:rsidRPr="007142B2">
        <w:rPr>
          <w:rFonts w:asciiTheme="majorBidi" w:eastAsia="Times New Roman" w:hAnsiTheme="majorBidi" w:cstheme="majorBidi"/>
          <w:b/>
          <w:bCs/>
          <w:sz w:val="24"/>
          <w:szCs w:val="24"/>
        </w:rPr>
        <w:t>Consequence</w:t>
      </w:r>
      <w:r w:rsidRPr="007142B2">
        <w:rPr>
          <w:rFonts w:asciiTheme="majorBidi" w:eastAsia="Times New Roman" w:hAnsiTheme="majorBidi" w:cstheme="majorBidi"/>
          <w:sz w:val="24"/>
          <w:szCs w:val="24"/>
        </w:rPr>
        <w:t xml:space="preserve"> concerns the effects of the relevant decision or relationship.</w:t>
      </w:r>
      <w:r w:rsidRPr="007142B2">
        <w:rPr>
          <w:rFonts w:asciiTheme="majorBidi" w:eastAsia="Times New Roman" w:hAnsiTheme="majorBidi" w:cstheme="majorBidi"/>
          <w:sz w:val="24"/>
          <w:szCs w:val="24"/>
        </w:rPr>
        <w:br/>
      </w:r>
      <w:r w:rsidRPr="007142B2">
        <w:rPr>
          <w:rFonts w:asciiTheme="majorBidi" w:eastAsia="Times New Roman" w:hAnsiTheme="majorBidi" w:cstheme="majorBidi"/>
          <w:b/>
          <w:bCs/>
          <w:sz w:val="24"/>
          <w:szCs w:val="24"/>
        </w:rPr>
        <w:t>Substitutability</w:t>
      </w:r>
      <w:r w:rsidRPr="007142B2">
        <w:rPr>
          <w:rFonts w:asciiTheme="majorBidi" w:eastAsia="Times New Roman" w:hAnsiTheme="majorBidi" w:cstheme="majorBidi"/>
          <w:sz w:val="24"/>
          <w:szCs w:val="24"/>
        </w:rPr>
        <w:t xml:space="preserve"> concerns whether the regulatory process could continue in its absence.</w:t>
      </w:r>
    </w:p>
    <w:p w14:paraId="02B55F6E"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The purpose of these dimensions is not necessarily to generate a single numerical score. Rather, they discipline judgments concerning which relationships or configurations are architecturally consequential.</w:t>
      </w:r>
    </w:p>
    <w:p w14:paraId="031AB7B0"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Four broad aggregation strategies can consequently be distinguished. Simple counting aggregates frequencies and is transparent but structurally insensitive. Weighted counting recognizes unequal importance but introduces contestable weighting decisions. Network aggregation captures structural position but risks abstracting from the substantive legal meaning of different relationships. Configurational aggregation preserves institutional meaning but requires greater theoretical specification.</w:t>
      </w:r>
    </w:p>
    <w:p w14:paraId="33057B4F" w14:textId="77777777" w:rsidR="0034786B" w:rsidRDefault="0034786B" w:rsidP="0034786B">
      <w:pPr>
        <w:spacing w:before="100" w:beforeAutospacing="1" w:afterAutospacing="1" w:line="276" w:lineRule="auto"/>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Relational leximetrics therefore </w:t>
      </w:r>
      <w:proofErr w:type="spellStart"/>
      <w:r w:rsidRPr="007142B2">
        <w:rPr>
          <w:rFonts w:asciiTheme="majorBidi" w:eastAsia="Times New Roman" w:hAnsiTheme="majorBidi" w:cstheme="majorBidi"/>
          <w:sz w:val="24"/>
          <w:szCs w:val="24"/>
        </w:rPr>
        <w:t>favours</w:t>
      </w:r>
      <w:proofErr w:type="spellEnd"/>
      <w:r w:rsidRPr="007142B2">
        <w:rPr>
          <w:rFonts w:asciiTheme="majorBidi" w:eastAsia="Times New Roman" w:hAnsiTheme="majorBidi" w:cstheme="majorBidi"/>
          <w:sz w:val="24"/>
          <w:szCs w:val="24"/>
        </w:rPr>
        <w:t xml:space="preserve"> a </w:t>
      </w:r>
      <w:r w:rsidRPr="007142B2">
        <w:rPr>
          <w:rFonts w:asciiTheme="majorBidi" w:eastAsia="Times New Roman" w:hAnsiTheme="majorBidi" w:cstheme="majorBidi"/>
          <w:b/>
          <w:bCs/>
          <w:sz w:val="24"/>
          <w:szCs w:val="24"/>
        </w:rPr>
        <w:t>relational-configurational approach</w:t>
      </w:r>
      <w:r w:rsidRPr="007142B2">
        <w:rPr>
          <w:rFonts w:asciiTheme="majorBidi" w:eastAsia="Times New Roman" w:hAnsiTheme="majorBidi" w:cstheme="majorBidi"/>
          <w:sz w:val="24"/>
          <w:szCs w:val="24"/>
        </w:rPr>
        <w:t>. Structural analysis identifies patterns and positions; substantive legal interpretation identifies the character and significance of the relationships involved.</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The general methodological proposition is:</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Counts identify composition; configurations identify organization.</w:t>
      </w:r>
    </w:p>
    <w:p w14:paraId="74586227" w14:textId="77777777" w:rsidR="0034786B" w:rsidRDefault="0034786B" w:rsidP="0034786B">
      <w:pPr>
        <w:spacing w:before="100" w:beforeAutospacing="1" w:afterAutospacing="1" w:line="276" w:lineRule="auto"/>
        <w:rPr>
          <w:rFonts w:asciiTheme="majorBidi" w:eastAsia="Times New Roman" w:hAnsiTheme="majorBidi" w:cstheme="majorBidi"/>
          <w:sz w:val="24"/>
          <w:szCs w:val="24"/>
        </w:rPr>
      </w:pPr>
    </w:p>
    <w:p w14:paraId="7DBA7045"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p>
    <w:p w14:paraId="7471FBE0" w14:textId="77777777" w:rsidR="0034786B" w:rsidRPr="007142B2" w:rsidRDefault="0034786B" w:rsidP="0034786B">
      <w:pPr>
        <w:spacing w:before="100" w:beforeAutospacing="1" w:afterAutospacing="1" w:line="276" w:lineRule="auto"/>
        <w:jc w:val="both"/>
        <w:outlineLvl w:val="1"/>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t>6.7 Explicit rules of cross-level inference</w:t>
      </w:r>
    </w:p>
    <w:p w14:paraId="53D8C778" w14:textId="77777777" w:rsidR="0034786B" w:rsidRDefault="0034786B" w:rsidP="0034786B">
      <w:pPr>
        <w:spacing w:before="100" w:beforeAutospacing="1" w:afterAutospacing="1" w:line="276" w:lineRule="auto"/>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lastRenderedPageBreak/>
        <w:t>Higher-order claims should be based on explicit rules specifying when evidence at one level warrants an inference at the next.</w:t>
      </w:r>
      <w:r>
        <w:rPr>
          <w:rFonts w:asciiTheme="majorBidi" w:eastAsia="Times New Roman" w:hAnsiTheme="majorBidi" w:cstheme="majorBidi"/>
          <w:sz w:val="24"/>
          <w:szCs w:val="24"/>
        </w:rPr>
        <w:t xml:space="preserve">  </w:t>
      </w:r>
    </w:p>
    <w:p w14:paraId="3E69339D"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First, movement from legal text to institutional statements requires identifying separable institutional prescriptions. A textual passage should be decomposed when it contains different actors, legal modalities, actions, objects, conditions or consequences that warrant separate observations.</w:t>
      </w:r>
    </w:p>
    <w:p w14:paraId="64EDF2E3"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Second, movement from institutional statements to governance relationships requires evidence that identifiable actors or actor categories are legally connected through a governance-relevant action, obligation, power, resource or dependency.</w:t>
      </w:r>
    </w:p>
    <w:p w14:paraId="178BDB0A"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Third, movement from relationships to configurations requires the presence of a theoretically specified combination of relationships and other governance elements. A single reporting duty, for example, does not establish a reporting system if no receiving, assessment or follow-up structure is constituted.</w:t>
      </w:r>
    </w:p>
    <w:p w14:paraId="6B5EC9AD"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Fourth, movement from configurations to architecture requires evidence that the configuration is sufficiently recurrent, consequential, necessary or structurally positioned to characterize how governance is organized within the relevant legal domain.</w:t>
      </w:r>
    </w:p>
    <w:p w14:paraId="2E6BD0C9"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Finally, movement from an individual law to a governance regime requires explicit definition of the regime boundary. The existence of related rules in several statutes does not by itself establish that they constitute one coherent governance system.</w:t>
      </w:r>
    </w:p>
    <w:p w14:paraId="793567E3"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Different architectural concepts will therefore require different inference rules. Delegated governance requires evidence of legally constituted transfer or authorization of governing capacity. Enhanced self-regulation requires both meaningful self-regulatory capacity and institutionalized enhancement through relatively autonomous third parties. Polycentric governance requires multiple </w:t>
      </w:r>
      <w:proofErr w:type="spellStart"/>
      <w:r w:rsidRPr="007142B2">
        <w:rPr>
          <w:rFonts w:asciiTheme="majorBidi" w:eastAsia="Times New Roman" w:hAnsiTheme="majorBidi" w:cstheme="majorBidi"/>
          <w:sz w:val="24"/>
          <w:szCs w:val="24"/>
        </w:rPr>
        <w:t>centres</w:t>
      </w:r>
      <w:proofErr w:type="spellEnd"/>
      <w:r w:rsidRPr="007142B2">
        <w:rPr>
          <w:rFonts w:asciiTheme="majorBidi" w:eastAsia="Times New Roman" w:hAnsiTheme="majorBidi" w:cstheme="majorBidi"/>
          <w:sz w:val="24"/>
          <w:szCs w:val="24"/>
        </w:rPr>
        <w:t xml:space="preserve"> possessing meaningful and partly autonomous decision-making capacities, rather than merely the presence of multiple actors. The methodological principle is not uniformity of criteria but transparency concerning the criteria applied.</w:t>
      </w:r>
    </w:p>
    <w:p w14:paraId="10DF6A80" w14:textId="77777777" w:rsidR="0034786B" w:rsidRPr="007142B2" w:rsidRDefault="0034786B" w:rsidP="0034786B">
      <w:pPr>
        <w:spacing w:before="100" w:beforeAutospacing="1" w:afterAutospacing="1" w:line="276" w:lineRule="auto"/>
        <w:jc w:val="both"/>
        <w:outlineLvl w:val="1"/>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t>6.8 Cross-level inferential errors</w:t>
      </w:r>
    </w:p>
    <w:p w14:paraId="66056DDD"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Explicit inference rules are important because legal-architecture research is vulnerable to several recurrent errors.</w:t>
      </w:r>
    </w:p>
    <w:p w14:paraId="7954AE6B"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The first is the </w:t>
      </w:r>
      <w:r w:rsidRPr="007142B2">
        <w:rPr>
          <w:rFonts w:asciiTheme="majorBidi" w:eastAsia="Times New Roman" w:hAnsiTheme="majorBidi" w:cstheme="majorBidi"/>
          <w:b/>
          <w:bCs/>
          <w:sz w:val="24"/>
          <w:szCs w:val="24"/>
        </w:rPr>
        <w:t>legal atomistic fallacy</w:t>
      </w:r>
      <w:r w:rsidRPr="007142B2">
        <w:rPr>
          <w:rFonts w:asciiTheme="majorBidi" w:eastAsia="Times New Roman" w:hAnsiTheme="majorBidi" w:cstheme="majorBidi"/>
          <w:sz w:val="24"/>
          <w:szCs w:val="24"/>
        </w:rPr>
        <w:t>: inferring a high-level architectural property from an isolated lower-level observation. A requirement that a firm undertake self-assessment does not demonstrate that the statute establishes a self-regulatory architecture. Similarly, the presence of one intermediary does not demonstrate that the regime is intermediated.</w:t>
      </w:r>
    </w:p>
    <w:p w14:paraId="40B437BB"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The second is the </w:t>
      </w:r>
      <w:r w:rsidRPr="007142B2">
        <w:rPr>
          <w:rFonts w:asciiTheme="majorBidi" w:eastAsia="Times New Roman" w:hAnsiTheme="majorBidi" w:cstheme="majorBidi"/>
          <w:b/>
          <w:bCs/>
          <w:sz w:val="24"/>
          <w:szCs w:val="24"/>
        </w:rPr>
        <w:t>ecological fallacy</w:t>
      </w:r>
      <w:r w:rsidRPr="007142B2">
        <w:rPr>
          <w:rFonts w:asciiTheme="majorBidi" w:eastAsia="Times New Roman" w:hAnsiTheme="majorBidi" w:cstheme="majorBidi"/>
          <w:sz w:val="24"/>
          <w:szCs w:val="24"/>
        </w:rPr>
        <w:t>: projecting the characteristics of an aggregated architecture onto every constituent part. Classifying a regime as highly intermediated does not imply that every governance function within that regime is performed through intermediaries.</w:t>
      </w:r>
    </w:p>
    <w:p w14:paraId="5CCADA52"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lastRenderedPageBreak/>
        <w:t xml:space="preserve">The third is the </w:t>
      </w:r>
      <w:r w:rsidRPr="007142B2">
        <w:rPr>
          <w:rFonts w:asciiTheme="majorBidi" w:eastAsia="Times New Roman" w:hAnsiTheme="majorBidi" w:cstheme="majorBidi"/>
          <w:b/>
          <w:bCs/>
          <w:sz w:val="24"/>
          <w:szCs w:val="24"/>
        </w:rPr>
        <w:t>functional fallacy</w:t>
      </w:r>
      <w:r w:rsidRPr="007142B2">
        <w:rPr>
          <w:rFonts w:asciiTheme="majorBidi" w:eastAsia="Times New Roman" w:hAnsiTheme="majorBidi" w:cstheme="majorBidi"/>
          <w:sz w:val="24"/>
          <w:szCs w:val="24"/>
        </w:rPr>
        <w:t>: treating a formally assigned function as evidence that the function is performed effectively. A legal obligation requiring an auditor to monitor an organization establishes a formal governance function; it does not demonstrate effective monitoring in practice.</w:t>
      </w:r>
    </w:p>
    <w:p w14:paraId="6D267060"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The fourth is the </w:t>
      </w:r>
      <w:r w:rsidRPr="007142B2">
        <w:rPr>
          <w:rFonts w:asciiTheme="majorBidi" w:eastAsia="Times New Roman" w:hAnsiTheme="majorBidi" w:cstheme="majorBidi"/>
          <w:b/>
          <w:bCs/>
          <w:sz w:val="24"/>
          <w:szCs w:val="24"/>
        </w:rPr>
        <w:t>implementation fallacy</w:t>
      </w:r>
      <w:r w:rsidRPr="007142B2">
        <w:rPr>
          <w:rFonts w:asciiTheme="majorBidi" w:eastAsia="Times New Roman" w:hAnsiTheme="majorBidi" w:cstheme="majorBidi"/>
          <w:sz w:val="24"/>
          <w:szCs w:val="24"/>
        </w:rPr>
        <w:t>: treating formal legal architecture as equivalent to implemented or operational governance. Formal reporting relationships, for example, do not demonstrate that information actually flows or affects decision-making.</w:t>
      </w:r>
    </w:p>
    <w:p w14:paraId="76B204FD"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The fifth is the </w:t>
      </w:r>
      <w:r w:rsidRPr="007142B2">
        <w:rPr>
          <w:rFonts w:asciiTheme="majorBidi" w:eastAsia="Times New Roman" w:hAnsiTheme="majorBidi" w:cstheme="majorBidi"/>
          <w:b/>
          <w:bCs/>
          <w:sz w:val="24"/>
          <w:szCs w:val="24"/>
        </w:rPr>
        <w:t>frequency fallacy</w:t>
      </w:r>
      <w:r w:rsidRPr="007142B2">
        <w:rPr>
          <w:rFonts w:asciiTheme="majorBidi" w:eastAsia="Times New Roman" w:hAnsiTheme="majorBidi" w:cstheme="majorBidi"/>
          <w:sz w:val="24"/>
          <w:szCs w:val="24"/>
        </w:rPr>
        <w:t>: assuming that the most numerous relationships or provisions are necessarily the most architecturally significant.</w:t>
      </w:r>
    </w:p>
    <w:p w14:paraId="26765054"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The sixth is the </w:t>
      </w:r>
      <w:r w:rsidRPr="007142B2">
        <w:rPr>
          <w:rFonts w:asciiTheme="majorBidi" w:eastAsia="Times New Roman" w:hAnsiTheme="majorBidi" w:cstheme="majorBidi"/>
          <w:b/>
          <w:bCs/>
          <w:sz w:val="24"/>
          <w:szCs w:val="24"/>
        </w:rPr>
        <w:t>container fallacy</w:t>
      </w:r>
      <w:r w:rsidRPr="007142B2">
        <w:rPr>
          <w:rFonts w:asciiTheme="majorBidi" w:eastAsia="Times New Roman" w:hAnsiTheme="majorBidi" w:cstheme="majorBidi"/>
          <w:sz w:val="24"/>
          <w:szCs w:val="24"/>
        </w:rPr>
        <w:t>: assuming that provisions located within the same legal act necessarily constitute a single coherent governance architecture. Large contemporary statutes may contain several partially distinct architectures organized around different actors, policy problems, procedures or regulatory stages.</w:t>
      </w:r>
    </w:p>
    <w:p w14:paraId="23F46814"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These fallacies do not imply that higher-level inference is impossible. They imply that such inference requires evidence about configuration, institutional consequence and scope.</w:t>
      </w:r>
    </w:p>
    <w:p w14:paraId="72499EA1" w14:textId="77777777" w:rsidR="0034786B" w:rsidRPr="007142B2" w:rsidRDefault="0034786B" w:rsidP="0034786B">
      <w:pPr>
        <w:spacing w:before="100" w:beforeAutospacing="1" w:afterAutospacing="1" w:line="276" w:lineRule="auto"/>
        <w:jc w:val="both"/>
        <w:outlineLvl w:val="1"/>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t>6.9 Vertical traceability</w:t>
      </w:r>
    </w:p>
    <w:p w14:paraId="0D577EC0"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A central quality criterion of relational leximetrics is </w:t>
      </w:r>
      <w:r w:rsidRPr="007142B2">
        <w:rPr>
          <w:rFonts w:asciiTheme="majorBidi" w:eastAsia="Times New Roman" w:hAnsiTheme="majorBidi" w:cstheme="majorBidi"/>
          <w:b/>
          <w:bCs/>
          <w:sz w:val="24"/>
          <w:szCs w:val="24"/>
        </w:rPr>
        <w:t>vertical traceability</w:t>
      </w:r>
      <w:r w:rsidRPr="007142B2">
        <w:rPr>
          <w:rFonts w:asciiTheme="majorBidi" w:eastAsia="Times New Roman" w:hAnsiTheme="majorBidi" w:cstheme="majorBidi"/>
          <w:sz w:val="24"/>
          <w:szCs w:val="24"/>
        </w:rPr>
        <w:t>. Every high-level classification should remain recoverable from the lower-level observations that support it.</w:t>
      </w:r>
    </w:p>
    <w:p w14:paraId="70A653C1"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Vertical traceability requires preservation of a chain connecting:</w:t>
      </w:r>
    </w:p>
    <w:p w14:paraId="37E8024F" w14:textId="77777777" w:rsidR="0034786B" w:rsidRPr="007142B2" w:rsidRDefault="0034786B" w:rsidP="0034786B">
      <w:pPr>
        <w:spacing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 \</w:t>
      </w:r>
      <w:proofErr w:type="gramStart"/>
      <w:r w:rsidRPr="007142B2">
        <w:rPr>
          <w:rFonts w:asciiTheme="majorBidi" w:eastAsia="Times New Roman" w:hAnsiTheme="majorBidi" w:cstheme="majorBidi"/>
          <w:sz w:val="24"/>
          <w:szCs w:val="24"/>
        </w:rPr>
        <w:t>text{</w:t>
      </w:r>
      <w:proofErr w:type="gramEnd"/>
      <w:r w:rsidRPr="007142B2">
        <w:rPr>
          <w:rFonts w:asciiTheme="majorBidi" w:eastAsia="Times New Roman" w:hAnsiTheme="majorBidi" w:cstheme="majorBidi"/>
          <w:sz w:val="24"/>
          <w:szCs w:val="24"/>
        </w:rPr>
        <w:t>legal architecture;} \quad \text{governance configurations;} \quad \text{relationships;} \quad \text{institutional statements;} \quad \text{original legal text.}</w:t>
      </w:r>
    </w:p>
    <w:p w14:paraId="5AAD5974"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A classification of a law as strongly intermediated, for example, should be traceable to the particular configurations in which intermediaries participate, the relationships that constitute those configurations, the legal statements establishing those relationships and the provisions in which the statements occur.</w:t>
      </w:r>
    </w:p>
    <w:p w14:paraId="474D9F4A"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This principle has practical as well as methodological value. It makes coding decisions auditable, facilitates adjudication, permits theoretical classifications to be revised without reconstructing the entire dataset, and makes machine-assisted coding more transparent. It also permits reviewers or subsequent researchers to move from a macro-level result back to the original legal evidence.</w:t>
      </w:r>
    </w:p>
    <w:p w14:paraId="07E4C628"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Vertical traceability therefore operates as a safeguard against the detachment of quantitative legal indicators from their textual foundation.</w:t>
      </w:r>
    </w:p>
    <w:p w14:paraId="6E92B210" w14:textId="77777777" w:rsidR="0034786B" w:rsidRPr="007142B2" w:rsidRDefault="0034786B" w:rsidP="0034786B">
      <w:pPr>
        <w:spacing w:before="100" w:beforeAutospacing="1" w:afterAutospacing="1" w:line="276" w:lineRule="auto"/>
        <w:jc w:val="both"/>
        <w:outlineLvl w:val="1"/>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t>6.10 The stopping rule</w:t>
      </w:r>
    </w:p>
    <w:p w14:paraId="0CC5FF3C"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lastRenderedPageBreak/>
        <w:t xml:space="preserve">A complementary safeguard is the </w:t>
      </w:r>
      <w:r w:rsidRPr="007142B2">
        <w:rPr>
          <w:rFonts w:asciiTheme="majorBidi" w:eastAsia="Times New Roman" w:hAnsiTheme="majorBidi" w:cstheme="majorBidi"/>
          <w:b/>
          <w:bCs/>
          <w:sz w:val="24"/>
          <w:szCs w:val="24"/>
        </w:rPr>
        <w:t>stopping rule</w:t>
      </w:r>
      <w:r w:rsidRPr="007142B2">
        <w:rPr>
          <w:rFonts w:asciiTheme="majorBidi" w:eastAsia="Times New Roman" w:hAnsiTheme="majorBidi" w:cstheme="majorBidi"/>
          <w:sz w:val="24"/>
          <w:szCs w:val="24"/>
        </w:rPr>
        <w:t xml:space="preserve">. At every stage </w:t>
      </w:r>
      <w:proofErr w:type="gramStart"/>
      <w:r w:rsidRPr="007142B2">
        <w:rPr>
          <w:rFonts w:asciiTheme="majorBidi" w:eastAsia="Times New Roman" w:hAnsiTheme="majorBidi" w:cstheme="majorBidi"/>
          <w:sz w:val="24"/>
          <w:szCs w:val="24"/>
        </w:rPr>
        <w:t>researchers</w:t>
      </w:r>
      <w:proofErr w:type="gramEnd"/>
      <w:r w:rsidRPr="007142B2">
        <w:rPr>
          <w:rFonts w:asciiTheme="majorBidi" w:eastAsia="Times New Roman" w:hAnsiTheme="majorBidi" w:cstheme="majorBidi"/>
          <w:sz w:val="24"/>
          <w:szCs w:val="24"/>
        </w:rPr>
        <w:t xml:space="preserve"> should ask what is the highest-level claim that the available evidence presently warrants.</w:t>
      </w:r>
    </w:p>
    <w:p w14:paraId="22DD582C"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Suppose a law assigns several monitoring functions to private intermediaries. The evidence may justify the conclusion that intermediary-based monitoring forms part of the regulatory design. It does not necessarily justify the stronger conclusion that the overall architecture is intermediated. Such a conclusion requires evidence about whether intermediaries occupy necessary or consequential positions across the relevant regulatory pathways.</w:t>
      </w:r>
    </w:p>
    <w:p w14:paraId="208C4C61"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The stopping rule encourages graded rather than categorical inference. Where evidence warrants only a relationship-level or configuration-level claim, analysis should stop at that level rather than force an architectural classification.</w:t>
      </w:r>
    </w:p>
    <w:p w14:paraId="415AE826"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This principle also provides a basis for expressing uncertainty. Architectural classifications may vary in confidence depending upon the completeness of the evidence, coder agreement, the clarity of the inference rule and the robustness of the classification to alternative aggregation decisions.</w:t>
      </w:r>
    </w:p>
    <w:p w14:paraId="5788DB83" w14:textId="77777777" w:rsidR="0034786B" w:rsidRPr="007142B2" w:rsidRDefault="0034786B" w:rsidP="0034786B">
      <w:pPr>
        <w:spacing w:before="100" w:beforeAutospacing="1" w:afterAutospacing="1" w:line="276" w:lineRule="auto"/>
        <w:jc w:val="both"/>
        <w:outlineLvl w:val="1"/>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t>6.11 Multidimensional comparison of governance architectures</w:t>
      </w:r>
    </w:p>
    <w:p w14:paraId="385A0509"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Governance architectures should not necessarily be represented as mutually exclusive types. Categories such as hierarchical, delegated, self-regulatory, intermediated, polycentric and multilevel capture different properties and may coexist within the same legal system.</w:t>
      </w:r>
    </w:p>
    <w:p w14:paraId="707FF8F1"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It is therefore useful to supplement ideal-type classifications with dimensional measures. Candidate dimensions include:</w:t>
      </w:r>
    </w:p>
    <w:p w14:paraId="787E2B1C" w14:textId="77777777" w:rsidR="0034786B" w:rsidRPr="007142B2" w:rsidRDefault="0034786B" w:rsidP="0034786B">
      <w:pPr>
        <w:numPr>
          <w:ilvl w:val="0"/>
          <w:numId w:val="17"/>
        </w:num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centralization of governing authority;</w:t>
      </w:r>
    </w:p>
    <w:p w14:paraId="1B48D13A" w14:textId="77777777" w:rsidR="0034786B" w:rsidRPr="007142B2" w:rsidRDefault="0034786B" w:rsidP="0034786B">
      <w:pPr>
        <w:numPr>
          <w:ilvl w:val="0"/>
          <w:numId w:val="17"/>
        </w:num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degree of intermediation;</w:t>
      </w:r>
    </w:p>
    <w:p w14:paraId="538F61E1" w14:textId="77777777" w:rsidR="0034786B" w:rsidRPr="007142B2" w:rsidRDefault="0034786B" w:rsidP="0034786B">
      <w:pPr>
        <w:numPr>
          <w:ilvl w:val="0"/>
          <w:numId w:val="17"/>
        </w:num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hierarchical depth;</w:t>
      </w:r>
    </w:p>
    <w:p w14:paraId="3EAADD57" w14:textId="77777777" w:rsidR="0034786B" w:rsidRPr="007142B2" w:rsidRDefault="0034786B" w:rsidP="0034786B">
      <w:pPr>
        <w:numPr>
          <w:ilvl w:val="0"/>
          <w:numId w:val="17"/>
        </w:num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intensity of delegation;</w:t>
      </w:r>
    </w:p>
    <w:p w14:paraId="3BFA1BF6" w14:textId="77777777" w:rsidR="0034786B" w:rsidRPr="007142B2" w:rsidRDefault="0034786B" w:rsidP="0034786B">
      <w:pPr>
        <w:numPr>
          <w:ilvl w:val="0"/>
          <w:numId w:val="17"/>
        </w:num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public-private hybridity;</w:t>
      </w:r>
    </w:p>
    <w:p w14:paraId="050F7F8B" w14:textId="77777777" w:rsidR="0034786B" w:rsidRPr="007142B2" w:rsidRDefault="0034786B" w:rsidP="0034786B">
      <w:pPr>
        <w:numPr>
          <w:ilvl w:val="0"/>
          <w:numId w:val="17"/>
        </w:num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distribution of discretion;</w:t>
      </w:r>
    </w:p>
    <w:p w14:paraId="3E9C9C70" w14:textId="77777777" w:rsidR="0034786B" w:rsidRPr="007142B2" w:rsidRDefault="0034786B" w:rsidP="0034786B">
      <w:pPr>
        <w:numPr>
          <w:ilvl w:val="0"/>
          <w:numId w:val="17"/>
        </w:num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monitoring density;</w:t>
      </w:r>
    </w:p>
    <w:p w14:paraId="192A3D39" w14:textId="77777777" w:rsidR="0034786B" w:rsidRPr="007142B2" w:rsidRDefault="0034786B" w:rsidP="0034786B">
      <w:pPr>
        <w:numPr>
          <w:ilvl w:val="0"/>
          <w:numId w:val="17"/>
        </w:num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accountability closure;</w:t>
      </w:r>
    </w:p>
    <w:p w14:paraId="047B6098" w14:textId="77777777" w:rsidR="0034786B" w:rsidRPr="007142B2" w:rsidRDefault="0034786B" w:rsidP="0034786B">
      <w:pPr>
        <w:numPr>
          <w:ilvl w:val="0"/>
          <w:numId w:val="17"/>
        </w:num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vertical dispersion;</w:t>
      </w:r>
    </w:p>
    <w:p w14:paraId="0C355321" w14:textId="77777777" w:rsidR="0034786B" w:rsidRPr="007142B2" w:rsidRDefault="0034786B" w:rsidP="0034786B">
      <w:pPr>
        <w:numPr>
          <w:ilvl w:val="0"/>
          <w:numId w:val="17"/>
        </w:num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enforcement concentration;</w:t>
      </w:r>
    </w:p>
    <w:p w14:paraId="74C2DD65" w14:textId="77777777" w:rsidR="0034786B" w:rsidRPr="007142B2" w:rsidRDefault="0034786B" w:rsidP="0034786B">
      <w:pPr>
        <w:numPr>
          <w:ilvl w:val="0"/>
          <w:numId w:val="17"/>
        </w:num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redundancy;</w:t>
      </w:r>
    </w:p>
    <w:p w14:paraId="72B465AC" w14:textId="77777777" w:rsidR="0034786B" w:rsidRPr="007142B2" w:rsidRDefault="0034786B" w:rsidP="0034786B">
      <w:pPr>
        <w:numPr>
          <w:ilvl w:val="0"/>
          <w:numId w:val="17"/>
        </w:num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reciprocity.</w:t>
      </w:r>
    </w:p>
    <w:p w14:paraId="0DAD6C9A" w14:textId="5A97C59E" w:rsidR="0034786B"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This permits a law to be characterized, for example, as highly intermediated in monitoring and verification while remaining strongly centralized in rule-making and enforcement. Another law may be vertically multilevel but weakly polycentric because ultimate authority remains concentrated in one </w:t>
      </w:r>
      <w:r w:rsidRPr="007142B2">
        <w:rPr>
          <w:rFonts w:asciiTheme="majorBidi" w:eastAsia="Times New Roman" w:hAnsiTheme="majorBidi" w:cstheme="majorBidi"/>
          <w:sz w:val="24"/>
          <w:szCs w:val="24"/>
        </w:rPr>
        <w:lastRenderedPageBreak/>
        <w:t>institutional cent</w:t>
      </w:r>
      <w:r>
        <w:rPr>
          <w:rFonts w:asciiTheme="majorBidi" w:eastAsia="Times New Roman" w:hAnsiTheme="majorBidi" w:cstheme="majorBidi"/>
          <w:sz w:val="24"/>
          <w:szCs w:val="24"/>
        </w:rPr>
        <w:t>er</w:t>
      </w:r>
      <w:r w:rsidRPr="007142B2">
        <w:rPr>
          <w:rFonts w:asciiTheme="majorBidi" w:eastAsia="Times New Roman" w:hAnsiTheme="majorBidi" w:cstheme="majorBidi"/>
          <w:sz w:val="24"/>
          <w:szCs w:val="24"/>
        </w:rPr>
        <w:t>.</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Dimensional measurement thus provides a way of retaining complex architectural combinations without forcing laws prematurely into exclusive theoretical categories.</w:t>
      </w:r>
    </w:p>
    <w:p w14:paraId="3345F933" w14:textId="77777777" w:rsidR="004E6D01" w:rsidRPr="004E15FC" w:rsidRDefault="004E6D01" w:rsidP="004E6D01">
      <w:pPr>
        <w:spacing w:before="100" w:beforeAutospacing="1" w:afterAutospacing="1"/>
        <w:jc w:val="both"/>
        <w:outlineLvl w:val="1"/>
        <w:rPr>
          <w:rFonts w:ascii="Times New Roman" w:eastAsia="Times New Roman" w:hAnsi="Times New Roman" w:cs="Times New Roman"/>
          <w:b/>
          <w:bCs/>
          <w:sz w:val="24"/>
          <w:szCs w:val="24"/>
        </w:rPr>
      </w:pPr>
      <w:r w:rsidRPr="004E15FC">
        <w:rPr>
          <w:rFonts w:ascii="Times New Roman" w:eastAsia="Times New Roman" w:hAnsi="Times New Roman" w:cs="Times New Roman"/>
          <w:b/>
          <w:bCs/>
          <w:sz w:val="24"/>
          <w:szCs w:val="24"/>
        </w:rPr>
        <w:t>6.12 Intermediation Centrality as an Architectural Property</w:t>
      </w:r>
    </w:p>
    <w:p w14:paraId="1E75E150"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The presence of intermediaries within a law should be distinguished from the architectural centrality of intermediation. A legal instrument may recognize numerous third parties without making them consequential to the operation of the regulatory system. Conversely, an intermediary may appear in only a small number of provisions while occupying a legally indispensable position—for example, where certification, verification, accreditation or approval by that actor is a necessary condition for market access or continued operation. The number of intermediary actors or provisions therefore provides evidence of the prevalence of intermediation but does not by itself establish its structural importance.</w:t>
      </w:r>
    </w:p>
    <w:p w14:paraId="2B516DFD"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This distinction follows directly from the broader argument that architectural significance cannot be inferred from frequency alone. The current framework treats architecture as a configuration of actors, relationships, functions, instruments and relational attributes, and distinguishes frequency from authority, centrality, exclusivity, sequence, consequence and substitutability when assessing architectural importance. Intermediation centrality applies this general principle to a particular question: to what extent does a law organize governing through actors situated between, alongside or across conventional rule-maker–target relationships?</w:t>
      </w:r>
    </w:p>
    <w:p w14:paraId="6DF55807"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 xml:space="preserve">Intermediation centrality should therefore be conceptualized as a multidimensional property rather than a binary characteristic or single count. At least six dimensions are analytically useful: prevalence, functional breadth, authority, dependency or indispensability, structural position, and regulatory embeddedness. These dimensions capture different ways in which intermediaries may become consequential to a governance architecture.  </w:t>
      </w:r>
    </w:p>
    <w:p w14:paraId="783EEB91"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b/>
          <w:bCs/>
          <w:sz w:val="24"/>
          <w:szCs w:val="24"/>
        </w:rPr>
        <w:t>Prevalence</w:t>
      </w:r>
      <w:r w:rsidRPr="004E15FC">
        <w:rPr>
          <w:rFonts w:ascii="Times New Roman" w:eastAsia="Times New Roman" w:hAnsi="Times New Roman" w:cs="Times New Roman"/>
          <w:sz w:val="24"/>
          <w:szCs w:val="24"/>
        </w:rPr>
        <w:t xml:space="preserve"> concerns the extent to which intermediary actors and relationships occur within the law. Possible measures include the proportion of substantive regulatory provisions involving intermediaries, the number of distinct intermediary actors or actor categories, the proportion of governance relationships involving intermediaries, and the share of regulatory functions allocated to intermediary actors. Prevalence provides the most direct measure of how extensively intermediation appears within the legal design. It should nevertheless be interpreted as a measure of presence rather than importance. A large number of peripheral intermediary relationships may be less architecturally consequential than a small number of indispensable ones.</w:t>
      </w:r>
    </w:p>
    <w:p w14:paraId="20E01097"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b/>
          <w:bCs/>
          <w:sz w:val="24"/>
          <w:szCs w:val="24"/>
        </w:rPr>
        <w:t>Functional breadth</w:t>
      </w:r>
      <w:r w:rsidRPr="004E15FC">
        <w:rPr>
          <w:rFonts w:ascii="Times New Roman" w:eastAsia="Times New Roman" w:hAnsi="Times New Roman" w:cs="Times New Roman"/>
          <w:sz w:val="24"/>
          <w:szCs w:val="24"/>
        </w:rPr>
        <w:t xml:space="preserve"> concerns the range of governance work assigned to intermediaries. Intermediation may be narrowly confined to information provision or technical assistance, or it may extend across several stages of the regulatory process, including rule or standard formation, authorization, implementation, information collection, monitoring, verification, enforcement and redress.   Functional breadth therefore captures the division of regulatory </w:t>
      </w:r>
      <w:proofErr w:type="spellStart"/>
      <w:r w:rsidRPr="004E15FC">
        <w:rPr>
          <w:rFonts w:ascii="Times New Roman" w:eastAsia="Times New Roman" w:hAnsi="Times New Roman" w:cs="Times New Roman"/>
          <w:sz w:val="24"/>
          <w:szCs w:val="24"/>
        </w:rPr>
        <w:t>labour</w:t>
      </w:r>
      <w:proofErr w:type="spellEnd"/>
      <w:r w:rsidRPr="004E15FC">
        <w:rPr>
          <w:rFonts w:ascii="Times New Roman" w:eastAsia="Times New Roman" w:hAnsi="Times New Roman" w:cs="Times New Roman"/>
          <w:sz w:val="24"/>
          <w:szCs w:val="24"/>
        </w:rPr>
        <w:t xml:space="preserve"> more effectively than intermediary counts alone. A law in which intermediaries perform several distinct governance functions has a different architecture from one in which they appear frequently but perform only a single auxiliary task.</w:t>
      </w:r>
    </w:p>
    <w:p w14:paraId="4EE92E85"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 xml:space="preserve">Functional breadth should also be distinguished from </w:t>
      </w:r>
      <w:r w:rsidRPr="004E15FC">
        <w:rPr>
          <w:rFonts w:ascii="Times New Roman" w:eastAsia="Times New Roman" w:hAnsi="Times New Roman" w:cs="Times New Roman"/>
          <w:b/>
          <w:bCs/>
          <w:sz w:val="24"/>
          <w:szCs w:val="24"/>
        </w:rPr>
        <w:t>functional concentration</w:t>
      </w:r>
      <w:r w:rsidRPr="004E15FC">
        <w:rPr>
          <w:rFonts w:ascii="Times New Roman" w:eastAsia="Times New Roman" w:hAnsi="Times New Roman" w:cs="Times New Roman"/>
          <w:sz w:val="24"/>
          <w:szCs w:val="24"/>
        </w:rPr>
        <w:t xml:space="preserve">. A law may allocate many minor functions to intermediaries while retaining the most consequential functions—such as </w:t>
      </w:r>
      <w:r w:rsidRPr="004E15FC">
        <w:rPr>
          <w:rFonts w:ascii="Times New Roman" w:eastAsia="Times New Roman" w:hAnsi="Times New Roman" w:cs="Times New Roman"/>
          <w:sz w:val="24"/>
          <w:szCs w:val="24"/>
        </w:rPr>
        <w:lastRenderedPageBreak/>
        <w:t>binding rule-making, authorization and enforcement—in public bodies. Alternatively, intermediaries may perform only one or two functions but control critical gateways in the regulatory process. Comparison should therefore consider not only how many functions intermediaries perform, but which functions they perform and where those functions are situated within the regulatory sequence.</w:t>
      </w:r>
    </w:p>
    <w:p w14:paraId="62AA90F6"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b/>
          <w:bCs/>
          <w:sz w:val="24"/>
          <w:szCs w:val="24"/>
        </w:rPr>
        <w:t>Authority centrality</w:t>
      </w:r>
      <w:r w:rsidRPr="004E15FC">
        <w:rPr>
          <w:rFonts w:ascii="Times New Roman" w:eastAsia="Times New Roman" w:hAnsi="Times New Roman" w:cs="Times New Roman"/>
          <w:sz w:val="24"/>
          <w:szCs w:val="24"/>
        </w:rPr>
        <w:t xml:space="preserve"> concerns the legally consequential capacities assigned to intermediary actors. Intermediaries may merely collect information, provide advice or facilitate compliance; alternatively, they may assess conformity, certify eligibility, determine access to markets, formulate standards or exercise enforcement-related powers. The current framework's analysis of authority is particularly important here because two actors performing formally similar functions may possess very different capacities to affect legal status or regulatory outcomes. Intermediation becomes more architecturally consequential where third parties exercise powers whose decisions materially condition the rights, obligations or opportunities of other actors.</w:t>
      </w:r>
    </w:p>
    <w:p w14:paraId="448815BE"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Authority centrality should not be reduced to average authority. A governance system containing one highly consequential gatekeeper and numerous low-authority intermediaries differs from one in which moderate authority is broadly distributed among third parties. Maximum authority, average authority and the distribution of authority across intermediary actors may therefore provide complementary measures.</w:t>
      </w:r>
    </w:p>
    <w:p w14:paraId="33B6F4D6"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 xml:space="preserve">A fourth dimension is </w:t>
      </w:r>
      <w:r w:rsidRPr="004E15FC">
        <w:rPr>
          <w:rFonts w:ascii="Times New Roman" w:eastAsia="Times New Roman" w:hAnsi="Times New Roman" w:cs="Times New Roman"/>
          <w:b/>
          <w:bCs/>
          <w:sz w:val="24"/>
          <w:szCs w:val="24"/>
        </w:rPr>
        <w:t>dependency or indispensability</w:t>
      </w:r>
      <w:r w:rsidRPr="004E15FC">
        <w:rPr>
          <w:rFonts w:ascii="Times New Roman" w:eastAsia="Times New Roman" w:hAnsi="Times New Roman" w:cs="Times New Roman"/>
          <w:sz w:val="24"/>
          <w:szCs w:val="24"/>
        </w:rPr>
        <w:t>. This asks whether the regulatory process could legally proceed as designed in the absence of the intermediary or its function. The distinction is crucial because a supplementary adviser and a mandatory certifier may both qualify as intermediaries, yet their structural significance is fundamentally different. The attached measurement note proposes distinguishing optional or incidental roles from supportive, important but substitutable, and legally necessary or gatekeeping roles.   Dependency thus captures the extent to which the legal architecture requires rather than merely permits intermediation.</w:t>
      </w:r>
    </w:p>
    <w:p w14:paraId="0CDB9547"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This dimension is closely related to exclusivity and substitutability. An intermediary becomes particularly central where no alternative pathway exists for fulfilling a legally necessary function. Where several actors can perform the same task or direct regulation remains available as an alternative, intermediary dependency is lower even if intermediation is common. Indispensability therefore identifies structural bottlenecks that frequency measures may miss.</w:t>
      </w:r>
    </w:p>
    <w:p w14:paraId="5EFA8EF8"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 xml:space="preserve">A </w:t>
      </w:r>
      <w:proofErr w:type="gramStart"/>
      <w:r w:rsidRPr="004E15FC">
        <w:rPr>
          <w:rFonts w:ascii="Times New Roman" w:eastAsia="Times New Roman" w:hAnsi="Times New Roman" w:cs="Times New Roman"/>
          <w:sz w:val="24"/>
          <w:szCs w:val="24"/>
        </w:rPr>
        <w:t>fifth dimension</w:t>
      </w:r>
      <w:proofErr w:type="gramEnd"/>
      <w:r w:rsidRPr="004E15FC">
        <w:rPr>
          <w:rFonts w:ascii="Times New Roman" w:eastAsia="Times New Roman" w:hAnsi="Times New Roman" w:cs="Times New Roman"/>
          <w:sz w:val="24"/>
          <w:szCs w:val="24"/>
        </w:rPr>
        <w:t xml:space="preserve"> concerns </w:t>
      </w:r>
      <w:r w:rsidRPr="004E15FC">
        <w:rPr>
          <w:rFonts w:ascii="Times New Roman" w:eastAsia="Times New Roman" w:hAnsi="Times New Roman" w:cs="Times New Roman"/>
          <w:b/>
          <w:bCs/>
          <w:sz w:val="24"/>
          <w:szCs w:val="24"/>
        </w:rPr>
        <w:t>structural centrality</w:t>
      </w:r>
      <w:r w:rsidRPr="004E15FC">
        <w:rPr>
          <w:rFonts w:ascii="Times New Roman" w:eastAsia="Times New Roman" w:hAnsi="Times New Roman" w:cs="Times New Roman"/>
          <w:sz w:val="24"/>
          <w:szCs w:val="24"/>
        </w:rPr>
        <w:t xml:space="preserve"> within the network of legally constituted relationships. Once laws are represented as typed relational systems, network measures may help identify whether intermediary actors occupy connecting or brokerage positions among regulators, targets, beneficiaries and other actors. Degree measures identify the number of relationships in which intermediary actors participate; betweenness can identify actors situated on important relational pathways; brokerage measures can identify actors connecting otherwise weakly connected groups.  </w:t>
      </w:r>
    </w:p>
    <w:p w14:paraId="4D4BB98D"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Network centrality should nevertheless be interpreted cautiously. Structural position does not itself establish legal authority or indispensability. An actor may have a large number of informational connections while possessing little capacity to affect decisions. Conversely, a gatekeeper may possess relatively few ties yet exercise decisive authority. Network measures are therefore most informative when combined with substantive information concerning function, authority, consequence and substitutability.</w:t>
      </w:r>
    </w:p>
    <w:p w14:paraId="6D1A40EB"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lastRenderedPageBreak/>
        <w:t xml:space="preserve">A sixth dimension is </w:t>
      </w:r>
      <w:r w:rsidRPr="004E15FC">
        <w:rPr>
          <w:rFonts w:ascii="Times New Roman" w:eastAsia="Times New Roman" w:hAnsi="Times New Roman" w:cs="Times New Roman"/>
          <w:b/>
          <w:bCs/>
          <w:sz w:val="24"/>
          <w:szCs w:val="24"/>
        </w:rPr>
        <w:t>regulatory embeddedness</w:t>
      </w:r>
      <w:r w:rsidRPr="004E15FC">
        <w:rPr>
          <w:rFonts w:ascii="Times New Roman" w:eastAsia="Times New Roman" w:hAnsi="Times New Roman" w:cs="Times New Roman"/>
          <w:sz w:val="24"/>
          <w:szCs w:val="24"/>
        </w:rPr>
        <w:t>, understood as the extent to which law regulates the intermediaries through whom governance is exercised. Intermediation frequently creates a second-order regulatory problem: actors entrusted with monitoring, verification, assurance or other governance functions may themselves require selection, supervision and control. Relevant legal requirements may concern entry and designation, competence, independence, conflicts of interest, organizational procedures, reporting, transparency, supervision, remedial obligations and withdrawal of authorization.   Regulatory embeddedness therefore captures not only the extent to which law governs through intermediaries, but also the extent to which it governs the intermediaries themselves.</w:t>
      </w:r>
    </w:p>
    <w:p w14:paraId="23396A63"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 xml:space="preserve">These dimensions should initially be retained separately rather than collapsed into a single index. A law can display high intermediary prevalence but low authority, low prevalence but very high dependency, or extensive intermediary functions combined with strong public oversight. Such profiles contain theoretically important information that would be lost in a single composite score. The dimensional approach is also consistent with the broader methodological commitment of relational leximetrics to reconstruct higher-order properties from transparent lower-level observations rather than assign summary labels prematurely.  </w:t>
      </w:r>
    </w:p>
    <w:p w14:paraId="6CB32AE8"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Intermediation centrality can therefore be represented conceptually as a profile:</w:t>
      </w:r>
    </w:p>
    <w:p w14:paraId="30820968" w14:textId="77777777" w:rsidR="004E6D01" w:rsidRPr="004E15FC" w:rsidRDefault="004E6D01" w:rsidP="004E6D01">
      <w:pPr>
        <w:jc w:val="center"/>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 xml:space="preserve">IC = </w:t>
      </w:r>
      <w:proofErr w:type="gramStart"/>
      <w:r w:rsidRPr="004E15FC">
        <w:rPr>
          <w:rFonts w:ascii="Times New Roman" w:eastAsia="Times New Roman" w:hAnsi="Times New Roman" w:cs="Times New Roman"/>
          <w:sz w:val="24"/>
          <w:szCs w:val="24"/>
        </w:rPr>
        <w:t>f(</w:t>
      </w:r>
      <w:proofErr w:type="gramEnd"/>
      <w:r w:rsidRPr="004E15FC">
        <w:rPr>
          <w:rFonts w:ascii="Times New Roman" w:eastAsia="Times New Roman" w:hAnsi="Times New Roman" w:cs="Times New Roman"/>
          <w:sz w:val="24"/>
          <w:szCs w:val="24"/>
        </w:rPr>
        <w:t>P,\ F,\ A,\ D,\ S,\ E) \</w:t>
      </w:r>
    </w:p>
    <w:p w14:paraId="07AFAFD4"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where \(P\) denotes prevalence, \(F\) functional breadth, \(A\) intermediary authority, \(D\) dependency or indispensability, \(S\) structural centrality, and \(E\) regulatory embeddedness. This notation should not be interpreted as requiring an additive index or predetermined weighting scheme. Its purpose is to identify analytically distinct dimensions through which intermediation can become central to legal architecture.</w:t>
      </w:r>
    </w:p>
    <w:p w14:paraId="79F911B5" w14:textId="77777777" w:rsidR="004E6D01" w:rsidRPr="004E15FC" w:rsidRDefault="004E6D01" w:rsidP="004E6D01">
      <w:pPr>
        <w:spacing w:before="100" w:beforeAutospacing="1" w:afterAutospacing="1"/>
        <w:jc w:val="both"/>
        <w:outlineLvl w:val="2"/>
        <w:rPr>
          <w:rFonts w:ascii="Times New Roman" w:eastAsia="Times New Roman" w:hAnsi="Times New Roman" w:cs="Times New Roman"/>
          <w:b/>
          <w:bCs/>
          <w:sz w:val="24"/>
          <w:szCs w:val="24"/>
        </w:rPr>
      </w:pPr>
      <w:r w:rsidRPr="004E15FC">
        <w:rPr>
          <w:rFonts w:ascii="Times New Roman" w:eastAsia="Times New Roman" w:hAnsi="Times New Roman" w:cs="Times New Roman"/>
          <w:b/>
          <w:bCs/>
          <w:sz w:val="24"/>
          <w:szCs w:val="24"/>
        </w:rPr>
        <w:t>Intermediation centrality and enhanced self-regulation</w:t>
      </w:r>
    </w:p>
    <w:p w14:paraId="632947B6"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 xml:space="preserve">Intermediation centrality should also be distinguished from enhanced self-regulation. The two concepts overlap empirically but capture different architectural properties. A law may rely heavily on intermediaries while leaving little meaningful self-regulatory discretion to regulated actors—for example, where independent private inspectors perform tightly prescribed functions on behalf of public authorities. Conversely, a law may allocate substantial responsibility to regulated firms for designing and administering internal compliance systems while making limited use of external intermediaries. </w:t>
      </w:r>
    </w:p>
    <w:p w14:paraId="41B0EDCE"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 xml:space="preserve">Enhanced self-regulation therefore requires separate attention to the allocation of self-regulatory discretion. The relevant questions are whether regulated actors formulate, interpret, implement or administer important components of their own regulatory obligations and how public law structures, supervises or reinforces those activities. Intermediation becomes relevant to enhanced self-regulation when relatively autonomous third parties monitor, certify, verify, discipline, advise or otherwise enhance the credibility and capacity of self-regulatory arrangements. The architecture of enhanced self-regulation therefore depends upon the joint distribution of self-regulatory discretion, intermediary enhancement and public oversight rather than upon intermediary presence alone.  This distinction suggests that three related but analytically separable properties should be measured: the extent to which governance is conducted through intermediaries; the authority and indispensability of those intermediaries; and the extent to which substantive regulatory discretion is allocated to regulated actors themselves. The first concerns </w:t>
      </w:r>
      <w:r w:rsidRPr="004E15FC">
        <w:rPr>
          <w:rFonts w:ascii="Times New Roman" w:eastAsia="Times New Roman" w:hAnsi="Times New Roman" w:cs="Times New Roman"/>
          <w:sz w:val="24"/>
          <w:szCs w:val="24"/>
        </w:rPr>
        <w:lastRenderedPageBreak/>
        <w:t>intermediation centrality, the second concerns intermediary power and dependency, and the third concerns the self-regulatory component of the architecture.</w:t>
      </w:r>
    </w:p>
    <w:p w14:paraId="3B9FC5C3"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 xml:space="preserve">A particularly useful complementary measure is therefore </w:t>
      </w:r>
      <w:r w:rsidRPr="004E15FC">
        <w:rPr>
          <w:rFonts w:ascii="Times New Roman" w:eastAsia="Times New Roman" w:hAnsi="Times New Roman" w:cs="Times New Roman"/>
          <w:b/>
          <w:bCs/>
          <w:sz w:val="24"/>
          <w:szCs w:val="24"/>
        </w:rPr>
        <w:t>regulatory function allocation</w:t>
      </w:r>
      <w:r w:rsidRPr="004E15FC">
        <w:rPr>
          <w:rFonts w:ascii="Times New Roman" w:eastAsia="Times New Roman" w:hAnsi="Times New Roman" w:cs="Times New Roman"/>
          <w:sz w:val="24"/>
          <w:szCs w:val="24"/>
        </w:rPr>
        <w:t>: the distribution of governance functions among public regulators, intermediaries, regulated targets or self-regulators, and beneficiaries or affected publics.   Such a measure directly addresses one of the central questions of the architectural approach: where does law locate the work of governing? Two laws may contain comparable numbers of intermediary actors yet differ fundamentally because one assigns verification and monitoring to intermediaries while retaining rule-making and enforcement in public authorities, whereas another distributes standard-setting, interpretation, monitoring and certification among private and hybrid actors.</w:t>
      </w:r>
    </w:p>
    <w:p w14:paraId="7B72A014"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Intermediation centrality is therefore best treated not as a separate type of governance architecture but as one of its measurable properties. Its value lies precisely in moving analysis beyond the binary question of whether intermediaries are present. By examining prevalence, functional allocation, authority, dependency, structural position and regulatory embeddedness, relational leximetrics can identify the extent to which governing is actually organized through intermediaries and distinguish incidental third-party participation from architectures in which intermediation is constitutive of the regulatory process.</w:t>
      </w:r>
    </w:p>
    <w:p w14:paraId="40F933D3" w14:textId="77777777" w:rsidR="004E6D01" w:rsidRPr="007142B2" w:rsidRDefault="004E6D01" w:rsidP="0034786B">
      <w:pPr>
        <w:spacing w:before="100" w:beforeAutospacing="1" w:afterAutospacing="1" w:line="276" w:lineRule="auto"/>
        <w:jc w:val="both"/>
        <w:rPr>
          <w:rFonts w:asciiTheme="majorBidi" w:eastAsia="Times New Roman" w:hAnsiTheme="majorBidi" w:cstheme="majorBidi"/>
          <w:sz w:val="24"/>
          <w:szCs w:val="24"/>
        </w:rPr>
      </w:pPr>
    </w:p>
    <w:p w14:paraId="512BFFD3" w14:textId="43EE43B1" w:rsidR="0034786B" w:rsidRPr="007142B2" w:rsidRDefault="0034786B" w:rsidP="0034786B">
      <w:pPr>
        <w:spacing w:before="100" w:beforeAutospacing="1" w:afterAutospacing="1" w:line="276" w:lineRule="auto"/>
        <w:jc w:val="both"/>
        <w:outlineLvl w:val="1"/>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t>6.1</w:t>
      </w:r>
      <w:r w:rsidR="004E6D01">
        <w:rPr>
          <w:rFonts w:asciiTheme="majorBidi" w:eastAsia="Times New Roman" w:hAnsiTheme="majorBidi" w:cstheme="majorBidi"/>
          <w:b/>
          <w:bCs/>
          <w:sz w:val="24"/>
          <w:szCs w:val="24"/>
        </w:rPr>
        <w:t>3</w:t>
      </w:r>
      <w:r w:rsidRPr="007142B2">
        <w:rPr>
          <w:rFonts w:asciiTheme="majorBidi" w:eastAsia="Times New Roman" w:hAnsiTheme="majorBidi" w:cstheme="majorBidi"/>
          <w:b/>
          <w:bCs/>
          <w:sz w:val="24"/>
          <w:szCs w:val="24"/>
        </w:rPr>
        <w:t xml:space="preserve"> Validation and reliability across levels</w:t>
      </w:r>
    </w:p>
    <w:p w14:paraId="20021E1E"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The multilevel nature of relational leximetrics requires validation at corresponding levels. High agreement at the textual level does not establish the validity of higher-level architectural classifications.</w:t>
      </w:r>
    </w:p>
    <w:p w14:paraId="0C4A1DEC"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At the </w:t>
      </w:r>
      <w:r w:rsidRPr="007142B2">
        <w:rPr>
          <w:rFonts w:asciiTheme="majorBidi" w:eastAsia="Times New Roman" w:hAnsiTheme="majorBidi" w:cstheme="majorBidi"/>
          <w:b/>
          <w:bCs/>
          <w:sz w:val="24"/>
          <w:szCs w:val="24"/>
        </w:rPr>
        <w:t>textual level</w:t>
      </w:r>
      <w:r w:rsidRPr="007142B2">
        <w:rPr>
          <w:rFonts w:asciiTheme="majorBidi" w:eastAsia="Times New Roman" w:hAnsiTheme="majorBidi" w:cstheme="majorBidi"/>
          <w:sz w:val="24"/>
          <w:szCs w:val="24"/>
        </w:rPr>
        <w:t>, validation concerns whether coders identify the same relevant legal provisions.</w:t>
      </w:r>
    </w:p>
    <w:p w14:paraId="126AA2FB"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At the </w:t>
      </w:r>
      <w:r w:rsidRPr="007142B2">
        <w:rPr>
          <w:rFonts w:asciiTheme="majorBidi" w:eastAsia="Times New Roman" w:hAnsiTheme="majorBidi" w:cstheme="majorBidi"/>
          <w:b/>
          <w:bCs/>
          <w:sz w:val="24"/>
          <w:szCs w:val="24"/>
        </w:rPr>
        <w:t>institutional-statement level</w:t>
      </w:r>
      <w:r w:rsidRPr="007142B2">
        <w:rPr>
          <w:rFonts w:asciiTheme="majorBidi" w:eastAsia="Times New Roman" w:hAnsiTheme="majorBidi" w:cstheme="majorBidi"/>
          <w:sz w:val="24"/>
          <w:szCs w:val="24"/>
        </w:rPr>
        <w:t>, it concerns whether actors, modalities, actions, objects and conditions are parsed consistently.</w:t>
      </w:r>
    </w:p>
    <w:p w14:paraId="1FFB2C29"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At the </w:t>
      </w:r>
      <w:r w:rsidRPr="007142B2">
        <w:rPr>
          <w:rFonts w:asciiTheme="majorBidi" w:eastAsia="Times New Roman" w:hAnsiTheme="majorBidi" w:cstheme="majorBidi"/>
          <w:b/>
          <w:bCs/>
          <w:sz w:val="24"/>
          <w:szCs w:val="24"/>
        </w:rPr>
        <w:t>relational level</w:t>
      </w:r>
      <w:r w:rsidRPr="007142B2">
        <w:rPr>
          <w:rFonts w:asciiTheme="majorBidi" w:eastAsia="Times New Roman" w:hAnsiTheme="majorBidi" w:cstheme="majorBidi"/>
          <w:sz w:val="24"/>
          <w:szCs w:val="24"/>
        </w:rPr>
        <w:t>, validation asks whether a coded relationship accurately represents the legal connection among the actors.</w:t>
      </w:r>
    </w:p>
    <w:p w14:paraId="01D9E47C"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At the </w:t>
      </w:r>
      <w:r w:rsidRPr="007142B2">
        <w:rPr>
          <w:rFonts w:asciiTheme="majorBidi" w:eastAsia="Times New Roman" w:hAnsiTheme="majorBidi" w:cstheme="majorBidi"/>
          <w:b/>
          <w:bCs/>
          <w:sz w:val="24"/>
          <w:szCs w:val="24"/>
        </w:rPr>
        <w:t>configurational level</w:t>
      </w:r>
      <w:r w:rsidRPr="007142B2">
        <w:rPr>
          <w:rFonts w:asciiTheme="majorBidi" w:eastAsia="Times New Roman" w:hAnsiTheme="majorBidi" w:cstheme="majorBidi"/>
          <w:sz w:val="24"/>
          <w:szCs w:val="24"/>
        </w:rPr>
        <w:t>, the question is whether the specified bundle of relationships and governance elements justifies identifying the claimed configuration.</w:t>
      </w:r>
    </w:p>
    <w:p w14:paraId="1F1F1661"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At the </w:t>
      </w:r>
      <w:r w:rsidRPr="007142B2">
        <w:rPr>
          <w:rFonts w:asciiTheme="majorBidi" w:eastAsia="Times New Roman" w:hAnsiTheme="majorBidi" w:cstheme="majorBidi"/>
          <w:b/>
          <w:bCs/>
          <w:sz w:val="24"/>
          <w:szCs w:val="24"/>
        </w:rPr>
        <w:t>architectural level</w:t>
      </w:r>
      <w:r w:rsidRPr="007142B2">
        <w:rPr>
          <w:rFonts w:asciiTheme="majorBidi" w:eastAsia="Times New Roman" w:hAnsiTheme="majorBidi" w:cstheme="majorBidi"/>
          <w:sz w:val="24"/>
          <w:szCs w:val="24"/>
        </w:rPr>
        <w:t>, validation concerns whether the aggregated representation adequately captures the organization of the relevant law or subsystem.</w:t>
      </w:r>
    </w:p>
    <w:p w14:paraId="06AA5CF6"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Finally, </w:t>
      </w:r>
      <w:r w:rsidRPr="007142B2">
        <w:rPr>
          <w:rFonts w:asciiTheme="majorBidi" w:eastAsia="Times New Roman" w:hAnsiTheme="majorBidi" w:cstheme="majorBidi"/>
          <w:b/>
          <w:bCs/>
          <w:sz w:val="24"/>
          <w:szCs w:val="24"/>
        </w:rPr>
        <w:t>external validation</w:t>
      </w:r>
      <w:r w:rsidRPr="007142B2">
        <w:rPr>
          <w:rFonts w:asciiTheme="majorBidi" w:eastAsia="Times New Roman" w:hAnsiTheme="majorBidi" w:cstheme="majorBidi"/>
          <w:sz w:val="24"/>
          <w:szCs w:val="24"/>
        </w:rPr>
        <w:t xml:space="preserve"> concerns the relationship between the formal architecture reconstructed from law and the arrangements observed in implementation and practice.</w:t>
      </w:r>
    </w:p>
    <w:p w14:paraId="50BD0C0D"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lastRenderedPageBreak/>
        <w:t>These forms of validity should not be collapsed into one intercoder-reliability statistic. A coding project may achieve very high agreement in identifying actors while producing much less reliable judgments concerning discretion, indispensability or architectural significance.</w:t>
      </w:r>
    </w:p>
    <w:p w14:paraId="7F8441E2"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Machine-assisted coding should be evaluated in the same manner. Automated methods may perform well in identifying provisions, actors and explicit relational expressions while remaining less reliable for interpretive judgments concerning discretion, accountability or architectural significance. Model performance should consequently be evaluated separately for different coding and inference tasks.</w:t>
      </w:r>
    </w:p>
    <w:p w14:paraId="0FE08247" w14:textId="0D125BC5" w:rsidR="0034786B" w:rsidRPr="007142B2" w:rsidRDefault="0034786B" w:rsidP="0034786B">
      <w:pPr>
        <w:spacing w:before="100" w:beforeAutospacing="1" w:afterAutospacing="1" w:line="276" w:lineRule="auto"/>
        <w:jc w:val="both"/>
        <w:outlineLvl w:val="1"/>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t>6.13 Formal, implemented and operational architectures</w:t>
      </w:r>
    </w:p>
    <w:p w14:paraId="32F284FB"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Relational leximetrics reconstructs primarily </w:t>
      </w:r>
      <w:r w:rsidRPr="007142B2">
        <w:rPr>
          <w:rFonts w:asciiTheme="majorBidi" w:eastAsia="Times New Roman" w:hAnsiTheme="majorBidi" w:cstheme="majorBidi"/>
          <w:b/>
          <w:bCs/>
          <w:sz w:val="24"/>
          <w:szCs w:val="24"/>
        </w:rPr>
        <w:t>formal legal architecture</w:t>
      </w:r>
      <w:r w:rsidRPr="007142B2">
        <w:rPr>
          <w:rFonts w:asciiTheme="majorBidi" w:eastAsia="Times New Roman" w:hAnsiTheme="majorBidi" w:cstheme="majorBidi"/>
          <w:sz w:val="24"/>
          <w:szCs w:val="24"/>
        </w:rPr>
        <w:t>: the governance relationships, capacities and institutional arrangements constituted or recognized by law. It does not by itself establish how those arrangements are implemented or how governance operates in practice.</w:t>
      </w:r>
    </w:p>
    <w:p w14:paraId="1CE46AF3"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At least three levels should therefore be distinguished: formal legal architecture, implementation architecture and operational architecture. Formal architecture concerns the structure designed through law. Implementation architecture concerns the organizational arrangements through which legal requirements are put into effect. Operational architecture concerns the relationships and practices through which governance actually occurs.</w:t>
      </w:r>
    </w:p>
    <w:p w14:paraId="01E7B6FC"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The three may diverge substantially. An actor may possess extensive statutory powers that are rarely exercised. A reporting obligation may generate little meaningful information. Private standards may acquire practical significance beyond that anticipated in the formal design. Administrative practice may also create relationships and routines that are only weakly specified in legislation.</w:t>
      </w:r>
    </w:p>
    <w:p w14:paraId="316398B2"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These differences should not be treated merely as measurement error. They constitute an important empirical field in their own right. Relational leximetrics establishes the formal baseline against which implementation and operational governance can subsequently be compared.</w:t>
      </w:r>
    </w:p>
    <w:p w14:paraId="54E5B284" w14:textId="037F5F82" w:rsidR="0034786B" w:rsidRPr="007142B2" w:rsidRDefault="0034786B" w:rsidP="0034786B">
      <w:pPr>
        <w:spacing w:before="100" w:beforeAutospacing="1" w:afterAutospacing="1" w:line="276" w:lineRule="auto"/>
        <w:jc w:val="both"/>
        <w:outlineLvl w:val="1"/>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t>6.1</w:t>
      </w:r>
      <w:r w:rsidR="004E6D01">
        <w:rPr>
          <w:rFonts w:asciiTheme="majorBidi" w:eastAsia="Times New Roman" w:hAnsiTheme="majorBidi" w:cstheme="majorBidi"/>
          <w:b/>
          <w:bCs/>
          <w:sz w:val="24"/>
          <w:szCs w:val="24"/>
        </w:rPr>
        <w:t>5</w:t>
      </w:r>
      <w:r w:rsidRPr="007142B2">
        <w:rPr>
          <w:rFonts w:asciiTheme="majorBidi" w:eastAsia="Times New Roman" w:hAnsiTheme="majorBidi" w:cstheme="majorBidi"/>
          <w:b/>
          <w:bCs/>
          <w:sz w:val="24"/>
          <w:szCs w:val="24"/>
        </w:rPr>
        <w:t xml:space="preserve"> Illustration: moving from provisions to an architectural claim</w:t>
      </w:r>
    </w:p>
    <w:p w14:paraId="0AFE583C"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A stylized example illustrates the methodological sequence. Suppose a legal regime contains four provisions. The first requires providers to undertake periodic risk assessments. The second requires those assessments to be verified by an accredited auditor. The third requires auditors to notify a supervisory authority of material deficiencies. The fourth gives the supervisory authority power to suspend a provider's authorization where deficiencies remain unresolved.</w:t>
      </w:r>
    </w:p>
    <w:p w14:paraId="5A8BA6F3"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At the textual level, these provisions constitute separate legal observations. At the institutional level, they establish obligations concerning assessment, verification and reporting, together with a public enforcement power.</w:t>
      </w:r>
    </w:p>
    <w:p w14:paraId="3A90981C"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At the relational level, they establish relationships between providers and auditors, auditors and the supervisory authority, and the supervisory authority and providers. Those relationships perform different </w:t>
      </w:r>
      <w:r w:rsidRPr="007142B2">
        <w:rPr>
          <w:rFonts w:asciiTheme="majorBidi" w:eastAsia="Times New Roman" w:hAnsiTheme="majorBidi" w:cstheme="majorBidi"/>
          <w:sz w:val="24"/>
          <w:szCs w:val="24"/>
        </w:rPr>
        <w:lastRenderedPageBreak/>
        <w:t>functions and possess different attributes. Verification is assigned to the auditor, while ultimate sanctioning authority remains with the public supervisory body.</w:t>
      </w:r>
    </w:p>
    <w:p w14:paraId="58285039"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At the configurational level, the provisions jointly establish third-party assurance combined with public supervisory enforcement. Accreditation connects the verifier to a wider system of public control, while mandatory verification makes the intermediary consequential to the operation of the regulatory process.</w:t>
      </w:r>
    </w:p>
    <w:p w14:paraId="1D9A83AF"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Only after establishing the necessity and structural position of these relationships would it be appropriate to formulate an architectural claim. The warranted conclusion might be that the legal arrangement combines intermediated verification with hierarchical public enforcement. Whether this is sufficient to characterize the entire statute as an intermediated architecture depends upon the position of this configuration relative to other governance arrangements within the law.</w:t>
      </w:r>
    </w:p>
    <w:p w14:paraId="4BBA9668"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The example illustrates the central principle of relational leximetrics: low-level coding and high-level theoretical inference are compatible only when the intermediate transformations remain explicit and recoverable.</w:t>
      </w:r>
    </w:p>
    <w:p w14:paraId="15937500" w14:textId="54FC42CA" w:rsidR="00B746D2" w:rsidRDefault="00B746D2" w:rsidP="00BB24A5">
      <w:pPr>
        <w:jc w:val="both"/>
        <w:rPr>
          <w:rFonts w:asciiTheme="majorBidi" w:hAnsiTheme="majorBidi" w:cstheme="majorBidi"/>
          <w:sz w:val="24"/>
          <w:szCs w:val="24"/>
        </w:rPr>
      </w:pPr>
    </w:p>
    <w:p w14:paraId="6A945D82" w14:textId="77777777" w:rsidR="00DF0AFA" w:rsidRPr="00115660" w:rsidRDefault="00DF0AFA" w:rsidP="00DF0AFA">
      <w:pPr>
        <w:spacing w:before="100" w:beforeAutospacing="1" w:afterAutospacing="1"/>
        <w:outlineLvl w:val="1"/>
        <w:rPr>
          <w:rFonts w:asciiTheme="majorBidi" w:eastAsia="Times New Roman" w:hAnsiTheme="majorBidi" w:cstheme="majorBidi"/>
          <w:b/>
          <w:bCs/>
          <w:sz w:val="24"/>
          <w:szCs w:val="24"/>
        </w:rPr>
      </w:pPr>
      <w:r w:rsidRPr="00115660">
        <w:rPr>
          <w:rFonts w:asciiTheme="majorBidi" w:eastAsia="Times New Roman" w:hAnsiTheme="majorBidi" w:cstheme="majorBidi"/>
          <w:b/>
          <w:bCs/>
          <w:sz w:val="24"/>
          <w:szCs w:val="24"/>
        </w:rPr>
        <w:t>7. Conclusion: From Legal Text to the Architecture of Regulatory Regimes</w:t>
      </w:r>
    </w:p>
    <w:p w14:paraId="58D4391D" w14:textId="77777777" w:rsidR="00DF0AFA" w:rsidRPr="00115660" w:rsidRDefault="00DF0AFA" w:rsidP="00DF0AFA">
      <w:pPr>
        <w:spacing w:before="100" w:beforeAutospacing="1" w:afterAutospacing="1" w:line="276" w:lineRule="auto"/>
        <w:jc w:val="both"/>
        <w:rPr>
          <w:rFonts w:asciiTheme="majorBidi" w:eastAsia="Times New Roman" w:hAnsiTheme="majorBidi" w:cstheme="majorBidi"/>
          <w:sz w:val="24"/>
          <w:szCs w:val="24"/>
        </w:rPr>
      </w:pPr>
      <w:r w:rsidRPr="00115660">
        <w:rPr>
          <w:rFonts w:asciiTheme="majorBidi" w:eastAsia="Times New Roman" w:hAnsiTheme="majorBidi" w:cstheme="majorBidi"/>
          <w:sz w:val="24"/>
          <w:szCs w:val="24"/>
        </w:rPr>
        <w:t>This paper has argued for a shift in how law is conceptualized and compared. Law does not merely prescribe, prohibit, authorize, and sanction behavior. It also helps constitute the institutional capacity to govern. It defines objects of intervention, creates and recognizes actors, allocates regulatory functions, establishes instruments and relationships, and distributes authority, discretion, and accountability. Laws imposing similar substantive obligations can therefore produce very different structures for implementing, monitoring, verifying, and enforcing those obligations. Governance architecture is consequently a distinct dimension of legal variation that cannot be reduced to legal content, coverage, or stringency.</w:t>
      </w:r>
    </w:p>
    <w:p w14:paraId="609FF529" w14:textId="77777777" w:rsidR="00DF0AFA" w:rsidRPr="00115660" w:rsidRDefault="00DF0AFA" w:rsidP="00DF0AFA">
      <w:pPr>
        <w:spacing w:before="100" w:beforeAutospacing="1" w:afterAutospacing="1" w:line="276" w:lineRule="auto"/>
        <w:jc w:val="both"/>
        <w:rPr>
          <w:rFonts w:asciiTheme="majorBidi" w:eastAsia="Times New Roman" w:hAnsiTheme="majorBidi" w:cstheme="majorBidi"/>
          <w:sz w:val="24"/>
          <w:szCs w:val="24"/>
        </w:rPr>
      </w:pPr>
      <w:r w:rsidRPr="00115660">
        <w:rPr>
          <w:rFonts w:asciiTheme="majorBidi" w:eastAsia="Times New Roman" w:hAnsiTheme="majorBidi" w:cstheme="majorBidi"/>
          <w:sz w:val="24"/>
          <w:szCs w:val="24"/>
        </w:rPr>
        <w:t xml:space="preserve">At the same time, the analysis requires a careful distinction between law, architecture, and regulatory regime. A regulatory regime is the broader institutional system through which regulation operates. It may contain norms, legal rules, organizations, standards, professional practices, knowledge systems, administrative routines, and public and private actors extending across several statutes and institutional sites. Governance architecture refers more narrowly to the structural organization of that regime: how governing work and governing capacity are distributed and connected. Law constitutes and modifies these architectures but does not necessarily exhaust the regimes within which they operate. This distinction clarifies why reconstructing the architecture of a statute is analytically different from reconstructing an entire regulatory regime. </w:t>
      </w:r>
    </w:p>
    <w:p w14:paraId="738D07C0" w14:textId="77777777" w:rsidR="00DF0AFA" w:rsidRPr="00115660" w:rsidRDefault="00DF0AFA" w:rsidP="00DF0AFA">
      <w:pPr>
        <w:spacing w:before="100" w:beforeAutospacing="1" w:afterAutospacing="1" w:line="276" w:lineRule="auto"/>
        <w:jc w:val="both"/>
        <w:rPr>
          <w:rFonts w:asciiTheme="majorBidi" w:eastAsia="Times New Roman" w:hAnsiTheme="majorBidi" w:cstheme="majorBidi"/>
          <w:sz w:val="24"/>
          <w:szCs w:val="24"/>
        </w:rPr>
      </w:pPr>
      <w:r w:rsidRPr="00115660">
        <w:rPr>
          <w:rFonts w:asciiTheme="majorBidi" w:eastAsia="Times New Roman" w:hAnsiTheme="majorBidi" w:cstheme="majorBidi"/>
          <w:sz w:val="24"/>
          <w:szCs w:val="24"/>
        </w:rPr>
        <w:t xml:space="preserve">The paper has developed a framework for making this structural dimension observable. At the first level are directly identifiable elements: objects, actors, functions, mechanisms, instruments, and relationships. At the second level, authority, discretion, and accountability qualify those relationships by indicating where consequential decision-making capacity, judgment, and answerability are located. At the third </w:t>
      </w:r>
      <w:r w:rsidRPr="00115660">
        <w:rPr>
          <w:rFonts w:asciiTheme="majorBidi" w:eastAsia="Times New Roman" w:hAnsiTheme="majorBidi" w:cstheme="majorBidi"/>
          <w:sz w:val="24"/>
          <w:szCs w:val="24"/>
        </w:rPr>
        <w:lastRenderedPageBreak/>
        <w:t>level, patterned combinations of these observations support higher-order claims concerning regulatory strategies, governance architectures, governance logics, and regimes.</w:t>
      </w:r>
    </w:p>
    <w:p w14:paraId="046F3323" w14:textId="77777777" w:rsidR="00DF0AFA" w:rsidRPr="00115660" w:rsidRDefault="00DF0AFA" w:rsidP="00DF0AFA">
      <w:pPr>
        <w:spacing w:before="100" w:beforeAutospacing="1" w:afterAutospacing="1" w:line="276" w:lineRule="auto"/>
        <w:jc w:val="both"/>
        <w:rPr>
          <w:rFonts w:asciiTheme="majorBidi" w:eastAsia="Times New Roman" w:hAnsiTheme="majorBidi" w:cstheme="majorBidi"/>
          <w:sz w:val="24"/>
          <w:szCs w:val="24"/>
        </w:rPr>
      </w:pPr>
      <w:r w:rsidRPr="00115660">
        <w:rPr>
          <w:rFonts w:asciiTheme="majorBidi" w:eastAsia="Times New Roman" w:hAnsiTheme="majorBidi" w:cstheme="majorBidi"/>
          <w:sz w:val="24"/>
          <w:szCs w:val="24"/>
        </w:rPr>
        <w:t>The relational character of the framework is central. Governance cannot be inferred simply from the presence of particular actors or tools. An auditor, regulator, firm, professional association, or standards organization acquires institutional significance through the relationships in which it is positioned. The same actor can be regulator, regulated organization, intermediary, or beneficiary in different contexts. The same instrument can also contribute to very different architectures. An audit performed by a state inspectorate within a direct enforcement system differs structurally from an audit conducted by an accredited private organization whose decision determines market access. Relational coding therefore provides the bridge between legal content and institutional structure.</w:t>
      </w:r>
    </w:p>
    <w:p w14:paraId="390965DC" w14:textId="77777777" w:rsidR="00DF0AFA" w:rsidRPr="00115660" w:rsidRDefault="00DF0AFA" w:rsidP="00DF0AFA">
      <w:pPr>
        <w:spacing w:before="100" w:beforeAutospacing="1" w:afterAutospacing="1" w:line="276" w:lineRule="auto"/>
        <w:jc w:val="both"/>
        <w:rPr>
          <w:rFonts w:asciiTheme="majorBidi" w:eastAsia="Times New Roman" w:hAnsiTheme="majorBidi" w:cstheme="majorBidi"/>
          <w:sz w:val="24"/>
          <w:szCs w:val="24"/>
        </w:rPr>
      </w:pPr>
      <w:r w:rsidRPr="00115660">
        <w:rPr>
          <w:rFonts w:asciiTheme="majorBidi" w:eastAsia="Times New Roman" w:hAnsiTheme="majorBidi" w:cstheme="majorBidi"/>
          <w:sz w:val="24"/>
          <w:szCs w:val="24"/>
        </w:rPr>
        <w:t>Governance architecture should also be understood configurationally rather than categorically. Hierarchy, delegation, self-regulation, meta-regulation, enhanced self-regulation, accreditation-based assurance, network governance, multilevel governance, and polycentricity need not constitute mutually exclusive alternatives. They describe different structural properties that can coexist within the same legal system. One part of a law may be hierarchically enforced, another may allocate substantial discretion to regulated organizations, and another may rely upon external intermediaries for verification. The comparative task is therefore not simply to assign a single governance label to each law but to identify how governing functions and capacities are distributed across the relevant legal domain.</w:t>
      </w:r>
    </w:p>
    <w:p w14:paraId="38957FD7" w14:textId="77777777" w:rsidR="00DF0AFA" w:rsidRPr="00115660" w:rsidRDefault="00DF0AFA" w:rsidP="00DF0AFA">
      <w:pPr>
        <w:spacing w:before="100" w:beforeAutospacing="1" w:afterAutospacing="1" w:line="276" w:lineRule="auto"/>
        <w:jc w:val="both"/>
        <w:rPr>
          <w:rFonts w:asciiTheme="majorBidi" w:eastAsia="Times New Roman" w:hAnsiTheme="majorBidi" w:cstheme="majorBidi"/>
          <w:sz w:val="24"/>
          <w:szCs w:val="24"/>
        </w:rPr>
      </w:pPr>
      <w:r w:rsidRPr="00115660">
        <w:rPr>
          <w:rFonts w:asciiTheme="majorBidi" w:eastAsia="Times New Roman" w:hAnsiTheme="majorBidi" w:cstheme="majorBidi"/>
          <w:sz w:val="24"/>
          <w:szCs w:val="24"/>
        </w:rPr>
        <w:t xml:space="preserve">The analysis of regimes within regimes extends this configurational argument one step further. Regulatory regimes themselves may be nested, embedded, overlapping, layered, coupled, or cross-cutting. Some are formally constituted and explicitly named, while others are latent functional regimes visible only through reconstruction of the governance </w:t>
      </w:r>
      <w:proofErr w:type="gramStart"/>
      <w:r w:rsidRPr="00115660">
        <w:rPr>
          <w:rFonts w:asciiTheme="majorBidi" w:eastAsia="Times New Roman" w:hAnsiTheme="majorBidi" w:cstheme="majorBidi"/>
          <w:sz w:val="24"/>
          <w:szCs w:val="24"/>
        </w:rPr>
        <w:t>work</w:t>
      </w:r>
      <w:proofErr w:type="gramEnd"/>
      <w:r w:rsidRPr="00115660">
        <w:rPr>
          <w:rFonts w:asciiTheme="majorBidi" w:eastAsia="Times New Roman" w:hAnsiTheme="majorBidi" w:cstheme="majorBidi"/>
          <w:sz w:val="24"/>
          <w:szCs w:val="24"/>
        </w:rPr>
        <w:t xml:space="preserve"> they perform. A disclosure rule may simultaneously contribute to an information regime, an accountability regime, and a trust regime. Certification may be part of a conformity regime, an accreditation regime, and a broader market-access regime. The same legal relationships can therefore participate in more than one higher-order institutional configuration. </w:t>
      </w:r>
    </w:p>
    <w:p w14:paraId="5A56298E" w14:textId="77777777" w:rsidR="00DF0AFA" w:rsidRPr="00115660" w:rsidRDefault="00DF0AFA" w:rsidP="00DF0AFA">
      <w:pPr>
        <w:spacing w:before="100" w:beforeAutospacing="1" w:afterAutospacing="1" w:line="276" w:lineRule="auto"/>
        <w:jc w:val="both"/>
        <w:rPr>
          <w:rFonts w:asciiTheme="majorBidi" w:eastAsia="Times New Roman" w:hAnsiTheme="majorBidi" w:cstheme="majorBidi"/>
          <w:sz w:val="24"/>
          <w:szCs w:val="24"/>
        </w:rPr>
      </w:pPr>
      <w:r w:rsidRPr="00115660">
        <w:rPr>
          <w:rFonts w:asciiTheme="majorBidi" w:eastAsia="Times New Roman" w:hAnsiTheme="majorBidi" w:cstheme="majorBidi"/>
          <w:sz w:val="24"/>
          <w:szCs w:val="24"/>
        </w:rPr>
        <w:t xml:space="preserve">This observation has an important methodological implication: regime boundaries must themselves be treated as objects of inference. Legal location alone cannot determine regime membership. Nor should researchers infer the existence of a regime from an isolated instrument or function. Candidate regimes should be reconstructed configurationally from recurrent governance problems, relatively stable actor roles, structured relationships, decision procedures, monitoring or enforcement arrangements, and sufficient continuity and institutional coherence. The paper's proposed many-to-many coding structure follows from this point: the same legal observation may contribute to several regimes, and relations among those regimes should be recorded separately rather than forced into a single hierarchy. </w:t>
      </w:r>
    </w:p>
    <w:p w14:paraId="36850D3F" w14:textId="77777777" w:rsidR="00DF0AFA" w:rsidRPr="00115660" w:rsidRDefault="00DF0AFA" w:rsidP="00DF0AFA">
      <w:pPr>
        <w:spacing w:before="100" w:beforeAutospacing="1" w:afterAutospacing="1" w:line="276" w:lineRule="auto"/>
        <w:jc w:val="both"/>
        <w:rPr>
          <w:rFonts w:asciiTheme="majorBidi" w:eastAsia="Times New Roman" w:hAnsiTheme="majorBidi" w:cstheme="majorBidi"/>
          <w:sz w:val="24"/>
          <w:szCs w:val="24"/>
        </w:rPr>
      </w:pPr>
      <w:r w:rsidRPr="00115660">
        <w:rPr>
          <w:rFonts w:asciiTheme="majorBidi" w:eastAsia="Times New Roman" w:hAnsiTheme="majorBidi" w:cstheme="majorBidi"/>
          <w:sz w:val="24"/>
          <w:szCs w:val="24"/>
        </w:rPr>
        <w:t xml:space="preserve">The methodological contribution of the paper is relational leximetrics. Its distinctive feature is not greater textual granularity alone. Provision- and statement-level analysis improves precision but does not by itself reveal institutional organization. Relational leximetrics makes governance relationships an explicit unit of analysis and separates units of coding, analysis, and inference. Legal provisions provide the </w:t>
      </w:r>
      <w:r w:rsidRPr="00115660">
        <w:rPr>
          <w:rFonts w:asciiTheme="majorBidi" w:eastAsia="Times New Roman" w:hAnsiTheme="majorBidi" w:cstheme="majorBidi"/>
          <w:sz w:val="24"/>
          <w:szCs w:val="24"/>
        </w:rPr>
        <w:lastRenderedPageBreak/>
        <w:t>evidentiary anchors; relationships and relational attributes provide the analytical building blocks; configurations, architectures, and regimes constitute progressively higher-order objects of inference.</w:t>
      </w:r>
    </w:p>
    <w:p w14:paraId="2959E981" w14:textId="77777777" w:rsidR="00DF0AFA" w:rsidRPr="00115660" w:rsidRDefault="00DF0AFA" w:rsidP="00DF0AFA">
      <w:pPr>
        <w:spacing w:before="100" w:beforeAutospacing="1" w:afterAutospacing="1" w:line="276" w:lineRule="auto"/>
        <w:jc w:val="both"/>
        <w:rPr>
          <w:rFonts w:asciiTheme="majorBidi" w:eastAsia="Times New Roman" w:hAnsiTheme="majorBidi" w:cstheme="majorBidi"/>
          <w:sz w:val="24"/>
          <w:szCs w:val="24"/>
        </w:rPr>
      </w:pPr>
      <w:r w:rsidRPr="00115660">
        <w:rPr>
          <w:rFonts w:asciiTheme="majorBidi" w:eastAsia="Times New Roman" w:hAnsiTheme="majorBidi" w:cstheme="majorBidi"/>
          <w:sz w:val="24"/>
          <w:szCs w:val="24"/>
        </w:rPr>
        <w:t>This movement creates substantial methodological risks. Architectural claims cannot be inferred mechanically from frequency. A single mandatory certification provision may create a structurally indispensable gatekeeper, whereas many reporting requirements may have limited institutional consequence. The framework therefore distinguishes frequency from architectural significance, which can depend upon authority, centrality, exclusivity, sequence, consequence, and substitutability. It also identifies recurrent inferential errors: the atomistic fallacy of inferring architecture from a single provision; the ecological fallacy of attributing system-level properties to every component; the functional fallacy of equating formal assignment with effective performance; the implementation fallacy of treating legal design as operational practice; the frequency fallacy; and the container fallacy of assuming that all provisions within one statute form a single coherent architecture.</w:t>
      </w:r>
    </w:p>
    <w:p w14:paraId="795FB581" w14:textId="77777777" w:rsidR="00DF0AFA" w:rsidRPr="00115660" w:rsidRDefault="00DF0AFA" w:rsidP="00DF0AFA">
      <w:pPr>
        <w:spacing w:before="100" w:beforeAutospacing="1" w:afterAutospacing="1" w:line="276" w:lineRule="auto"/>
        <w:jc w:val="both"/>
        <w:rPr>
          <w:rFonts w:asciiTheme="majorBidi" w:eastAsia="Times New Roman" w:hAnsiTheme="majorBidi" w:cstheme="majorBidi"/>
          <w:sz w:val="24"/>
          <w:szCs w:val="24"/>
        </w:rPr>
      </w:pPr>
      <w:r w:rsidRPr="00115660">
        <w:rPr>
          <w:rFonts w:asciiTheme="majorBidi" w:eastAsia="Times New Roman" w:hAnsiTheme="majorBidi" w:cstheme="majorBidi"/>
          <w:sz w:val="24"/>
          <w:szCs w:val="24"/>
        </w:rPr>
        <w:t>Vertical traceability provides the principal safeguard against these errors. Every high-level classification should remain recoverable from the governance configurations, relationships, institutional statements, and legal provisions that support it. This allows alternative theoretical interpretations to be constructed from the same underlying legal evidence and is particularly important for machine-assisted coding. The associated stopping rule requires researchers to stop at the highest inferential level justified by available evidence rather than compelling every observation to support a regime- or architecture-level classification.</w:t>
      </w:r>
    </w:p>
    <w:p w14:paraId="67C3062E" w14:textId="77777777" w:rsidR="00DF0AFA" w:rsidRPr="00115660" w:rsidRDefault="00DF0AFA" w:rsidP="00DF0AFA">
      <w:pPr>
        <w:spacing w:before="100" w:beforeAutospacing="1" w:afterAutospacing="1" w:line="276" w:lineRule="auto"/>
        <w:jc w:val="both"/>
        <w:rPr>
          <w:rFonts w:asciiTheme="majorBidi" w:eastAsia="Times New Roman" w:hAnsiTheme="majorBidi" w:cstheme="majorBidi"/>
          <w:sz w:val="24"/>
          <w:szCs w:val="24"/>
        </w:rPr>
      </w:pPr>
      <w:r w:rsidRPr="00115660">
        <w:rPr>
          <w:rFonts w:asciiTheme="majorBidi" w:eastAsia="Times New Roman" w:hAnsiTheme="majorBidi" w:cstheme="majorBidi"/>
          <w:sz w:val="24"/>
          <w:szCs w:val="24"/>
        </w:rPr>
        <w:t>Intermediation illustrates the advantages of this approach. The number of intermediary actors or provisions reveals relatively little about their structural importance. Some perform optional or supportive functions; others exercise consequential authority or occupy legally indispensable gateways. Intermediation centrality therefore depends not only upon prevalence but upon functional breadth, authority, dependency, structural position, and regulatory embeddedness. More generally, relational leximetrics directs attention to one of the central questions of contemporary regulatory governance: where does law locate the work of governing?</w:t>
      </w:r>
    </w:p>
    <w:p w14:paraId="3FD0F757" w14:textId="77777777" w:rsidR="00DF0AFA" w:rsidRPr="00115660" w:rsidRDefault="00DF0AFA" w:rsidP="00DF0AFA">
      <w:pPr>
        <w:spacing w:before="100" w:beforeAutospacing="1" w:afterAutospacing="1" w:line="276" w:lineRule="auto"/>
        <w:jc w:val="both"/>
        <w:rPr>
          <w:rFonts w:asciiTheme="majorBidi" w:eastAsia="Times New Roman" w:hAnsiTheme="majorBidi" w:cstheme="majorBidi"/>
          <w:sz w:val="24"/>
          <w:szCs w:val="24"/>
        </w:rPr>
      </w:pPr>
      <w:r w:rsidRPr="00115660">
        <w:rPr>
          <w:rFonts w:asciiTheme="majorBidi" w:eastAsia="Times New Roman" w:hAnsiTheme="majorBidi" w:cstheme="majorBidi"/>
          <w:sz w:val="24"/>
          <w:szCs w:val="24"/>
        </w:rPr>
        <w:t>The framework also establishes a formal baseline for research on implementation. Formal legal architecture describes the arrangements constituted or recognized by law. Implementation architecture describes how organizations put those arrangements into effect, while operational architecture concerns the relationships through which governance actually occurs. Differences among these levels are theoretically significant. Delegated authority may remain unused; formally peripheral standards may become operationally indispensable; nominally decentralized systems may become centralized in practice; and private intermediaries may acquire greater or lesser importance than their statutory roles imply.</w:t>
      </w:r>
    </w:p>
    <w:p w14:paraId="4EAD9C45" w14:textId="77777777" w:rsidR="00DF0AFA" w:rsidRPr="00115660" w:rsidRDefault="00DF0AFA" w:rsidP="00DF0AFA">
      <w:pPr>
        <w:spacing w:before="100" w:beforeAutospacing="1" w:afterAutospacing="1" w:line="276" w:lineRule="auto"/>
        <w:jc w:val="both"/>
        <w:rPr>
          <w:rFonts w:asciiTheme="majorBidi" w:eastAsia="Times New Roman" w:hAnsiTheme="majorBidi" w:cstheme="majorBidi"/>
          <w:sz w:val="24"/>
          <w:szCs w:val="24"/>
        </w:rPr>
      </w:pPr>
      <w:r w:rsidRPr="00115660">
        <w:rPr>
          <w:rFonts w:asciiTheme="majorBidi" w:eastAsia="Times New Roman" w:hAnsiTheme="majorBidi" w:cstheme="majorBidi"/>
          <w:sz w:val="24"/>
          <w:szCs w:val="24"/>
        </w:rPr>
        <w:t xml:space="preserve">The resulting comparative research agenda is therefore broader than the coding of legal provisions. Relational leximetrics makes it possible to investigate whether jurisdictions construct different architectures for similar regulatory problems; whether particular configurations recur across sectors; whether governing functions migrate among public agencies, regulated organizations, intermediaries, and </w:t>
      </w:r>
      <w:r w:rsidRPr="00115660">
        <w:rPr>
          <w:rFonts w:asciiTheme="majorBidi" w:eastAsia="Times New Roman" w:hAnsiTheme="majorBidi" w:cstheme="majorBidi"/>
          <w:sz w:val="24"/>
          <w:szCs w:val="24"/>
        </w:rPr>
        <w:lastRenderedPageBreak/>
        <w:t>beneficiaries; how regulatory regimes incorporate or depend upon more specialized functional regimes; and how different institutional structures allocate authority, discretion, and accountability.</w:t>
      </w:r>
    </w:p>
    <w:p w14:paraId="7550F0D5" w14:textId="77777777" w:rsidR="00DF0AFA" w:rsidRPr="00115660" w:rsidRDefault="00DF0AFA" w:rsidP="00DF0AFA">
      <w:pPr>
        <w:spacing w:before="100" w:beforeAutospacing="1" w:afterAutospacing="1" w:line="276" w:lineRule="auto"/>
        <w:jc w:val="both"/>
        <w:rPr>
          <w:rFonts w:asciiTheme="majorBidi" w:eastAsia="Times New Roman" w:hAnsiTheme="majorBidi" w:cstheme="majorBidi"/>
          <w:sz w:val="24"/>
          <w:szCs w:val="24"/>
        </w:rPr>
      </w:pPr>
      <w:r w:rsidRPr="00115660">
        <w:rPr>
          <w:rFonts w:asciiTheme="majorBidi" w:eastAsia="Times New Roman" w:hAnsiTheme="majorBidi" w:cstheme="majorBidi"/>
          <w:sz w:val="24"/>
          <w:szCs w:val="24"/>
        </w:rPr>
        <w:t>The larger theoretical claim is straightforward. Law is not only a body of rules. It is an institutional technology for structuring governance. Regulatory regimes are the broader institutional systems within which governance occurs; governance architectures are the patterned structures through which those systems allocate governing work and capacity</w:t>
      </w:r>
      <w:r w:rsidRPr="00115660">
        <w:rPr>
          <w:rFonts w:asciiTheme="majorBidi" w:eastAsia="Times New Roman" w:hAnsiTheme="majorBidi" w:cstheme="majorBidi"/>
          <w:b/>
          <w:bCs/>
          <w:sz w:val="24"/>
          <w:szCs w:val="24"/>
        </w:rPr>
        <w:t>.</w:t>
      </w:r>
      <w:r w:rsidRPr="00115660">
        <w:rPr>
          <w:rFonts w:asciiTheme="majorBidi" w:eastAsia="Times New Roman" w:hAnsiTheme="majorBidi" w:cstheme="majorBidi"/>
          <w:sz w:val="24"/>
          <w:szCs w:val="24"/>
        </w:rPr>
        <w:t xml:space="preserve"> Law helps construct those structures by determining who interprets, implements, monitors, verifies, authorizes, certifies, reviews, and enforces; who exercises judgment; who must account for that judgment; and who governs those who themselves govern.</w:t>
      </w:r>
      <w:r>
        <w:rPr>
          <w:rFonts w:asciiTheme="majorBidi" w:eastAsia="Times New Roman" w:hAnsiTheme="majorBidi" w:cstheme="majorBidi"/>
          <w:sz w:val="24"/>
          <w:szCs w:val="24"/>
        </w:rPr>
        <w:t xml:space="preserve">  </w:t>
      </w:r>
      <w:r w:rsidRPr="00115660">
        <w:rPr>
          <w:rFonts w:asciiTheme="majorBidi" w:eastAsia="Times New Roman" w:hAnsiTheme="majorBidi" w:cstheme="majorBidi"/>
          <w:sz w:val="24"/>
          <w:szCs w:val="24"/>
        </w:rPr>
        <w:t>Making those relationships observable permits comparative legal analysis to move beyond the familiar questions of how much societies regulate and what they regulate toward a complementary question:</w:t>
      </w:r>
      <w:r>
        <w:rPr>
          <w:rFonts w:asciiTheme="majorBidi" w:eastAsia="Times New Roman" w:hAnsiTheme="majorBidi" w:cstheme="majorBidi"/>
          <w:sz w:val="24"/>
          <w:szCs w:val="24"/>
        </w:rPr>
        <w:t xml:space="preserve"> </w:t>
      </w:r>
      <w:r w:rsidRPr="00115660">
        <w:rPr>
          <w:rFonts w:asciiTheme="majorBidi" w:eastAsia="Times New Roman" w:hAnsiTheme="majorBidi" w:cstheme="majorBidi"/>
          <w:sz w:val="24"/>
          <w:szCs w:val="24"/>
        </w:rPr>
        <w:t>How does law structure the architecture of regulatory governance?</w:t>
      </w:r>
    </w:p>
    <w:p w14:paraId="02F5A119" w14:textId="6FDD6E5E" w:rsidR="00CB41FD" w:rsidRDefault="00CB41FD" w:rsidP="00CB41FD">
      <w:pPr>
        <w:pStyle w:val="NormalWeb"/>
      </w:pPr>
    </w:p>
    <w:p w14:paraId="5156292C" w14:textId="71764C55" w:rsidR="00A71381" w:rsidRDefault="00A71381" w:rsidP="00A71381">
      <w:pPr>
        <w:spacing w:line="276" w:lineRule="auto"/>
        <w:jc w:val="both"/>
        <w:rPr>
          <w:rFonts w:asciiTheme="majorBidi" w:hAnsiTheme="majorBidi" w:cstheme="majorBidi"/>
          <w:sz w:val="24"/>
          <w:szCs w:val="24"/>
        </w:rPr>
      </w:pPr>
    </w:p>
    <w:p w14:paraId="0E331633" w14:textId="6A65FA8C" w:rsidR="00A71381" w:rsidRPr="006C4FF1" w:rsidRDefault="00094FA3" w:rsidP="00A71381">
      <w:pPr>
        <w:rPr>
          <w:rFonts w:asciiTheme="majorBidi" w:hAnsiTheme="majorBidi" w:cstheme="majorBidi"/>
          <w:b/>
          <w:bCs/>
          <w:sz w:val="24"/>
          <w:szCs w:val="24"/>
        </w:rPr>
      </w:pPr>
      <w:r w:rsidRPr="006C4FF1">
        <w:rPr>
          <w:rFonts w:asciiTheme="majorBidi" w:hAnsiTheme="majorBidi" w:cstheme="majorBidi"/>
          <w:b/>
          <w:bCs/>
          <w:sz w:val="24"/>
          <w:szCs w:val="24"/>
        </w:rPr>
        <w:t xml:space="preserve">Bibliography </w:t>
      </w:r>
    </w:p>
    <w:p w14:paraId="67373600"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Abbott, K.W., </w:t>
      </w:r>
      <w:proofErr w:type="spellStart"/>
      <w:r w:rsidRPr="005A3BC0">
        <w:rPr>
          <w:rFonts w:asciiTheme="majorBidi" w:eastAsia="Times New Roman" w:hAnsiTheme="majorBidi" w:cstheme="majorBidi"/>
          <w:sz w:val="22"/>
          <w:lang w:bidi="he-IL"/>
        </w:rPr>
        <w:t>Genschel</w:t>
      </w:r>
      <w:proofErr w:type="spellEnd"/>
      <w:r w:rsidRPr="005A3BC0">
        <w:rPr>
          <w:rFonts w:asciiTheme="majorBidi" w:eastAsia="Times New Roman" w:hAnsiTheme="majorBidi" w:cstheme="majorBidi"/>
          <w:sz w:val="22"/>
          <w:lang w:bidi="he-IL"/>
        </w:rPr>
        <w:t xml:space="preserve">, P., Snidal, D. and </w:t>
      </w:r>
      <w:proofErr w:type="spellStart"/>
      <w:r w:rsidRPr="005A3BC0">
        <w:rPr>
          <w:rFonts w:asciiTheme="majorBidi" w:eastAsia="Times New Roman" w:hAnsiTheme="majorBidi" w:cstheme="majorBidi"/>
          <w:sz w:val="22"/>
          <w:lang w:bidi="he-IL"/>
        </w:rPr>
        <w:t>Zangl</w:t>
      </w:r>
      <w:proofErr w:type="spellEnd"/>
      <w:r w:rsidRPr="005A3BC0">
        <w:rPr>
          <w:rFonts w:asciiTheme="majorBidi" w:eastAsia="Times New Roman" w:hAnsiTheme="majorBidi" w:cstheme="majorBidi"/>
          <w:sz w:val="22"/>
          <w:lang w:bidi="he-IL"/>
        </w:rPr>
        <w:t xml:space="preserve">, B. (2015) ‘Two logics of indirect governance: delegation and orchestration’, </w:t>
      </w:r>
      <w:r w:rsidRPr="005A3BC0">
        <w:rPr>
          <w:rFonts w:asciiTheme="majorBidi" w:eastAsia="Times New Roman" w:hAnsiTheme="majorBidi" w:cstheme="majorBidi"/>
          <w:i/>
          <w:iCs/>
          <w:sz w:val="22"/>
          <w:lang w:bidi="he-IL"/>
        </w:rPr>
        <w:t>British Journal of Political Science</w:t>
      </w:r>
      <w:r w:rsidRPr="005A3BC0">
        <w:rPr>
          <w:rFonts w:asciiTheme="majorBidi" w:eastAsia="Times New Roman" w:hAnsiTheme="majorBidi" w:cstheme="majorBidi"/>
          <w:sz w:val="22"/>
          <w:lang w:bidi="he-IL"/>
        </w:rPr>
        <w:t>, 46(4), pp. 719–729.</w:t>
      </w:r>
    </w:p>
    <w:p w14:paraId="4C1F78F6"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Abbott, K.W., Levi-Faur, D. and Snidal, D. (2017) ‘Theorizing regulatory intermediaries: the RIT model’, </w:t>
      </w:r>
      <w:r w:rsidRPr="005A3BC0">
        <w:rPr>
          <w:rFonts w:asciiTheme="majorBidi" w:eastAsia="Times New Roman" w:hAnsiTheme="majorBidi" w:cstheme="majorBidi"/>
          <w:i/>
          <w:iCs/>
          <w:sz w:val="22"/>
          <w:lang w:bidi="he-IL"/>
        </w:rPr>
        <w:t>The ANNALS of the American Academy of Political and Social Science</w:t>
      </w:r>
      <w:r w:rsidRPr="005A3BC0">
        <w:rPr>
          <w:rFonts w:asciiTheme="majorBidi" w:eastAsia="Times New Roman" w:hAnsiTheme="majorBidi" w:cstheme="majorBidi"/>
          <w:sz w:val="22"/>
          <w:lang w:bidi="he-IL"/>
        </w:rPr>
        <w:t>, 670(1), pp. 14–35.</w:t>
      </w:r>
    </w:p>
    <w:p w14:paraId="6E7062D6"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Abbott, K.W., </w:t>
      </w:r>
      <w:proofErr w:type="spellStart"/>
      <w:r w:rsidRPr="005A3BC0">
        <w:rPr>
          <w:rFonts w:asciiTheme="majorBidi" w:eastAsia="Times New Roman" w:hAnsiTheme="majorBidi" w:cstheme="majorBidi"/>
          <w:sz w:val="22"/>
          <w:lang w:bidi="he-IL"/>
        </w:rPr>
        <w:t>Genschel</w:t>
      </w:r>
      <w:proofErr w:type="spellEnd"/>
      <w:r w:rsidRPr="005A3BC0">
        <w:rPr>
          <w:rFonts w:asciiTheme="majorBidi" w:eastAsia="Times New Roman" w:hAnsiTheme="majorBidi" w:cstheme="majorBidi"/>
          <w:sz w:val="22"/>
          <w:lang w:bidi="he-IL"/>
        </w:rPr>
        <w:t xml:space="preserve">, P., Snidal, D. and </w:t>
      </w:r>
      <w:proofErr w:type="spellStart"/>
      <w:r w:rsidRPr="005A3BC0">
        <w:rPr>
          <w:rFonts w:asciiTheme="majorBidi" w:eastAsia="Times New Roman" w:hAnsiTheme="majorBidi" w:cstheme="majorBidi"/>
          <w:sz w:val="22"/>
          <w:lang w:bidi="he-IL"/>
        </w:rPr>
        <w:t>Zangl</w:t>
      </w:r>
      <w:proofErr w:type="spellEnd"/>
      <w:r w:rsidRPr="005A3BC0">
        <w:rPr>
          <w:rFonts w:asciiTheme="majorBidi" w:eastAsia="Times New Roman" w:hAnsiTheme="majorBidi" w:cstheme="majorBidi"/>
          <w:sz w:val="22"/>
          <w:lang w:bidi="he-IL"/>
        </w:rPr>
        <w:t xml:space="preserve">, B. (2020) </w:t>
      </w:r>
      <w:r w:rsidRPr="005A3BC0">
        <w:rPr>
          <w:rFonts w:asciiTheme="majorBidi" w:eastAsia="Times New Roman" w:hAnsiTheme="majorBidi" w:cstheme="majorBidi"/>
          <w:i/>
          <w:iCs/>
          <w:sz w:val="22"/>
          <w:lang w:bidi="he-IL"/>
        </w:rPr>
        <w:t>The Governor’s Dilemma: Indirect Governance Beyond Principals and Agents</w:t>
      </w:r>
      <w:r w:rsidRPr="005A3BC0">
        <w:rPr>
          <w:rFonts w:asciiTheme="majorBidi" w:eastAsia="Times New Roman" w:hAnsiTheme="majorBidi" w:cstheme="majorBidi"/>
          <w:sz w:val="22"/>
          <w:lang w:bidi="he-IL"/>
        </w:rPr>
        <w:t>. Oxford: Oxford University Press.</w:t>
      </w:r>
    </w:p>
    <w:p w14:paraId="688C940A"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Adams, Z., </w:t>
      </w:r>
      <w:proofErr w:type="spellStart"/>
      <w:r w:rsidRPr="005A3BC0">
        <w:rPr>
          <w:rFonts w:asciiTheme="majorBidi" w:eastAsia="Times New Roman" w:hAnsiTheme="majorBidi" w:cstheme="majorBidi"/>
          <w:sz w:val="22"/>
          <w:lang w:bidi="he-IL"/>
        </w:rPr>
        <w:t>Bastani</w:t>
      </w:r>
      <w:proofErr w:type="spellEnd"/>
      <w:r w:rsidRPr="005A3BC0">
        <w:rPr>
          <w:rFonts w:asciiTheme="majorBidi" w:eastAsia="Times New Roman" w:hAnsiTheme="majorBidi" w:cstheme="majorBidi"/>
          <w:sz w:val="22"/>
          <w:lang w:bidi="he-IL"/>
        </w:rPr>
        <w:t xml:space="preserve">, P., Bishop, L. and Deakin, S. (2017) ‘The CBR-LRI dataset: methods, properties and potential of </w:t>
      </w:r>
      <w:proofErr w:type="spellStart"/>
      <w:r w:rsidRPr="005A3BC0">
        <w:rPr>
          <w:rFonts w:asciiTheme="majorBidi" w:eastAsia="Times New Roman" w:hAnsiTheme="majorBidi" w:cstheme="majorBidi"/>
          <w:sz w:val="22"/>
          <w:lang w:bidi="he-IL"/>
        </w:rPr>
        <w:t>leximetric</w:t>
      </w:r>
      <w:proofErr w:type="spellEnd"/>
      <w:r w:rsidRPr="005A3BC0">
        <w:rPr>
          <w:rFonts w:asciiTheme="majorBidi" w:eastAsia="Times New Roman" w:hAnsiTheme="majorBidi" w:cstheme="majorBidi"/>
          <w:sz w:val="22"/>
          <w:lang w:bidi="he-IL"/>
        </w:rPr>
        <w:t xml:space="preserve"> coding of </w:t>
      </w:r>
      <w:proofErr w:type="spellStart"/>
      <w:r w:rsidRPr="005A3BC0">
        <w:rPr>
          <w:rFonts w:asciiTheme="majorBidi" w:eastAsia="Times New Roman" w:hAnsiTheme="majorBidi" w:cstheme="majorBidi"/>
          <w:sz w:val="22"/>
          <w:lang w:bidi="he-IL"/>
        </w:rPr>
        <w:t>labour</w:t>
      </w:r>
      <w:proofErr w:type="spellEnd"/>
      <w:r w:rsidRPr="005A3BC0">
        <w:rPr>
          <w:rFonts w:asciiTheme="majorBidi" w:eastAsia="Times New Roman" w:hAnsiTheme="majorBidi" w:cstheme="majorBidi"/>
          <w:sz w:val="22"/>
          <w:lang w:bidi="he-IL"/>
        </w:rPr>
        <w:t xml:space="preserve"> laws’, </w:t>
      </w:r>
      <w:r w:rsidRPr="005A3BC0">
        <w:rPr>
          <w:rFonts w:asciiTheme="majorBidi" w:eastAsia="Times New Roman" w:hAnsiTheme="majorBidi" w:cstheme="majorBidi"/>
          <w:i/>
          <w:iCs/>
          <w:sz w:val="22"/>
          <w:lang w:bidi="he-IL"/>
        </w:rPr>
        <w:t xml:space="preserve">International Journal of Comparative </w:t>
      </w:r>
      <w:proofErr w:type="spellStart"/>
      <w:r w:rsidRPr="005A3BC0">
        <w:rPr>
          <w:rFonts w:asciiTheme="majorBidi" w:eastAsia="Times New Roman" w:hAnsiTheme="majorBidi" w:cstheme="majorBidi"/>
          <w:i/>
          <w:iCs/>
          <w:sz w:val="22"/>
          <w:lang w:bidi="he-IL"/>
        </w:rPr>
        <w:t>Labour</w:t>
      </w:r>
      <w:proofErr w:type="spellEnd"/>
      <w:r w:rsidRPr="005A3BC0">
        <w:rPr>
          <w:rFonts w:asciiTheme="majorBidi" w:eastAsia="Times New Roman" w:hAnsiTheme="majorBidi" w:cstheme="majorBidi"/>
          <w:i/>
          <w:iCs/>
          <w:sz w:val="22"/>
          <w:lang w:bidi="he-IL"/>
        </w:rPr>
        <w:t xml:space="preserve"> Law and Industrial Relations</w:t>
      </w:r>
      <w:r w:rsidRPr="005A3BC0">
        <w:rPr>
          <w:rFonts w:asciiTheme="majorBidi" w:eastAsia="Times New Roman" w:hAnsiTheme="majorBidi" w:cstheme="majorBidi"/>
          <w:sz w:val="22"/>
          <w:lang w:bidi="he-IL"/>
        </w:rPr>
        <w:t>, 33(1), pp. 59–91.</w:t>
      </w:r>
    </w:p>
    <w:p w14:paraId="74183DD7"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Adcock, R. and Collier, D. (2001) ‘Measurement validity: a shared standard for qualitative and quantitative research’, </w:t>
      </w:r>
      <w:r w:rsidRPr="005A3BC0">
        <w:rPr>
          <w:rFonts w:asciiTheme="majorBidi" w:eastAsia="Times New Roman" w:hAnsiTheme="majorBidi" w:cstheme="majorBidi"/>
          <w:i/>
          <w:iCs/>
          <w:sz w:val="22"/>
          <w:lang w:bidi="he-IL"/>
        </w:rPr>
        <w:t>American Political Science Review</w:t>
      </w:r>
      <w:r w:rsidRPr="005A3BC0">
        <w:rPr>
          <w:rFonts w:asciiTheme="majorBidi" w:eastAsia="Times New Roman" w:hAnsiTheme="majorBidi" w:cstheme="majorBidi"/>
          <w:sz w:val="22"/>
          <w:lang w:bidi="he-IL"/>
        </w:rPr>
        <w:t>, 95(3), pp. 529–546.</w:t>
      </w:r>
    </w:p>
    <w:p w14:paraId="610944C2"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Al-</w:t>
      </w:r>
      <w:proofErr w:type="spellStart"/>
      <w:r w:rsidRPr="005A3BC0">
        <w:rPr>
          <w:rFonts w:asciiTheme="majorBidi" w:eastAsia="Times New Roman" w:hAnsiTheme="majorBidi" w:cstheme="majorBidi"/>
          <w:sz w:val="22"/>
          <w:lang w:bidi="he-IL"/>
        </w:rPr>
        <w:t>Ubaydli</w:t>
      </w:r>
      <w:proofErr w:type="spellEnd"/>
      <w:r w:rsidRPr="005A3BC0">
        <w:rPr>
          <w:rFonts w:asciiTheme="majorBidi" w:eastAsia="Times New Roman" w:hAnsiTheme="majorBidi" w:cstheme="majorBidi"/>
          <w:sz w:val="22"/>
          <w:lang w:bidi="he-IL"/>
        </w:rPr>
        <w:t>, O. and McLaughlin, P.A. (2017) ‘</w:t>
      </w:r>
      <w:proofErr w:type="spellStart"/>
      <w:r w:rsidRPr="005A3BC0">
        <w:rPr>
          <w:rFonts w:asciiTheme="majorBidi" w:eastAsia="Times New Roman" w:hAnsiTheme="majorBidi" w:cstheme="majorBidi"/>
          <w:sz w:val="22"/>
          <w:lang w:bidi="he-IL"/>
        </w:rPr>
        <w:t>RegData</w:t>
      </w:r>
      <w:proofErr w:type="spellEnd"/>
      <w:r w:rsidRPr="005A3BC0">
        <w:rPr>
          <w:rFonts w:asciiTheme="majorBidi" w:eastAsia="Times New Roman" w:hAnsiTheme="majorBidi" w:cstheme="majorBidi"/>
          <w:sz w:val="22"/>
          <w:lang w:bidi="he-IL"/>
        </w:rPr>
        <w:t xml:space="preserve">: a numerical database on industry-specific regulations for all United States industries, 1997–2012’, </w:t>
      </w:r>
      <w:r w:rsidRPr="005A3BC0">
        <w:rPr>
          <w:rFonts w:asciiTheme="majorBidi" w:eastAsia="Times New Roman" w:hAnsiTheme="majorBidi" w:cstheme="majorBidi"/>
          <w:i/>
          <w:iCs/>
          <w:sz w:val="22"/>
          <w:lang w:bidi="he-IL"/>
        </w:rPr>
        <w:t>Regulation &amp; Governance</w:t>
      </w:r>
      <w:r w:rsidRPr="005A3BC0">
        <w:rPr>
          <w:rFonts w:asciiTheme="majorBidi" w:eastAsia="Times New Roman" w:hAnsiTheme="majorBidi" w:cstheme="majorBidi"/>
          <w:sz w:val="22"/>
          <w:lang w:bidi="he-IL"/>
        </w:rPr>
        <w:t>, 11(1), pp. 109–123.</w:t>
      </w:r>
    </w:p>
    <w:p w14:paraId="3B9FB6CB"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proofErr w:type="spellStart"/>
      <w:r w:rsidRPr="005A3BC0">
        <w:rPr>
          <w:rFonts w:asciiTheme="majorBidi" w:eastAsia="Times New Roman" w:hAnsiTheme="majorBidi" w:cstheme="majorBidi"/>
          <w:sz w:val="22"/>
          <w:lang w:bidi="he-IL"/>
        </w:rPr>
        <w:t>Armour</w:t>
      </w:r>
      <w:proofErr w:type="spellEnd"/>
      <w:r w:rsidRPr="005A3BC0">
        <w:rPr>
          <w:rFonts w:asciiTheme="majorBidi" w:eastAsia="Times New Roman" w:hAnsiTheme="majorBidi" w:cstheme="majorBidi"/>
          <w:sz w:val="22"/>
          <w:lang w:bidi="he-IL"/>
        </w:rPr>
        <w:t xml:space="preserve">, J., Deakin, S. and </w:t>
      </w:r>
      <w:proofErr w:type="spellStart"/>
      <w:r w:rsidRPr="005A3BC0">
        <w:rPr>
          <w:rFonts w:asciiTheme="majorBidi" w:eastAsia="Times New Roman" w:hAnsiTheme="majorBidi" w:cstheme="majorBidi"/>
          <w:sz w:val="22"/>
          <w:lang w:bidi="he-IL"/>
        </w:rPr>
        <w:t>Siems</w:t>
      </w:r>
      <w:proofErr w:type="spellEnd"/>
      <w:r w:rsidRPr="005A3BC0">
        <w:rPr>
          <w:rFonts w:asciiTheme="majorBidi" w:eastAsia="Times New Roman" w:hAnsiTheme="majorBidi" w:cstheme="majorBidi"/>
          <w:sz w:val="22"/>
          <w:lang w:bidi="he-IL"/>
        </w:rPr>
        <w:t xml:space="preserve">, M. (2016) </w:t>
      </w:r>
      <w:r w:rsidRPr="005A3BC0">
        <w:rPr>
          <w:rFonts w:asciiTheme="majorBidi" w:eastAsia="Times New Roman" w:hAnsiTheme="majorBidi" w:cstheme="majorBidi"/>
          <w:i/>
          <w:iCs/>
          <w:sz w:val="22"/>
          <w:lang w:bidi="he-IL"/>
        </w:rPr>
        <w:t xml:space="preserve">CBR </w:t>
      </w:r>
      <w:proofErr w:type="spellStart"/>
      <w:r w:rsidRPr="005A3BC0">
        <w:rPr>
          <w:rFonts w:asciiTheme="majorBidi" w:eastAsia="Times New Roman" w:hAnsiTheme="majorBidi" w:cstheme="majorBidi"/>
          <w:i/>
          <w:iCs/>
          <w:sz w:val="22"/>
          <w:lang w:bidi="he-IL"/>
        </w:rPr>
        <w:t>Leximetric</w:t>
      </w:r>
      <w:proofErr w:type="spellEnd"/>
      <w:r w:rsidRPr="005A3BC0">
        <w:rPr>
          <w:rFonts w:asciiTheme="majorBidi" w:eastAsia="Times New Roman" w:hAnsiTheme="majorBidi" w:cstheme="majorBidi"/>
          <w:i/>
          <w:iCs/>
          <w:sz w:val="22"/>
          <w:lang w:bidi="he-IL"/>
        </w:rPr>
        <w:t xml:space="preserve"> Datasets</w:t>
      </w:r>
      <w:r w:rsidRPr="005A3BC0">
        <w:rPr>
          <w:rFonts w:asciiTheme="majorBidi" w:eastAsia="Times New Roman" w:hAnsiTheme="majorBidi" w:cstheme="majorBidi"/>
          <w:sz w:val="22"/>
          <w:lang w:bidi="he-IL"/>
        </w:rPr>
        <w:t>. Cambridge: Centre for Business Research, University of Cambridge.</w:t>
      </w:r>
    </w:p>
    <w:p w14:paraId="79346E4C"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Ayres, I. and Braithwaite, J. (1992) </w:t>
      </w:r>
      <w:r w:rsidRPr="005A3BC0">
        <w:rPr>
          <w:rFonts w:asciiTheme="majorBidi" w:eastAsia="Times New Roman" w:hAnsiTheme="majorBidi" w:cstheme="majorBidi"/>
          <w:i/>
          <w:iCs/>
          <w:sz w:val="22"/>
          <w:lang w:bidi="he-IL"/>
        </w:rPr>
        <w:t>Responsive Regulation: Transcending the Deregulation Debate</w:t>
      </w:r>
      <w:r w:rsidRPr="005A3BC0">
        <w:rPr>
          <w:rFonts w:asciiTheme="majorBidi" w:eastAsia="Times New Roman" w:hAnsiTheme="majorBidi" w:cstheme="majorBidi"/>
          <w:sz w:val="22"/>
          <w:lang w:bidi="he-IL"/>
        </w:rPr>
        <w:t>. New York: Oxford University Press.</w:t>
      </w:r>
    </w:p>
    <w:p w14:paraId="6B7850AB"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Baldwin, R., Cave, M. and Lodge, M. (2012) </w:t>
      </w:r>
      <w:r w:rsidRPr="005A3BC0">
        <w:rPr>
          <w:rFonts w:asciiTheme="majorBidi" w:eastAsia="Times New Roman" w:hAnsiTheme="majorBidi" w:cstheme="majorBidi"/>
          <w:i/>
          <w:iCs/>
          <w:sz w:val="22"/>
          <w:lang w:bidi="he-IL"/>
        </w:rPr>
        <w:t>Understanding Regulation: Theory, Strategy, and Practice</w:t>
      </w:r>
      <w:r w:rsidRPr="005A3BC0">
        <w:rPr>
          <w:rFonts w:asciiTheme="majorBidi" w:eastAsia="Times New Roman" w:hAnsiTheme="majorBidi" w:cstheme="majorBidi"/>
          <w:sz w:val="22"/>
          <w:lang w:bidi="he-IL"/>
        </w:rPr>
        <w:t xml:space="preserve">. 2nd </w:t>
      </w:r>
      <w:proofErr w:type="spellStart"/>
      <w:r w:rsidRPr="005A3BC0">
        <w:rPr>
          <w:rFonts w:asciiTheme="majorBidi" w:eastAsia="Times New Roman" w:hAnsiTheme="majorBidi" w:cstheme="majorBidi"/>
          <w:sz w:val="22"/>
          <w:lang w:bidi="he-IL"/>
        </w:rPr>
        <w:t>edn</w:t>
      </w:r>
      <w:proofErr w:type="spellEnd"/>
      <w:r w:rsidRPr="005A3BC0">
        <w:rPr>
          <w:rFonts w:asciiTheme="majorBidi" w:eastAsia="Times New Roman" w:hAnsiTheme="majorBidi" w:cstheme="majorBidi"/>
          <w:sz w:val="22"/>
          <w:lang w:bidi="he-IL"/>
        </w:rPr>
        <w:t>. Oxford: Oxford University Press.</w:t>
      </w:r>
    </w:p>
    <w:p w14:paraId="01BBA217"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Black, J. (1996) ‘</w:t>
      </w:r>
      <w:proofErr w:type="spellStart"/>
      <w:r w:rsidRPr="005A3BC0">
        <w:rPr>
          <w:rFonts w:asciiTheme="majorBidi" w:eastAsia="Times New Roman" w:hAnsiTheme="majorBidi" w:cstheme="majorBidi"/>
          <w:sz w:val="22"/>
          <w:lang w:bidi="he-IL"/>
        </w:rPr>
        <w:t>Constitutionalising</w:t>
      </w:r>
      <w:proofErr w:type="spellEnd"/>
      <w:r w:rsidRPr="005A3BC0">
        <w:rPr>
          <w:rFonts w:asciiTheme="majorBidi" w:eastAsia="Times New Roman" w:hAnsiTheme="majorBidi" w:cstheme="majorBidi"/>
          <w:sz w:val="22"/>
          <w:lang w:bidi="he-IL"/>
        </w:rPr>
        <w:t xml:space="preserve"> self-regulation’, </w:t>
      </w:r>
      <w:r w:rsidRPr="005A3BC0">
        <w:rPr>
          <w:rFonts w:asciiTheme="majorBidi" w:eastAsia="Times New Roman" w:hAnsiTheme="majorBidi" w:cstheme="majorBidi"/>
          <w:i/>
          <w:iCs/>
          <w:sz w:val="22"/>
          <w:lang w:bidi="he-IL"/>
        </w:rPr>
        <w:t>Modern Law Review</w:t>
      </w:r>
      <w:r w:rsidRPr="005A3BC0">
        <w:rPr>
          <w:rFonts w:asciiTheme="majorBidi" w:eastAsia="Times New Roman" w:hAnsiTheme="majorBidi" w:cstheme="majorBidi"/>
          <w:sz w:val="22"/>
          <w:lang w:bidi="he-IL"/>
        </w:rPr>
        <w:t>, 59(1), pp. 24–55.</w:t>
      </w:r>
    </w:p>
    <w:p w14:paraId="16460A79"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lastRenderedPageBreak/>
        <w:t>Black, J. (2001) ‘</w:t>
      </w:r>
      <w:proofErr w:type="spellStart"/>
      <w:r w:rsidRPr="005A3BC0">
        <w:rPr>
          <w:rFonts w:asciiTheme="majorBidi" w:eastAsia="Times New Roman" w:hAnsiTheme="majorBidi" w:cstheme="majorBidi"/>
          <w:sz w:val="22"/>
          <w:lang w:bidi="he-IL"/>
        </w:rPr>
        <w:t>Decentring</w:t>
      </w:r>
      <w:proofErr w:type="spellEnd"/>
      <w:r w:rsidRPr="005A3BC0">
        <w:rPr>
          <w:rFonts w:asciiTheme="majorBidi" w:eastAsia="Times New Roman" w:hAnsiTheme="majorBidi" w:cstheme="majorBidi"/>
          <w:sz w:val="22"/>
          <w:lang w:bidi="he-IL"/>
        </w:rPr>
        <w:t xml:space="preserve"> regulation: understanding the role of regulation and self-regulation in a post-regulatory world’, </w:t>
      </w:r>
      <w:r w:rsidRPr="005A3BC0">
        <w:rPr>
          <w:rFonts w:asciiTheme="majorBidi" w:eastAsia="Times New Roman" w:hAnsiTheme="majorBidi" w:cstheme="majorBidi"/>
          <w:i/>
          <w:iCs/>
          <w:sz w:val="22"/>
          <w:lang w:bidi="he-IL"/>
        </w:rPr>
        <w:t>Current Legal Problems</w:t>
      </w:r>
      <w:r w:rsidRPr="005A3BC0">
        <w:rPr>
          <w:rFonts w:asciiTheme="majorBidi" w:eastAsia="Times New Roman" w:hAnsiTheme="majorBidi" w:cstheme="majorBidi"/>
          <w:sz w:val="22"/>
          <w:lang w:bidi="he-IL"/>
        </w:rPr>
        <w:t>, 54(1), pp. 103–146.</w:t>
      </w:r>
    </w:p>
    <w:p w14:paraId="180C8DB1"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Black, J. (2002) ‘Critical reflections on regulation’, </w:t>
      </w:r>
      <w:r w:rsidRPr="005A3BC0">
        <w:rPr>
          <w:rFonts w:asciiTheme="majorBidi" w:eastAsia="Times New Roman" w:hAnsiTheme="majorBidi" w:cstheme="majorBidi"/>
          <w:i/>
          <w:iCs/>
          <w:sz w:val="22"/>
          <w:lang w:bidi="he-IL"/>
        </w:rPr>
        <w:t>Australian Journal of Legal Philosophy</w:t>
      </w:r>
      <w:r w:rsidRPr="005A3BC0">
        <w:rPr>
          <w:rFonts w:asciiTheme="majorBidi" w:eastAsia="Times New Roman" w:hAnsiTheme="majorBidi" w:cstheme="majorBidi"/>
          <w:sz w:val="22"/>
          <w:lang w:bidi="he-IL"/>
        </w:rPr>
        <w:t>, 27, pp. 1–35.</w:t>
      </w:r>
    </w:p>
    <w:p w14:paraId="34A47F97"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Black, J. and Baldwin, R. (2010) ‘Really responsive risk-based regulation’, </w:t>
      </w:r>
      <w:r w:rsidRPr="005A3BC0">
        <w:rPr>
          <w:rFonts w:asciiTheme="majorBidi" w:eastAsia="Times New Roman" w:hAnsiTheme="majorBidi" w:cstheme="majorBidi"/>
          <w:i/>
          <w:iCs/>
          <w:sz w:val="22"/>
          <w:lang w:bidi="he-IL"/>
        </w:rPr>
        <w:t>Law &amp; Policy</w:t>
      </w:r>
      <w:r w:rsidRPr="005A3BC0">
        <w:rPr>
          <w:rFonts w:asciiTheme="majorBidi" w:eastAsia="Times New Roman" w:hAnsiTheme="majorBidi" w:cstheme="majorBidi"/>
          <w:sz w:val="22"/>
          <w:lang w:bidi="he-IL"/>
        </w:rPr>
        <w:t>, 32(2), pp. 181–213.</w:t>
      </w:r>
    </w:p>
    <w:p w14:paraId="25BF97DA"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proofErr w:type="spellStart"/>
      <w:r w:rsidRPr="005A3BC0">
        <w:rPr>
          <w:rFonts w:asciiTheme="majorBidi" w:eastAsia="Times New Roman" w:hAnsiTheme="majorBidi" w:cstheme="majorBidi"/>
          <w:sz w:val="22"/>
          <w:lang w:bidi="he-IL"/>
        </w:rPr>
        <w:t>Bovens</w:t>
      </w:r>
      <w:proofErr w:type="spellEnd"/>
      <w:r w:rsidRPr="005A3BC0">
        <w:rPr>
          <w:rFonts w:asciiTheme="majorBidi" w:eastAsia="Times New Roman" w:hAnsiTheme="majorBidi" w:cstheme="majorBidi"/>
          <w:sz w:val="22"/>
          <w:lang w:bidi="he-IL"/>
        </w:rPr>
        <w:t>, M. (2007) ‘</w:t>
      </w:r>
      <w:proofErr w:type="spellStart"/>
      <w:r w:rsidRPr="005A3BC0">
        <w:rPr>
          <w:rFonts w:asciiTheme="majorBidi" w:eastAsia="Times New Roman" w:hAnsiTheme="majorBidi" w:cstheme="majorBidi"/>
          <w:sz w:val="22"/>
          <w:lang w:bidi="he-IL"/>
        </w:rPr>
        <w:t>Analysing</w:t>
      </w:r>
      <w:proofErr w:type="spellEnd"/>
      <w:r w:rsidRPr="005A3BC0">
        <w:rPr>
          <w:rFonts w:asciiTheme="majorBidi" w:eastAsia="Times New Roman" w:hAnsiTheme="majorBidi" w:cstheme="majorBidi"/>
          <w:sz w:val="22"/>
          <w:lang w:bidi="he-IL"/>
        </w:rPr>
        <w:t xml:space="preserve"> and assessing accountability: a conceptual framework’, </w:t>
      </w:r>
      <w:r w:rsidRPr="005A3BC0">
        <w:rPr>
          <w:rFonts w:asciiTheme="majorBidi" w:eastAsia="Times New Roman" w:hAnsiTheme="majorBidi" w:cstheme="majorBidi"/>
          <w:i/>
          <w:iCs/>
          <w:sz w:val="22"/>
          <w:lang w:bidi="he-IL"/>
        </w:rPr>
        <w:t>European Law Journal</w:t>
      </w:r>
      <w:r w:rsidRPr="005A3BC0">
        <w:rPr>
          <w:rFonts w:asciiTheme="majorBidi" w:eastAsia="Times New Roman" w:hAnsiTheme="majorBidi" w:cstheme="majorBidi"/>
          <w:sz w:val="22"/>
          <w:lang w:bidi="he-IL"/>
        </w:rPr>
        <w:t>, 13(4), pp. 447–468.</w:t>
      </w:r>
    </w:p>
    <w:p w14:paraId="4231516C"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Coglianese, C. and </w:t>
      </w:r>
      <w:proofErr w:type="spellStart"/>
      <w:r w:rsidRPr="005A3BC0">
        <w:rPr>
          <w:rFonts w:asciiTheme="majorBidi" w:eastAsia="Times New Roman" w:hAnsiTheme="majorBidi" w:cstheme="majorBidi"/>
          <w:sz w:val="22"/>
          <w:lang w:bidi="he-IL"/>
        </w:rPr>
        <w:t>Lazer</w:t>
      </w:r>
      <w:proofErr w:type="spellEnd"/>
      <w:r w:rsidRPr="005A3BC0">
        <w:rPr>
          <w:rFonts w:asciiTheme="majorBidi" w:eastAsia="Times New Roman" w:hAnsiTheme="majorBidi" w:cstheme="majorBidi"/>
          <w:sz w:val="22"/>
          <w:lang w:bidi="he-IL"/>
        </w:rPr>
        <w:t xml:space="preserve">, D. (2003) ‘Management-based regulation: prescribing private management to achieve public goals’, </w:t>
      </w:r>
      <w:r w:rsidRPr="005A3BC0">
        <w:rPr>
          <w:rFonts w:asciiTheme="majorBidi" w:eastAsia="Times New Roman" w:hAnsiTheme="majorBidi" w:cstheme="majorBidi"/>
          <w:i/>
          <w:iCs/>
          <w:sz w:val="22"/>
          <w:lang w:bidi="he-IL"/>
        </w:rPr>
        <w:t>Law &amp; Society Review</w:t>
      </w:r>
      <w:r w:rsidRPr="005A3BC0">
        <w:rPr>
          <w:rFonts w:asciiTheme="majorBidi" w:eastAsia="Times New Roman" w:hAnsiTheme="majorBidi" w:cstheme="majorBidi"/>
          <w:sz w:val="22"/>
          <w:lang w:bidi="he-IL"/>
        </w:rPr>
        <w:t>, 37(4), pp. 691–730.</w:t>
      </w:r>
    </w:p>
    <w:p w14:paraId="790D8428"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Coglianese, C., Nash, J. and Olmstead, T. (2003) ‘Performance-based regulation: prospects and limitations in health, safety, and environmental protection’, </w:t>
      </w:r>
      <w:r w:rsidRPr="005A3BC0">
        <w:rPr>
          <w:rFonts w:asciiTheme="majorBidi" w:eastAsia="Times New Roman" w:hAnsiTheme="majorBidi" w:cstheme="majorBidi"/>
          <w:i/>
          <w:iCs/>
          <w:sz w:val="22"/>
          <w:lang w:bidi="he-IL"/>
        </w:rPr>
        <w:t>Administrative Law Review</w:t>
      </w:r>
      <w:r w:rsidRPr="005A3BC0">
        <w:rPr>
          <w:rFonts w:asciiTheme="majorBidi" w:eastAsia="Times New Roman" w:hAnsiTheme="majorBidi" w:cstheme="majorBidi"/>
          <w:sz w:val="22"/>
          <w:lang w:bidi="he-IL"/>
        </w:rPr>
        <w:t>, 55, pp. 705–729.</w:t>
      </w:r>
    </w:p>
    <w:p w14:paraId="1693F044"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Comparative Constitutions Project (n.d.) </w:t>
      </w:r>
      <w:r w:rsidRPr="005A3BC0">
        <w:rPr>
          <w:rFonts w:asciiTheme="majorBidi" w:eastAsia="Times New Roman" w:hAnsiTheme="majorBidi" w:cstheme="majorBidi"/>
          <w:i/>
          <w:iCs/>
          <w:sz w:val="22"/>
          <w:lang w:bidi="he-IL"/>
        </w:rPr>
        <w:t>Research Design: Cataloging the Contents of Constitutions</w:t>
      </w:r>
      <w:r w:rsidRPr="005A3BC0">
        <w:rPr>
          <w:rFonts w:asciiTheme="majorBidi" w:eastAsia="Times New Roman" w:hAnsiTheme="majorBidi" w:cstheme="majorBidi"/>
          <w:sz w:val="22"/>
          <w:lang w:bidi="he-IL"/>
        </w:rPr>
        <w:t>. Comparative Constitutions Project.</w:t>
      </w:r>
    </w:p>
    <w:p w14:paraId="44750C63"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Crawford, S.E.S. and Ostrom, E. (1995) ‘A grammar of institutions’, </w:t>
      </w:r>
      <w:r w:rsidRPr="005A3BC0">
        <w:rPr>
          <w:rFonts w:asciiTheme="majorBidi" w:eastAsia="Times New Roman" w:hAnsiTheme="majorBidi" w:cstheme="majorBidi"/>
          <w:i/>
          <w:iCs/>
          <w:sz w:val="22"/>
          <w:lang w:bidi="he-IL"/>
        </w:rPr>
        <w:t>American Political Science Review</w:t>
      </w:r>
      <w:r w:rsidRPr="005A3BC0">
        <w:rPr>
          <w:rFonts w:asciiTheme="majorBidi" w:eastAsia="Times New Roman" w:hAnsiTheme="majorBidi" w:cstheme="majorBidi"/>
          <w:sz w:val="22"/>
          <w:lang w:bidi="he-IL"/>
        </w:rPr>
        <w:t>, 89(3), pp. 582–600.</w:t>
      </w:r>
    </w:p>
    <w:p w14:paraId="596907D5"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proofErr w:type="spellStart"/>
      <w:r w:rsidRPr="005A3BC0">
        <w:rPr>
          <w:rFonts w:asciiTheme="majorBidi" w:eastAsia="Times New Roman" w:hAnsiTheme="majorBidi" w:cstheme="majorBidi"/>
          <w:sz w:val="22"/>
          <w:lang w:bidi="he-IL"/>
        </w:rPr>
        <w:t>Damonte</w:t>
      </w:r>
      <w:proofErr w:type="spellEnd"/>
      <w:r w:rsidRPr="005A3BC0">
        <w:rPr>
          <w:rFonts w:asciiTheme="majorBidi" w:eastAsia="Times New Roman" w:hAnsiTheme="majorBidi" w:cstheme="majorBidi"/>
          <w:sz w:val="22"/>
          <w:lang w:bidi="he-IL"/>
        </w:rPr>
        <w:t xml:space="preserve">, A. and </w:t>
      </w:r>
      <w:proofErr w:type="spellStart"/>
      <w:r w:rsidRPr="005A3BC0">
        <w:rPr>
          <w:rFonts w:asciiTheme="majorBidi" w:eastAsia="Times New Roman" w:hAnsiTheme="majorBidi" w:cstheme="majorBidi"/>
          <w:sz w:val="22"/>
          <w:lang w:bidi="he-IL"/>
        </w:rPr>
        <w:t>Bazzan</w:t>
      </w:r>
      <w:proofErr w:type="spellEnd"/>
      <w:r w:rsidRPr="005A3BC0">
        <w:rPr>
          <w:rFonts w:asciiTheme="majorBidi" w:eastAsia="Times New Roman" w:hAnsiTheme="majorBidi" w:cstheme="majorBidi"/>
          <w:sz w:val="22"/>
          <w:lang w:bidi="he-IL"/>
        </w:rPr>
        <w:t xml:space="preserve">, G. (2024) ‘Rules as data’, </w:t>
      </w:r>
      <w:r w:rsidRPr="005A3BC0">
        <w:rPr>
          <w:rFonts w:asciiTheme="majorBidi" w:eastAsia="Times New Roman" w:hAnsiTheme="majorBidi" w:cstheme="majorBidi"/>
          <w:i/>
          <w:iCs/>
          <w:sz w:val="22"/>
          <w:lang w:bidi="he-IL"/>
        </w:rPr>
        <w:t>Regulation &amp; Governance</w:t>
      </w:r>
      <w:r w:rsidRPr="005A3BC0">
        <w:rPr>
          <w:rFonts w:asciiTheme="majorBidi" w:eastAsia="Times New Roman" w:hAnsiTheme="majorBidi" w:cstheme="majorBidi"/>
          <w:sz w:val="22"/>
          <w:lang w:bidi="he-IL"/>
        </w:rPr>
        <w:t>, 18(3), pp. 657–673.</w:t>
      </w:r>
    </w:p>
    <w:p w14:paraId="2D5E565D"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Davis, K.C. (1969) </w:t>
      </w:r>
      <w:r w:rsidRPr="005A3BC0">
        <w:rPr>
          <w:rFonts w:asciiTheme="majorBidi" w:eastAsia="Times New Roman" w:hAnsiTheme="majorBidi" w:cstheme="majorBidi"/>
          <w:i/>
          <w:iCs/>
          <w:sz w:val="22"/>
          <w:lang w:bidi="he-IL"/>
        </w:rPr>
        <w:t>Discretionary Justice: A Preliminary Inquiry</w:t>
      </w:r>
      <w:r w:rsidRPr="005A3BC0">
        <w:rPr>
          <w:rFonts w:asciiTheme="majorBidi" w:eastAsia="Times New Roman" w:hAnsiTheme="majorBidi" w:cstheme="majorBidi"/>
          <w:sz w:val="22"/>
          <w:lang w:bidi="he-IL"/>
        </w:rPr>
        <w:t>. Baton Rouge: Louisiana State University Press.</w:t>
      </w:r>
    </w:p>
    <w:p w14:paraId="1723FB6A"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Edelman, L.B., </w:t>
      </w:r>
      <w:proofErr w:type="spellStart"/>
      <w:r w:rsidRPr="005A3BC0">
        <w:rPr>
          <w:rFonts w:asciiTheme="majorBidi" w:eastAsia="Times New Roman" w:hAnsiTheme="majorBidi" w:cstheme="majorBidi"/>
          <w:sz w:val="22"/>
          <w:lang w:bidi="he-IL"/>
        </w:rPr>
        <w:t>Uggen</w:t>
      </w:r>
      <w:proofErr w:type="spellEnd"/>
      <w:r w:rsidRPr="005A3BC0">
        <w:rPr>
          <w:rFonts w:asciiTheme="majorBidi" w:eastAsia="Times New Roman" w:hAnsiTheme="majorBidi" w:cstheme="majorBidi"/>
          <w:sz w:val="22"/>
          <w:lang w:bidi="he-IL"/>
        </w:rPr>
        <w:t xml:space="preserve">, C. and Erlanger, H.S. (1999) ‘The endogeneity of legal regulation: grievance procedures as rational myth’, </w:t>
      </w:r>
      <w:r w:rsidRPr="005A3BC0">
        <w:rPr>
          <w:rFonts w:asciiTheme="majorBidi" w:eastAsia="Times New Roman" w:hAnsiTheme="majorBidi" w:cstheme="majorBidi"/>
          <w:i/>
          <w:iCs/>
          <w:sz w:val="22"/>
          <w:lang w:bidi="he-IL"/>
        </w:rPr>
        <w:t>American Journal of Sociology</w:t>
      </w:r>
      <w:r w:rsidRPr="005A3BC0">
        <w:rPr>
          <w:rFonts w:asciiTheme="majorBidi" w:eastAsia="Times New Roman" w:hAnsiTheme="majorBidi" w:cstheme="majorBidi"/>
          <w:sz w:val="22"/>
          <w:lang w:bidi="he-IL"/>
        </w:rPr>
        <w:t>, 105(2), pp. 406–454.</w:t>
      </w:r>
    </w:p>
    <w:p w14:paraId="5A70CBE0"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Elkins, Z., Ginsburg, T. and Melton, J. (2009) </w:t>
      </w:r>
      <w:r w:rsidRPr="005A3BC0">
        <w:rPr>
          <w:rFonts w:asciiTheme="majorBidi" w:eastAsia="Times New Roman" w:hAnsiTheme="majorBidi" w:cstheme="majorBidi"/>
          <w:i/>
          <w:iCs/>
          <w:sz w:val="22"/>
          <w:lang w:bidi="he-IL"/>
        </w:rPr>
        <w:t>The Endurance of National Constitutions</w:t>
      </w:r>
      <w:r w:rsidRPr="005A3BC0">
        <w:rPr>
          <w:rFonts w:asciiTheme="majorBidi" w:eastAsia="Times New Roman" w:hAnsiTheme="majorBidi" w:cstheme="majorBidi"/>
          <w:sz w:val="22"/>
          <w:lang w:bidi="he-IL"/>
        </w:rPr>
        <w:t>. Cambridge: Cambridge University Press.</w:t>
      </w:r>
    </w:p>
    <w:p w14:paraId="344A3D52"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Franchino, F., </w:t>
      </w:r>
      <w:proofErr w:type="spellStart"/>
      <w:r w:rsidRPr="005A3BC0">
        <w:rPr>
          <w:rFonts w:asciiTheme="majorBidi" w:eastAsia="Times New Roman" w:hAnsiTheme="majorBidi" w:cstheme="majorBidi"/>
          <w:sz w:val="22"/>
          <w:lang w:bidi="he-IL"/>
        </w:rPr>
        <w:t>Migliorati</w:t>
      </w:r>
      <w:proofErr w:type="spellEnd"/>
      <w:r w:rsidRPr="005A3BC0">
        <w:rPr>
          <w:rFonts w:asciiTheme="majorBidi" w:eastAsia="Times New Roman" w:hAnsiTheme="majorBidi" w:cstheme="majorBidi"/>
          <w:sz w:val="22"/>
          <w:lang w:bidi="he-IL"/>
        </w:rPr>
        <w:t xml:space="preserve">, M., Pagano, G. and </w:t>
      </w:r>
      <w:proofErr w:type="spellStart"/>
      <w:r w:rsidRPr="005A3BC0">
        <w:rPr>
          <w:rFonts w:asciiTheme="majorBidi" w:eastAsia="Times New Roman" w:hAnsiTheme="majorBidi" w:cstheme="majorBidi"/>
          <w:sz w:val="22"/>
          <w:lang w:bidi="he-IL"/>
        </w:rPr>
        <w:t>Vignoli</w:t>
      </w:r>
      <w:proofErr w:type="spellEnd"/>
      <w:r w:rsidRPr="005A3BC0">
        <w:rPr>
          <w:rFonts w:asciiTheme="majorBidi" w:eastAsia="Times New Roman" w:hAnsiTheme="majorBidi" w:cstheme="majorBidi"/>
          <w:sz w:val="22"/>
          <w:lang w:bidi="he-IL"/>
        </w:rPr>
        <w:t xml:space="preserve">, V. (2024) ‘Concepts and measures of bureaucratic constraints in European Union laws from hand-coding to machine-learning’, </w:t>
      </w:r>
      <w:r w:rsidRPr="005A3BC0">
        <w:rPr>
          <w:rFonts w:asciiTheme="majorBidi" w:eastAsia="Times New Roman" w:hAnsiTheme="majorBidi" w:cstheme="majorBidi"/>
          <w:i/>
          <w:iCs/>
          <w:sz w:val="22"/>
          <w:lang w:bidi="he-IL"/>
        </w:rPr>
        <w:t>Regulation &amp; Governance</w:t>
      </w:r>
      <w:r w:rsidRPr="005A3BC0">
        <w:rPr>
          <w:rFonts w:asciiTheme="majorBidi" w:eastAsia="Times New Roman" w:hAnsiTheme="majorBidi" w:cstheme="majorBidi"/>
          <w:sz w:val="22"/>
          <w:lang w:bidi="he-IL"/>
        </w:rPr>
        <w:t>, 18(3), pp. 688–703.</w:t>
      </w:r>
    </w:p>
    <w:p w14:paraId="1F1F50AD"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Frantz, C.K. and </w:t>
      </w:r>
      <w:proofErr w:type="spellStart"/>
      <w:r w:rsidRPr="005A3BC0">
        <w:rPr>
          <w:rFonts w:asciiTheme="majorBidi" w:eastAsia="Times New Roman" w:hAnsiTheme="majorBidi" w:cstheme="majorBidi"/>
          <w:sz w:val="22"/>
          <w:lang w:bidi="he-IL"/>
        </w:rPr>
        <w:t>Siddiki</w:t>
      </w:r>
      <w:proofErr w:type="spellEnd"/>
      <w:r w:rsidRPr="005A3BC0">
        <w:rPr>
          <w:rFonts w:asciiTheme="majorBidi" w:eastAsia="Times New Roman" w:hAnsiTheme="majorBidi" w:cstheme="majorBidi"/>
          <w:sz w:val="22"/>
          <w:lang w:bidi="he-IL"/>
        </w:rPr>
        <w:t xml:space="preserve">, S.N. (2021) ‘Institutional Grammar 2.0: a specification for encoding and analyzing institutional design’, </w:t>
      </w:r>
      <w:r w:rsidRPr="005A3BC0">
        <w:rPr>
          <w:rFonts w:asciiTheme="majorBidi" w:eastAsia="Times New Roman" w:hAnsiTheme="majorBidi" w:cstheme="majorBidi"/>
          <w:i/>
          <w:iCs/>
          <w:sz w:val="22"/>
          <w:lang w:bidi="he-IL"/>
        </w:rPr>
        <w:t>Public Administration</w:t>
      </w:r>
      <w:r w:rsidRPr="005A3BC0">
        <w:rPr>
          <w:rFonts w:asciiTheme="majorBidi" w:eastAsia="Times New Roman" w:hAnsiTheme="majorBidi" w:cstheme="majorBidi"/>
          <w:sz w:val="22"/>
          <w:lang w:bidi="he-IL"/>
        </w:rPr>
        <w:t>, 99(2), pp. 222–247.</w:t>
      </w:r>
    </w:p>
    <w:p w14:paraId="0F66C72E"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Frantz, C.K. and </w:t>
      </w:r>
      <w:proofErr w:type="spellStart"/>
      <w:r w:rsidRPr="005A3BC0">
        <w:rPr>
          <w:rFonts w:asciiTheme="majorBidi" w:eastAsia="Times New Roman" w:hAnsiTheme="majorBidi" w:cstheme="majorBidi"/>
          <w:sz w:val="22"/>
          <w:lang w:bidi="he-IL"/>
        </w:rPr>
        <w:t>Siddiki</w:t>
      </w:r>
      <w:proofErr w:type="spellEnd"/>
      <w:r w:rsidRPr="005A3BC0">
        <w:rPr>
          <w:rFonts w:asciiTheme="majorBidi" w:eastAsia="Times New Roman" w:hAnsiTheme="majorBidi" w:cstheme="majorBidi"/>
          <w:sz w:val="22"/>
          <w:lang w:bidi="he-IL"/>
        </w:rPr>
        <w:t xml:space="preserve">, S.N. (2022) </w:t>
      </w:r>
      <w:r w:rsidRPr="005A3BC0">
        <w:rPr>
          <w:rFonts w:asciiTheme="majorBidi" w:eastAsia="Times New Roman" w:hAnsiTheme="majorBidi" w:cstheme="majorBidi"/>
          <w:i/>
          <w:iCs/>
          <w:sz w:val="22"/>
          <w:lang w:bidi="he-IL"/>
        </w:rPr>
        <w:t>Institutional Grammar: Foundations and Applications for Institutional Analysis</w:t>
      </w:r>
      <w:r w:rsidRPr="005A3BC0">
        <w:rPr>
          <w:rFonts w:asciiTheme="majorBidi" w:eastAsia="Times New Roman" w:hAnsiTheme="majorBidi" w:cstheme="majorBidi"/>
          <w:sz w:val="22"/>
          <w:lang w:bidi="he-IL"/>
        </w:rPr>
        <w:t>. Cham: Palgrave Macmillan.</w:t>
      </w:r>
    </w:p>
    <w:p w14:paraId="74F3EA60"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Galligan, D.J. (1986) </w:t>
      </w:r>
      <w:r w:rsidRPr="005A3BC0">
        <w:rPr>
          <w:rFonts w:asciiTheme="majorBidi" w:eastAsia="Times New Roman" w:hAnsiTheme="majorBidi" w:cstheme="majorBidi"/>
          <w:i/>
          <w:iCs/>
          <w:sz w:val="22"/>
          <w:lang w:bidi="he-IL"/>
        </w:rPr>
        <w:t>Discretionary Powers: A Legal Study of Official Discretion</w:t>
      </w:r>
      <w:r w:rsidRPr="005A3BC0">
        <w:rPr>
          <w:rFonts w:asciiTheme="majorBidi" w:eastAsia="Times New Roman" w:hAnsiTheme="majorBidi" w:cstheme="majorBidi"/>
          <w:sz w:val="22"/>
          <w:lang w:bidi="he-IL"/>
        </w:rPr>
        <w:t>. Oxford: Clarendon Press.</w:t>
      </w:r>
    </w:p>
    <w:p w14:paraId="4C736DB2"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Gilad, S. (2010) ‘It runs in the family: meta-regulation and its siblings’, </w:t>
      </w:r>
      <w:r w:rsidRPr="005A3BC0">
        <w:rPr>
          <w:rFonts w:asciiTheme="majorBidi" w:eastAsia="Times New Roman" w:hAnsiTheme="majorBidi" w:cstheme="majorBidi"/>
          <w:i/>
          <w:iCs/>
          <w:sz w:val="22"/>
          <w:lang w:bidi="he-IL"/>
        </w:rPr>
        <w:t>Regulation &amp; Governance</w:t>
      </w:r>
      <w:r w:rsidRPr="005A3BC0">
        <w:rPr>
          <w:rFonts w:asciiTheme="majorBidi" w:eastAsia="Times New Roman" w:hAnsiTheme="majorBidi" w:cstheme="majorBidi"/>
          <w:sz w:val="22"/>
          <w:lang w:bidi="he-IL"/>
        </w:rPr>
        <w:t>, 4(4), pp. 485–506.</w:t>
      </w:r>
    </w:p>
    <w:p w14:paraId="03441338"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Gunningham, N. and Rees, J. (1997) ‘Industry self-regulation: an institutional perspective’, </w:t>
      </w:r>
      <w:r w:rsidRPr="005A3BC0">
        <w:rPr>
          <w:rFonts w:asciiTheme="majorBidi" w:eastAsia="Times New Roman" w:hAnsiTheme="majorBidi" w:cstheme="majorBidi"/>
          <w:i/>
          <w:iCs/>
          <w:sz w:val="22"/>
          <w:lang w:bidi="he-IL"/>
        </w:rPr>
        <w:t>Law &amp; Policy</w:t>
      </w:r>
      <w:r w:rsidRPr="005A3BC0">
        <w:rPr>
          <w:rFonts w:asciiTheme="majorBidi" w:eastAsia="Times New Roman" w:hAnsiTheme="majorBidi" w:cstheme="majorBidi"/>
          <w:sz w:val="22"/>
          <w:lang w:bidi="he-IL"/>
        </w:rPr>
        <w:t>, 19(4), pp. 363–414.</w:t>
      </w:r>
    </w:p>
    <w:p w14:paraId="65A1FEBE"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lastRenderedPageBreak/>
        <w:t xml:space="preserve">Gunningham, N., </w:t>
      </w:r>
      <w:proofErr w:type="spellStart"/>
      <w:r w:rsidRPr="005A3BC0">
        <w:rPr>
          <w:rFonts w:asciiTheme="majorBidi" w:eastAsia="Times New Roman" w:hAnsiTheme="majorBidi" w:cstheme="majorBidi"/>
          <w:sz w:val="22"/>
          <w:lang w:bidi="he-IL"/>
        </w:rPr>
        <w:t>Grabosky</w:t>
      </w:r>
      <w:proofErr w:type="spellEnd"/>
      <w:r w:rsidRPr="005A3BC0">
        <w:rPr>
          <w:rFonts w:asciiTheme="majorBidi" w:eastAsia="Times New Roman" w:hAnsiTheme="majorBidi" w:cstheme="majorBidi"/>
          <w:sz w:val="22"/>
          <w:lang w:bidi="he-IL"/>
        </w:rPr>
        <w:t xml:space="preserve">, P. and Sinclair, D. (1998) </w:t>
      </w:r>
      <w:r w:rsidRPr="005A3BC0">
        <w:rPr>
          <w:rFonts w:asciiTheme="majorBidi" w:eastAsia="Times New Roman" w:hAnsiTheme="majorBidi" w:cstheme="majorBidi"/>
          <w:i/>
          <w:iCs/>
          <w:sz w:val="22"/>
          <w:lang w:bidi="he-IL"/>
        </w:rPr>
        <w:t>Smart Regulation: Designing Environmental Policy</w:t>
      </w:r>
      <w:r w:rsidRPr="005A3BC0">
        <w:rPr>
          <w:rFonts w:asciiTheme="majorBidi" w:eastAsia="Times New Roman" w:hAnsiTheme="majorBidi" w:cstheme="majorBidi"/>
          <w:sz w:val="22"/>
          <w:lang w:bidi="he-IL"/>
        </w:rPr>
        <w:t>. Oxford: Clarendon Press.</w:t>
      </w:r>
    </w:p>
    <w:p w14:paraId="12B6B018"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Hall, P.A. and Soskice, D. (eds) (2001) </w:t>
      </w:r>
      <w:r w:rsidRPr="005A3BC0">
        <w:rPr>
          <w:rFonts w:asciiTheme="majorBidi" w:eastAsia="Times New Roman" w:hAnsiTheme="majorBidi" w:cstheme="majorBidi"/>
          <w:i/>
          <w:iCs/>
          <w:sz w:val="22"/>
          <w:lang w:bidi="he-IL"/>
        </w:rPr>
        <w:t>Varieties of Capitalism: The Institutional Foundations of Comparative Advantage</w:t>
      </w:r>
      <w:r w:rsidRPr="005A3BC0">
        <w:rPr>
          <w:rFonts w:asciiTheme="majorBidi" w:eastAsia="Times New Roman" w:hAnsiTheme="majorBidi" w:cstheme="majorBidi"/>
          <w:sz w:val="22"/>
          <w:lang w:bidi="he-IL"/>
        </w:rPr>
        <w:t>. Oxford: Oxford University Press.</w:t>
      </w:r>
    </w:p>
    <w:p w14:paraId="058E56DF"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Hawkins, K. (ed.) (1992) </w:t>
      </w:r>
      <w:r w:rsidRPr="005A3BC0">
        <w:rPr>
          <w:rFonts w:asciiTheme="majorBidi" w:eastAsia="Times New Roman" w:hAnsiTheme="majorBidi" w:cstheme="majorBidi"/>
          <w:i/>
          <w:iCs/>
          <w:sz w:val="22"/>
          <w:lang w:bidi="he-IL"/>
        </w:rPr>
        <w:t>The Uses of Discretion</w:t>
      </w:r>
      <w:r w:rsidRPr="005A3BC0">
        <w:rPr>
          <w:rFonts w:asciiTheme="majorBidi" w:eastAsia="Times New Roman" w:hAnsiTheme="majorBidi" w:cstheme="majorBidi"/>
          <w:sz w:val="22"/>
          <w:lang w:bidi="he-IL"/>
        </w:rPr>
        <w:t>. Oxford: Clarendon Press.</w:t>
      </w:r>
    </w:p>
    <w:p w14:paraId="40A76DCC"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Hood, C. (1983) </w:t>
      </w:r>
      <w:r w:rsidRPr="005A3BC0">
        <w:rPr>
          <w:rFonts w:asciiTheme="majorBidi" w:eastAsia="Times New Roman" w:hAnsiTheme="majorBidi" w:cstheme="majorBidi"/>
          <w:i/>
          <w:iCs/>
          <w:sz w:val="22"/>
          <w:lang w:bidi="he-IL"/>
        </w:rPr>
        <w:t>The Tools of Government</w:t>
      </w:r>
      <w:r w:rsidRPr="005A3BC0">
        <w:rPr>
          <w:rFonts w:asciiTheme="majorBidi" w:eastAsia="Times New Roman" w:hAnsiTheme="majorBidi" w:cstheme="majorBidi"/>
          <w:sz w:val="22"/>
          <w:lang w:bidi="he-IL"/>
        </w:rPr>
        <w:t>. London: Macmillan.</w:t>
      </w:r>
    </w:p>
    <w:p w14:paraId="722BFB34"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Hood, C., James, O., Jones, G., Scott, C. and Travers, T. (1999) </w:t>
      </w:r>
      <w:r w:rsidRPr="005A3BC0">
        <w:rPr>
          <w:rFonts w:asciiTheme="majorBidi" w:eastAsia="Times New Roman" w:hAnsiTheme="majorBidi" w:cstheme="majorBidi"/>
          <w:i/>
          <w:iCs/>
          <w:sz w:val="22"/>
          <w:lang w:bidi="he-IL"/>
        </w:rPr>
        <w:t xml:space="preserve">Regulation Inside Government: Waste-Watchers, Quality Police, and </w:t>
      </w:r>
      <w:proofErr w:type="spellStart"/>
      <w:r w:rsidRPr="005A3BC0">
        <w:rPr>
          <w:rFonts w:asciiTheme="majorBidi" w:eastAsia="Times New Roman" w:hAnsiTheme="majorBidi" w:cstheme="majorBidi"/>
          <w:i/>
          <w:iCs/>
          <w:sz w:val="22"/>
          <w:lang w:bidi="he-IL"/>
        </w:rPr>
        <w:t>Sleazebusters</w:t>
      </w:r>
      <w:proofErr w:type="spellEnd"/>
      <w:r w:rsidRPr="005A3BC0">
        <w:rPr>
          <w:rFonts w:asciiTheme="majorBidi" w:eastAsia="Times New Roman" w:hAnsiTheme="majorBidi" w:cstheme="majorBidi"/>
          <w:sz w:val="22"/>
          <w:lang w:bidi="he-IL"/>
        </w:rPr>
        <w:t>. Oxford: Oxford University Press.</w:t>
      </w:r>
    </w:p>
    <w:p w14:paraId="1C5100C4"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Howlett, M. and Rayner, J. (2007) ‘Design principles for policy mixes: cohesion and coherence in “new governance arrangements”’, </w:t>
      </w:r>
      <w:r w:rsidRPr="005A3BC0">
        <w:rPr>
          <w:rFonts w:asciiTheme="majorBidi" w:eastAsia="Times New Roman" w:hAnsiTheme="majorBidi" w:cstheme="majorBidi"/>
          <w:i/>
          <w:iCs/>
          <w:sz w:val="22"/>
          <w:lang w:bidi="he-IL"/>
        </w:rPr>
        <w:t>Policy and Society</w:t>
      </w:r>
      <w:r w:rsidRPr="005A3BC0">
        <w:rPr>
          <w:rFonts w:asciiTheme="majorBidi" w:eastAsia="Times New Roman" w:hAnsiTheme="majorBidi" w:cstheme="majorBidi"/>
          <w:sz w:val="22"/>
          <w:lang w:bidi="he-IL"/>
        </w:rPr>
        <w:t>, 26(4), pp. 1–18.</w:t>
      </w:r>
    </w:p>
    <w:p w14:paraId="6A9710E1"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Howlett, M. (2010) </w:t>
      </w:r>
      <w:r w:rsidRPr="005A3BC0">
        <w:rPr>
          <w:rFonts w:asciiTheme="majorBidi" w:eastAsia="Times New Roman" w:hAnsiTheme="majorBidi" w:cstheme="majorBidi"/>
          <w:i/>
          <w:iCs/>
          <w:sz w:val="22"/>
          <w:lang w:bidi="he-IL"/>
        </w:rPr>
        <w:t>Designing Public Policies: Principles and Instruments</w:t>
      </w:r>
      <w:r w:rsidRPr="005A3BC0">
        <w:rPr>
          <w:rFonts w:asciiTheme="majorBidi" w:eastAsia="Times New Roman" w:hAnsiTheme="majorBidi" w:cstheme="majorBidi"/>
          <w:sz w:val="22"/>
          <w:lang w:bidi="he-IL"/>
        </w:rPr>
        <w:t>. London: Routledge.</w:t>
      </w:r>
    </w:p>
    <w:p w14:paraId="406F71FD"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Huber, J.D. and </w:t>
      </w:r>
      <w:proofErr w:type="spellStart"/>
      <w:r w:rsidRPr="005A3BC0">
        <w:rPr>
          <w:rFonts w:asciiTheme="majorBidi" w:eastAsia="Times New Roman" w:hAnsiTheme="majorBidi" w:cstheme="majorBidi"/>
          <w:sz w:val="22"/>
          <w:lang w:bidi="he-IL"/>
        </w:rPr>
        <w:t>Shipan</w:t>
      </w:r>
      <w:proofErr w:type="spellEnd"/>
      <w:r w:rsidRPr="005A3BC0">
        <w:rPr>
          <w:rFonts w:asciiTheme="majorBidi" w:eastAsia="Times New Roman" w:hAnsiTheme="majorBidi" w:cstheme="majorBidi"/>
          <w:sz w:val="22"/>
          <w:lang w:bidi="he-IL"/>
        </w:rPr>
        <w:t xml:space="preserve">, C.R. (2002) </w:t>
      </w:r>
      <w:r w:rsidRPr="005A3BC0">
        <w:rPr>
          <w:rFonts w:asciiTheme="majorBidi" w:eastAsia="Times New Roman" w:hAnsiTheme="majorBidi" w:cstheme="majorBidi"/>
          <w:i/>
          <w:iCs/>
          <w:sz w:val="22"/>
          <w:lang w:bidi="he-IL"/>
        </w:rPr>
        <w:t>Deliberate Discretion? The Institutional Foundations of Bureaucratic Autonomy</w:t>
      </w:r>
      <w:r w:rsidRPr="005A3BC0">
        <w:rPr>
          <w:rFonts w:asciiTheme="majorBidi" w:eastAsia="Times New Roman" w:hAnsiTheme="majorBidi" w:cstheme="majorBidi"/>
          <w:sz w:val="22"/>
          <w:lang w:bidi="he-IL"/>
        </w:rPr>
        <w:t>. Cambridge: Cambridge University Press.</w:t>
      </w:r>
    </w:p>
    <w:p w14:paraId="0E74C01E"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International </w:t>
      </w:r>
      <w:proofErr w:type="spellStart"/>
      <w:r w:rsidRPr="005A3BC0">
        <w:rPr>
          <w:rFonts w:asciiTheme="majorBidi" w:eastAsia="Times New Roman" w:hAnsiTheme="majorBidi" w:cstheme="majorBidi"/>
          <w:sz w:val="22"/>
          <w:lang w:bidi="he-IL"/>
        </w:rPr>
        <w:t>Labour</w:t>
      </w:r>
      <w:proofErr w:type="spellEnd"/>
      <w:r w:rsidRPr="005A3BC0">
        <w:rPr>
          <w:rFonts w:asciiTheme="majorBidi" w:eastAsia="Times New Roman" w:hAnsiTheme="majorBidi" w:cstheme="majorBidi"/>
          <w:sz w:val="22"/>
          <w:lang w:bidi="he-IL"/>
        </w:rPr>
        <w:t xml:space="preserve"> Organization (ILO) (n.d.) </w:t>
      </w:r>
      <w:r w:rsidRPr="005A3BC0">
        <w:rPr>
          <w:rFonts w:asciiTheme="majorBidi" w:eastAsia="Times New Roman" w:hAnsiTheme="majorBidi" w:cstheme="majorBidi"/>
          <w:i/>
          <w:iCs/>
          <w:sz w:val="22"/>
          <w:lang w:bidi="he-IL"/>
        </w:rPr>
        <w:t>Employment Protection Legislation Database (</w:t>
      </w:r>
      <w:proofErr w:type="spellStart"/>
      <w:r w:rsidRPr="005A3BC0">
        <w:rPr>
          <w:rFonts w:asciiTheme="majorBidi" w:eastAsia="Times New Roman" w:hAnsiTheme="majorBidi" w:cstheme="majorBidi"/>
          <w:i/>
          <w:iCs/>
          <w:sz w:val="22"/>
          <w:lang w:bidi="he-IL"/>
        </w:rPr>
        <w:t>EPLex</w:t>
      </w:r>
      <w:proofErr w:type="spellEnd"/>
      <w:r w:rsidRPr="005A3BC0">
        <w:rPr>
          <w:rFonts w:asciiTheme="majorBidi" w:eastAsia="Times New Roman" w:hAnsiTheme="majorBidi" w:cstheme="majorBidi"/>
          <w:i/>
          <w:iCs/>
          <w:sz w:val="22"/>
          <w:lang w:bidi="he-IL"/>
        </w:rPr>
        <w:t>)</w:t>
      </w:r>
      <w:r w:rsidRPr="005A3BC0">
        <w:rPr>
          <w:rFonts w:asciiTheme="majorBidi" w:eastAsia="Times New Roman" w:hAnsiTheme="majorBidi" w:cstheme="majorBidi"/>
          <w:sz w:val="22"/>
          <w:lang w:bidi="he-IL"/>
        </w:rPr>
        <w:t xml:space="preserve">. Geneva: International </w:t>
      </w:r>
      <w:proofErr w:type="spellStart"/>
      <w:r w:rsidRPr="005A3BC0">
        <w:rPr>
          <w:rFonts w:asciiTheme="majorBidi" w:eastAsia="Times New Roman" w:hAnsiTheme="majorBidi" w:cstheme="majorBidi"/>
          <w:sz w:val="22"/>
          <w:lang w:bidi="he-IL"/>
        </w:rPr>
        <w:t>Labour</w:t>
      </w:r>
      <w:proofErr w:type="spellEnd"/>
      <w:r w:rsidRPr="005A3BC0">
        <w:rPr>
          <w:rFonts w:asciiTheme="majorBidi" w:eastAsia="Times New Roman" w:hAnsiTheme="majorBidi" w:cstheme="majorBidi"/>
          <w:sz w:val="22"/>
          <w:lang w:bidi="he-IL"/>
        </w:rPr>
        <w:t xml:space="preserve"> Organization.</w:t>
      </w:r>
    </w:p>
    <w:p w14:paraId="2FFB0422"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Jordana, J., Bianculli, A.C. and Fernández-</w:t>
      </w:r>
      <w:proofErr w:type="spellStart"/>
      <w:r w:rsidRPr="005A3BC0">
        <w:rPr>
          <w:rFonts w:asciiTheme="majorBidi" w:eastAsia="Times New Roman" w:hAnsiTheme="majorBidi" w:cstheme="majorBidi"/>
          <w:sz w:val="22"/>
          <w:lang w:bidi="he-IL"/>
        </w:rPr>
        <w:t>i</w:t>
      </w:r>
      <w:proofErr w:type="spellEnd"/>
      <w:r w:rsidRPr="005A3BC0">
        <w:rPr>
          <w:rFonts w:asciiTheme="majorBidi" w:eastAsia="Times New Roman" w:hAnsiTheme="majorBidi" w:cstheme="majorBidi"/>
          <w:sz w:val="22"/>
          <w:lang w:bidi="he-IL"/>
        </w:rPr>
        <w:t>-Marín, X. (2015) ‘When accountability meets regulation’, in Bianculli, A.C., Fernández-</w:t>
      </w:r>
      <w:proofErr w:type="spellStart"/>
      <w:r w:rsidRPr="005A3BC0">
        <w:rPr>
          <w:rFonts w:asciiTheme="majorBidi" w:eastAsia="Times New Roman" w:hAnsiTheme="majorBidi" w:cstheme="majorBidi"/>
          <w:sz w:val="22"/>
          <w:lang w:bidi="he-IL"/>
        </w:rPr>
        <w:t>i</w:t>
      </w:r>
      <w:proofErr w:type="spellEnd"/>
      <w:r w:rsidRPr="005A3BC0">
        <w:rPr>
          <w:rFonts w:asciiTheme="majorBidi" w:eastAsia="Times New Roman" w:hAnsiTheme="majorBidi" w:cstheme="majorBidi"/>
          <w:sz w:val="22"/>
          <w:lang w:bidi="he-IL"/>
        </w:rPr>
        <w:t xml:space="preserve">-Marín, X. and Jordana, J. (eds), </w:t>
      </w:r>
      <w:r w:rsidRPr="005A3BC0">
        <w:rPr>
          <w:rFonts w:asciiTheme="majorBidi" w:eastAsia="Times New Roman" w:hAnsiTheme="majorBidi" w:cstheme="majorBidi"/>
          <w:i/>
          <w:iCs/>
          <w:sz w:val="22"/>
          <w:lang w:bidi="he-IL"/>
        </w:rPr>
        <w:t>Accountability and Regulatory Governance: Audiences, Controls and Responsibilities in the Politics of Regulation</w:t>
      </w:r>
      <w:r w:rsidRPr="005A3BC0">
        <w:rPr>
          <w:rFonts w:asciiTheme="majorBidi" w:eastAsia="Times New Roman" w:hAnsiTheme="majorBidi" w:cstheme="majorBidi"/>
          <w:sz w:val="22"/>
          <w:lang w:bidi="he-IL"/>
        </w:rPr>
        <w:t>. London: Palgrave Macmillan, pp. 1–22.</w:t>
      </w:r>
    </w:p>
    <w:p w14:paraId="4BDA5FE5"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proofErr w:type="spellStart"/>
      <w:r w:rsidRPr="005A3BC0">
        <w:rPr>
          <w:rFonts w:asciiTheme="majorBidi" w:eastAsia="Times New Roman" w:hAnsiTheme="majorBidi" w:cstheme="majorBidi"/>
          <w:sz w:val="22"/>
          <w:lang w:bidi="he-IL"/>
        </w:rPr>
        <w:t>Lascoumes</w:t>
      </w:r>
      <w:proofErr w:type="spellEnd"/>
      <w:r w:rsidRPr="005A3BC0">
        <w:rPr>
          <w:rFonts w:asciiTheme="majorBidi" w:eastAsia="Times New Roman" w:hAnsiTheme="majorBidi" w:cstheme="majorBidi"/>
          <w:sz w:val="22"/>
          <w:lang w:bidi="he-IL"/>
        </w:rPr>
        <w:t xml:space="preserve">, P. and Le </w:t>
      </w:r>
      <w:proofErr w:type="spellStart"/>
      <w:r w:rsidRPr="005A3BC0">
        <w:rPr>
          <w:rFonts w:asciiTheme="majorBidi" w:eastAsia="Times New Roman" w:hAnsiTheme="majorBidi" w:cstheme="majorBidi"/>
          <w:sz w:val="22"/>
          <w:lang w:bidi="he-IL"/>
        </w:rPr>
        <w:t>Galès</w:t>
      </w:r>
      <w:proofErr w:type="spellEnd"/>
      <w:r w:rsidRPr="005A3BC0">
        <w:rPr>
          <w:rFonts w:asciiTheme="majorBidi" w:eastAsia="Times New Roman" w:hAnsiTheme="majorBidi" w:cstheme="majorBidi"/>
          <w:sz w:val="22"/>
          <w:lang w:bidi="he-IL"/>
        </w:rPr>
        <w:t xml:space="preserve">, P. (2007) ‘Introduction: understanding public policy through its instruments’, </w:t>
      </w:r>
      <w:r w:rsidRPr="005A3BC0">
        <w:rPr>
          <w:rFonts w:asciiTheme="majorBidi" w:eastAsia="Times New Roman" w:hAnsiTheme="majorBidi" w:cstheme="majorBidi"/>
          <w:i/>
          <w:iCs/>
          <w:sz w:val="22"/>
          <w:lang w:bidi="he-IL"/>
        </w:rPr>
        <w:t>Governance</w:t>
      </w:r>
      <w:r w:rsidRPr="005A3BC0">
        <w:rPr>
          <w:rFonts w:asciiTheme="majorBidi" w:eastAsia="Times New Roman" w:hAnsiTheme="majorBidi" w:cstheme="majorBidi"/>
          <w:sz w:val="22"/>
          <w:lang w:bidi="he-IL"/>
        </w:rPr>
        <w:t>, 20(1), pp. 1–21.</w:t>
      </w:r>
    </w:p>
    <w:p w14:paraId="139DC257"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proofErr w:type="spellStart"/>
      <w:r w:rsidRPr="005A3BC0">
        <w:rPr>
          <w:rFonts w:asciiTheme="majorBidi" w:eastAsia="Times New Roman" w:hAnsiTheme="majorBidi" w:cstheme="majorBidi"/>
          <w:sz w:val="22"/>
          <w:lang w:bidi="he-IL"/>
        </w:rPr>
        <w:t>Lele</w:t>
      </w:r>
      <w:proofErr w:type="spellEnd"/>
      <w:r w:rsidRPr="005A3BC0">
        <w:rPr>
          <w:rFonts w:asciiTheme="majorBidi" w:eastAsia="Times New Roman" w:hAnsiTheme="majorBidi" w:cstheme="majorBidi"/>
          <w:sz w:val="22"/>
          <w:lang w:bidi="he-IL"/>
        </w:rPr>
        <w:t xml:space="preserve">, P.P. and </w:t>
      </w:r>
      <w:proofErr w:type="spellStart"/>
      <w:r w:rsidRPr="005A3BC0">
        <w:rPr>
          <w:rFonts w:asciiTheme="majorBidi" w:eastAsia="Times New Roman" w:hAnsiTheme="majorBidi" w:cstheme="majorBidi"/>
          <w:sz w:val="22"/>
          <w:lang w:bidi="he-IL"/>
        </w:rPr>
        <w:t>Siems</w:t>
      </w:r>
      <w:proofErr w:type="spellEnd"/>
      <w:r w:rsidRPr="005A3BC0">
        <w:rPr>
          <w:rFonts w:asciiTheme="majorBidi" w:eastAsia="Times New Roman" w:hAnsiTheme="majorBidi" w:cstheme="majorBidi"/>
          <w:sz w:val="22"/>
          <w:lang w:bidi="he-IL"/>
        </w:rPr>
        <w:t xml:space="preserve">, M.M. (2007) ‘Shareholder protection: a </w:t>
      </w:r>
      <w:proofErr w:type="spellStart"/>
      <w:r w:rsidRPr="005A3BC0">
        <w:rPr>
          <w:rFonts w:asciiTheme="majorBidi" w:eastAsia="Times New Roman" w:hAnsiTheme="majorBidi" w:cstheme="majorBidi"/>
          <w:sz w:val="22"/>
          <w:lang w:bidi="he-IL"/>
        </w:rPr>
        <w:t>leximetric</w:t>
      </w:r>
      <w:proofErr w:type="spellEnd"/>
      <w:r w:rsidRPr="005A3BC0">
        <w:rPr>
          <w:rFonts w:asciiTheme="majorBidi" w:eastAsia="Times New Roman" w:hAnsiTheme="majorBidi" w:cstheme="majorBidi"/>
          <w:sz w:val="22"/>
          <w:lang w:bidi="he-IL"/>
        </w:rPr>
        <w:t xml:space="preserve"> approach’, </w:t>
      </w:r>
      <w:r w:rsidRPr="005A3BC0">
        <w:rPr>
          <w:rFonts w:asciiTheme="majorBidi" w:eastAsia="Times New Roman" w:hAnsiTheme="majorBidi" w:cstheme="majorBidi"/>
          <w:i/>
          <w:iCs/>
          <w:sz w:val="22"/>
          <w:lang w:bidi="he-IL"/>
        </w:rPr>
        <w:t>Journal of Corporate Law Studies</w:t>
      </w:r>
      <w:r w:rsidRPr="005A3BC0">
        <w:rPr>
          <w:rFonts w:asciiTheme="majorBidi" w:eastAsia="Times New Roman" w:hAnsiTheme="majorBidi" w:cstheme="majorBidi"/>
          <w:sz w:val="22"/>
          <w:lang w:bidi="he-IL"/>
        </w:rPr>
        <w:t>, 7(1), pp. 17–50.</w:t>
      </w:r>
    </w:p>
    <w:p w14:paraId="26353788"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Levi-Faur, D. (2005) ‘The global diffusion of regulatory capitalism’, </w:t>
      </w:r>
      <w:r w:rsidRPr="005A3BC0">
        <w:rPr>
          <w:rFonts w:asciiTheme="majorBidi" w:eastAsia="Times New Roman" w:hAnsiTheme="majorBidi" w:cstheme="majorBidi"/>
          <w:i/>
          <w:iCs/>
          <w:sz w:val="22"/>
          <w:lang w:bidi="he-IL"/>
        </w:rPr>
        <w:t>The ANNALS of the American Academy of Political and Social Science</w:t>
      </w:r>
      <w:r w:rsidRPr="005A3BC0">
        <w:rPr>
          <w:rFonts w:asciiTheme="majorBidi" w:eastAsia="Times New Roman" w:hAnsiTheme="majorBidi" w:cstheme="majorBidi"/>
          <w:sz w:val="22"/>
          <w:lang w:bidi="he-IL"/>
        </w:rPr>
        <w:t>, 598(1), pp. 12–32.</w:t>
      </w:r>
    </w:p>
    <w:p w14:paraId="62A03186"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Levi-Faur, D. (2009) ‘Regulatory capitalism and the reassertion of the public interest’, </w:t>
      </w:r>
      <w:r w:rsidRPr="005A3BC0">
        <w:rPr>
          <w:rFonts w:asciiTheme="majorBidi" w:eastAsia="Times New Roman" w:hAnsiTheme="majorBidi" w:cstheme="majorBidi"/>
          <w:i/>
          <w:iCs/>
          <w:sz w:val="22"/>
          <w:lang w:bidi="he-IL"/>
        </w:rPr>
        <w:t>Policy and Society</w:t>
      </w:r>
      <w:r w:rsidRPr="005A3BC0">
        <w:rPr>
          <w:rFonts w:asciiTheme="majorBidi" w:eastAsia="Times New Roman" w:hAnsiTheme="majorBidi" w:cstheme="majorBidi"/>
          <w:sz w:val="22"/>
          <w:lang w:bidi="he-IL"/>
        </w:rPr>
        <w:t>, 27(3), pp. 181–191.</w:t>
      </w:r>
    </w:p>
    <w:p w14:paraId="3698C8B5"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Levi-Faur, D. (2011) ‘Regulation and regulatory governance’, in Levi-Faur, D. (ed.), </w:t>
      </w:r>
      <w:r w:rsidRPr="005A3BC0">
        <w:rPr>
          <w:rFonts w:asciiTheme="majorBidi" w:eastAsia="Times New Roman" w:hAnsiTheme="majorBidi" w:cstheme="majorBidi"/>
          <w:i/>
          <w:iCs/>
          <w:sz w:val="22"/>
          <w:lang w:bidi="he-IL"/>
        </w:rPr>
        <w:t>Handbook on the Politics of Regulation</w:t>
      </w:r>
      <w:r w:rsidRPr="005A3BC0">
        <w:rPr>
          <w:rFonts w:asciiTheme="majorBidi" w:eastAsia="Times New Roman" w:hAnsiTheme="majorBidi" w:cstheme="majorBidi"/>
          <w:sz w:val="22"/>
          <w:lang w:bidi="he-IL"/>
        </w:rPr>
        <w:t>. Cheltenham: Edward Elgar, pp. 3–21.</w:t>
      </w:r>
    </w:p>
    <w:p w14:paraId="1E58983B"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Levi-Faur, D. (ed.) (2012) </w:t>
      </w:r>
      <w:r w:rsidRPr="005A3BC0">
        <w:rPr>
          <w:rFonts w:asciiTheme="majorBidi" w:eastAsia="Times New Roman" w:hAnsiTheme="majorBidi" w:cstheme="majorBidi"/>
          <w:i/>
          <w:iCs/>
          <w:sz w:val="22"/>
          <w:lang w:bidi="he-IL"/>
        </w:rPr>
        <w:t>The Oxford Handbook of Governance</w:t>
      </w:r>
      <w:r w:rsidRPr="005A3BC0">
        <w:rPr>
          <w:rFonts w:asciiTheme="majorBidi" w:eastAsia="Times New Roman" w:hAnsiTheme="majorBidi" w:cstheme="majorBidi"/>
          <w:sz w:val="22"/>
          <w:lang w:bidi="he-IL"/>
        </w:rPr>
        <w:t>. Oxford: Oxford University Press.</w:t>
      </w:r>
    </w:p>
    <w:p w14:paraId="47D4C60E"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Lindberg, S.I. (2013) ‘Mapping accountability: core concept and subtypes’, </w:t>
      </w:r>
      <w:r w:rsidRPr="005A3BC0">
        <w:rPr>
          <w:rFonts w:asciiTheme="majorBidi" w:eastAsia="Times New Roman" w:hAnsiTheme="majorBidi" w:cstheme="majorBidi"/>
          <w:i/>
          <w:iCs/>
          <w:sz w:val="22"/>
          <w:lang w:bidi="he-IL"/>
        </w:rPr>
        <w:t>International Review of Administrative Sciences</w:t>
      </w:r>
      <w:r w:rsidRPr="005A3BC0">
        <w:rPr>
          <w:rFonts w:asciiTheme="majorBidi" w:eastAsia="Times New Roman" w:hAnsiTheme="majorBidi" w:cstheme="majorBidi"/>
          <w:sz w:val="22"/>
          <w:lang w:bidi="he-IL"/>
        </w:rPr>
        <w:t>, 79(2), pp. 202–226.</w:t>
      </w:r>
    </w:p>
    <w:p w14:paraId="48BEF0E2"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proofErr w:type="spellStart"/>
      <w:r w:rsidRPr="005A3BC0">
        <w:rPr>
          <w:rFonts w:asciiTheme="majorBidi" w:eastAsia="Times New Roman" w:hAnsiTheme="majorBidi" w:cstheme="majorBidi"/>
          <w:sz w:val="22"/>
          <w:lang w:bidi="he-IL"/>
        </w:rPr>
        <w:t>Majone</w:t>
      </w:r>
      <w:proofErr w:type="spellEnd"/>
      <w:r w:rsidRPr="005A3BC0">
        <w:rPr>
          <w:rFonts w:asciiTheme="majorBidi" w:eastAsia="Times New Roman" w:hAnsiTheme="majorBidi" w:cstheme="majorBidi"/>
          <w:sz w:val="22"/>
          <w:lang w:bidi="he-IL"/>
        </w:rPr>
        <w:t xml:space="preserve">, G. (1994) ‘The rise of the regulatory state in Europe’, </w:t>
      </w:r>
      <w:r w:rsidRPr="005A3BC0">
        <w:rPr>
          <w:rFonts w:asciiTheme="majorBidi" w:eastAsia="Times New Roman" w:hAnsiTheme="majorBidi" w:cstheme="majorBidi"/>
          <w:i/>
          <w:iCs/>
          <w:sz w:val="22"/>
          <w:lang w:bidi="he-IL"/>
        </w:rPr>
        <w:t>West European Politics</w:t>
      </w:r>
      <w:r w:rsidRPr="005A3BC0">
        <w:rPr>
          <w:rFonts w:asciiTheme="majorBidi" w:eastAsia="Times New Roman" w:hAnsiTheme="majorBidi" w:cstheme="majorBidi"/>
          <w:sz w:val="22"/>
          <w:lang w:bidi="he-IL"/>
        </w:rPr>
        <w:t>, 17(3), pp. 77–101.</w:t>
      </w:r>
    </w:p>
    <w:p w14:paraId="602BFA39"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proofErr w:type="spellStart"/>
      <w:r w:rsidRPr="005A3BC0">
        <w:rPr>
          <w:rFonts w:asciiTheme="majorBidi" w:eastAsia="Times New Roman" w:hAnsiTheme="majorBidi" w:cstheme="majorBidi"/>
          <w:sz w:val="22"/>
          <w:lang w:bidi="he-IL"/>
        </w:rPr>
        <w:lastRenderedPageBreak/>
        <w:t>Majone</w:t>
      </w:r>
      <w:proofErr w:type="spellEnd"/>
      <w:r w:rsidRPr="005A3BC0">
        <w:rPr>
          <w:rFonts w:asciiTheme="majorBidi" w:eastAsia="Times New Roman" w:hAnsiTheme="majorBidi" w:cstheme="majorBidi"/>
          <w:sz w:val="22"/>
          <w:lang w:bidi="he-IL"/>
        </w:rPr>
        <w:t xml:space="preserve">, G. (1997) ‘From the positive to the regulatory state: causes and consequences of changes in the mode of governance’, </w:t>
      </w:r>
      <w:r w:rsidRPr="005A3BC0">
        <w:rPr>
          <w:rFonts w:asciiTheme="majorBidi" w:eastAsia="Times New Roman" w:hAnsiTheme="majorBidi" w:cstheme="majorBidi"/>
          <w:i/>
          <w:iCs/>
          <w:sz w:val="22"/>
          <w:lang w:bidi="he-IL"/>
        </w:rPr>
        <w:t>Journal of Public Policy</w:t>
      </w:r>
      <w:r w:rsidRPr="005A3BC0">
        <w:rPr>
          <w:rFonts w:asciiTheme="majorBidi" w:eastAsia="Times New Roman" w:hAnsiTheme="majorBidi" w:cstheme="majorBidi"/>
          <w:sz w:val="22"/>
          <w:lang w:bidi="he-IL"/>
        </w:rPr>
        <w:t>, 17(2), pp. 139–167.</w:t>
      </w:r>
    </w:p>
    <w:p w14:paraId="122B3AAC"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Mashaw, J.L. (2006) ‘Accountability and institutional design: some thoughts on the grammar of governance’, in </w:t>
      </w:r>
      <w:proofErr w:type="spellStart"/>
      <w:r w:rsidRPr="005A3BC0">
        <w:rPr>
          <w:rFonts w:asciiTheme="majorBidi" w:eastAsia="Times New Roman" w:hAnsiTheme="majorBidi" w:cstheme="majorBidi"/>
          <w:sz w:val="22"/>
          <w:lang w:bidi="he-IL"/>
        </w:rPr>
        <w:t>Dowdle</w:t>
      </w:r>
      <w:proofErr w:type="spellEnd"/>
      <w:r w:rsidRPr="005A3BC0">
        <w:rPr>
          <w:rFonts w:asciiTheme="majorBidi" w:eastAsia="Times New Roman" w:hAnsiTheme="majorBidi" w:cstheme="majorBidi"/>
          <w:sz w:val="22"/>
          <w:lang w:bidi="he-IL"/>
        </w:rPr>
        <w:t xml:space="preserve">, M.W. (ed.), </w:t>
      </w:r>
      <w:r w:rsidRPr="005A3BC0">
        <w:rPr>
          <w:rFonts w:asciiTheme="majorBidi" w:eastAsia="Times New Roman" w:hAnsiTheme="majorBidi" w:cstheme="majorBidi"/>
          <w:i/>
          <w:iCs/>
          <w:sz w:val="22"/>
          <w:lang w:bidi="he-IL"/>
        </w:rPr>
        <w:t>Public Accountability: Designs, Dilemmas and Experiences</w:t>
      </w:r>
      <w:r w:rsidRPr="005A3BC0">
        <w:rPr>
          <w:rFonts w:asciiTheme="majorBidi" w:eastAsia="Times New Roman" w:hAnsiTheme="majorBidi" w:cstheme="majorBidi"/>
          <w:sz w:val="22"/>
          <w:lang w:bidi="he-IL"/>
        </w:rPr>
        <w:t>. Cambridge: Cambridge University Press, pp. 115–156.</w:t>
      </w:r>
    </w:p>
    <w:p w14:paraId="1F76836C"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May, P.J. (2007) ‘Regulatory regimes and accountability’, </w:t>
      </w:r>
      <w:r w:rsidRPr="005A3BC0">
        <w:rPr>
          <w:rFonts w:asciiTheme="majorBidi" w:eastAsia="Times New Roman" w:hAnsiTheme="majorBidi" w:cstheme="majorBidi"/>
          <w:i/>
          <w:iCs/>
          <w:sz w:val="22"/>
          <w:lang w:bidi="he-IL"/>
        </w:rPr>
        <w:t>Regulation &amp; Governance</w:t>
      </w:r>
      <w:r w:rsidRPr="005A3BC0">
        <w:rPr>
          <w:rFonts w:asciiTheme="majorBidi" w:eastAsia="Times New Roman" w:hAnsiTheme="majorBidi" w:cstheme="majorBidi"/>
          <w:sz w:val="22"/>
          <w:lang w:bidi="he-IL"/>
        </w:rPr>
        <w:t>, 1(1), pp. 8–26.</w:t>
      </w:r>
    </w:p>
    <w:p w14:paraId="209C7CC9"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proofErr w:type="spellStart"/>
      <w:r w:rsidRPr="005A3BC0">
        <w:rPr>
          <w:rFonts w:asciiTheme="majorBidi" w:eastAsia="Times New Roman" w:hAnsiTheme="majorBidi" w:cstheme="majorBidi"/>
          <w:sz w:val="22"/>
          <w:lang w:bidi="he-IL"/>
        </w:rPr>
        <w:t>Mulgan</w:t>
      </w:r>
      <w:proofErr w:type="spellEnd"/>
      <w:r w:rsidRPr="005A3BC0">
        <w:rPr>
          <w:rFonts w:asciiTheme="majorBidi" w:eastAsia="Times New Roman" w:hAnsiTheme="majorBidi" w:cstheme="majorBidi"/>
          <w:sz w:val="22"/>
          <w:lang w:bidi="he-IL"/>
        </w:rPr>
        <w:t xml:space="preserve">, R. (2000) ‘“Accountability”: an ever-expanding concept?’, </w:t>
      </w:r>
      <w:r w:rsidRPr="005A3BC0">
        <w:rPr>
          <w:rFonts w:asciiTheme="majorBidi" w:eastAsia="Times New Roman" w:hAnsiTheme="majorBidi" w:cstheme="majorBidi"/>
          <w:i/>
          <w:iCs/>
          <w:sz w:val="22"/>
          <w:lang w:bidi="he-IL"/>
        </w:rPr>
        <w:t>Public Administration</w:t>
      </w:r>
      <w:r w:rsidRPr="005A3BC0">
        <w:rPr>
          <w:rFonts w:asciiTheme="majorBidi" w:eastAsia="Times New Roman" w:hAnsiTheme="majorBidi" w:cstheme="majorBidi"/>
          <w:sz w:val="22"/>
          <w:lang w:bidi="he-IL"/>
        </w:rPr>
        <w:t>, 78(3), pp. 555–573.</w:t>
      </w:r>
    </w:p>
    <w:p w14:paraId="2E6BE77D"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proofErr w:type="spellStart"/>
      <w:r w:rsidRPr="005A3BC0">
        <w:rPr>
          <w:rFonts w:asciiTheme="majorBidi" w:eastAsia="Times New Roman" w:hAnsiTheme="majorBidi" w:cstheme="majorBidi"/>
          <w:sz w:val="22"/>
          <w:lang w:bidi="he-IL"/>
        </w:rPr>
        <w:t>Mulgan</w:t>
      </w:r>
      <w:proofErr w:type="spellEnd"/>
      <w:r w:rsidRPr="005A3BC0">
        <w:rPr>
          <w:rFonts w:asciiTheme="majorBidi" w:eastAsia="Times New Roman" w:hAnsiTheme="majorBidi" w:cstheme="majorBidi"/>
          <w:sz w:val="22"/>
          <w:lang w:bidi="he-IL"/>
        </w:rPr>
        <w:t xml:space="preserve">, R. (2003) </w:t>
      </w:r>
      <w:r w:rsidRPr="005A3BC0">
        <w:rPr>
          <w:rFonts w:asciiTheme="majorBidi" w:eastAsia="Times New Roman" w:hAnsiTheme="majorBidi" w:cstheme="majorBidi"/>
          <w:i/>
          <w:iCs/>
          <w:sz w:val="22"/>
          <w:lang w:bidi="he-IL"/>
        </w:rPr>
        <w:t>Holding Power to Account: Accountability in Modern Democracies</w:t>
      </w:r>
      <w:r w:rsidRPr="005A3BC0">
        <w:rPr>
          <w:rFonts w:asciiTheme="majorBidi" w:eastAsia="Times New Roman" w:hAnsiTheme="majorBidi" w:cstheme="majorBidi"/>
          <w:sz w:val="22"/>
          <w:lang w:bidi="he-IL"/>
        </w:rPr>
        <w:t>. Basingstoke: Palgrave Macmillan.</w:t>
      </w:r>
    </w:p>
    <w:p w14:paraId="7C9C7049"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OECD (2021) </w:t>
      </w:r>
      <w:r w:rsidRPr="005A3BC0">
        <w:rPr>
          <w:rFonts w:asciiTheme="majorBidi" w:eastAsia="Times New Roman" w:hAnsiTheme="majorBidi" w:cstheme="majorBidi"/>
          <w:i/>
          <w:iCs/>
          <w:sz w:val="22"/>
          <w:lang w:bidi="he-IL"/>
        </w:rPr>
        <w:t>OECD Regulatory Policy Outlook 2021</w:t>
      </w:r>
      <w:r w:rsidRPr="005A3BC0">
        <w:rPr>
          <w:rFonts w:asciiTheme="majorBidi" w:eastAsia="Times New Roman" w:hAnsiTheme="majorBidi" w:cstheme="majorBidi"/>
          <w:sz w:val="22"/>
          <w:lang w:bidi="he-IL"/>
        </w:rPr>
        <w:t>. Paris: OECD Publishing.</w:t>
      </w:r>
    </w:p>
    <w:p w14:paraId="188CA479"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Ostrom, E. (2005) </w:t>
      </w:r>
      <w:r w:rsidRPr="005A3BC0">
        <w:rPr>
          <w:rFonts w:asciiTheme="majorBidi" w:eastAsia="Times New Roman" w:hAnsiTheme="majorBidi" w:cstheme="majorBidi"/>
          <w:i/>
          <w:iCs/>
          <w:sz w:val="22"/>
          <w:lang w:bidi="he-IL"/>
        </w:rPr>
        <w:t>Understanding Institutional Diversity</w:t>
      </w:r>
      <w:r w:rsidRPr="005A3BC0">
        <w:rPr>
          <w:rFonts w:asciiTheme="majorBidi" w:eastAsia="Times New Roman" w:hAnsiTheme="majorBidi" w:cstheme="majorBidi"/>
          <w:sz w:val="22"/>
          <w:lang w:bidi="he-IL"/>
        </w:rPr>
        <w:t>. Princeton, NJ: Princeton University Press.</w:t>
      </w:r>
    </w:p>
    <w:p w14:paraId="668E647C"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Parker, C. (2002) </w:t>
      </w:r>
      <w:r w:rsidRPr="005A3BC0">
        <w:rPr>
          <w:rFonts w:asciiTheme="majorBidi" w:eastAsia="Times New Roman" w:hAnsiTheme="majorBidi" w:cstheme="majorBidi"/>
          <w:i/>
          <w:iCs/>
          <w:sz w:val="22"/>
          <w:lang w:bidi="he-IL"/>
        </w:rPr>
        <w:t>The Open Corporation: Effective Self-Regulation and Democracy</w:t>
      </w:r>
      <w:r w:rsidRPr="005A3BC0">
        <w:rPr>
          <w:rFonts w:asciiTheme="majorBidi" w:eastAsia="Times New Roman" w:hAnsiTheme="majorBidi" w:cstheme="majorBidi"/>
          <w:sz w:val="22"/>
          <w:lang w:bidi="he-IL"/>
        </w:rPr>
        <w:t>. Cambridge: Cambridge University Press.</w:t>
      </w:r>
    </w:p>
    <w:p w14:paraId="7FB1E187"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Rhodes, R.A.W. (1996) ‘The new governance: governing without government’, </w:t>
      </w:r>
      <w:r w:rsidRPr="005A3BC0">
        <w:rPr>
          <w:rFonts w:asciiTheme="majorBidi" w:eastAsia="Times New Roman" w:hAnsiTheme="majorBidi" w:cstheme="majorBidi"/>
          <w:i/>
          <w:iCs/>
          <w:sz w:val="22"/>
          <w:lang w:bidi="he-IL"/>
        </w:rPr>
        <w:t>Political Studies</w:t>
      </w:r>
      <w:r w:rsidRPr="005A3BC0">
        <w:rPr>
          <w:rFonts w:asciiTheme="majorBidi" w:eastAsia="Times New Roman" w:hAnsiTheme="majorBidi" w:cstheme="majorBidi"/>
          <w:sz w:val="22"/>
          <w:lang w:bidi="he-IL"/>
        </w:rPr>
        <w:t>, 44(4), pp. 652–667.</w:t>
      </w:r>
    </w:p>
    <w:p w14:paraId="6625FB3E"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Rice, D., </w:t>
      </w:r>
      <w:proofErr w:type="spellStart"/>
      <w:r w:rsidRPr="005A3BC0">
        <w:rPr>
          <w:rFonts w:asciiTheme="majorBidi" w:eastAsia="Times New Roman" w:hAnsiTheme="majorBidi" w:cstheme="majorBidi"/>
          <w:sz w:val="22"/>
          <w:lang w:bidi="he-IL"/>
        </w:rPr>
        <w:t>Siddiki</w:t>
      </w:r>
      <w:proofErr w:type="spellEnd"/>
      <w:r w:rsidRPr="005A3BC0">
        <w:rPr>
          <w:rFonts w:asciiTheme="majorBidi" w:eastAsia="Times New Roman" w:hAnsiTheme="majorBidi" w:cstheme="majorBidi"/>
          <w:sz w:val="22"/>
          <w:lang w:bidi="he-IL"/>
        </w:rPr>
        <w:t xml:space="preserve">, S., Frey, S., Kwon, J.H. and Sawyer, A. (2021) ‘Machine coding of policy texts with the Institutional Grammar’, </w:t>
      </w:r>
      <w:r w:rsidRPr="005A3BC0">
        <w:rPr>
          <w:rFonts w:asciiTheme="majorBidi" w:eastAsia="Times New Roman" w:hAnsiTheme="majorBidi" w:cstheme="majorBidi"/>
          <w:i/>
          <w:iCs/>
          <w:sz w:val="22"/>
          <w:lang w:bidi="he-IL"/>
        </w:rPr>
        <w:t>Public Administration</w:t>
      </w:r>
      <w:r w:rsidRPr="005A3BC0">
        <w:rPr>
          <w:rFonts w:asciiTheme="majorBidi" w:eastAsia="Times New Roman" w:hAnsiTheme="majorBidi" w:cstheme="majorBidi"/>
          <w:sz w:val="22"/>
          <w:lang w:bidi="he-IL"/>
        </w:rPr>
        <w:t>, 99(2), pp. 248–262.</w:t>
      </w:r>
    </w:p>
    <w:p w14:paraId="5A245576"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proofErr w:type="spellStart"/>
      <w:r w:rsidRPr="005A3BC0">
        <w:rPr>
          <w:rFonts w:asciiTheme="majorBidi" w:eastAsia="Times New Roman" w:hAnsiTheme="majorBidi" w:cstheme="majorBidi"/>
          <w:sz w:val="22"/>
          <w:lang w:bidi="he-IL"/>
        </w:rPr>
        <w:t>Romzek</w:t>
      </w:r>
      <w:proofErr w:type="spellEnd"/>
      <w:r w:rsidRPr="005A3BC0">
        <w:rPr>
          <w:rFonts w:asciiTheme="majorBidi" w:eastAsia="Times New Roman" w:hAnsiTheme="majorBidi" w:cstheme="majorBidi"/>
          <w:sz w:val="22"/>
          <w:lang w:bidi="he-IL"/>
        </w:rPr>
        <w:t xml:space="preserve">, B.S. and </w:t>
      </w:r>
      <w:proofErr w:type="spellStart"/>
      <w:r w:rsidRPr="005A3BC0">
        <w:rPr>
          <w:rFonts w:asciiTheme="majorBidi" w:eastAsia="Times New Roman" w:hAnsiTheme="majorBidi" w:cstheme="majorBidi"/>
          <w:sz w:val="22"/>
          <w:lang w:bidi="he-IL"/>
        </w:rPr>
        <w:t>Dubnick</w:t>
      </w:r>
      <w:proofErr w:type="spellEnd"/>
      <w:r w:rsidRPr="005A3BC0">
        <w:rPr>
          <w:rFonts w:asciiTheme="majorBidi" w:eastAsia="Times New Roman" w:hAnsiTheme="majorBidi" w:cstheme="majorBidi"/>
          <w:sz w:val="22"/>
          <w:lang w:bidi="he-IL"/>
        </w:rPr>
        <w:t xml:space="preserve">, M.J. (1987) ‘Accountability in the public sector: lessons from the Challenger tragedy’, </w:t>
      </w:r>
      <w:r w:rsidRPr="005A3BC0">
        <w:rPr>
          <w:rFonts w:asciiTheme="majorBidi" w:eastAsia="Times New Roman" w:hAnsiTheme="majorBidi" w:cstheme="majorBidi"/>
          <w:i/>
          <w:iCs/>
          <w:sz w:val="22"/>
          <w:lang w:bidi="he-IL"/>
        </w:rPr>
        <w:t>Public Administration Review</w:t>
      </w:r>
      <w:r w:rsidRPr="005A3BC0">
        <w:rPr>
          <w:rFonts w:asciiTheme="majorBidi" w:eastAsia="Times New Roman" w:hAnsiTheme="majorBidi" w:cstheme="majorBidi"/>
          <w:sz w:val="22"/>
          <w:lang w:bidi="he-IL"/>
        </w:rPr>
        <w:t>, 47(3), pp. 227–238.</w:t>
      </w:r>
    </w:p>
    <w:p w14:paraId="3EEF64D6"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proofErr w:type="spellStart"/>
      <w:r w:rsidRPr="005A3BC0">
        <w:rPr>
          <w:rFonts w:asciiTheme="majorBidi" w:eastAsia="Times New Roman" w:hAnsiTheme="majorBidi" w:cstheme="majorBidi"/>
          <w:sz w:val="22"/>
          <w:lang w:bidi="he-IL"/>
        </w:rPr>
        <w:t>Sabel</w:t>
      </w:r>
      <w:proofErr w:type="spellEnd"/>
      <w:r w:rsidRPr="005A3BC0">
        <w:rPr>
          <w:rFonts w:asciiTheme="majorBidi" w:eastAsia="Times New Roman" w:hAnsiTheme="majorBidi" w:cstheme="majorBidi"/>
          <w:sz w:val="22"/>
          <w:lang w:bidi="he-IL"/>
        </w:rPr>
        <w:t xml:space="preserve">, C.F. and Zeitlin, J. (2008) ‘Learning from difference: the new architecture of experimentalist governance in the EU’, </w:t>
      </w:r>
      <w:r w:rsidRPr="005A3BC0">
        <w:rPr>
          <w:rFonts w:asciiTheme="majorBidi" w:eastAsia="Times New Roman" w:hAnsiTheme="majorBidi" w:cstheme="majorBidi"/>
          <w:i/>
          <w:iCs/>
          <w:sz w:val="22"/>
          <w:lang w:bidi="he-IL"/>
        </w:rPr>
        <w:t>European Law Journal</w:t>
      </w:r>
      <w:r w:rsidRPr="005A3BC0">
        <w:rPr>
          <w:rFonts w:asciiTheme="majorBidi" w:eastAsia="Times New Roman" w:hAnsiTheme="majorBidi" w:cstheme="majorBidi"/>
          <w:sz w:val="22"/>
          <w:lang w:bidi="he-IL"/>
        </w:rPr>
        <w:t>, 14(3), pp. 271–327.</w:t>
      </w:r>
    </w:p>
    <w:p w14:paraId="00FC3ED6"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proofErr w:type="spellStart"/>
      <w:r w:rsidRPr="005A3BC0">
        <w:rPr>
          <w:rFonts w:asciiTheme="majorBidi" w:eastAsia="Times New Roman" w:hAnsiTheme="majorBidi" w:cstheme="majorBidi"/>
          <w:sz w:val="22"/>
          <w:lang w:bidi="he-IL"/>
        </w:rPr>
        <w:t>Sabel</w:t>
      </w:r>
      <w:proofErr w:type="spellEnd"/>
      <w:r w:rsidRPr="005A3BC0">
        <w:rPr>
          <w:rFonts w:asciiTheme="majorBidi" w:eastAsia="Times New Roman" w:hAnsiTheme="majorBidi" w:cstheme="majorBidi"/>
          <w:sz w:val="22"/>
          <w:lang w:bidi="he-IL"/>
        </w:rPr>
        <w:t xml:space="preserve">, C.F. and Zeitlin, J. (2012) ‘Experimentalist governance’, in Levi-Faur, D. (ed.), </w:t>
      </w:r>
      <w:r w:rsidRPr="005A3BC0">
        <w:rPr>
          <w:rFonts w:asciiTheme="majorBidi" w:eastAsia="Times New Roman" w:hAnsiTheme="majorBidi" w:cstheme="majorBidi"/>
          <w:i/>
          <w:iCs/>
          <w:sz w:val="22"/>
          <w:lang w:bidi="he-IL"/>
        </w:rPr>
        <w:t>The Oxford Handbook of Governance</w:t>
      </w:r>
      <w:r w:rsidRPr="005A3BC0">
        <w:rPr>
          <w:rFonts w:asciiTheme="majorBidi" w:eastAsia="Times New Roman" w:hAnsiTheme="majorBidi" w:cstheme="majorBidi"/>
          <w:sz w:val="22"/>
          <w:lang w:bidi="he-IL"/>
        </w:rPr>
        <w:t>. Oxford: Oxford University Press, pp. 169–184.</w:t>
      </w:r>
    </w:p>
    <w:p w14:paraId="68034A18"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proofErr w:type="spellStart"/>
      <w:r w:rsidRPr="005A3BC0">
        <w:rPr>
          <w:rFonts w:asciiTheme="majorBidi" w:eastAsia="Times New Roman" w:hAnsiTheme="majorBidi" w:cstheme="majorBidi"/>
          <w:sz w:val="22"/>
          <w:lang w:bidi="he-IL"/>
        </w:rPr>
        <w:t>Salamon</w:t>
      </w:r>
      <w:proofErr w:type="spellEnd"/>
      <w:r w:rsidRPr="005A3BC0">
        <w:rPr>
          <w:rFonts w:asciiTheme="majorBidi" w:eastAsia="Times New Roman" w:hAnsiTheme="majorBidi" w:cstheme="majorBidi"/>
          <w:sz w:val="22"/>
          <w:lang w:bidi="he-IL"/>
        </w:rPr>
        <w:t xml:space="preserve">, L.M. (ed.) (2002) </w:t>
      </w:r>
      <w:r w:rsidRPr="005A3BC0">
        <w:rPr>
          <w:rFonts w:asciiTheme="majorBidi" w:eastAsia="Times New Roman" w:hAnsiTheme="majorBidi" w:cstheme="majorBidi"/>
          <w:i/>
          <w:iCs/>
          <w:sz w:val="22"/>
          <w:lang w:bidi="he-IL"/>
        </w:rPr>
        <w:t>The Tools of Government: A Guide to the New Governance</w:t>
      </w:r>
      <w:r w:rsidRPr="005A3BC0">
        <w:rPr>
          <w:rFonts w:asciiTheme="majorBidi" w:eastAsia="Times New Roman" w:hAnsiTheme="majorBidi" w:cstheme="majorBidi"/>
          <w:sz w:val="22"/>
          <w:lang w:bidi="he-IL"/>
        </w:rPr>
        <w:t>. Oxford: Oxford University Press.</w:t>
      </w:r>
    </w:p>
    <w:p w14:paraId="613E56F4"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Schneider, A. and Ingram, H. (1990) ‘Behavioral assumptions of policy tools’, </w:t>
      </w:r>
      <w:r w:rsidRPr="005A3BC0">
        <w:rPr>
          <w:rFonts w:asciiTheme="majorBidi" w:eastAsia="Times New Roman" w:hAnsiTheme="majorBidi" w:cstheme="majorBidi"/>
          <w:i/>
          <w:iCs/>
          <w:sz w:val="22"/>
          <w:lang w:bidi="he-IL"/>
        </w:rPr>
        <w:t>Journal of Politics</w:t>
      </w:r>
      <w:r w:rsidRPr="005A3BC0">
        <w:rPr>
          <w:rFonts w:asciiTheme="majorBidi" w:eastAsia="Times New Roman" w:hAnsiTheme="majorBidi" w:cstheme="majorBidi"/>
          <w:sz w:val="22"/>
          <w:lang w:bidi="he-IL"/>
        </w:rPr>
        <w:t>, 52(2), pp. 510–529.</w:t>
      </w:r>
    </w:p>
    <w:p w14:paraId="2F9ACAF3"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r w:rsidRPr="005A3BC0">
        <w:rPr>
          <w:rFonts w:asciiTheme="majorBidi" w:eastAsia="Times New Roman" w:hAnsiTheme="majorBidi" w:cstheme="majorBidi"/>
          <w:sz w:val="22"/>
          <w:lang w:bidi="he-IL"/>
        </w:rPr>
        <w:t xml:space="preserve">Scott, C. (2004) ‘Regulation in the age of governance: the rise of the post-regulatory state’, in Jordana, J. and Levi-Faur, D. (eds), </w:t>
      </w:r>
      <w:r w:rsidRPr="005A3BC0">
        <w:rPr>
          <w:rFonts w:asciiTheme="majorBidi" w:eastAsia="Times New Roman" w:hAnsiTheme="majorBidi" w:cstheme="majorBidi"/>
          <w:i/>
          <w:iCs/>
          <w:sz w:val="22"/>
          <w:lang w:bidi="he-IL"/>
        </w:rPr>
        <w:t>The Politics of Regulation: Institutions and Regulatory Reforms for the Age of Governance</w:t>
      </w:r>
      <w:r w:rsidRPr="005A3BC0">
        <w:rPr>
          <w:rFonts w:asciiTheme="majorBidi" w:eastAsia="Times New Roman" w:hAnsiTheme="majorBidi" w:cstheme="majorBidi"/>
          <w:sz w:val="22"/>
          <w:lang w:bidi="he-IL"/>
        </w:rPr>
        <w:t>. Cheltenham: Edward Elgar, pp. 145–174.</w:t>
      </w:r>
    </w:p>
    <w:p w14:paraId="60688CDD"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proofErr w:type="spellStart"/>
      <w:r w:rsidRPr="005A3BC0">
        <w:rPr>
          <w:rFonts w:asciiTheme="majorBidi" w:eastAsia="Times New Roman" w:hAnsiTheme="majorBidi" w:cstheme="majorBidi"/>
          <w:sz w:val="22"/>
          <w:lang w:bidi="he-IL"/>
        </w:rPr>
        <w:t>Seidl</w:t>
      </w:r>
      <w:proofErr w:type="spellEnd"/>
      <w:r w:rsidRPr="005A3BC0">
        <w:rPr>
          <w:rFonts w:asciiTheme="majorBidi" w:eastAsia="Times New Roman" w:hAnsiTheme="majorBidi" w:cstheme="majorBidi"/>
          <w:sz w:val="22"/>
          <w:lang w:bidi="he-IL"/>
        </w:rPr>
        <w:t>, T. and Kosti, N. (2026) ‘Mapping Europe’s Digital Acquis: A Granular History of EU Digital Policymaking’, unpublished manuscript, 21 September 2026.</w:t>
      </w:r>
    </w:p>
    <w:p w14:paraId="25F0EA28"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proofErr w:type="spellStart"/>
      <w:r w:rsidRPr="005A3BC0">
        <w:rPr>
          <w:rFonts w:asciiTheme="majorBidi" w:eastAsia="Times New Roman" w:hAnsiTheme="majorBidi" w:cstheme="majorBidi"/>
          <w:sz w:val="22"/>
          <w:lang w:bidi="he-IL"/>
        </w:rPr>
        <w:t>Siddiki</w:t>
      </w:r>
      <w:proofErr w:type="spellEnd"/>
      <w:r w:rsidRPr="005A3BC0">
        <w:rPr>
          <w:rFonts w:asciiTheme="majorBidi" w:eastAsia="Times New Roman" w:hAnsiTheme="majorBidi" w:cstheme="majorBidi"/>
          <w:sz w:val="22"/>
          <w:lang w:bidi="he-IL"/>
        </w:rPr>
        <w:t xml:space="preserve">, S.N. and Frantz, C.K. (2024) ‘Understanding regulation using the Institutional Grammar 2.0’, </w:t>
      </w:r>
      <w:r w:rsidRPr="005A3BC0">
        <w:rPr>
          <w:rFonts w:asciiTheme="majorBidi" w:eastAsia="Times New Roman" w:hAnsiTheme="majorBidi" w:cstheme="majorBidi"/>
          <w:i/>
          <w:iCs/>
          <w:sz w:val="22"/>
          <w:lang w:bidi="he-IL"/>
        </w:rPr>
        <w:t>Regulation &amp; Governance</w:t>
      </w:r>
      <w:r w:rsidRPr="005A3BC0">
        <w:rPr>
          <w:rFonts w:asciiTheme="majorBidi" w:eastAsia="Times New Roman" w:hAnsiTheme="majorBidi" w:cstheme="majorBidi"/>
          <w:sz w:val="22"/>
          <w:lang w:bidi="he-IL"/>
        </w:rPr>
        <w:t>, 18(3), pp. 674–687.</w:t>
      </w:r>
    </w:p>
    <w:p w14:paraId="2653BB47"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proofErr w:type="spellStart"/>
      <w:r w:rsidRPr="005A3BC0">
        <w:rPr>
          <w:rFonts w:asciiTheme="majorBidi" w:eastAsia="Times New Roman" w:hAnsiTheme="majorBidi" w:cstheme="majorBidi"/>
          <w:sz w:val="22"/>
          <w:lang w:bidi="he-IL"/>
        </w:rPr>
        <w:lastRenderedPageBreak/>
        <w:t>Siems</w:t>
      </w:r>
      <w:proofErr w:type="spellEnd"/>
      <w:r w:rsidRPr="005A3BC0">
        <w:rPr>
          <w:rFonts w:asciiTheme="majorBidi" w:eastAsia="Times New Roman" w:hAnsiTheme="majorBidi" w:cstheme="majorBidi"/>
          <w:sz w:val="22"/>
          <w:lang w:bidi="he-IL"/>
        </w:rPr>
        <w:t xml:space="preserve">, M.M. (2005) ‘Numerical comparative law: do we need statistical evidence in law in order to reduce complexity?’, </w:t>
      </w:r>
      <w:r w:rsidRPr="005A3BC0">
        <w:rPr>
          <w:rFonts w:asciiTheme="majorBidi" w:eastAsia="Times New Roman" w:hAnsiTheme="majorBidi" w:cstheme="majorBidi"/>
          <w:i/>
          <w:iCs/>
          <w:sz w:val="22"/>
          <w:lang w:bidi="he-IL"/>
        </w:rPr>
        <w:t>Cardozo Journal of International and Comparative Law</w:t>
      </w:r>
      <w:r w:rsidRPr="005A3BC0">
        <w:rPr>
          <w:rFonts w:asciiTheme="majorBidi" w:eastAsia="Times New Roman" w:hAnsiTheme="majorBidi" w:cstheme="majorBidi"/>
          <w:sz w:val="22"/>
          <w:lang w:bidi="he-IL"/>
        </w:rPr>
        <w:t>, 13, pp. 521–540.</w:t>
      </w:r>
    </w:p>
    <w:p w14:paraId="754455DA"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proofErr w:type="spellStart"/>
      <w:r w:rsidRPr="005A3BC0">
        <w:rPr>
          <w:rFonts w:asciiTheme="majorBidi" w:eastAsia="Times New Roman" w:hAnsiTheme="majorBidi" w:cstheme="majorBidi"/>
          <w:sz w:val="22"/>
          <w:lang w:bidi="he-IL"/>
        </w:rPr>
        <w:t>Spamann</w:t>
      </w:r>
      <w:proofErr w:type="spellEnd"/>
      <w:r w:rsidRPr="005A3BC0">
        <w:rPr>
          <w:rFonts w:asciiTheme="majorBidi" w:eastAsia="Times New Roman" w:hAnsiTheme="majorBidi" w:cstheme="majorBidi"/>
          <w:sz w:val="22"/>
          <w:lang w:bidi="he-IL"/>
        </w:rPr>
        <w:t>, H. (2010) ‘The “</w:t>
      </w:r>
      <w:proofErr w:type="spellStart"/>
      <w:r w:rsidRPr="005A3BC0">
        <w:rPr>
          <w:rFonts w:asciiTheme="majorBidi" w:eastAsia="Times New Roman" w:hAnsiTheme="majorBidi" w:cstheme="majorBidi"/>
          <w:sz w:val="22"/>
          <w:lang w:bidi="he-IL"/>
        </w:rPr>
        <w:t>Antidirector</w:t>
      </w:r>
      <w:proofErr w:type="spellEnd"/>
      <w:r w:rsidRPr="005A3BC0">
        <w:rPr>
          <w:rFonts w:asciiTheme="majorBidi" w:eastAsia="Times New Roman" w:hAnsiTheme="majorBidi" w:cstheme="majorBidi"/>
          <w:sz w:val="22"/>
          <w:lang w:bidi="he-IL"/>
        </w:rPr>
        <w:t xml:space="preserve"> Rights Index” revisited’, </w:t>
      </w:r>
      <w:r w:rsidRPr="005A3BC0">
        <w:rPr>
          <w:rFonts w:asciiTheme="majorBidi" w:eastAsia="Times New Roman" w:hAnsiTheme="majorBidi" w:cstheme="majorBidi"/>
          <w:i/>
          <w:iCs/>
          <w:sz w:val="22"/>
          <w:lang w:bidi="he-IL"/>
        </w:rPr>
        <w:t>Review of Financial Studies</w:t>
      </w:r>
      <w:r w:rsidRPr="005A3BC0">
        <w:rPr>
          <w:rFonts w:asciiTheme="majorBidi" w:eastAsia="Times New Roman" w:hAnsiTheme="majorBidi" w:cstheme="majorBidi"/>
          <w:sz w:val="22"/>
          <w:lang w:bidi="he-IL"/>
        </w:rPr>
        <w:t>, 23(2), pp. 467–486.</w:t>
      </w:r>
    </w:p>
    <w:p w14:paraId="599E7BD6"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proofErr w:type="spellStart"/>
      <w:r w:rsidRPr="005A3BC0">
        <w:rPr>
          <w:rFonts w:asciiTheme="majorBidi" w:eastAsia="Times New Roman" w:hAnsiTheme="majorBidi" w:cstheme="majorBidi"/>
          <w:sz w:val="22"/>
          <w:lang w:bidi="he-IL"/>
        </w:rPr>
        <w:t>Treib</w:t>
      </w:r>
      <w:proofErr w:type="spellEnd"/>
      <w:r w:rsidRPr="005A3BC0">
        <w:rPr>
          <w:rFonts w:asciiTheme="majorBidi" w:eastAsia="Times New Roman" w:hAnsiTheme="majorBidi" w:cstheme="majorBidi"/>
          <w:sz w:val="22"/>
          <w:lang w:bidi="he-IL"/>
        </w:rPr>
        <w:t xml:space="preserve">, O., </w:t>
      </w:r>
      <w:proofErr w:type="spellStart"/>
      <w:r w:rsidRPr="005A3BC0">
        <w:rPr>
          <w:rFonts w:asciiTheme="majorBidi" w:eastAsia="Times New Roman" w:hAnsiTheme="majorBidi" w:cstheme="majorBidi"/>
          <w:sz w:val="22"/>
          <w:lang w:bidi="he-IL"/>
        </w:rPr>
        <w:t>Bähr</w:t>
      </w:r>
      <w:proofErr w:type="spellEnd"/>
      <w:r w:rsidRPr="005A3BC0">
        <w:rPr>
          <w:rFonts w:asciiTheme="majorBidi" w:eastAsia="Times New Roman" w:hAnsiTheme="majorBidi" w:cstheme="majorBidi"/>
          <w:sz w:val="22"/>
          <w:lang w:bidi="he-IL"/>
        </w:rPr>
        <w:t xml:space="preserve">, H. and Falkner, G. (2007) ‘Modes of governance: towards a conceptual clarification’, </w:t>
      </w:r>
      <w:r w:rsidRPr="005A3BC0">
        <w:rPr>
          <w:rFonts w:asciiTheme="majorBidi" w:eastAsia="Times New Roman" w:hAnsiTheme="majorBidi" w:cstheme="majorBidi"/>
          <w:i/>
          <w:iCs/>
          <w:sz w:val="22"/>
          <w:lang w:bidi="he-IL"/>
        </w:rPr>
        <w:t>Journal of European Public Policy</w:t>
      </w:r>
      <w:r w:rsidRPr="005A3BC0">
        <w:rPr>
          <w:rFonts w:asciiTheme="majorBidi" w:eastAsia="Times New Roman" w:hAnsiTheme="majorBidi" w:cstheme="majorBidi"/>
          <w:sz w:val="22"/>
          <w:lang w:bidi="he-IL"/>
        </w:rPr>
        <w:t>, 14(1), pp. 1–20.</w:t>
      </w:r>
    </w:p>
    <w:p w14:paraId="3001B375" w14:textId="77777777" w:rsidR="005A3BC0" w:rsidRPr="005A3BC0" w:rsidRDefault="005A3BC0" w:rsidP="005A3BC0">
      <w:pPr>
        <w:spacing w:before="100" w:beforeAutospacing="1" w:afterAutospacing="1" w:line="240" w:lineRule="auto"/>
        <w:rPr>
          <w:rFonts w:asciiTheme="majorBidi" w:eastAsia="Times New Roman" w:hAnsiTheme="majorBidi" w:cstheme="majorBidi"/>
          <w:sz w:val="22"/>
          <w:lang w:bidi="he-IL"/>
        </w:rPr>
      </w:pPr>
      <w:proofErr w:type="spellStart"/>
      <w:r w:rsidRPr="005A3BC0">
        <w:rPr>
          <w:rFonts w:asciiTheme="majorBidi" w:eastAsia="Times New Roman" w:hAnsiTheme="majorBidi" w:cstheme="majorBidi"/>
          <w:sz w:val="22"/>
          <w:lang w:bidi="he-IL"/>
        </w:rPr>
        <w:t>Vedung</w:t>
      </w:r>
      <w:proofErr w:type="spellEnd"/>
      <w:r w:rsidRPr="005A3BC0">
        <w:rPr>
          <w:rFonts w:asciiTheme="majorBidi" w:eastAsia="Times New Roman" w:hAnsiTheme="majorBidi" w:cstheme="majorBidi"/>
          <w:sz w:val="22"/>
          <w:lang w:bidi="he-IL"/>
        </w:rPr>
        <w:t>, E. (1998) ‘Policy instruments: typologies and theories’, in Bemelmans-</w:t>
      </w:r>
      <w:proofErr w:type="spellStart"/>
      <w:r w:rsidRPr="005A3BC0">
        <w:rPr>
          <w:rFonts w:asciiTheme="majorBidi" w:eastAsia="Times New Roman" w:hAnsiTheme="majorBidi" w:cstheme="majorBidi"/>
          <w:sz w:val="22"/>
          <w:lang w:bidi="he-IL"/>
        </w:rPr>
        <w:t>Videc</w:t>
      </w:r>
      <w:proofErr w:type="spellEnd"/>
      <w:r w:rsidRPr="005A3BC0">
        <w:rPr>
          <w:rFonts w:asciiTheme="majorBidi" w:eastAsia="Times New Roman" w:hAnsiTheme="majorBidi" w:cstheme="majorBidi"/>
          <w:sz w:val="22"/>
          <w:lang w:bidi="he-IL"/>
        </w:rPr>
        <w:t xml:space="preserve">, M.-L., </w:t>
      </w:r>
      <w:proofErr w:type="spellStart"/>
      <w:r w:rsidRPr="005A3BC0">
        <w:rPr>
          <w:rFonts w:asciiTheme="majorBidi" w:eastAsia="Times New Roman" w:hAnsiTheme="majorBidi" w:cstheme="majorBidi"/>
          <w:sz w:val="22"/>
          <w:lang w:bidi="he-IL"/>
        </w:rPr>
        <w:t>Rist</w:t>
      </w:r>
      <w:proofErr w:type="spellEnd"/>
      <w:r w:rsidRPr="005A3BC0">
        <w:rPr>
          <w:rFonts w:asciiTheme="majorBidi" w:eastAsia="Times New Roman" w:hAnsiTheme="majorBidi" w:cstheme="majorBidi"/>
          <w:sz w:val="22"/>
          <w:lang w:bidi="he-IL"/>
        </w:rPr>
        <w:t xml:space="preserve">, R.C. and </w:t>
      </w:r>
      <w:proofErr w:type="spellStart"/>
      <w:r w:rsidRPr="005A3BC0">
        <w:rPr>
          <w:rFonts w:asciiTheme="majorBidi" w:eastAsia="Times New Roman" w:hAnsiTheme="majorBidi" w:cstheme="majorBidi"/>
          <w:sz w:val="22"/>
          <w:lang w:bidi="he-IL"/>
        </w:rPr>
        <w:t>Vedung</w:t>
      </w:r>
      <w:proofErr w:type="spellEnd"/>
      <w:r w:rsidRPr="005A3BC0">
        <w:rPr>
          <w:rFonts w:asciiTheme="majorBidi" w:eastAsia="Times New Roman" w:hAnsiTheme="majorBidi" w:cstheme="majorBidi"/>
          <w:sz w:val="22"/>
          <w:lang w:bidi="he-IL"/>
        </w:rPr>
        <w:t xml:space="preserve">, E. (eds), </w:t>
      </w:r>
      <w:r w:rsidRPr="005A3BC0">
        <w:rPr>
          <w:rFonts w:asciiTheme="majorBidi" w:eastAsia="Times New Roman" w:hAnsiTheme="majorBidi" w:cstheme="majorBidi"/>
          <w:i/>
          <w:iCs/>
          <w:sz w:val="22"/>
          <w:lang w:bidi="he-IL"/>
        </w:rPr>
        <w:t>Carrots, Sticks and Sermons: Policy Instruments and Their Evaluation</w:t>
      </w:r>
      <w:r w:rsidRPr="005A3BC0">
        <w:rPr>
          <w:rFonts w:asciiTheme="majorBidi" w:eastAsia="Times New Roman" w:hAnsiTheme="majorBidi" w:cstheme="majorBidi"/>
          <w:sz w:val="22"/>
          <w:lang w:bidi="he-IL"/>
        </w:rPr>
        <w:t>. New Brunswick, NJ: Transaction Publishers, pp. 21–58.</w:t>
      </w:r>
    </w:p>
    <w:p w14:paraId="4DFC444E" w14:textId="77777777" w:rsidR="00164E4D" w:rsidRDefault="00164E4D" w:rsidP="005D22D4">
      <w:pPr>
        <w:spacing w:before="100" w:beforeAutospacing="1" w:afterAutospacing="1" w:line="240" w:lineRule="auto"/>
        <w:rPr>
          <w:rFonts w:asciiTheme="majorBidi" w:eastAsiaTheme="majorEastAsia" w:hAnsiTheme="majorBidi" w:cstheme="majorBidi"/>
          <w:b/>
          <w:bCs/>
          <w:color w:val="365F91" w:themeColor="accent1" w:themeShade="BF"/>
          <w:sz w:val="24"/>
          <w:szCs w:val="24"/>
        </w:rPr>
      </w:pPr>
    </w:p>
    <w:sectPr w:rsidR="00164E4D" w:rsidSect="003D4F54">
      <w:headerReference w:type="default" r:id="rId8"/>
      <w:footerReference w:type="default" r:id="rId9"/>
      <w:endnotePr>
        <w:numFmt w:val="decimal"/>
      </w:endnotePr>
      <w:type w:val="continuous"/>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304B07" w14:textId="77777777" w:rsidR="00FA7532" w:rsidRDefault="00FA7532" w:rsidP="00FC6A57">
      <w:pPr>
        <w:spacing w:after="0" w:line="240" w:lineRule="auto"/>
      </w:pPr>
      <w:r>
        <w:separator/>
      </w:r>
    </w:p>
  </w:endnote>
  <w:endnote w:type="continuationSeparator" w:id="0">
    <w:p w14:paraId="3C8B4C58" w14:textId="77777777" w:rsidR="00FA7532" w:rsidRDefault="00FA7532" w:rsidP="00FC6A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3019035"/>
      <w:docPartObj>
        <w:docPartGallery w:val="Page Numbers (Bottom of Page)"/>
        <w:docPartUnique/>
      </w:docPartObj>
    </w:sdtPr>
    <w:sdtEndPr/>
    <w:sdtContent>
      <w:p w14:paraId="0BFE4DF9" w14:textId="03E41EED" w:rsidR="00FC6A57" w:rsidRDefault="00FC6A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2EC924" w14:textId="77777777" w:rsidR="00FC6A57" w:rsidRDefault="00FC6A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4AF71" w14:textId="77777777" w:rsidR="00FA7532" w:rsidRDefault="00FA7532" w:rsidP="00FC6A57">
      <w:pPr>
        <w:spacing w:after="0" w:line="240" w:lineRule="auto"/>
      </w:pPr>
      <w:r>
        <w:separator/>
      </w:r>
    </w:p>
  </w:footnote>
  <w:footnote w:type="continuationSeparator" w:id="0">
    <w:p w14:paraId="0989033A" w14:textId="77777777" w:rsidR="00FA7532" w:rsidRDefault="00FA7532" w:rsidP="00FC6A57">
      <w:pPr>
        <w:spacing w:after="0" w:line="240" w:lineRule="auto"/>
      </w:pPr>
      <w:r>
        <w:continuationSeparator/>
      </w:r>
    </w:p>
  </w:footnote>
  <w:footnote w:id="1">
    <w:p w14:paraId="1AFD5DFD" w14:textId="77777777" w:rsidR="00EA63B7" w:rsidRDefault="00EA63B7" w:rsidP="00EA63B7">
      <w:pPr>
        <w:pStyle w:val="FootnoteText"/>
      </w:pPr>
      <w:r>
        <w:rPr>
          <w:rStyle w:val="FootnoteReference"/>
        </w:rPr>
        <w:footnoteRef/>
      </w:r>
      <w:r>
        <w:t xml:space="preserve"> </w:t>
      </w:r>
      <w:hyperlink r:id="rId1" w:history="1">
        <w:r>
          <w:rPr>
            <w:rStyle w:val="Hyperlink"/>
            <w:rFonts w:ascii="Times New Roman" w:eastAsia="Times New Roman" w:hAnsi="Times New Roman" w:cs="Times New Roman"/>
            <w:noProof w:val="0"/>
            <w:sz w:val="24"/>
            <w:szCs w:val="24"/>
          </w:rPr>
          <w:t>Comparative Constitutions Project</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EDBBB" w14:textId="515B7AFE" w:rsidR="007D3006" w:rsidRDefault="007D3006">
    <w:pPr>
      <w:pStyle w:val="Header"/>
    </w:pPr>
    <w:r>
      <w:t xml:space="preserve">October </w:t>
    </w:r>
    <w:r w:rsidR="00EA63B7">
      <w:t>3</w:t>
    </w:r>
    <w:r w:rsidR="00EA63B7" w:rsidRPr="00EA63B7">
      <w:rPr>
        <w:vertAlign w:val="superscript"/>
      </w:rPr>
      <w:t>rd</w:t>
    </w:r>
    <w:r w:rsidR="00EA63B7">
      <w:t xml:space="preserve"> </w:t>
    </w:r>
    <w:r w:rsidR="003E4474">
      <w:t xml:space="preserve"> </w:t>
    </w:r>
    <w:r w:rsidR="003D1700">
      <w:t xml:space="preserve"> </w:t>
    </w:r>
    <w:r>
      <w:t xml:space="preserve"> version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E5B9E"/>
    <w:multiLevelType w:val="hybridMultilevel"/>
    <w:tmpl w:val="E86C30AA"/>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6929C9"/>
    <w:multiLevelType w:val="multilevel"/>
    <w:tmpl w:val="9C807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405994"/>
    <w:multiLevelType w:val="hybridMultilevel"/>
    <w:tmpl w:val="8FE0FF5E"/>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2F3B66"/>
    <w:multiLevelType w:val="multilevel"/>
    <w:tmpl w:val="DAEE82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4271929"/>
    <w:multiLevelType w:val="multilevel"/>
    <w:tmpl w:val="F4CE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6310AA"/>
    <w:multiLevelType w:val="hybridMultilevel"/>
    <w:tmpl w:val="F768DA3C"/>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D77A14"/>
    <w:multiLevelType w:val="multilevel"/>
    <w:tmpl w:val="5246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B181B"/>
    <w:multiLevelType w:val="hybridMultilevel"/>
    <w:tmpl w:val="D1E034BA"/>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E9167A"/>
    <w:multiLevelType w:val="hybridMultilevel"/>
    <w:tmpl w:val="DA46433A"/>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427CDB"/>
    <w:multiLevelType w:val="hybridMultilevel"/>
    <w:tmpl w:val="4B0EAE30"/>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6"/>
  </w:num>
  <w:num w:numId="12">
    <w:abstractNumId w:val="11"/>
  </w:num>
  <w:num w:numId="13">
    <w:abstractNumId w:val="14"/>
  </w:num>
  <w:num w:numId="14">
    <w:abstractNumId w:val="17"/>
  </w:num>
  <w:num w:numId="15">
    <w:abstractNumId w:val="18"/>
  </w:num>
  <w:num w:numId="16">
    <w:abstractNumId w:val="15"/>
  </w:num>
  <w:num w:numId="17">
    <w:abstractNumId w:val="13"/>
  </w:num>
  <w:num w:numId="18">
    <w:abstractNumId w:val="10"/>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DAB"/>
    <w:rsid w:val="00034616"/>
    <w:rsid w:val="0003620F"/>
    <w:rsid w:val="00050328"/>
    <w:rsid w:val="0006063C"/>
    <w:rsid w:val="00071058"/>
    <w:rsid w:val="00094FA3"/>
    <w:rsid w:val="000B6BFF"/>
    <w:rsid w:val="000D3435"/>
    <w:rsid w:val="001022B9"/>
    <w:rsid w:val="00131948"/>
    <w:rsid w:val="0015074B"/>
    <w:rsid w:val="00164E4D"/>
    <w:rsid w:val="001962F2"/>
    <w:rsid w:val="001A3337"/>
    <w:rsid w:val="00205B76"/>
    <w:rsid w:val="00225917"/>
    <w:rsid w:val="0023621F"/>
    <w:rsid w:val="00281531"/>
    <w:rsid w:val="002835F4"/>
    <w:rsid w:val="0029639D"/>
    <w:rsid w:val="00326F90"/>
    <w:rsid w:val="0033094E"/>
    <w:rsid w:val="003343B5"/>
    <w:rsid w:val="0034786B"/>
    <w:rsid w:val="003504C2"/>
    <w:rsid w:val="00356192"/>
    <w:rsid w:val="0036629B"/>
    <w:rsid w:val="00384178"/>
    <w:rsid w:val="003902C2"/>
    <w:rsid w:val="003D1700"/>
    <w:rsid w:val="003D4F54"/>
    <w:rsid w:val="003E4474"/>
    <w:rsid w:val="0040748E"/>
    <w:rsid w:val="00430001"/>
    <w:rsid w:val="00444355"/>
    <w:rsid w:val="00466E69"/>
    <w:rsid w:val="004A0F24"/>
    <w:rsid w:val="004E6D01"/>
    <w:rsid w:val="005219AB"/>
    <w:rsid w:val="00524B8E"/>
    <w:rsid w:val="0053775A"/>
    <w:rsid w:val="00544663"/>
    <w:rsid w:val="00560726"/>
    <w:rsid w:val="005A3BC0"/>
    <w:rsid w:val="005D22D4"/>
    <w:rsid w:val="005D4593"/>
    <w:rsid w:val="00656BE6"/>
    <w:rsid w:val="00667343"/>
    <w:rsid w:val="00671550"/>
    <w:rsid w:val="006B6F73"/>
    <w:rsid w:val="006C37ED"/>
    <w:rsid w:val="006C4393"/>
    <w:rsid w:val="006C4FF1"/>
    <w:rsid w:val="006E130A"/>
    <w:rsid w:val="00733B42"/>
    <w:rsid w:val="00751C8F"/>
    <w:rsid w:val="007B18C5"/>
    <w:rsid w:val="007D3006"/>
    <w:rsid w:val="00854980"/>
    <w:rsid w:val="009A22BF"/>
    <w:rsid w:val="009E7F04"/>
    <w:rsid w:val="009F52E6"/>
    <w:rsid w:val="00A655F9"/>
    <w:rsid w:val="00A71381"/>
    <w:rsid w:val="00AA057C"/>
    <w:rsid w:val="00AA1D8D"/>
    <w:rsid w:val="00B47730"/>
    <w:rsid w:val="00B746D2"/>
    <w:rsid w:val="00B917D1"/>
    <w:rsid w:val="00BB24A5"/>
    <w:rsid w:val="00BB36A8"/>
    <w:rsid w:val="00CA0508"/>
    <w:rsid w:val="00CB0664"/>
    <w:rsid w:val="00CB41FD"/>
    <w:rsid w:val="00D11BF4"/>
    <w:rsid w:val="00DD3637"/>
    <w:rsid w:val="00DF0AFA"/>
    <w:rsid w:val="00DF0FF2"/>
    <w:rsid w:val="00E23373"/>
    <w:rsid w:val="00E56F0F"/>
    <w:rsid w:val="00E60B76"/>
    <w:rsid w:val="00E67CF1"/>
    <w:rsid w:val="00EA63B7"/>
    <w:rsid w:val="00ED1D0E"/>
    <w:rsid w:val="00EF25EF"/>
    <w:rsid w:val="00FA7532"/>
    <w:rsid w:val="00FC693F"/>
    <w:rsid w:val="00FC6A57"/>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C5E816"/>
  <w14:defaultImageDpi w14:val="300"/>
  <w15:docId w15:val="{7BA25E11-3640-43A1-BA11-F7E11B3EC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3B5"/>
    <w:pPr>
      <w:spacing w:after="10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FC6A57"/>
    <w:pPr>
      <w:spacing w:before="100" w:beforeAutospacing="1" w:afterAutospacing="1" w:line="240" w:lineRule="auto"/>
    </w:pPr>
    <w:rPr>
      <w:rFonts w:ascii="Times New Roman" w:eastAsia="Times New Roman" w:hAnsi="Times New Roman" w:cs="Times New Roman"/>
      <w:sz w:val="24"/>
      <w:szCs w:val="24"/>
      <w:lang w:bidi="he-IL"/>
    </w:rPr>
  </w:style>
  <w:style w:type="character" w:styleId="EndnoteReference">
    <w:name w:val="endnote reference"/>
    <w:basedOn w:val="DefaultParagraphFont"/>
    <w:uiPriority w:val="99"/>
    <w:semiHidden/>
    <w:unhideWhenUsed/>
    <w:rsid w:val="003D4F54"/>
    <w:rPr>
      <w:vertAlign w:val="superscript"/>
    </w:rPr>
  </w:style>
  <w:style w:type="character" w:styleId="CommentReference">
    <w:name w:val="annotation reference"/>
    <w:basedOn w:val="DefaultParagraphFont"/>
    <w:uiPriority w:val="99"/>
    <w:semiHidden/>
    <w:unhideWhenUsed/>
    <w:rsid w:val="0033094E"/>
    <w:rPr>
      <w:sz w:val="16"/>
      <w:szCs w:val="16"/>
    </w:rPr>
  </w:style>
  <w:style w:type="paragraph" w:styleId="CommentText">
    <w:name w:val="annotation text"/>
    <w:basedOn w:val="Normal"/>
    <w:link w:val="CommentTextChar"/>
    <w:uiPriority w:val="99"/>
    <w:semiHidden/>
    <w:unhideWhenUsed/>
    <w:rsid w:val="0033094E"/>
    <w:pPr>
      <w:spacing w:line="240" w:lineRule="auto"/>
    </w:pPr>
    <w:rPr>
      <w:sz w:val="20"/>
      <w:szCs w:val="20"/>
    </w:rPr>
  </w:style>
  <w:style w:type="character" w:customStyle="1" w:styleId="CommentTextChar">
    <w:name w:val="Comment Text Char"/>
    <w:basedOn w:val="DefaultParagraphFont"/>
    <w:link w:val="CommentText"/>
    <w:uiPriority w:val="99"/>
    <w:semiHidden/>
    <w:rsid w:val="0033094E"/>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33094E"/>
    <w:rPr>
      <w:b/>
      <w:bCs/>
    </w:rPr>
  </w:style>
  <w:style w:type="character" w:customStyle="1" w:styleId="CommentSubjectChar">
    <w:name w:val="Comment Subject Char"/>
    <w:basedOn w:val="CommentTextChar"/>
    <w:link w:val="CommentSubject"/>
    <w:uiPriority w:val="99"/>
    <w:semiHidden/>
    <w:rsid w:val="0033094E"/>
    <w:rPr>
      <w:rFonts w:ascii="Aptos" w:hAnsi="Aptos"/>
      <w:b/>
      <w:bCs/>
      <w:sz w:val="20"/>
      <w:szCs w:val="20"/>
    </w:rPr>
  </w:style>
  <w:style w:type="character" w:styleId="Hyperlink">
    <w:name w:val="Hyperlink"/>
    <w:basedOn w:val="DefaultParagraphFont"/>
    <w:uiPriority w:val="99"/>
    <w:semiHidden/>
    <w:unhideWhenUsed/>
    <w:rsid w:val="0033094E"/>
    <w:rPr>
      <w:color w:val="0000FF"/>
      <w:u w:val="single"/>
    </w:rPr>
  </w:style>
  <w:style w:type="paragraph" w:customStyle="1" w:styleId="FirstParagraph">
    <w:name w:val="First Paragraph"/>
    <w:basedOn w:val="BodyText"/>
    <w:next w:val="BodyText"/>
    <w:uiPriority w:val="99"/>
    <w:rsid w:val="00356192"/>
    <w:pPr>
      <w:widowControl w:val="0"/>
      <w:autoSpaceDE w:val="0"/>
      <w:autoSpaceDN w:val="0"/>
      <w:adjustRightInd w:val="0"/>
      <w:spacing w:after="0" w:line="240" w:lineRule="auto"/>
    </w:pPr>
    <w:rPr>
      <w:rFonts w:ascii="Cambria" w:hAnsi="Cambria"/>
      <w:sz w:val="24"/>
      <w:szCs w:val="24"/>
    </w:rPr>
  </w:style>
  <w:style w:type="paragraph" w:styleId="EndnoteText">
    <w:name w:val="endnote text"/>
    <w:basedOn w:val="Normal"/>
    <w:link w:val="EndnoteTextChar"/>
    <w:uiPriority w:val="99"/>
    <w:semiHidden/>
    <w:unhideWhenUsed/>
    <w:rsid w:val="00DD363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D3637"/>
    <w:rPr>
      <w:rFonts w:ascii="Aptos" w:hAnsi="Aptos"/>
      <w:sz w:val="20"/>
      <w:szCs w:val="20"/>
    </w:rPr>
  </w:style>
  <w:style w:type="paragraph" w:styleId="FootnoteText">
    <w:name w:val="footnote text"/>
    <w:basedOn w:val="Normal"/>
    <w:link w:val="FootnoteTextChar"/>
    <w:uiPriority w:val="99"/>
    <w:semiHidden/>
    <w:unhideWhenUsed/>
    <w:rsid w:val="00EA63B7"/>
    <w:pPr>
      <w:spacing w:after="0" w:line="240" w:lineRule="auto"/>
      <w:jc w:val="both"/>
    </w:pPr>
    <w:rPr>
      <w:rFonts w:asciiTheme="minorHAnsi" w:eastAsiaTheme="minorHAnsi" w:hAnsiTheme="minorHAnsi"/>
      <w:noProof/>
      <w:sz w:val="20"/>
      <w:szCs w:val="20"/>
      <w:lang w:bidi="he-IL"/>
    </w:rPr>
  </w:style>
  <w:style w:type="character" w:customStyle="1" w:styleId="FootnoteTextChar">
    <w:name w:val="Footnote Text Char"/>
    <w:basedOn w:val="DefaultParagraphFont"/>
    <w:link w:val="FootnoteText"/>
    <w:uiPriority w:val="99"/>
    <w:semiHidden/>
    <w:rsid w:val="00EA63B7"/>
    <w:rPr>
      <w:rFonts w:eastAsiaTheme="minorHAnsi"/>
      <w:noProof/>
      <w:sz w:val="20"/>
      <w:szCs w:val="20"/>
      <w:lang w:bidi="he-IL"/>
    </w:rPr>
  </w:style>
  <w:style w:type="character" w:styleId="FootnoteReference">
    <w:name w:val="footnote reference"/>
    <w:basedOn w:val="DefaultParagraphFont"/>
    <w:uiPriority w:val="99"/>
    <w:semiHidden/>
    <w:unhideWhenUsed/>
    <w:rsid w:val="00EA63B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02554">
      <w:bodyDiv w:val="1"/>
      <w:marLeft w:val="0"/>
      <w:marRight w:val="0"/>
      <w:marTop w:val="0"/>
      <w:marBottom w:val="0"/>
      <w:divBdr>
        <w:top w:val="none" w:sz="0" w:space="0" w:color="auto"/>
        <w:left w:val="none" w:sz="0" w:space="0" w:color="auto"/>
        <w:bottom w:val="none" w:sz="0" w:space="0" w:color="auto"/>
        <w:right w:val="none" w:sz="0" w:space="0" w:color="auto"/>
      </w:divBdr>
    </w:div>
    <w:div w:id="100301748">
      <w:bodyDiv w:val="1"/>
      <w:marLeft w:val="0"/>
      <w:marRight w:val="0"/>
      <w:marTop w:val="0"/>
      <w:marBottom w:val="0"/>
      <w:divBdr>
        <w:top w:val="none" w:sz="0" w:space="0" w:color="auto"/>
        <w:left w:val="none" w:sz="0" w:space="0" w:color="auto"/>
        <w:bottom w:val="none" w:sz="0" w:space="0" w:color="auto"/>
        <w:right w:val="none" w:sz="0" w:space="0" w:color="auto"/>
      </w:divBdr>
    </w:div>
    <w:div w:id="325978724">
      <w:bodyDiv w:val="1"/>
      <w:marLeft w:val="0"/>
      <w:marRight w:val="0"/>
      <w:marTop w:val="0"/>
      <w:marBottom w:val="0"/>
      <w:divBdr>
        <w:top w:val="none" w:sz="0" w:space="0" w:color="auto"/>
        <w:left w:val="none" w:sz="0" w:space="0" w:color="auto"/>
        <w:bottom w:val="none" w:sz="0" w:space="0" w:color="auto"/>
        <w:right w:val="none" w:sz="0" w:space="0" w:color="auto"/>
      </w:divBdr>
    </w:div>
    <w:div w:id="344862541">
      <w:bodyDiv w:val="1"/>
      <w:marLeft w:val="0"/>
      <w:marRight w:val="0"/>
      <w:marTop w:val="0"/>
      <w:marBottom w:val="0"/>
      <w:divBdr>
        <w:top w:val="none" w:sz="0" w:space="0" w:color="auto"/>
        <w:left w:val="none" w:sz="0" w:space="0" w:color="auto"/>
        <w:bottom w:val="none" w:sz="0" w:space="0" w:color="auto"/>
        <w:right w:val="none" w:sz="0" w:space="0" w:color="auto"/>
      </w:divBdr>
    </w:div>
    <w:div w:id="382565453">
      <w:bodyDiv w:val="1"/>
      <w:marLeft w:val="0"/>
      <w:marRight w:val="0"/>
      <w:marTop w:val="0"/>
      <w:marBottom w:val="0"/>
      <w:divBdr>
        <w:top w:val="none" w:sz="0" w:space="0" w:color="auto"/>
        <w:left w:val="none" w:sz="0" w:space="0" w:color="auto"/>
        <w:bottom w:val="none" w:sz="0" w:space="0" w:color="auto"/>
        <w:right w:val="none" w:sz="0" w:space="0" w:color="auto"/>
      </w:divBdr>
    </w:div>
    <w:div w:id="597953340">
      <w:bodyDiv w:val="1"/>
      <w:marLeft w:val="0"/>
      <w:marRight w:val="0"/>
      <w:marTop w:val="0"/>
      <w:marBottom w:val="0"/>
      <w:divBdr>
        <w:top w:val="none" w:sz="0" w:space="0" w:color="auto"/>
        <w:left w:val="none" w:sz="0" w:space="0" w:color="auto"/>
        <w:bottom w:val="none" w:sz="0" w:space="0" w:color="auto"/>
        <w:right w:val="none" w:sz="0" w:space="0" w:color="auto"/>
      </w:divBdr>
    </w:div>
    <w:div w:id="618335539">
      <w:bodyDiv w:val="1"/>
      <w:marLeft w:val="0"/>
      <w:marRight w:val="0"/>
      <w:marTop w:val="0"/>
      <w:marBottom w:val="0"/>
      <w:divBdr>
        <w:top w:val="none" w:sz="0" w:space="0" w:color="auto"/>
        <w:left w:val="none" w:sz="0" w:space="0" w:color="auto"/>
        <w:bottom w:val="none" w:sz="0" w:space="0" w:color="auto"/>
        <w:right w:val="none" w:sz="0" w:space="0" w:color="auto"/>
      </w:divBdr>
    </w:div>
    <w:div w:id="622544783">
      <w:bodyDiv w:val="1"/>
      <w:marLeft w:val="0"/>
      <w:marRight w:val="0"/>
      <w:marTop w:val="0"/>
      <w:marBottom w:val="0"/>
      <w:divBdr>
        <w:top w:val="none" w:sz="0" w:space="0" w:color="auto"/>
        <w:left w:val="none" w:sz="0" w:space="0" w:color="auto"/>
        <w:bottom w:val="none" w:sz="0" w:space="0" w:color="auto"/>
        <w:right w:val="none" w:sz="0" w:space="0" w:color="auto"/>
      </w:divBdr>
    </w:div>
    <w:div w:id="659969219">
      <w:bodyDiv w:val="1"/>
      <w:marLeft w:val="0"/>
      <w:marRight w:val="0"/>
      <w:marTop w:val="0"/>
      <w:marBottom w:val="0"/>
      <w:divBdr>
        <w:top w:val="none" w:sz="0" w:space="0" w:color="auto"/>
        <w:left w:val="none" w:sz="0" w:space="0" w:color="auto"/>
        <w:bottom w:val="none" w:sz="0" w:space="0" w:color="auto"/>
        <w:right w:val="none" w:sz="0" w:space="0" w:color="auto"/>
      </w:divBdr>
    </w:div>
    <w:div w:id="663751675">
      <w:bodyDiv w:val="1"/>
      <w:marLeft w:val="0"/>
      <w:marRight w:val="0"/>
      <w:marTop w:val="0"/>
      <w:marBottom w:val="0"/>
      <w:divBdr>
        <w:top w:val="none" w:sz="0" w:space="0" w:color="auto"/>
        <w:left w:val="none" w:sz="0" w:space="0" w:color="auto"/>
        <w:bottom w:val="none" w:sz="0" w:space="0" w:color="auto"/>
        <w:right w:val="none" w:sz="0" w:space="0" w:color="auto"/>
      </w:divBdr>
      <w:divsChild>
        <w:div w:id="820997569">
          <w:marLeft w:val="0"/>
          <w:marRight w:val="0"/>
          <w:marTop w:val="0"/>
          <w:marBottom w:val="0"/>
          <w:divBdr>
            <w:top w:val="none" w:sz="0" w:space="0" w:color="auto"/>
            <w:left w:val="none" w:sz="0" w:space="0" w:color="auto"/>
            <w:bottom w:val="none" w:sz="0" w:space="0" w:color="auto"/>
            <w:right w:val="none" w:sz="0" w:space="0" w:color="auto"/>
          </w:divBdr>
          <w:divsChild>
            <w:div w:id="178013740">
              <w:marLeft w:val="0"/>
              <w:marRight w:val="0"/>
              <w:marTop w:val="0"/>
              <w:marBottom w:val="0"/>
              <w:divBdr>
                <w:top w:val="none" w:sz="0" w:space="0" w:color="auto"/>
                <w:left w:val="none" w:sz="0" w:space="0" w:color="auto"/>
                <w:bottom w:val="none" w:sz="0" w:space="0" w:color="auto"/>
                <w:right w:val="none" w:sz="0" w:space="0" w:color="auto"/>
              </w:divBdr>
              <w:divsChild>
                <w:div w:id="6685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9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868422">
      <w:bodyDiv w:val="1"/>
      <w:marLeft w:val="0"/>
      <w:marRight w:val="0"/>
      <w:marTop w:val="0"/>
      <w:marBottom w:val="0"/>
      <w:divBdr>
        <w:top w:val="none" w:sz="0" w:space="0" w:color="auto"/>
        <w:left w:val="none" w:sz="0" w:space="0" w:color="auto"/>
        <w:bottom w:val="none" w:sz="0" w:space="0" w:color="auto"/>
        <w:right w:val="none" w:sz="0" w:space="0" w:color="auto"/>
      </w:divBdr>
    </w:div>
    <w:div w:id="829445564">
      <w:bodyDiv w:val="1"/>
      <w:marLeft w:val="0"/>
      <w:marRight w:val="0"/>
      <w:marTop w:val="0"/>
      <w:marBottom w:val="0"/>
      <w:divBdr>
        <w:top w:val="none" w:sz="0" w:space="0" w:color="auto"/>
        <w:left w:val="none" w:sz="0" w:space="0" w:color="auto"/>
        <w:bottom w:val="none" w:sz="0" w:space="0" w:color="auto"/>
        <w:right w:val="none" w:sz="0" w:space="0" w:color="auto"/>
      </w:divBdr>
    </w:div>
    <w:div w:id="882181700">
      <w:bodyDiv w:val="1"/>
      <w:marLeft w:val="0"/>
      <w:marRight w:val="0"/>
      <w:marTop w:val="0"/>
      <w:marBottom w:val="0"/>
      <w:divBdr>
        <w:top w:val="none" w:sz="0" w:space="0" w:color="auto"/>
        <w:left w:val="none" w:sz="0" w:space="0" w:color="auto"/>
        <w:bottom w:val="none" w:sz="0" w:space="0" w:color="auto"/>
        <w:right w:val="none" w:sz="0" w:space="0" w:color="auto"/>
      </w:divBdr>
    </w:div>
    <w:div w:id="908660731">
      <w:bodyDiv w:val="1"/>
      <w:marLeft w:val="0"/>
      <w:marRight w:val="0"/>
      <w:marTop w:val="0"/>
      <w:marBottom w:val="0"/>
      <w:divBdr>
        <w:top w:val="none" w:sz="0" w:space="0" w:color="auto"/>
        <w:left w:val="none" w:sz="0" w:space="0" w:color="auto"/>
        <w:bottom w:val="none" w:sz="0" w:space="0" w:color="auto"/>
        <w:right w:val="none" w:sz="0" w:space="0" w:color="auto"/>
      </w:divBdr>
    </w:div>
    <w:div w:id="933395928">
      <w:bodyDiv w:val="1"/>
      <w:marLeft w:val="0"/>
      <w:marRight w:val="0"/>
      <w:marTop w:val="0"/>
      <w:marBottom w:val="0"/>
      <w:divBdr>
        <w:top w:val="none" w:sz="0" w:space="0" w:color="auto"/>
        <w:left w:val="none" w:sz="0" w:space="0" w:color="auto"/>
        <w:bottom w:val="none" w:sz="0" w:space="0" w:color="auto"/>
        <w:right w:val="none" w:sz="0" w:space="0" w:color="auto"/>
      </w:divBdr>
    </w:div>
    <w:div w:id="993995167">
      <w:bodyDiv w:val="1"/>
      <w:marLeft w:val="0"/>
      <w:marRight w:val="0"/>
      <w:marTop w:val="0"/>
      <w:marBottom w:val="0"/>
      <w:divBdr>
        <w:top w:val="none" w:sz="0" w:space="0" w:color="auto"/>
        <w:left w:val="none" w:sz="0" w:space="0" w:color="auto"/>
        <w:bottom w:val="none" w:sz="0" w:space="0" w:color="auto"/>
        <w:right w:val="none" w:sz="0" w:space="0" w:color="auto"/>
      </w:divBdr>
    </w:div>
    <w:div w:id="1086925789">
      <w:bodyDiv w:val="1"/>
      <w:marLeft w:val="0"/>
      <w:marRight w:val="0"/>
      <w:marTop w:val="0"/>
      <w:marBottom w:val="0"/>
      <w:divBdr>
        <w:top w:val="none" w:sz="0" w:space="0" w:color="auto"/>
        <w:left w:val="none" w:sz="0" w:space="0" w:color="auto"/>
        <w:bottom w:val="none" w:sz="0" w:space="0" w:color="auto"/>
        <w:right w:val="none" w:sz="0" w:space="0" w:color="auto"/>
      </w:divBdr>
    </w:div>
    <w:div w:id="1175069322">
      <w:bodyDiv w:val="1"/>
      <w:marLeft w:val="0"/>
      <w:marRight w:val="0"/>
      <w:marTop w:val="0"/>
      <w:marBottom w:val="0"/>
      <w:divBdr>
        <w:top w:val="none" w:sz="0" w:space="0" w:color="auto"/>
        <w:left w:val="none" w:sz="0" w:space="0" w:color="auto"/>
        <w:bottom w:val="none" w:sz="0" w:space="0" w:color="auto"/>
        <w:right w:val="none" w:sz="0" w:space="0" w:color="auto"/>
      </w:divBdr>
      <w:divsChild>
        <w:div w:id="296304280">
          <w:marLeft w:val="0"/>
          <w:marRight w:val="0"/>
          <w:marTop w:val="0"/>
          <w:marBottom w:val="0"/>
          <w:divBdr>
            <w:top w:val="none" w:sz="0" w:space="0" w:color="auto"/>
            <w:left w:val="none" w:sz="0" w:space="0" w:color="auto"/>
            <w:bottom w:val="none" w:sz="0" w:space="0" w:color="auto"/>
            <w:right w:val="none" w:sz="0" w:space="0" w:color="auto"/>
          </w:divBdr>
          <w:divsChild>
            <w:div w:id="98138464">
              <w:marLeft w:val="0"/>
              <w:marRight w:val="0"/>
              <w:marTop w:val="0"/>
              <w:marBottom w:val="0"/>
              <w:divBdr>
                <w:top w:val="none" w:sz="0" w:space="0" w:color="auto"/>
                <w:left w:val="none" w:sz="0" w:space="0" w:color="auto"/>
                <w:bottom w:val="none" w:sz="0" w:space="0" w:color="auto"/>
                <w:right w:val="none" w:sz="0" w:space="0" w:color="auto"/>
              </w:divBdr>
              <w:divsChild>
                <w:div w:id="210163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230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8335960">
      <w:bodyDiv w:val="1"/>
      <w:marLeft w:val="0"/>
      <w:marRight w:val="0"/>
      <w:marTop w:val="0"/>
      <w:marBottom w:val="0"/>
      <w:divBdr>
        <w:top w:val="none" w:sz="0" w:space="0" w:color="auto"/>
        <w:left w:val="none" w:sz="0" w:space="0" w:color="auto"/>
        <w:bottom w:val="none" w:sz="0" w:space="0" w:color="auto"/>
        <w:right w:val="none" w:sz="0" w:space="0" w:color="auto"/>
      </w:divBdr>
    </w:div>
    <w:div w:id="1306012079">
      <w:bodyDiv w:val="1"/>
      <w:marLeft w:val="0"/>
      <w:marRight w:val="0"/>
      <w:marTop w:val="0"/>
      <w:marBottom w:val="0"/>
      <w:divBdr>
        <w:top w:val="none" w:sz="0" w:space="0" w:color="auto"/>
        <w:left w:val="none" w:sz="0" w:space="0" w:color="auto"/>
        <w:bottom w:val="none" w:sz="0" w:space="0" w:color="auto"/>
        <w:right w:val="none" w:sz="0" w:space="0" w:color="auto"/>
      </w:divBdr>
    </w:div>
    <w:div w:id="1325281985">
      <w:bodyDiv w:val="1"/>
      <w:marLeft w:val="0"/>
      <w:marRight w:val="0"/>
      <w:marTop w:val="0"/>
      <w:marBottom w:val="0"/>
      <w:divBdr>
        <w:top w:val="none" w:sz="0" w:space="0" w:color="auto"/>
        <w:left w:val="none" w:sz="0" w:space="0" w:color="auto"/>
        <w:bottom w:val="none" w:sz="0" w:space="0" w:color="auto"/>
        <w:right w:val="none" w:sz="0" w:space="0" w:color="auto"/>
      </w:divBdr>
    </w:div>
    <w:div w:id="1343311735">
      <w:bodyDiv w:val="1"/>
      <w:marLeft w:val="0"/>
      <w:marRight w:val="0"/>
      <w:marTop w:val="0"/>
      <w:marBottom w:val="0"/>
      <w:divBdr>
        <w:top w:val="none" w:sz="0" w:space="0" w:color="auto"/>
        <w:left w:val="none" w:sz="0" w:space="0" w:color="auto"/>
        <w:bottom w:val="none" w:sz="0" w:space="0" w:color="auto"/>
        <w:right w:val="none" w:sz="0" w:space="0" w:color="auto"/>
      </w:divBdr>
      <w:divsChild>
        <w:div w:id="2127658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2219766">
      <w:bodyDiv w:val="1"/>
      <w:marLeft w:val="0"/>
      <w:marRight w:val="0"/>
      <w:marTop w:val="0"/>
      <w:marBottom w:val="0"/>
      <w:divBdr>
        <w:top w:val="none" w:sz="0" w:space="0" w:color="auto"/>
        <w:left w:val="none" w:sz="0" w:space="0" w:color="auto"/>
        <w:bottom w:val="none" w:sz="0" w:space="0" w:color="auto"/>
        <w:right w:val="none" w:sz="0" w:space="0" w:color="auto"/>
      </w:divBdr>
    </w:div>
    <w:div w:id="1447887590">
      <w:bodyDiv w:val="1"/>
      <w:marLeft w:val="0"/>
      <w:marRight w:val="0"/>
      <w:marTop w:val="0"/>
      <w:marBottom w:val="0"/>
      <w:divBdr>
        <w:top w:val="none" w:sz="0" w:space="0" w:color="auto"/>
        <w:left w:val="none" w:sz="0" w:space="0" w:color="auto"/>
        <w:bottom w:val="none" w:sz="0" w:space="0" w:color="auto"/>
        <w:right w:val="none" w:sz="0" w:space="0" w:color="auto"/>
      </w:divBdr>
      <w:divsChild>
        <w:div w:id="186990175">
          <w:marLeft w:val="0"/>
          <w:marRight w:val="0"/>
          <w:marTop w:val="0"/>
          <w:marBottom w:val="0"/>
          <w:divBdr>
            <w:top w:val="none" w:sz="0" w:space="0" w:color="auto"/>
            <w:left w:val="none" w:sz="0" w:space="0" w:color="auto"/>
            <w:bottom w:val="none" w:sz="0" w:space="0" w:color="auto"/>
            <w:right w:val="none" w:sz="0" w:space="0" w:color="auto"/>
          </w:divBdr>
          <w:divsChild>
            <w:div w:id="85424614">
              <w:marLeft w:val="0"/>
              <w:marRight w:val="0"/>
              <w:marTop w:val="0"/>
              <w:marBottom w:val="0"/>
              <w:divBdr>
                <w:top w:val="none" w:sz="0" w:space="0" w:color="auto"/>
                <w:left w:val="none" w:sz="0" w:space="0" w:color="auto"/>
                <w:bottom w:val="none" w:sz="0" w:space="0" w:color="auto"/>
                <w:right w:val="none" w:sz="0" w:space="0" w:color="auto"/>
              </w:divBdr>
              <w:divsChild>
                <w:div w:id="125751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46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8328170">
      <w:bodyDiv w:val="1"/>
      <w:marLeft w:val="0"/>
      <w:marRight w:val="0"/>
      <w:marTop w:val="0"/>
      <w:marBottom w:val="0"/>
      <w:divBdr>
        <w:top w:val="none" w:sz="0" w:space="0" w:color="auto"/>
        <w:left w:val="none" w:sz="0" w:space="0" w:color="auto"/>
        <w:bottom w:val="none" w:sz="0" w:space="0" w:color="auto"/>
        <w:right w:val="none" w:sz="0" w:space="0" w:color="auto"/>
      </w:divBdr>
    </w:div>
    <w:div w:id="2037923308">
      <w:bodyDiv w:val="1"/>
      <w:marLeft w:val="0"/>
      <w:marRight w:val="0"/>
      <w:marTop w:val="0"/>
      <w:marBottom w:val="0"/>
      <w:divBdr>
        <w:top w:val="none" w:sz="0" w:space="0" w:color="auto"/>
        <w:left w:val="none" w:sz="0" w:space="0" w:color="auto"/>
        <w:bottom w:val="none" w:sz="0" w:space="0" w:color="auto"/>
        <w:right w:val="none" w:sz="0" w:space="0" w:color="auto"/>
      </w:divBdr>
    </w:div>
    <w:div w:id="21045239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comparativeconstitutionsproject.org/research-design-cataloging-the-contents-of-constitution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68</Pages>
  <Words>33942</Words>
  <Characters>169714</Characters>
  <Application>Microsoft Office Word</Application>
  <DocSecurity>0</DocSecurity>
  <Lines>1414</Lines>
  <Paragraphs>406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Levi Faur</cp:lastModifiedBy>
  <cp:revision>5</cp:revision>
  <cp:lastPrinted>2026-09-30T09:17:00Z</cp:lastPrinted>
  <dcterms:created xsi:type="dcterms:W3CDTF">2026-10-03T16:25:00Z</dcterms:created>
  <dcterms:modified xsi:type="dcterms:W3CDTF">2026-10-03T17:06:00Z</dcterms:modified>
  <cp:category/>
</cp:coreProperties>
</file>