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171C" w14:textId="2AA84038" w:rsidR="00E56F0F" w:rsidRPr="00544663" w:rsidRDefault="00544663" w:rsidP="00BB24A5">
      <w:pPr>
        <w:rPr>
          <w:rFonts w:asciiTheme="majorBidi" w:hAnsiTheme="majorBidi" w:cstheme="majorBidi"/>
          <w:b/>
          <w:bCs/>
          <w:sz w:val="26"/>
          <w:szCs w:val="26"/>
        </w:rPr>
      </w:pPr>
      <w:r w:rsidRPr="00544663">
        <w:rPr>
          <w:rFonts w:asciiTheme="majorBidi" w:hAnsiTheme="majorBidi" w:cstheme="majorBidi"/>
          <w:b/>
          <w:bCs/>
          <w:sz w:val="26"/>
          <w:szCs w:val="26"/>
        </w:rPr>
        <w:t>Law and the Architectures of Governance: Towards a Relational Leximetrics Approach</w:t>
      </w:r>
    </w:p>
    <w:p w14:paraId="3ED8A68A" w14:textId="77777777" w:rsidR="00544663" w:rsidRDefault="00544663" w:rsidP="00BB24A5">
      <w:pPr>
        <w:rPr>
          <w:rFonts w:asciiTheme="majorBidi" w:hAnsiTheme="majorBidi" w:cstheme="majorBidi"/>
          <w:b/>
          <w:bCs/>
          <w:sz w:val="24"/>
          <w:szCs w:val="24"/>
        </w:rPr>
      </w:pPr>
    </w:p>
    <w:p w14:paraId="00BB8648" w14:textId="2C7C7D1E" w:rsidR="003902C2" w:rsidRPr="00BB24A5" w:rsidRDefault="00BB24A5" w:rsidP="00BB24A5">
      <w:pPr>
        <w:rPr>
          <w:rFonts w:asciiTheme="majorBidi" w:hAnsiTheme="majorBidi" w:cstheme="majorBidi"/>
          <w:b/>
          <w:bCs/>
          <w:sz w:val="24"/>
          <w:szCs w:val="24"/>
        </w:rPr>
      </w:pPr>
      <w:r w:rsidRPr="00BB24A5">
        <w:rPr>
          <w:rFonts w:asciiTheme="majorBidi" w:hAnsiTheme="majorBidi" w:cstheme="majorBidi"/>
          <w:b/>
          <w:bCs/>
          <w:sz w:val="24"/>
          <w:szCs w:val="24"/>
        </w:rPr>
        <w:t>Abstract</w:t>
      </w:r>
    </w:p>
    <w:p w14:paraId="7C7C9223" w14:textId="77777777" w:rsidR="00544663" w:rsidRDefault="00544663" w:rsidP="00544663">
      <w:pPr>
        <w:spacing w:line="276" w:lineRule="auto"/>
        <w:jc w:val="both"/>
        <w:rPr>
          <w:rFonts w:asciiTheme="majorBidi" w:hAnsiTheme="majorBidi" w:cstheme="majorBidi"/>
          <w:sz w:val="24"/>
          <w:szCs w:val="24"/>
        </w:rPr>
      </w:pPr>
    </w:p>
    <w:p w14:paraId="49E6AE73" w14:textId="206B2B7F" w:rsidR="000D3435" w:rsidRDefault="00544663" w:rsidP="00544663">
      <w:pPr>
        <w:spacing w:line="360" w:lineRule="auto"/>
        <w:jc w:val="both"/>
        <w:rPr>
          <w:rFonts w:asciiTheme="majorBidi" w:hAnsiTheme="majorBidi" w:cstheme="majorBidi"/>
          <w:sz w:val="24"/>
          <w:szCs w:val="24"/>
        </w:rPr>
      </w:pPr>
      <w:r w:rsidRPr="00544663">
        <w:rPr>
          <w:rFonts w:asciiTheme="majorBidi" w:hAnsiTheme="majorBidi" w:cstheme="majorBidi"/>
          <w:sz w:val="24"/>
          <w:szCs w:val="24"/>
        </w:rPr>
        <w:t>Law does more than prescribe, prohibit or permit conduct. It also organizes governance by defining objects of intervention, constituting and recognizing actors, allocating regulatory functions, structuring relationships, and distributing authority, discretion and accountability. Yet comparative legal research has developed much stronger tools for measuring the content, scope and stringency of law than for identifying the governance architectures that laws construct. This paper develops a framework for analyzing that neglected dimension. It distinguishes three analytical levels: directly observable governance elements—objects, actors, functions, mechanisms, instruments and relationships; relational attributes—authority, discretion and accountability; and higher-order constructs—regulatory strategies, governance architectures and governance logics. Governance architecture is conceptualized not as a single institutional type but as a multidimensional configuration through which regulatory work and governing capacity are distributed among public authorities, regulated organizations, intermediaries and beneficiaries. Methodologically, the paper develops relational leximetrics: a multilevel approach that moves from legal text and institutional statements to relationships, governance configurations and architectural claims through explicit rules of inference. The approach distinguishes units of coding, analysis and inference; treats relationships as the pivotal bridge between legal text and governance structure; and emphasizes configurational aggregation, architectural significance and vertical traceability. It thereby makes possible systematic comparison of how laws allocate governing functions, authority, discretion and accountability across actors, sectors, jurisdictions and time. The broader contribution is to shift comparative legal analysis from asking primarily what law requires toward examining how law organizes the work and capacity of governing.</w:t>
      </w:r>
    </w:p>
    <w:p w14:paraId="4A705DFC" w14:textId="53D264E3" w:rsidR="007D3006" w:rsidRDefault="007D3006" w:rsidP="00544663">
      <w:pPr>
        <w:spacing w:line="360" w:lineRule="auto"/>
        <w:jc w:val="both"/>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984"/>
      </w:tblGrid>
      <w:tr w:rsidR="007D3006" w14:paraId="36769083" w14:textId="77777777" w:rsidTr="007D3006">
        <w:tc>
          <w:tcPr>
            <w:tcW w:w="9984" w:type="dxa"/>
          </w:tcPr>
          <w:p w14:paraId="78F47B7E" w14:textId="2B43B326" w:rsidR="007D3006" w:rsidRPr="007D3006" w:rsidRDefault="007D3006" w:rsidP="007D3006">
            <w:pPr>
              <w:pStyle w:val="NormalWeb"/>
              <w:ind w:left="720"/>
              <w:rPr>
                <w:rStyle w:val="Strong"/>
                <w:b w:val="0"/>
                <w:bCs w:val="0"/>
              </w:rPr>
            </w:pPr>
            <w:r>
              <w:rPr>
                <w:rStyle w:val="Strong"/>
                <w:b w:val="0"/>
                <w:bCs w:val="0"/>
              </w:rPr>
              <w:t>T</w:t>
            </w:r>
            <w:r>
              <w:rPr>
                <w:rStyle w:val="Strong"/>
              </w:rPr>
              <w:t xml:space="preserve">o do least </w:t>
            </w:r>
          </w:p>
          <w:p w14:paraId="66B8A8C7" w14:textId="7514C289" w:rsidR="007D3006" w:rsidRDefault="007D3006" w:rsidP="007D3006">
            <w:pPr>
              <w:pStyle w:val="NormalWeb"/>
              <w:numPr>
                <w:ilvl w:val="0"/>
                <w:numId w:val="18"/>
              </w:numPr>
            </w:pPr>
            <w:r>
              <w:rPr>
                <w:rStyle w:val="Strong"/>
              </w:rPr>
              <w:t>A developed section on governance logics.</w:t>
            </w:r>
            <w:r>
              <w:t xml:space="preserve"> Section 5.3 </w:t>
            </w:r>
          </w:p>
          <w:p w14:paraId="552FD134" w14:textId="2E442CCE" w:rsidR="007D3006" w:rsidRDefault="007D3006" w:rsidP="007D3006">
            <w:pPr>
              <w:pStyle w:val="NormalWeb"/>
              <w:numPr>
                <w:ilvl w:val="0"/>
                <w:numId w:val="18"/>
              </w:numPr>
            </w:pPr>
            <w:r>
              <w:rPr>
                <w:rStyle w:val="Strong"/>
              </w:rPr>
              <w:t>A real empirical demonstration.</w:t>
            </w:r>
            <w:r>
              <w:t xml:space="preserve"> </w:t>
            </w:r>
            <w:r>
              <w:t>For appendix ?</w:t>
            </w:r>
          </w:p>
          <w:p w14:paraId="57175DCE" w14:textId="6E871214" w:rsidR="007D3006" w:rsidRDefault="007D3006" w:rsidP="007D3006">
            <w:pPr>
              <w:pStyle w:val="NormalWeb"/>
              <w:numPr>
                <w:ilvl w:val="0"/>
                <w:numId w:val="18"/>
              </w:numPr>
              <w:rPr>
                <w:rFonts w:asciiTheme="majorBidi" w:hAnsiTheme="majorBidi" w:cstheme="majorBidi"/>
              </w:rPr>
            </w:pPr>
            <w:r>
              <w:rPr>
                <w:rStyle w:val="Strong"/>
              </w:rPr>
              <w:t>Final consolidation of the coding ontology.</w:t>
            </w:r>
            <w:r>
              <w:t xml:space="preserve"> Some categories, especially the mechanisms section, remain unfinished or overlap with functions/</w:t>
            </w:r>
            <w:proofErr w:type="spellStart"/>
            <w:r>
              <w:t>instrumentsOf</w:t>
            </w:r>
            <w:proofErr w:type="spellEnd"/>
            <w:r>
              <w:t xml:space="preserve"> these, I would prioritize </w:t>
            </w:r>
            <w:r>
              <w:rPr>
                <w:rStyle w:val="Strong"/>
              </w:rPr>
              <w:t>#2—the real-law demonstration</w:t>
            </w:r>
            <w:r>
              <w:t>. It would do the most to turn the paper from a conceptual proposal into a convincing methodological contribution.</w:t>
            </w:r>
          </w:p>
        </w:tc>
      </w:tr>
    </w:tbl>
    <w:p w14:paraId="49753839" w14:textId="77777777" w:rsidR="007D3006" w:rsidRPr="00544663" w:rsidRDefault="007D3006" w:rsidP="00544663">
      <w:pPr>
        <w:spacing w:line="360" w:lineRule="auto"/>
        <w:jc w:val="both"/>
        <w:rPr>
          <w:rFonts w:asciiTheme="majorBidi" w:hAnsiTheme="majorBidi" w:cstheme="majorBidi"/>
          <w:sz w:val="24"/>
          <w:szCs w:val="24"/>
        </w:rPr>
      </w:pPr>
    </w:p>
    <w:p w14:paraId="6CFE67B0" w14:textId="2B64089D" w:rsidR="003902C2" w:rsidRPr="00BB24A5" w:rsidRDefault="000D3435" w:rsidP="007D3006">
      <w:pPr>
        <w:spacing w:after="200" w:line="276" w:lineRule="auto"/>
        <w:rPr>
          <w:rFonts w:asciiTheme="majorBidi" w:hAnsiTheme="majorBidi" w:cstheme="majorBidi"/>
          <w:b/>
          <w:bCs/>
          <w:sz w:val="24"/>
          <w:szCs w:val="24"/>
        </w:rPr>
      </w:pPr>
      <w:r>
        <w:rPr>
          <w:rFonts w:asciiTheme="majorBidi" w:hAnsiTheme="majorBidi" w:cstheme="majorBidi"/>
          <w:b/>
          <w:bCs/>
          <w:sz w:val="24"/>
          <w:szCs w:val="24"/>
        </w:rPr>
        <w:br w:type="page"/>
      </w:r>
      <w:r w:rsidR="00BB24A5" w:rsidRPr="00BB24A5">
        <w:rPr>
          <w:rFonts w:asciiTheme="majorBidi" w:hAnsiTheme="majorBidi" w:cstheme="majorBidi"/>
          <w:b/>
          <w:bCs/>
          <w:sz w:val="24"/>
          <w:szCs w:val="24"/>
        </w:rPr>
        <w:lastRenderedPageBreak/>
        <w:t>1. Introduction: What Kind of Governance Does a Law Build?</w:t>
      </w:r>
    </w:p>
    <w:p w14:paraId="7C2E5F0E" w14:textId="77777777" w:rsidR="005219AB" w:rsidRDefault="005219AB" w:rsidP="00BB24A5">
      <w:pPr>
        <w:jc w:val="both"/>
        <w:rPr>
          <w:rFonts w:asciiTheme="majorBidi" w:hAnsiTheme="majorBidi" w:cstheme="majorBidi"/>
          <w:sz w:val="24"/>
          <w:szCs w:val="24"/>
        </w:rPr>
      </w:pPr>
    </w:p>
    <w:p w14:paraId="7BBC9046"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What does a law create? The conventional answer begins with rules. Laws prohibit conduct, establish obligations, confer rights, authorize action and impose sanctions. Comparative legal research has consequently developed sophisticated methods for comparing legal content, coverage, stringency and effects. Yet legislation performs another function that is equally important for understanding the organization of contemporary government: it constructs systems of governance. A statute may create an agency, authorize a professional body, require firms to establish internal compliance systems, recognize standards organizations, assign verification to private auditors, establish reporting relationships, enlist citizens through disclosure, allocate discretion among public and private actors, and create arrangements for review and accountability. Law therefore does not simply regulate conduct. It organizes the institutional processes through which conduct is governed.</w:t>
      </w:r>
    </w:p>
    <w:p w14:paraId="0BF7B97B"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i/>
          <w:iCs/>
          <w:sz w:val="24"/>
          <w:szCs w:val="24"/>
          <w:lang w:bidi="he-IL"/>
        </w:rPr>
      </w:pPr>
      <w:r w:rsidRPr="00544663">
        <w:rPr>
          <w:rFonts w:ascii="Times New Roman" w:eastAsia="Times New Roman" w:hAnsi="Times New Roman" w:cs="Times New Roman"/>
          <w:sz w:val="24"/>
          <w:szCs w:val="24"/>
          <w:lang w:bidi="he-IL"/>
        </w:rPr>
        <w:t>This constitutive dimension becomes particularly visible when laws addressing similar substantive problems are compared. Two statutes may require firms to achieve broadly comparable environmental, financial, health or digital standards while organizing the production of compliance in fundamentally different ways. One may rely predominantly on direct public inspection and enforcement. Another may require organizations to construct internal systems of risk management and self-monitoring. A third may make market access dependent upon certification by accredited private bodies. A fourth may combine public regulators, standards bodies, professional associations, regulated firms, auditors and beneficiaries in an extended chain of monitoring, verification and accountability. Similar substantive rules may therefore be embedded in very different governance architectures. Conversely, similar governance arrangements may recur across policy domains characterized by very different regulatory problems. The relevant comparative question is consequently not only what does the law require, but also</w:t>
      </w:r>
      <w:r w:rsidRPr="00544663">
        <w:rPr>
          <w:rFonts w:ascii="Times New Roman" w:eastAsia="Times New Roman" w:hAnsi="Times New Roman" w:cs="Times New Roman"/>
          <w:i/>
          <w:iCs/>
          <w:sz w:val="24"/>
          <w:szCs w:val="24"/>
          <w:lang w:bidi="he-IL"/>
        </w:rPr>
        <w:t>: what kind of governance does the law construct?</w:t>
      </w:r>
    </w:p>
    <w:p w14:paraId="39935476"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A large interdisciplinary literature provides the intellectual materials for answering this question. Public administration examines jurisdiction, delegation, administrative discretion, oversight and the internal organization of government. Policy-instrument scholarship investigates how governments act through rules, information, economic devices, contracts and organizational arrangements and has emphasized that instruments embody particular relations between governors and governed (Hood 1983; </w:t>
      </w:r>
      <w:proofErr w:type="spellStart"/>
      <w:r w:rsidRPr="00544663">
        <w:rPr>
          <w:rFonts w:ascii="Times New Roman" w:eastAsia="Times New Roman" w:hAnsi="Times New Roman" w:cs="Times New Roman"/>
          <w:sz w:val="24"/>
          <w:szCs w:val="24"/>
          <w:lang w:bidi="he-IL"/>
        </w:rPr>
        <w:t>Lascoumes</w:t>
      </w:r>
      <w:proofErr w:type="spellEnd"/>
      <w:r w:rsidRPr="00544663">
        <w:rPr>
          <w:rFonts w:ascii="Times New Roman" w:eastAsia="Times New Roman" w:hAnsi="Times New Roman" w:cs="Times New Roman"/>
          <w:sz w:val="24"/>
          <w:szCs w:val="24"/>
          <w:lang w:bidi="he-IL"/>
        </w:rPr>
        <w:t xml:space="preserve"> and Le </w:t>
      </w:r>
      <w:proofErr w:type="spellStart"/>
      <w:r w:rsidRPr="00544663">
        <w:rPr>
          <w:rFonts w:ascii="Times New Roman" w:eastAsia="Times New Roman" w:hAnsi="Times New Roman" w:cs="Times New Roman"/>
          <w:sz w:val="24"/>
          <w:szCs w:val="24"/>
          <w:lang w:bidi="he-IL"/>
        </w:rPr>
        <w:t>Galès</w:t>
      </w:r>
      <w:proofErr w:type="spellEnd"/>
      <w:r w:rsidRPr="00544663">
        <w:rPr>
          <w:rFonts w:ascii="Times New Roman" w:eastAsia="Times New Roman" w:hAnsi="Times New Roman" w:cs="Times New Roman"/>
          <w:sz w:val="24"/>
          <w:szCs w:val="24"/>
          <w:lang w:bidi="he-IL"/>
        </w:rPr>
        <w:t xml:space="preserve"> 2007; </w:t>
      </w:r>
      <w:proofErr w:type="spellStart"/>
      <w:r w:rsidRPr="00544663">
        <w:rPr>
          <w:rFonts w:ascii="Times New Roman" w:eastAsia="Times New Roman" w:hAnsi="Times New Roman" w:cs="Times New Roman"/>
          <w:sz w:val="24"/>
          <w:szCs w:val="24"/>
          <w:lang w:bidi="he-IL"/>
        </w:rPr>
        <w:t>Salamon</w:t>
      </w:r>
      <w:proofErr w:type="spellEnd"/>
      <w:r w:rsidRPr="00544663">
        <w:rPr>
          <w:rFonts w:ascii="Times New Roman" w:eastAsia="Times New Roman" w:hAnsi="Times New Roman" w:cs="Times New Roman"/>
          <w:sz w:val="24"/>
          <w:szCs w:val="24"/>
          <w:lang w:bidi="he-IL"/>
        </w:rPr>
        <w:t xml:space="preserve"> 2002). Regulatory scholarship has progressively displaced the image of regulation as a bilateral relationship between a sovereign regulator and a passive target, emphasizing </w:t>
      </w:r>
      <w:r w:rsidRPr="00544663">
        <w:rPr>
          <w:rFonts w:ascii="Times New Roman" w:eastAsia="Times New Roman" w:hAnsi="Times New Roman" w:cs="Times New Roman"/>
          <w:sz w:val="24"/>
          <w:szCs w:val="24"/>
          <w:lang w:bidi="he-IL"/>
        </w:rPr>
        <w:lastRenderedPageBreak/>
        <w:t xml:space="preserve">instead responsive regulation, self-regulation, meta-regulation, hybrid regulatory arrangements and combinations of public and private capacity (Ayres and Braithwaite 1992; Gunningham, </w:t>
      </w:r>
      <w:proofErr w:type="spellStart"/>
      <w:r w:rsidRPr="00544663">
        <w:rPr>
          <w:rFonts w:ascii="Times New Roman" w:eastAsia="Times New Roman" w:hAnsi="Times New Roman" w:cs="Times New Roman"/>
          <w:sz w:val="24"/>
          <w:szCs w:val="24"/>
          <w:lang w:bidi="he-IL"/>
        </w:rPr>
        <w:t>Grabosky</w:t>
      </w:r>
      <w:proofErr w:type="spellEnd"/>
      <w:r w:rsidRPr="00544663">
        <w:rPr>
          <w:rFonts w:ascii="Times New Roman" w:eastAsia="Times New Roman" w:hAnsi="Times New Roman" w:cs="Times New Roman"/>
          <w:sz w:val="24"/>
          <w:szCs w:val="24"/>
          <w:lang w:bidi="he-IL"/>
        </w:rPr>
        <w:t xml:space="preserve"> and Sinclair 1998; Black 2001). Research on regulatory intermediaries makes this relational structure still more explicit by examining how regulatory functions are distributed among regulators, intermediaries and targets (Abbott, Levi-Faur and Snidal 2017). Scholarship on indirect governance distinguishes delegation from orchestration and emphasizes the recurrent tension between intermediary competence and political control (Abbott et al. 2015, 2020). Experimentalist and polycentric approaches similarly demonstrate that authority, information and discretion may be distributed across several interdependent </w:t>
      </w:r>
      <w:proofErr w:type="spellStart"/>
      <w:r w:rsidRPr="00544663">
        <w:rPr>
          <w:rFonts w:ascii="Times New Roman" w:eastAsia="Times New Roman" w:hAnsi="Times New Roman" w:cs="Times New Roman"/>
          <w:sz w:val="24"/>
          <w:szCs w:val="24"/>
          <w:lang w:bidi="he-IL"/>
        </w:rPr>
        <w:t>centres</w:t>
      </w:r>
      <w:proofErr w:type="spellEnd"/>
      <w:r w:rsidRPr="00544663">
        <w:rPr>
          <w:rFonts w:ascii="Times New Roman" w:eastAsia="Times New Roman" w:hAnsi="Times New Roman" w:cs="Times New Roman"/>
          <w:sz w:val="24"/>
          <w:szCs w:val="24"/>
          <w:lang w:bidi="he-IL"/>
        </w:rPr>
        <w:t xml:space="preserve"> rather than concentrated within a single hierarchy (Ostrom 2005; </w:t>
      </w:r>
      <w:proofErr w:type="spellStart"/>
      <w:r w:rsidRPr="00544663">
        <w:rPr>
          <w:rFonts w:ascii="Times New Roman" w:eastAsia="Times New Roman" w:hAnsi="Times New Roman" w:cs="Times New Roman"/>
          <w:sz w:val="24"/>
          <w:szCs w:val="24"/>
          <w:lang w:bidi="he-IL"/>
        </w:rPr>
        <w:t>Sabel</w:t>
      </w:r>
      <w:proofErr w:type="spellEnd"/>
      <w:r w:rsidRPr="00544663">
        <w:rPr>
          <w:rFonts w:ascii="Times New Roman" w:eastAsia="Times New Roman" w:hAnsi="Times New Roman" w:cs="Times New Roman"/>
          <w:sz w:val="24"/>
          <w:szCs w:val="24"/>
          <w:lang w:bidi="he-IL"/>
        </w:rPr>
        <w:t xml:space="preserve"> and Zeitlin 2008, 2012).</w:t>
      </w:r>
    </w:p>
    <w:p w14:paraId="641C1638"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These literatures have generated increasingly sophisticated accounts of governance, but they have not produced a common analytical grammar for systematically reconstructing governance architectures from legal texts. Comparative legal datasets usually code attributes of laws, rights, obligations, institutional powers, legal restrictions or substantive policy content. More granular approaches increasingly move below the level of the legal act to the provision, paragraph or institutional statement. These developments substantially improve the precision with which legal content can be measured. Yet granularity alone does not reveal architecture. Knowing that a law mentions an auditor, imposes a reporting obligation or provides for certification does not establish how those elements are connected or how governing capacity is distributed among them. What remains comparatively underdeveloped is a method for reconstructing who governs, who is governed, through whom governance occurs, which functions different actors perform, with what authority and discretion, and subject to what forms of accountability.</w:t>
      </w:r>
    </w:p>
    <w:p w14:paraId="248D5D01"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This paper develops such a framework. Its starting proposition is that law constitutes governance architectures by organizing several analytically distinct elements. At the most directly observable level, law defines objects of governance, constitutes actors, allocates functions, activates mechanisms, establishes instruments and constructs relationships. These elements identify what is governed, who participates, what governing work is performed, how influence operates, through which institutional devices, and how actors are legally connected. At a second level, those relationships vary according to attributes that are especially important for the distribution of governing capacity: authority, discretion and accountability. At a third level, combinations of these elements and attributes give rise to regulatory strategies, governance architectures and broader governance logics. This three-level organization is intended to separate relatively direct coding from progressively more theoretical inference.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w:t>
      </w:r>
    </w:p>
    <w:p w14:paraId="5E35B01A"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lastRenderedPageBreak/>
        <w:t>The framework is relational because actors do not possess fixed governance identities. A public agency may be a regulator in one relationship and a regulated organization in another. A firm may simultaneously be a regulatory target, a self-</w:t>
      </w:r>
      <w:proofErr w:type="spellStart"/>
      <w:r w:rsidRPr="00544663">
        <w:rPr>
          <w:rFonts w:ascii="Times New Roman" w:eastAsia="Times New Roman" w:hAnsi="Times New Roman" w:cs="Times New Roman"/>
          <w:sz w:val="24"/>
          <w:szCs w:val="24"/>
          <w:lang w:bidi="he-IL"/>
        </w:rPr>
        <w:t>regulator</w:t>
      </w:r>
      <w:proofErr w:type="spellEnd"/>
      <w:r w:rsidRPr="00544663">
        <w:rPr>
          <w:rFonts w:ascii="Times New Roman" w:eastAsia="Times New Roman" w:hAnsi="Times New Roman" w:cs="Times New Roman"/>
          <w:sz w:val="24"/>
          <w:szCs w:val="24"/>
          <w:lang w:bidi="he-IL"/>
        </w:rPr>
        <w:t xml:space="preserve"> and an intermediary. A professional association may formulate standards, interpret public requirements, represent members and discipline professional conduct. The analytical significance of an actor therefore depends not merely on its institutional identity but on the legally constituted relationships in which it participates. Relationships form the crucial bridge between the identification of actors and the reconstruction of governance architecture. The question is not simply whether regulators, intermediaries, firms or beneficiaries appear in legislation, but how law connects them through authority, delegation, supervision, reporting, verification, accountability, review, representation and other forms of governance.</w:t>
      </w:r>
    </w:p>
    <w:p w14:paraId="4CB1ACE3"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 paper consequently defines governance architecture as the legally constituted configuration through which governance work, authority, discretion and accountability are distributed among actors and organized through relationships, mechanisms and instruments. Architecture is not equivalent to any single actor, regulatory instrument or technique. Nor is it adequately represented through a set of mutually exclusive categories. Contemporary laws may simultaneously contain hierarchical, delegated, self-regulatory, meta-regulatory, intermediated, networked, polycentric and multilevel features. Architecture is therefore better understood multidimensionally, in terms of properties such as centralization, directness and intermediation, public-private allocation, self-regulatory autonomy, vertical distribution, decision-</w:t>
      </w:r>
      <w:proofErr w:type="spellStart"/>
      <w:r w:rsidRPr="00544663">
        <w:rPr>
          <w:rFonts w:ascii="Times New Roman" w:eastAsia="Times New Roman" w:hAnsi="Times New Roman" w:cs="Times New Roman"/>
          <w:sz w:val="24"/>
          <w:szCs w:val="24"/>
          <w:lang w:bidi="he-IL"/>
        </w:rPr>
        <w:t>centre</w:t>
      </w:r>
      <w:proofErr w:type="spellEnd"/>
      <w:r w:rsidRPr="00544663">
        <w:rPr>
          <w:rFonts w:ascii="Times New Roman" w:eastAsia="Times New Roman" w:hAnsi="Times New Roman" w:cs="Times New Roman"/>
          <w:sz w:val="24"/>
          <w:szCs w:val="24"/>
          <w:lang w:bidi="he-IL"/>
        </w:rPr>
        <w:t xml:space="preserve"> plurality, relational depth, functional allocation and the distribution of discretion and accountability.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 Named architectural forms remain useful as ideal types, but they are treated as recurrent configurations within this multidimensional space rather than as exhaustive alternatives.</w:t>
      </w:r>
    </w:p>
    <w:p w14:paraId="57425954"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This conceptualization also changes how intermediation should be studied. The presence of an intermediary does not demonstrate that a law is substantially intermediated. Some third parties may perform peripheral informational or advisory roles, whereas others may occupy indispensable gatekeeping positions or exercise authority that determines market access, certification or legal status. The paper therefore distinguishes intermediary prevalence from intermediation centrality. The latter concerns not only how frequently intermediaries appear but also the breadth of functions they perform, their authority, their indispensability, their structural position and the extent to which they are themselves regulated.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 Intermediation thereby becomes one measurable property of governance architecture rather than a simple dichotomous classification.</w:t>
      </w:r>
    </w:p>
    <w:p w14:paraId="2769D5B1"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lastRenderedPageBreak/>
        <w:t xml:space="preserve">The methodological contribution is what we call </w:t>
      </w:r>
      <w:r w:rsidRPr="00544663">
        <w:rPr>
          <w:rFonts w:ascii="Times New Roman" w:eastAsia="Times New Roman" w:hAnsi="Times New Roman" w:cs="Times New Roman"/>
          <w:i/>
          <w:iCs/>
          <w:sz w:val="24"/>
          <w:szCs w:val="24"/>
          <w:lang w:bidi="he-IL"/>
        </w:rPr>
        <w:t>relational leximetrics</w:t>
      </w:r>
      <w:r w:rsidRPr="00544663">
        <w:rPr>
          <w:rFonts w:ascii="Times New Roman" w:eastAsia="Times New Roman" w:hAnsi="Times New Roman" w:cs="Times New Roman"/>
          <w:sz w:val="24"/>
          <w:szCs w:val="24"/>
          <w:lang w:bidi="he-IL"/>
        </w:rPr>
        <w:t xml:space="preserve">. Existing </w:t>
      </w:r>
      <w:proofErr w:type="spellStart"/>
      <w:r w:rsidRPr="00544663">
        <w:rPr>
          <w:rFonts w:ascii="Times New Roman" w:eastAsia="Times New Roman" w:hAnsi="Times New Roman" w:cs="Times New Roman"/>
          <w:sz w:val="24"/>
          <w:szCs w:val="24"/>
          <w:lang w:bidi="he-IL"/>
        </w:rPr>
        <w:t>leximetric</w:t>
      </w:r>
      <w:proofErr w:type="spellEnd"/>
      <w:r w:rsidRPr="00544663">
        <w:rPr>
          <w:rFonts w:ascii="Times New Roman" w:eastAsia="Times New Roman" w:hAnsi="Times New Roman" w:cs="Times New Roman"/>
          <w:sz w:val="24"/>
          <w:szCs w:val="24"/>
          <w:lang w:bidi="he-IL"/>
        </w:rPr>
        <w:t xml:space="preserve"> approaches demonstrate the power of translating legal texts into structured comparative data. Relational leximetrics extends this project by treating legally constituted governance relationships as a central empirical object and by making the movement from low-level legal observations to higher-order architectural claims explicit. The approach distinguishes the unit of coding, unit of analysis and unit of inference. A sentence, clause or provision may be the textual unit to which a code is attached; a relationship, function or relational attribute may constitute the unit of analysis; and the architecture of a law or regulatory regime may constitute the ultimate unit of inference.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 This distinction matters because higher-level claims cannot simply be read directly from lower-level textual observations.</w:t>
      </w:r>
    </w:p>
    <w:p w14:paraId="2237A98A"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The method therefore proceeds through several nested analytical levels: legal text, institutional statements, governance relationships, governance configurations, legal architectures and governance regimes. Movement among these levels requires explicit inferential rules rather than mechanical aggregation.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 A single provision requiring corporate self-assessment does not establish a self-regulatory architecture; the presence of several agencies does not establish polycentric governance; and repeated references to intermediaries do not demonstrate that intermediation is structurally central. Architectural inference requires evidence concerning the configuration, consequence, recurrence, centrality or indispensability of lower-level relationships.</w:t>
      </w:r>
    </w:p>
    <w:p w14:paraId="4C6FDC7D"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This point is particularly important because architectural significance is not equivalent to frequency. A single certification provision may make a third-party verifier indispensable to market access, whereas numerous reporting provisions may remain peripheral to the allocation of governing authority. The proposed methodology therefore combines relational and configurational analysis. It asks not only how many actors, provisions or relationships exist, but how they are organized and which relationships are consequential to the operation of governance.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 Every higher-order classification should remain vertically traceable to the governance configurations, relationships, institutional statements and legal provisions supporting it. This preserves the evidentiary connection between theoretical interpretation and legal text and allows alternative architectural classifications to be constructed from the same underlying data.</w:t>
      </w:r>
    </w:p>
    <w:p w14:paraId="7A6A7A94"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The distinction between formal legal architecture and governance in practice is equally important. Relational leximetrics reconstructs the system of authority, functions and relationships constituted by law. It does not by itself demonstrate that these arrangements operate in the manner anticipated by legislators. Formal architecture may diverge from implementation architecture—the organizational </w:t>
      </w:r>
      <w:r w:rsidRPr="00544663">
        <w:rPr>
          <w:rFonts w:ascii="Times New Roman" w:eastAsia="Times New Roman" w:hAnsi="Times New Roman" w:cs="Times New Roman"/>
          <w:sz w:val="24"/>
          <w:szCs w:val="24"/>
          <w:lang w:bidi="he-IL"/>
        </w:rPr>
        <w:lastRenderedPageBreak/>
        <w:t xml:space="preserve">arrangements through which law is put into effect—and from operational architecture—the relationships through which governance actually occurs. draft v4 </w:t>
      </w:r>
      <w:proofErr w:type="spellStart"/>
      <w:r w:rsidRPr="00544663">
        <w:rPr>
          <w:rFonts w:ascii="Times New Roman" w:eastAsia="Times New Roman" w:hAnsi="Times New Roman" w:cs="Times New Roman"/>
          <w:sz w:val="24"/>
          <w:szCs w:val="24"/>
          <w:lang w:bidi="he-IL"/>
        </w:rPr>
        <w:t>Law_and_Governance_Ar</w:t>
      </w:r>
      <w:proofErr w:type="spellEnd"/>
      <w:r w:rsidRPr="00544663">
        <w:rPr>
          <w:rFonts w:ascii="Times New Roman" w:eastAsia="Times New Roman" w:hAnsi="Times New Roman" w:cs="Times New Roman"/>
          <w:sz w:val="24"/>
          <w:szCs w:val="24"/>
          <w:lang w:bidi="he-IL"/>
        </w:rPr>
        <w:t>… Such divergence is not simply a methodological nuisance. It creates a further comparative research agenda concerning how legally constituted governance systems are translated, modified or circumvented in practice.</w:t>
      </w:r>
    </w:p>
    <w:p w14:paraId="61ED716E"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The paper proceeds as follows. Section 2 reviews the interdisciplinary traditions that provide the conceptual foundations for </w:t>
      </w:r>
      <w:proofErr w:type="spellStart"/>
      <w:r w:rsidRPr="00544663">
        <w:rPr>
          <w:rFonts w:ascii="Times New Roman" w:eastAsia="Times New Roman" w:hAnsi="Times New Roman" w:cs="Times New Roman"/>
          <w:sz w:val="24"/>
          <w:szCs w:val="24"/>
          <w:lang w:bidi="he-IL"/>
        </w:rPr>
        <w:t>analysing</w:t>
      </w:r>
      <w:proofErr w:type="spellEnd"/>
      <w:r w:rsidRPr="00544663">
        <w:rPr>
          <w:rFonts w:ascii="Times New Roman" w:eastAsia="Times New Roman" w:hAnsi="Times New Roman" w:cs="Times New Roman"/>
          <w:sz w:val="24"/>
          <w:szCs w:val="24"/>
          <w:lang w:bidi="he-IL"/>
        </w:rPr>
        <w:t xml:space="preserve"> law as governance architecture and locates the approach in relation to existing efforts to code law at the level of legal acts, provisions and institutional statements. Section 3 develops the directly observable elements of the framework: objects, actors, functions, mechanisms, instruments and relationships. Section 4 examines authority, discretion and accountability as relational attributes through which legally constituted governance relationships differ in significance. Section 5 turns to higher-order constructs, distinguishing regulatory strategies, governance architectures and governance logics and developing a multidimensional and configurational account of architecture. Section 6 presents the methodology of relational leximetrics, addressing levels of analysis, aggregation, cross-level inference, architectural significance, intermediation centrality, validation and the relationship between formal and operational architectures. The conclusion considers the implications for comparative research on law and governance.</w:t>
      </w:r>
    </w:p>
    <w:p w14:paraId="0E658829" w14:textId="25D0E402" w:rsidR="00BB24A5" w:rsidRPr="00036F41" w:rsidRDefault="00BB24A5" w:rsidP="00BB24A5">
      <w:pPr>
        <w:rPr>
          <w:rFonts w:asciiTheme="majorBidi" w:hAnsiTheme="majorBidi" w:cstheme="majorBidi"/>
          <w:b/>
          <w:bCs/>
          <w:sz w:val="24"/>
          <w:szCs w:val="24"/>
        </w:rPr>
      </w:pPr>
      <w:r w:rsidRPr="00036F41">
        <w:rPr>
          <w:rFonts w:asciiTheme="majorBidi" w:hAnsiTheme="majorBidi" w:cstheme="majorBidi"/>
          <w:b/>
          <w:bCs/>
          <w:sz w:val="24"/>
          <w:szCs w:val="24"/>
        </w:rPr>
        <w:t xml:space="preserve">2. Review: </w:t>
      </w:r>
      <w:r w:rsidR="00733B42">
        <w:rPr>
          <w:rFonts w:asciiTheme="majorBidi" w:hAnsiTheme="majorBidi" w:cstheme="majorBidi"/>
          <w:b/>
          <w:bCs/>
          <w:sz w:val="24"/>
          <w:szCs w:val="24"/>
        </w:rPr>
        <w:t>Coding laws</w:t>
      </w:r>
    </w:p>
    <w:p w14:paraId="1F57C39A"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The quantitative study of law has developed through several partially overlapping traditions that differ in their unit of coding, substantive purpose and degree of granularity. Some projects treat the legal act or legal regime as the principal object of measurement; others move to provisions, paragraphs or sub-articles; still others decompose legal text into institutional statements or linguistic components. These approaches are often presented as alternatives, but for the analysis of governance they are better understood as nested levels. Each preserves different information and supports different kinds of inference. Act-level coding facilitates comparison across jurisdictions and time; provision-level coding preserves internal heterogeneity within laws; and statement-level coding makes visible the actors, actions, obligations, conditions and consequences through which legal direction is constituted. The central methodological question is therefore not which level is universally superior, but how information coded at lower levels can be aggregated without losing the institutional and relational structure of the law.</w:t>
      </w:r>
    </w:p>
    <w:p w14:paraId="04F7B01C" w14:textId="77777777" w:rsidR="00560726" w:rsidRPr="00007DAB" w:rsidRDefault="00560726" w:rsidP="00560726">
      <w:pPr>
        <w:pStyle w:val="Heading2"/>
        <w:spacing w:line="276" w:lineRule="auto"/>
        <w:jc w:val="both"/>
        <w:rPr>
          <w:rFonts w:asciiTheme="majorBidi" w:hAnsiTheme="majorBidi"/>
          <w:color w:val="auto"/>
          <w:sz w:val="24"/>
          <w:szCs w:val="24"/>
        </w:rPr>
      </w:pPr>
      <w:r w:rsidRPr="00007DAB">
        <w:rPr>
          <w:rFonts w:asciiTheme="majorBidi" w:hAnsiTheme="majorBidi"/>
          <w:color w:val="auto"/>
          <w:sz w:val="24"/>
          <w:szCs w:val="24"/>
        </w:rPr>
        <w:t>Act-level leximetrics: comparability through abstraction</w:t>
      </w:r>
    </w:p>
    <w:p w14:paraId="03B349DF" w14:textId="395B140B" w:rsidR="00560726" w:rsidRPr="00560726" w:rsidRDefault="00560726" w:rsidP="00007DAB">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 xml:space="preserve">A first tradition codes the legal act, constitution or regulatory regime as a whole. Its principal objective is comparability. Complex legal arrangements are translated into standardized variables, scores or indices that can be compared across countries and over time. The Comparative Constitutions Project (CCP), for example, converts constitutional texts into a large set of coded attributes concerning governmental organization, rights, federalism, elections, amendment procedures and oversight institutions (Elkins, Ginsburg and Melton 2009). The coding design retains links to the constitutional provisions supporting </w:t>
      </w:r>
      <w:r w:rsidRPr="00560726">
        <w:rPr>
          <w:rFonts w:asciiTheme="majorBidi" w:hAnsiTheme="majorBidi" w:cstheme="majorBidi"/>
          <w:sz w:val="24"/>
          <w:szCs w:val="24"/>
        </w:rPr>
        <w:lastRenderedPageBreak/>
        <w:t xml:space="preserve">each response and uses independent coding and reconciliation procedures. In a different domain, the Cambridge Centre for Business Research (CBR) </w:t>
      </w:r>
      <w:proofErr w:type="spellStart"/>
      <w:r w:rsidRPr="00560726">
        <w:rPr>
          <w:rFonts w:asciiTheme="majorBidi" w:hAnsiTheme="majorBidi" w:cstheme="majorBidi"/>
          <w:sz w:val="24"/>
          <w:szCs w:val="24"/>
        </w:rPr>
        <w:t>leximetric</w:t>
      </w:r>
      <w:proofErr w:type="spellEnd"/>
      <w:r w:rsidRPr="00560726">
        <w:rPr>
          <w:rFonts w:asciiTheme="majorBidi" w:hAnsiTheme="majorBidi" w:cstheme="majorBidi"/>
          <w:sz w:val="24"/>
          <w:szCs w:val="24"/>
        </w:rPr>
        <w:t xml:space="preserve"> datasets translate </w:t>
      </w:r>
      <w:proofErr w:type="spellStart"/>
      <w:r w:rsidRPr="00560726">
        <w:rPr>
          <w:rFonts w:asciiTheme="majorBidi" w:hAnsiTheme="majorBidi" w:cstheme="majorBidi"/>
          <w:sz w:val="24"/>
          <w:szCs w:val="24"/>
        </w:rPr>
        <w:t>labour</w:t>
      </w:r>
      <w:proofErr w:type="spellEnd"/>
      <w:r w:rsidRPr="00560726">
        <w:rPr>
          <w:rFonts w:asciiTheme="majorBidi" w:hAnsiTheme="majorBidi" w:cstheme="majorBidi"/>
          <w:sz w:val="24"/>
          <w:szCs w:val="24"/>
        </w:rPr>
        <w:t>, shareholder and creditor law into longitudinal indicators suitable for comparative analysis (</w:t>
      </w:r>
      <w:proofErr w:type="spellStart"/>
      <w:r w:rsidRPr="00560726">
        <w:rPr>
          <w:rFonts w:asciiTheme="majorBidi" w:hAnsiTheme="majorBidi" w:cstheme="majorBidi"/>
          <w:sz w:val="24"/>
          <w:szCs w:val="24"/>
        </w:rPr>
        <w:t>Armour</w:t>
      </w:r>
      <w:proofErr w:type="spellEnd"/>
      <w:r w:rsidRPr="00560726">
        <w:rPr>
          <w:rFonts w:asciiTheme="majorBidi" w:hAnsiTheme="majorBidi" w:cstheme="majorBidi"/>
          <w:sz w:val="24"/>
          <w:szCs w:val="24"/>
        </w:rPr>
        <w:t xml:space="preserve">, Deakin and </w:t>
      </w:r>
      <w:proofErr w:type="spellStart"/>
      <w:r w:rsidRPr="00560726">
        <w:rPr>
          <w:rFonts w:asciiTheme="majorBidi" w:hAnsiTheme="majorBidi" w:cstheme="majorBidi"/>
          <w:sz w:val="24"/>
          <w:szCs w:val="24"/>
        </w:rPr>
        <w:t>Siems</w:t>
      </w:r>
      <w:proofErr w:type="spellEnd"/>
      <w:r w:rsidRPr="00560726">
        <w:rPr>
          <w:rFonts w:asciiTheme="majorBidi" w:hAnsiTheme="majorBidi" w:cstheme="majorBidi"/>
          <w:sz w:val="24"/>
          <w:szCs w:val="24"/>
        </w:rPr>
        <w:t xml:space="preserve"> 2016). The World Bank's Women, Business and the Law and the ILO's </w:t>
      </w:r>
      <w:proofErr w:type="spellStart"/>
      <w:r w:rsidRPr="00560726">
        <w:rPr>
          <w:rFonts w:asciiTheme="majorBidi" w:hAnsiTheme="majorBidi" w:cstheme="majorBidi"/>
          <w:sz w:val="24"/>
          <w:szCs w:val="24"/>
        </w:rPr>
        <w:t>EPLex</w:t>
      </w:r>
      <w:proofErr w:type="spellEnd"/>
      <w:r w:rsidRPr="00560726">
        <w:rPr>
          <w:rFonts w:asciiTheme="majorBidi" w:hAnsiTheme="majorBidi" w:cstheme="majorBidi"/>
          <w:sz w:val="24"/>
          <w:szCs w:val="24"/>
        </w:rPr>
        <w:t xml:space="preserve"> similarly convert legal rules and protections into standardized comparative indicators.</w:t>
      </w:r>
      <w:r w:rsidR="00007DAB">
        <w:rPr>
          <w:rFonts w:asciiTheme="majorBidi" w:hAnsiTheme="majorBidi" w:cstheme="majorBidi"/>
          <w:sz w:val="24"/>
          <w:szCs w:val="24"/>
        </w:rPr>
        <w:t xml:space="preserve"> </w:t>
      </w:r>
      <w:r w:rsidRPr="00560726">
        <w:rPr>
          <w:rFonts w:asciiTheme="majorBidi" w:hAnsiTheme="majorBidi" w:cstheme="majorBidi"/>
          <w:sz w:val="24"/>
          <w:szCs w:val="24"/>
        </w:rPr>
        <w:t>The strength of act-level leximetrics is that it makes legally complex phenomena tractable for comparative research. It permits the construction of long time series, large cross-national datasets and theoretically meaningful indices. Its cost is abstraction. Variables typically record whether a legal feature exists, how strongly it is protected, or how a legal regime scores on a specified dimension. They therefore reveal relatively little about how heterogeneous provisions within the same law distribute governing work among actors. A statute may receive one score even though some provisions establish direct public control, others delegate authority, and still others rely on self-regulation, private verification or multilevel implementation. For questions concerning governance architecture, the legal act is therefore often too coarse as the primary coding unit.</w:t>
      </w:r>
    </w:p>
    <w:p w14:paraId="1025A391" w14:textId="77777777" w:rsidR="00560726" w:rsidRPr="00007DAB" w:rsidRDefault="00560726" w:rsidP="00560726">
      <w:pPr>
        <w:pStyle w:val="Heading2"/>
        <w:spacing w:line="276" w:lineRule="auto"/>
        <w:jc w:val="both"/>
        <w:rPr>
          <w:rFonts w:asciiTheme="majorBidi" w:hAnsiTheme="majorBidi"/>
          <w:color w:val="auto"/>
          <w:sz w:val="24"/>
          <w:szCs w:val="24"/>
        </w:rPr>
      </w:pPr>
      <w:r w:rsidRPr="00007DAB">
        <w:rPr>
          <w:rFonts w:asciiTheme="majorBidi" w:hAnsiTheme="majorBidi"/>
          <w:color w:val="auto"/>
          <w:sz w:val="24"/>
          <w:szCs w:val="24"/>
        </w:rPr>
        <w:t>Provision-level coding: recovering internal legal heterogeneity</w:t>
      </w:r>
    </w:p>
    <w:p w14:paraId="269E9CE9" w14:textId="5F22A6EC"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A second tradition moves below the level of the legal act and treats articles, paragraphs, recitals or sub-articles as separate observations. This shift is especially important where a single statute contains multiple regulatory objects, actors, instruments and forms of authority. Provision-level coding allows researchers to preserve the location of obligations and institutional powers rather than averaging them across the document.</w:t>
      </w:r>
      <w:r>
        <w:rPr>
          <w:rFonts w:asciiTheme="majorBidi" w:hAnsiTheme="majorBidi" w:cstheme="majorBidi"/>
          <w:sz w:val="24"/>
          <w:szCs w:val="24"/>
        </w:rPr>
        <w:t xml:space="preserve">   </w:t>
      </w:r>
      <w:proofErr w:type="spellStart"/>
      <w:r w:rsidRPr="00560726">
        <w:rPr>
          <w:rFonts w:asciiTheme="majorBidi" w:hAnsiTheme="majorBidi" w:cstheme="majorBidi"/>
          <w:sz w:val="24"/>
          <w:szCs w:val="24"/>
        </w:rPr>
        <w:t>Seidl</w:t>
      </w:r>
      <w:proofErr w:type="spellEnd"/>
      <w:r w:rsidRPr="00560726">
        <w:rPr>
          <w:rFonts w:asciiTheme="majorBidi" w:hAnsiTheme="majorBidi" w:cstheme="majorBidi"/>
          <w:sz w:val="24"/>
          <w:szCs w:val="24"/>
        </w:rPr>
        <w:t xml:space="preserve"> and </w:t>
      </w:r>
      <w:proofErr w:type="spellStart"/>
      <w:r w:rsidRPr="00560726">
        <w:rPr>
          <w:rFonts w:asciiTheme="majorBidi" w:hAnsiTheme="majorBidi" w:cstheme="majorBidi"/>
          <w:sz w:val="24"/>
          <w:szCs w:val="24"/>
        </w:rPr>
        <w:t>Kosti's</w:t>
      </w:r>
      <w:proofErr w:type="spellEnd"/>
      <w:r w:rsidRPr="00560726">
        <w:rPr>
          <w:rFonts w:asciiTheme="majorBidi" w:hAnsiTheme="majorBidi" w:cstheme="majorBidi"/>
          <w:sz w:val="24"/>
          <w:szCs w:val="24"/>
        </w:rPr>
        <w:t xml:space="preserve"> (2026) Mapping Europe's Digital Acquis illustrates the analytical payoff of this move. Their project decomposes a very large corpus of EU regulations, directives and decisions into recitals and operative (sub-)article units and classifies those units by substantive content, deontic character, regulated actor and rights- or market-related orientation. The underlying methodological claim is consequential: the legal act may conceal substantial internal variation because different paragraphs within the same article may perform distinct regulatory tasks. Coding below the act level therefore improves measurement by preserving heterogeneity that would otherwise disappear in aggregation.</w:t>
      </w:r>
    </w:p>
    <w:p w14:paraId="2DF6653F"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For the study of governance, provision-level coding is particularly valuable because it identifies where particular actors, obligations and powers are located. Yet granularity alone does not reconstruct architecture. A dataset can identify that one provision mentions an auditor, another imposes a reporting obligation, and a third authorizes a regulator without representing how those provisions jointly constitute a system of verification, oversight or accountability. Provision-level coding therefore solves a problem of resolution, but not necessarily a problem of relational structure.</w:t>
      </w:r>
    </w:p>
    <w:p w14:paraId="6096EA1E" w14:textId="77777777" w:rsidR="00560726" w:rsidRPr="00007DAB" w:rsidRDefault="00560726" w:rsidP="00560726">
      <w:pPr>
        <w:pStyle w:val="Heading2"/>
        <w:spacing w:line="276" w:lineRule="auto"/>
        <w:jc w:val="both"/>
        <w:rPr>
          <w:rFonts w:asciiTheme="majorBidi" w:hAnsiTheme="majorBidi"/>
          <w:color w:val="auto"/>
          <w:sz w:val="24"/>
          <w:szCs w:val="24"/>
        </w:rPr>
      </w:pPr>
      <w:r w:rsidRPr="00007DAB">
        <w:rPr>
          <w:rFonts w:asciiTheme="majorBidi" w:hAnsiTheme="majorBidi"/>
          <w:color w:val="auto"/>
          <w:sz w:val="24"/>
          <w:szCs w:val="24"/>
        </w:rPr>
        <w:t>Statement-level coding: decomposing the grammar of legal direction</w:t>
      </w:r>
    </w:p>
    <w:p w14:paraId="18A05EA3"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 xml:space="preserve">The most fine-grained approaches operate at the level of the sentence, clause or institutional statement. Crawford and Ostrom's (1995) grammar of institutions provided a foundational framework for decomposing institutional statements into components specifying actors, actions, deontic operators, conditions and sanctions. Institutional Grammar 2.0 extends this approach to regulative, constitutive and hybrid statements and offers alternative levels of encoding designed to balance conceptual richness with computational tractability (Frantz and </w:t>
      </w:r>
      <w:proofErr w:type="spellStart"/>
      <w:r w:rsidRPr="00560726">
        <w:rPr>
          <w:rFonts w:asciiTheme="majorBidi" w:hAnsiTheme="majorBidi" w:cstheme="majorBidi"/>
          <w:sz w:val="24"/>
          <w:szCs w:val="24"/>
        </w:rPr>
        <w:t>Siddiki</w:t>
      </w:r>
      <w:proofErr w:type="spellEnd"/>
      <w:r w:rsidRPr="00560726">
        <w:rPr>
          <w:rFonts w:asciiTheme="majorBidi" w:hAnsiTheme="majorBidi" w:cstheme="majorBidi"/>
          <w:sz w:val="24"/>
          <w:szCs w:val="24"/>
        </w:rPr>
        <w:t xml:space="preserve"> 2021, 2022; </w:t>
      </w:r>
      <w:proofErr w:type="spellStart"/>
      <w:r w:rsidRPr="00560726">
        <w:rPr>
          <w:rFonts w:asciiTheme="majorBidi" w:hAnsiTheme="majorBidi" w:cstheme="majorBidi"/>
          <w:sz w:val="24"/>
          <w:szCs w:val="24"/>
        </w:rPr>
        <w:t>Siddiki</w:t>
      </w:r>
      <w:proofErr w:type="spellEnd"/>
      <w:r w:rsidRPr="00560726">
        <w:rPr>
          <w:rFonts w:asciiTheme="majorBidi" w:hAnsiTheme="majorBidi" w:cstheme="majorBidi"/>
          <w:sz w:val="24"/>
          <w:szCs w:val="24"/>
        </w:rPr>
        <w:t xml:space="preserve"> and Frantz 2024).</w:t>
      </w:r>
    </w:p>
    <w:p w14:paraId="5B5B4F9B"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 xml:space="preserve">This level of analysis is particularly important because legal sentences frequently contain relational information that disappears when an article or statute is assigned a single code. A provision may identify </w:t>
      </w:r>
      <w:r w:rsidRPr="00560726">
        <w:rPr>
          <w:rFonts w:asciiTheme="majorBidi" w:hAnsiTheme="majorBidi" w:cstheme="majorBidi"/>
          <w:sz w:val="24"/>
          <w:szCs w:val="24"/>
        </w:rPr>
        <w:lastRenderedPageBreak/>
        <w:t>who is required to act, toward whom, under what conditions, with what discretion and with what consequences. Statement-level coding thus brings legal analysis closer to the institutional grammar through which governance is constituted. At the same time, it introduces a difficult boundary problem: linguistic sentences are not always equivalent to institutional statements. One sentence may contain several obligations or actor relationships, while a single institutional arrangement may be spread across several sentences or provisions. The relevant coding unit must therefore be substantively, not merely grammatically, defined.</w:t>
      </w:r>
    </w:p>
    <w:p w14:paraId="5909D695" w14:textId="77777777" w:rsidR="00560726" w:rsidRPr="00560726" w:rsidRDefault="00560726" w:rsidP="00560726">
      <w:pPr>
        <w:spacing w:line="276" w:lineRule="auto"/>
        <w:jc w:val="both"/>
        <w:rPr>
          <w:rFonts w:asciiTheme="majorBidi" w:hAnsiTheme="majorBidi" w:cstheme="majorBidi"/>
          <w:sz w:val="24"/>
          <w:szCs w:val="24"/>
        </w:rPr>
      </w:pPr>
      <w:proofErr w:type="spellStart"/>
      <w:r w:rsidRPr="00560726">
        <w:rPr>
          <w:rFonts w:asciiTheme="majorBidi" w:hAnsiTheme="majorBidi" w:cstheme="majorBidi"/>
          <w:sz w:val="24"/>
          <w:szCs w:val="24"/>
        </w:rPr>
        <w:t>RegData</w:t>
      </w:r>
      <w:proofErr w:type="spellEnd"/>
      <w:r w:rsidRPr="00560726">
        <w:rPr>
          <w:rFonts w:asciiTheme="majorBidi" w:hAnsiTheme="majorBidi" w:cstheme="majorBidi"/>
          <w:sz w:val="24"/>
          <w:szCs w:val="24"/>
        </w:rPr>
        <w:t xml:space="preserve"> represents a different form of fine-grained legal measurement. Rather than reconstructing institutional statements, it identifies restrictive terms such as 'shall', 'must' and 'prohibited' and uses text analysis and machine learning to estimate regulatory restrictiveness and industry relevance (Al-</w:t>
      </w:r>
      <w:proofErr w:type="spellStart"/>
      <w:r w:rsidRPr="00560726">
        <w:rPr>
          <w:rFonts w:asciiTheme="majorBidi" w:hAnsiTheme="majorBidi" w:cstheme="majorBidi"/>
          <w:sz w:val="24"/>
          <w:szCs w:val="24"/>
        </w:rPr>
        <w:t>Ubaydli</w:t>
      </w:r>
      <w:proofErr w:type="spellEnd"/>
      <w:r w:rsidRPr="00560726">
        <w:rPr>
          <w:rFonts w:asciiTheme="majorBidi" w:hAnsiTheme="majorBidi" w:cstheme="majorBidi"/>
          <w:sz w:val="24"/>
          <w:szCs w:val="24"/>
        </w:rPr>
        <w:t xml:space="preserve"> and McLaughlin 2017). Its contribution demonstrates the scalability of computational approaches to legal text. Yet lexical measures and institutional-grammar approaches answer different questions. Restriction counts capture intensity and textual burden; institutional decomposition captures the components of legal direction. Neither, by itself, necessarily identifies the wider configuration of actors and relationships through which governance is organized.</w:t>
      </w:r>
    </w:p>
    <w:p w14:paraId="6979F3D5" w14:textId="77777777" w:rsidR="00560726" w:rsidRPr="00007DAB" w:rsidRDefault="00560726" w:rsidP="00560726">
      <w:pPr>
        <w:pStyle w:val="Heading2"/>
        <w:spacing w:line="276" w:lineRule="auto"/>
        <w:jc w:val="both"/>
        <w:rPr>
          <w:rFonts w:asciiTheme="majorBidi" w:hAnsiTheme="majorBidi"/>
          <w:color w:val="auto"/>
          <w:sz w:val="24"/>
          <w:szCs w:val="24"/>
        </w:rPr>
      </w:pPr>
      <w:r w:rsidRPr="00007DAB">
        <w:rPr>
          <w:rFonts w:asciiTheme="majorBidi" w:hAnsiTheme="majorBidi"/>
          <w:color w:val="auto"/>
          <w:sz w:val="24"/>
          <w:szCs w:val="24"/>
        </w:rPr>
        <w:t>From granularity to relationality</w:t>
      </w:r>
    </w:p>
    <w:p w14:paraId="068C2D31"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Taken together, these traditions show that no single coding level is sufficient for all purposes. Legal acts, provisions and institutional statements should instead be treated as nested analytical levels. Act-level datasets maximize breadth and comparability. Provision-level coding preserves internal variation. Statement-level coding identifies the elementary components of legal direction. The methodological challenge is to connect these levels without either premature aggregation or excessive fragmentation.</w:t>
      </w:r>
    </w:p>
    <w:p w14:paraId="4AAE591D"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 xml:space="preserve">For </w:t>
      </w:r>
      <w:proofErr w:type="spellStart"/>
      <w:r w:rsidRPr="00560726">
        <w:rPr>
          <w:rFonts w:asciiTheme="majorBidi" w:hAnsiTheme="majorBidi" w:cstheme="majorBidi"/>
          <w:sz w:val="24"/>
          <w:szCs w:val="24"/>
        </w:rPr>
        <w:t>analysing</w:t>
      </w:r>
      <w:proofErr w:type="spellEnd"/>
      <w:r w:rsidRPr="00560726">
        <w:rPr>
          <w:rFonts w:asciiTheme="majorBidi" w:hAnsiTheme="majorBidi" w:cstheme="majorBidi"/>
          <w:sz w:val="24"/>
          <w:szCs w:val="24"/>
        </w:rPr>
        <w:t xml:space="preserve"> law as governance architecture, the critical additional step is relational. Legal text does not merely contain isolated actors, obligations and instruments; it connects actors through relations of authorization, delegation, supervision, reporting, verification, accountability, review and representation. A multilevel coding design should therefore preserve the statement or provision as the evidentiary anchor while separately recording the governance relationships constituted by the text. This makes it possible to distinguish, for example, between the mere presence of a certifier and a legal arrangement in which a public authority recognizes the certifier, the certifier verifies a regulated organization, the organization supplies information, and the authority retains powers of supervision or withdrawal.</w:t>
      </w:r>
    </w:p>
    <w:p w14:paraId="1D9D7CBD"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This distinction also clarifies the difference between the unit of coding and the unit of analysis. A sentence or provision may serve as the textual unit to which codes are attached, while the governance relationship may constitute the substantive unit of analysis and the law or regulatory regime the ultimate unit of inference. The resulting design combines the traceability of fine-grained legal coding with the capacity to reconstruct higher-order institutional configurations. Rather than forcing a choice between document-, provision- and statement-level approaches, relational leximetrics treats them as complementary stages in a multilevel measurement strategy.</w:t>
      </w:r>
    </w:p>
    <w:p w14:paraId="3DC711E9" w14:textId="77777777" w:rsidR="00560726" w:rsidRPr="00560726" w:rsidRDefault="00560726" w:rsidP="00560726">
      <w:pPr>
        <w:spacing w:line="276" w:lineRule="auto"/>
        <w:jc w:val="both"/>
        <w:rPr>
          <w:rFonts w:asciiTheme="majorBidi" w:hAnsiTheme="majorBidi" w:cstheme="majorBidi"/>
          <w:sz w:val="24"/>
          <w:szCs w:val="24"/>
        </w:rPr>
      </w:pPr>
      <w:r w:rsidRPr="00560726">
        <w:rPr>
          <w:rFonts w:asciiTheme="majorBidi" w:hAnsiTheme="majorBidi" w:cstheme="majorBidi"/>
          <w:sz w:val="24"/>
          <w:szCs w:val="24"/>
        </w:rPr>
        <w:t xml:space="preserve">The implication is that progress in legal coding depends not only on ever finer textual resolution but on preserving the connections among coded elements. Granularity reveals heterogeneity; relationality reveals architecture. A coding strategy suited to comparative governance should therefore allow researchers to move from legal text to institutional statements, from statements to actor relationships, and </w:t>
      </w:r>
      <w:r w:rsidRPr="00560726">
        <w:rPr>
          <w:rFonts w:asciiTheme="majorBidi" w:hAnsiTheme="majorBidi" w:cstheme="majorBidi"/>
          <w:sz w:val="24"/>
          <w:szCs w:val="24"/>
        </w:rPr>
        <w:lastRenderedPageBreak/>
        <w:t>from relationships to higher-order configurations while retaining vertical traceability to the original legal source. This provides the empirical foundation for comparing not only what laws regulate, but how they organize the work and capacity of governing.</w:t>
      </w:r>
    </w:p>
    <w:p w14:paraId="72901025" w14:textId="79401F1D" w:rsidR="00656BE6" w:rsidRPr="00560726" w:rsidRDefault="00656BE6" w:rsidP="00560726">
      <w:pPr>
        <w:autoSpaceDE w:val="0"/>
        <w:autoSpaceDN w:val="0"/>
        <w:adjustRightInd w:val="0"/>
        <w:spacing w:after="180" w:line="276" w:lineRule="auto"/>
        <w:jc w:val="both"/>
        <w:rPr>
          <w:rFonts w:asciiTheme="majorBidi" w:hAnsiTheme="majorBidi" w:cstheme="majorBidi"/>
          <w:sz w:val="24"/>
          <w:szCs w:val="24"/>
        </w:rPr>
      </w:pPr>
    </w:p>
    <w:p w14:paraId="2EF25123" w14:textId="77777777" w:rsidR="00656BE6" w:rsidRPr="00560726" w:rsidRDefault="00656BE6" w:rsidP="00560726">
      <w:pPr>
        <w:spacing w:line="276" w:lineRule="auto"/>
        <w:jc w:val="both"/>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984"/>
      </w:tblGrid>
      <w:tr w:rsidR="00656BE6" w14:paraId="4D6A70DA" w14:textId="77777777" w:rsidTr="00DA4984">
        <w:tc>
          <w:tcPr>
            <w:tcW w:w="10210" w:type="dxa"/>
          </w:tcPr>
          <w:p w14:paraId="211F6569" w14:textId="77777777" w:rsidR="00656BE6" w:rsidRPr="00FA706E" w:rsidRDefault="00656BE6" w:rsidP="00656BE6">
            <w:pPr>
              <w:spacing w:beforeLines="40" w:before="96" w:afterLines="40" w:after="96"/>
              <w:outlineLvl w:val="2"/>
              <w:rPr>
                <w:rFonts w:ascii="Times New Roman" w:eastAsia="Times New Roman" w:hAnsi="Times New Roman" w:cs="Times New Roman"/>
                <w:b/>
                <w:bCs/>
                <w:sz w:val="27"/>
                <w:szCs w:val="27"/>
              </w:rPr>
            </w:pPr>
            <w:r w:rsidRPr="00FA706E">
              <w:rPr>
                <w:rFonts w:ascii="Times New Roman" w:eastAsia="Times New Roman" w:hAnsi="Times New Roman" w:cs="Times New Roman"/>
                <w:b/>
                <w:bCs/>
                <w:sz w:val="27"/>
                <w:szCs w:val="27"/>
              </w:rPr>
              <w:t>Level I: directly observable governance elements</w:t>
            </w:r>
          </w:p>
          <w:p w14:paraId="7DEA7191"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Objects</w:t>
            </w:r>
          </w:p>
          <w:p w14:paraId="1CC2EB70"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Actors</w:t>
            </w:r>
          </w:p>
          <w:p w14:paraId="3E34C824"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Functions</w:t>
            </w:r>
          </w:p>
          <w:p w14:paraId="558AC69E"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Mechanisms</w:t>
            </w:r>
          </w:p>
          <w:p w14:paraId="01116AE6" w14:textId="77777777" w:rsid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Instruments</w:t>
            </w:r>
          </w:p>
          <w:p w14:paraId="4C8241BD" w14:textId="143EBC65" w:rsidR="00656BE6" w:rsidRPr="00656BE6" w:rsidRDefault="00656BE6" w:rsidP="00656BE6">
            <w:pPr>
              <w:pStyle w:val="ListParagraph"/>
              <w:numPr>
                <w:ilvl w:val="0"/>
                <w:numId w:val="15"/>
              </w:numPr>
              <w:spacing w:beforeLines="40" w:before="96" w:afterLines="40" w:after="96"/>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Relationships</w:t>
            </w:r>
          </w:p>
          <w:p w14:paraId="3C20CC46" w14:textId="77777777" w:rsidR="00656BE6" w:rsidRPr="00FA706E" w:rsidRDefault="00656BE6" w:rsidP="00656BE6">
            <w:pPr>
              <w:spacing w:before="40" w:after="40"/>
              <w:outlineLvl w:val="2"/>
              <w:rPr>
                <w:rFonts w:ascii="Times New Roman" w:eastAsia="Times New Roman" w:hAnsi="Times New Roman" w:cs="Times New Roman"/>
                <w:b/>
                <w:bCs/>
                <w:sz w:val="27"/>
                <w:szCs w:val="27"/>
              </w:rPr>
            </w:pPr>
            <w:r w:rsidRPr="00FA706E">
              <w:rPr>
                <w:rFonts w:ascii="Times New Roman" w:eastAsia="Times New Roman" w:hAnsi="Times New Roman" w:cs="Times New Roman"/>
                <w:b/>
                <w:bCs/>
                <w:sz w:val="27"/>
                <w:szCs w:val="27"/>
              </w:rPr>
              <w:t>Level II: relational attributes</w:t>
            </w:r>
          </w:p>
          <w:p w14:paraId="1024273F" w14:textId="77777777" w:rsidR="00656BE6" w:rsidRDefault="00656BE6" w:rsidP="00656BE6">
            <w:pPr>
              <w:pStyle w:val="ListParagraph"/>
              <w:numPr>
                <w:ilvl w:val="0"/>
                <w:numId w:val="14"/>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Authority</w:t>
            </w:r>
          </w:p>
          <w:p w14:paraId="42E67B69" w14:textId="77777777" w:rsidR="00656BE6" w:rsidRDefault="00656BE6" w:rsidP="00656BE6">
            <w:pPr>
              <w:pStyle w:val="ListParagraph"/>
              <w:numPr>
                <w:ilvl w:val="0"/>
                <w:numId w:val="14"/>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Discretion</w:t>
            </w:r>
          </w:p>
          <w:p w14:paraId="51496063" w14:textId="1F1948BB" w:rsidR="00656BE6" w:rsidRPr="00656BE6" w:rsidRDefault="00656BE6" w:rsidP="00656BE6">
            <w:pPr>
              <w:pStyle w:val="ListParagraph"/>
              <w:numPr>
                <w:ilvl w:val="0"/>
                <w:numId w:val="14"/>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Accountability</w:t>
            </w:r>
            <w:r w:rsidRPr="00656BE6">
              <w:rPr>
                <w:rFonts w:ascii="Times New Roman" w:eastAsia="Times New Roman" w:hAnsi="Times New Roman" w:cs="Times New Roman"/>
                <w:sz w:val="24"/>
                <w:szCs w:val="24"/>
              </w:rPr>
              <w:br/>
            </w:r>
          </w:p>
          <w:p w14:paraId="07039055" w14:textId="77777777" w:rsidR="00656BE6" w:rsidRPr="00FA706E" w:rsidRDefault="00656BE6" w:rsidP="00656BE6">
            <w:pPr>
              <w:spacing w:before="40" w:after="40"/>
              <w:outlineLvl w:val="2"/>
              <w:rPr>
                <w:rFonts w:ascii="Times New Roman" w:eastAsia="Times New Roman" w:hAnsi="Times New Roman" w:cs="Times New Roman"/>
                <w:b/>
                <w:bCs/>
                <w:sz w:val="27"/>
                <w:szCs w:val="27"/>
              </w:rPr>
            </w:pPr>
            <w:r w:rsidRPr="00FA706E">
              <w:rPr>
                <w:rFonts w:ascii="Times New Roman" w:eastAsia="Times New Roman" w:hAnsi="Times New Roman" w:cs="Times New Roman"/>
                <w:b/>
                <w:bCs/>
                <w:sz w:val="27"/>
                <w:szCs w:val="27"/>
              </w:rPr>
              <w:t>Level III: higher-order constructs</w:t>
            </w:r>
          </w:p>
          <w:p w14:paraId="565E7144" w14:textId="77777777" w:rsidR="00656BE6" w:rsidRDefault="00656BE6" w:rsidP="00656BE6">
            <w:pPr>
              <w:pStyle w:val="ListParagraph"/>
              <w:numPr>
                <w:ilvl w:val="0"/>
                <w:numId w:val="13"/>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Strategies</w:t>
            </w:r>
          </w:p>
          <w:p w14:paraId="39AAF3A0" w14:textId="77777777" w:rsidR="00656BE6" w:rsidRDefault="00656BE6" w:rsidP="00656BE6">
            <w:pPr>
              <w:pStyle w:val="ListParagraph"/>
              <w:numPr>
                <w:ilvl w:val="0"/>
                <w:numId w:val="13"/>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Architectures</w:t>
            </w:r>
          </w:p>
          <w:p w14:paraId="2EC4C29B" w14:textId="6E511AF6" w:rsidR="00656BE6" w:rsidRPr="00656BE6" w:rsidRDefault="00656BE6" w:rsidP="00656BE6">
            <w:pPr>
              <w:pStyle w:val="ListParagraph"/>
              <w:numPr>
                <w:ilvl w:val="0"/>
                <w:numId w:val="13"/>
              </w:numPr>
              <w:spacing w:before="40" w:after="40"/>
              <w:rPr>
                <w:rFonts w:ascii="Times New Roman" w:eastAsia="Times New Roman" w:hAnsi="Times New Roman" w:cs="Times New Roman"/>
                <w:sz w:val="24"/>
                <w:szCs w:val="24"/>
              </w:rPr>
            </w:pPr>
            <w:r w:rsidRPr="00656BE6">
              <w:rPr>
                <w:rFonts w:ascii="Times New Roman" w:eastAsia="Times New Roman" w:hAnsi="Times New Roman" w:cs="Times New Roman"/>
                <w:sz w:val="24"/>
                <w:szCs w:val="24"/>
              </w:rPr>
              <w:t>Governance logics</w:t>
            </w:r>
          </w:p>
        </w:tc>
      </w:tr>
    </w:tbl>
    <w:p w14:paraId="07782C0C" w14:textId="77777777" w:rsidR="00656BE6" w:rsidRDefault="00656BE6" w:rsidP="00656BE6">
      <w:pPr>
        <w:pStyle w:val="Heading2"/>
        <w:rPr>
          <w:rFonts w:asciiTheme="majorBidi" w:hAnsiTheme="majorBidi"/>
          <w:color w:val="auto"/>
          <w:sz w:val="24"/>
          <w:szCs w:val="24"/>
        </w:rPr>
      </w:pPr>
    </w:p>
    <w:p w14:paraId="2BF69D03" w14:textId="77777777" w:rsidR="00656BE6" w:rsidRPr="00897A61" w:rsidRDefault="00656BE6" w:rsidP="003D4F54">
      <w:pPr>
        <w:autoSpaceDE w:val="0"/>
        <w:autoSpaceDN w:val="0"/>
        <w:adjustRightInd w:val="0"/>
        <w:spacing w:after="180" w:line="276" w:lineRule="auto"/>
        <w:jc w:val="both"/>
        <w:rPr>
          <w:rFonts w:asciiTheme="majorBidi" w:hAnsiTheme="majorBidi" w:cstheme="majorBidi"/>
          <w:sz w:val="24"/>
          <w:szCs w:val="24"/>
        </w:rPr>
      </w:pPr>
    </w:p>
    <w:p w14:paraId="35DA63E3" w14:textId="79CEB194" w:rsidR="003902C2" w:rsidRPr="00656BE6" w:rsidRDefault="00656BE6" w:rsidP="00656BE6">
      <w:pPr>
        <w:spacing w:after="200" w:line="276" w:lineRule="auto"/>
        <w:rPr>
          <w:rFonts w:asciiTheme="majorBidi" w:hAnsiTheme="majorBidi"/>
          <w:b/>
          <w:bCs/>
          <w:sz w:val="24"/>
          <w:szCs w:val="24"/>
        </w:rPr>
      </w:pPr>
      <w:r>
        <w:rPr>
          <w:rFonts w:asciiTheme="majorBidi" w:hAnsiTheme="majorBidi" w:cstheme="majorBidi"/>
          <w:sz w:val="24"/>
          <w:szCs w:val="24"/>
        </w:rPr>
        <w:br w:type="page"/>
      </w:r>
      <w:r w:rsidR="00BB24A5" w:rsidRPr="00656BE6">
        <w:rPr>
          <w:rFonts w:asciiTheme="majorBidi" w:hAnsiTheme="majorBidi"/>
          <w:b/>
          <w:bCs/>
          <w:sz w:val="24"/>
          <w:szCs w:val="24"/>
        </w:rPr>
        <w:lastRenderedPageBreak/>
        <w:t xml:space="preserve">3. </w:t>
      </w:r>
      <w:r w:rsidR="00671550" w:rsidRPr="00656BE6">
        <w:rPr>
          <w:rFonts w:asciiTheme="majorBidi" w:hAnsiTheme="majorBidi"/>
          <w:b/>
          <w:bCs/>
          <w:sz w:val="24"/>
          <w:szCs w:val="24"/>
        </w:rPr>
        <w:t>Core</w:t>
      </w:r>
      <w:r w:rsidR="00BB24A5" w:rsidRPr="00656BE6">
        <w:rPr>
          <w:rFonts w:asciiTheme="majorBidi" w:hAnsiTheme="majorBidi"/>
          <w:b/>
          <w:bCs/>
          <w:sz w:val="24"/>
          <w:szCs w:val="24"/>
        </w:rPr>
        <w:t xml:space="preserve"> Dimensions</w:t>
      </w:r>
      <w:r>
        <w:rPr>
          <w:rFonts w:asciiTheme="majorBidi" w:hAnsiTheme="majorBidi"/>
          <w:b/>
          <w:bCs/>
          <w:sz w:val="24"/>
          <w:szCs w:val="24"/>
        </w:rPr>
        <w:t>: Level I</w:t>
      </w:r>
    </w:p>
    <w:p w14:paraId="5D17936C" w14:textId="77777777" w:rsidR="00131948" w:rsidRDefault="00131948" w:rsidP="00131948">
      <w:pPr>
        <w:rPr>
          <w:rFonts w:asciiTheme="majorBidi" w:hAnsiTheme="majorBidi" w:cstheme="majorBidi"/>
          <w:sz w:val="24"/>
          <w:szCs w:val="24"/>
        </w:rPr>
      </w:pPr>
    </w:p>
    <w:p w14:paraId="5142DBC4" w14:textId="6549B7DB" w:rsidR="003902C2" w:rsidRPr="00BB24A5" w:rsidRDefault="00BB24A5">
      <w:pPr>
        <w:pStyle w:val="Heading2"/>
        <w:rPr>
          <w:rFonts w:asciiTheme="majorBidi" w:hAnsiTheme="majorBidi"/>
          <w:color w:val="auto"/>
          <w:sz w:val="24"/>
          <w:szCs w:val="24"/>
        </w:rPr>
      </w:pPr>
      <w:r w:rsidRPr="00BB24A5">
        <w:rPr>
          <w:rFonts w:asciiTheme="majorBidi" w:hAnsiTheme="majorBidi"/>
          <w:color w:val="auto"/>
          <w:sz w:val="24"/>
          <w:szCs w:val="24"/>
        </w:rPr>
        <w:t>3.1 Objects: what does law govern?</w:t>
      </w:r>
    </w:p>
    <w:p w14:paraId="0CF5C6FF" w14:textId="1B6878BF" w:rsidR="003902C2" w:rsidRDefault="00BB24A5">
      <w:pPr>
        <w:rPr>
          <w:rFonts w:asciiTheme="majorBidi" w:hAnsiTheme="majorBidi" w:cstheme="majorBidi"/>
          <w:sz w:val="24"/>
          <w:szCs w:val="24"/>
        </w:rPr>
      </w:pPr>
      <w:r w:rsidRPr="00BB24A5">
        <w:rPr>
          <w:rFonts w:asciiTheme="majorBidi" w:hAnsiTheme="majorBidi" w:cstheme="majorBidi"/>
          <w:sz w:val="24"/>
          <w:szCs w:val="24"/>
        </w:rPr>
        <w:t>The object of governance is the behaviour, entity, process, relationship or institutional arrangement toward which governance is directed. Classic regulation governs conduct: emissions, prices, employment practices, disclosure or product safety. Contemporary law, however, increasingly governs organizations, processes, information and governance systems themselves.</w:t>
      </w:r>
    </w:p>
    <w:p w14:paraId="11ED00BF" w14:textId="77777777" w:rsidR="00BB24A5" w:rsidRPr="00BB24A5" w:rsidRDefault="00BB24A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30"/>
        <w:gridCol w:w="3327"/>
        <w:gridCol w:w="3327"/>
      </w:tblGrid>
      <w:tr w:rsidR="003902C2" w:rsidRPr="00BB24A5" w14:paraId="4A8D4583" w14:textId="77777777">
        <w:trPr>
          <w:jc w:val="center"/>
        </w:trPr>
        <w:tc>
          <w:tcPr>
            <w:tcW w:w="3331" w:type="dxa"/>
            <w:vAlign w:val="center"/>
          </w:tcPr>
          <w:p w14:paraId="4BDFE17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Object</w:t>
            </w:r>
          </w:p>
        </w:tc>
        <w:tc>
          <w:tcPr>
            <w:tcW w:w="3331" w:type="dxa"/>
            <w:vAlign w:val="center"/>
          </w:tcPr>
          <w:p w14:paraId="66D9F20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What is governed?</w:t>
            </w:r>
          </w:p>
        </w:tc>
        <w:tc>
          <w:tcPr>
            <w:tcW w:w="3331" w:type="dxa"/>
            <w:vAlign w:val="center"/>
          </w:tcPr>
          <w:p w14:paraId="522758F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Illustrations</w:t>
            </w:r>
          </w:p>
        </w:tc>
      </w:tr>
      <w:tr w:rsidR="003902C2" w:rsidRPr="00BB24A5" w14:paraId="01254A2D" w14:textId="77777777">
        <w:trPr>
          <w:jc w:val="center"/>
        </w:trPr>
        <w:tc>
          <w:tcPr>
            <w:tcW w:w="3331" w:type="dxa"/>
            <w:vAlign w:val="center"/>
          </w:tcPr>
          <w:p w14:paraId="28B09280"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Conduct</w:t>
            </w:r>
          </w:p>
        </w:tc>
        <w:tc>
          <w:tcPr>
            <w:tcW w:w="3331" w:type="dxa"/>
            <w:vAlign w:val="center"/>
          </w:tcPr>
          <w:p w14:paraId="18F0FF29"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Behaviour or decisions of persons and organizations</w:t>
            </w:r>
          </w:p>
        </w:tc>
        <w:tc>
          <w:tcPr>
            <w:tcW w:w="3331" w:type="dxa"/>
            <w:vAlign w:val="center"/>
          </w:tcPr>
          <w:p w14:paraId="70798662"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emissions; pricing; hiring; disclosure</w:t>
            </w:r>
          </w:p>
        </w:tc>
      </w:tr>
      <w:tr w:rsidR="003902C2" w:rsidRPr="00BB24A5" w14:paraId="45BCE7AA" w14:textId="77777777">
        <w:trPr>
          <w:jc w:val="center"/>
        </w:trPr>
        <w:tc>
          <w:tcPr>
            <w:tcW w:w="3331" w:type="dxa"/>
            <w:vAlign w:val="center"/>
          </w:tcPr>
          <w:p w14:paraId="0E9B5B78"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Organizations</w:t>
            </w:r>
          </w:p>
        </w:tc>
        <w:tc>
          <w:tcPr>
            <w:tcW w:w="3331" w:type="dxa"/>
            <w:vAlign w:val="center"/>
          </w:tcPr>
          <w:p w14:paraId="7910CA22"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Internal organizational structures and capacities</w:t>
            </w:r>
          </w:p>
        </w:tc>
        <w:tc>
          <w:tcPr>
            <w:tcW w:w="3331" w:type="dxa"/>
            <w:vAlign w:val="center"/>
          </w:tcPr>
          <w:p w14:paraId="142760E5"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compliance units; boards; risk committees</w:t>
            </w:r>
          </w:p>
        </w:tc>
      </w:tr>
      <w:tr w:rsidR="003902C2" w:rsidRPr="00BB24A5" w14:paraId="0B9051F0" w14:textId="77777777">
        <w:trPr>
          <w:jc w:val="center"/>
        </w:trPr>
        <w:tc>
          <w:tcPr>
            <w:tcW w:w="3331" w:type="dxa"/>
            <w:vAlign w:val="center"/>
          </w:tcPr>
          <w:p w14:paraId="7B10409E"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Processes</w:t>
            </w:r>
          </w:p>
        </w:tc>
        <w:tc>
          <w:tcPr>
            <w:tcW w:w="3331" w:type="dxa"/>
            <w:vAlign w:val="center"/>
          </w:tcPr>
          <w:p w14:paraId="398BE1C3"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Procedures through which decisions are made</w:t>
            </w:r>
          </w:p>
        </w:tc>
        <w:tc>
          <w:tcPr>
            <w:tcW w:w="3331" w:type="dxa"/>
            <w:vAlign w:val="center"/>
          </w:tcPr>
          <w:p w14:paraId="4660D320"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due diligence; consultation; risk assessment</w:t>
            </w:r>
          </w:p>
        </w:tc>
      </w:tr>
      <w:tr w:rsidR="003902C2" w:rsidRPr="00BB24A5" w14:paraId="762406C9" w14:textId="77777777">
        <w:trPr>
          <w:jc w:val="center"/>
        </w:trPr>
        <w:tc>
          <w:tcPr>
            <w:tcW w:w="3331" w:type="dxa"/>
            <w:vAlign w:val="center"/>
          </w:tcPr>
          <w:p w14:paraId="3AA41976" w14:textId="10051955"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Information/knowledge</w:t>
            </w:r>
            <w:r w:rsidR="005219AB">
              <w:rPr>
                <w:rFonts w:asciiTheme="majorBidi" w:hAnsiTheme="majorBidi" w:cstheme="majorBidi"/>
                <w:b/>
                <w:bCs/>
                <w:sz w:val="22"/>
              </w:rPr>
              <w:t>/</w:t>
            </w:r>
            <w:r w:rsidR="00524B8E">
              <w:rPr>
                <w:rFonts w:asciiTheme="majorBidi" w:hAnsiTheme="majorBidi" w:cstheme="majorBidi"/>
                <w:b/>
                <w:bCs/>
                <w:sz w:val="22"/>
              </w:rPr>
              <w:t xml:space="preserve"> content</w:t>
            </w:r>
          </w:p>
        </w:tc>
        <w:tc>
          <w:tcPr>
            <w:tcW w:w="3331" w:type="dxa"/>
            <w:vAlign w:val="center"/>
          </w:tcPr>
          <w:p w14:paraId="4471A353" w14:textId="01380FC3" w:rsidR="003902C2" w:rsidRPr="00BB24A5" w:rsidRDefault="00524B8E">
            <w:pPr>
              <w:spacing w:before="30" w:after="30"/>
              <w:rPr>
                <w:rFonts w:asciiTheme="majorBidi" w:hAnsiTheme="majorBidi" w:cstheme="majorBidi"/>
                <w:sz w:val="22"/>
              </w:rPr>
            </w:pPr>
            <w:r>
              <w:rPr>
                <w:rFonts w:asciiTheme="majorBidi" w:hAnsiTheme="majorBidi" w:cstheme="majorBidi"/>
                <w:sz w:val="22"/>
              </w:rPr>
              <w:t xml:space="preserve">Content and its distribution, </w:t>
            </w:r>
            <w:r w:rsidR="00BB24A5" w:rsidRPr="00BB24A5">
              <w:rPr>
                <w:rFonts w:asciiTheme="majorBidi" w:hAnsiTheme="majorBidi" w:cstheme="majorBidi"/>
                <w:sz w:val="22"/>
              </w:rPr>
              <w:t>Production, classification, reporting or circulation of information</w:t>
            </w:r>
          </w:p>
        </w:tc>
        <w:tc>
          <w:tcPr>
            <w:tcW w:w="3331" w:type="dxa"/>
            <w:vAlign w:val="center"/>
          </w:tcPr>
          <w:p w14:paraId="569390BA" w14:textId="7CD7007E" w:rsidR="003902C2" w:rsidRPr="00BB24A5" w:rsidRDefault="00524B8E">
            <w:pPr>
              <w:spacing w:before="30" w:after="30"/>
              <w:rPr>
                <w:rFonts w:asciiTheme="majorBidi" w:hAnsiTheme="majorBidi" w:cstheme="majorBidi"/>
                <w:sz w:val="22"/>
              </w:rPr>
            </w:pPr>
            <w:r>
              <w:rPr>
                <w:rFonts w:asciiTheme="majorBidi" w:hAnsiTheme="majorBidi" w:cstheme="majorBidi"/>
                <w:sz w:val="22"/>
              </w:rPr>
              <w:t xml:space="preserve">Censorship; user-made-content; </w:t>
            </w:r>
            <w:r w:rsidR="00BB24A5" w:rsidRPr="00BB24A5">
              <w:rPr>
                <w:rFonts w:asciiTheme="majorBidi" w:hAnsiTheme="majorBidi" w:cstheme="majorBidi"/>
                <w:sz w:val="22"/>
              </w:rPr>
              <w:t>disclosure; registers; reporting; labels</w:t>
            </w:r>
          </w:p>
        </w:tc>
      </w:tr>
      <w:tr w:rsidR="003902C2" w:rsidRPr="00BB24A5" w14:paraId="53723465" w14:textId="77777777">
        <w:trPr>
          <w:jc w:val="center"/>
        </w:trPr>
        <w:tc>
          <w:tcPr>
            <w:tcW w:w="3331" w:type="dxa"/>
            <w:vAlign w:val="center"/>
          </w:tcPr>
          <w:p w14:paraId="5F253757"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Products/services/technologies</w:t>
            </w:r>
          </w:p>
        </w:tc>
        <w:tc>
          <w:tcPr>
            <w:tcW w:w="3331" w:type="dxa"/>
            <w:vAlign w:val="center"/>
          </w:tcPr>
          <w:p w14:paraId="31C8FB38"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Characteristics of governed outputs or systems</w:t>
            </w:r>
          </w:p>
        </w:tc>
        <w:tc>
          <w:tcPr>
            <w:tcW w:w="3331" w:type="dxa"/>
            <w:vAlign w:val="center"/>
          </w:tcPr>
          <w:p w14:paraId="065A5B6E"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product safety; digital services; algorithms</w:t>
            </w:r>
          </w:p>
        </w:tc>
      </w:tr>
      <w:tr w:rsidR="003902C2" w:rsidRPr="00BB24A5" w14:paraId="45879CB1" w14:textId="77777777">
        <w:trPr>
          <w:jc w:val="center"/>
        </w:trPr>
        <w:tc>
          <w:tcPr>
            <w:tcW w:w="3331" w:type="dxa"/>
            <w:vAlign w:val="center"/>
          </w:tcPr>
          <w:p w14:paraId="5F50F1B0"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Relationships</w:t>
            </w:r>
          </w:p>
        </w:tc>
        <w:tc>
          <w:tcPr>
            <w:tcW w:w="3331" w:type="dxa"/>
            <w:vAlign w:val="center"/>
          </w:tcPr>
          <w:p w14:paraId="3F54D576"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Relations between legally constituted actors</w:t>
            </w:r>
          </w:p>
        </w:tc>
        <w:tc>
          <w:tcPr>
            <w:tcW w:w="3331" w:type="dxa"/>
            <w:vAlign w:val="center"/>
          </w:tcPr>
          <w:p w14:paraId="348DF89E"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auditor-client; platform-user; employer-worker</w:t>
            </w:r>
          </w:p>
        </w:tc>
      </w:tr>
      <w:tr w:rsidR="003902C2" w:rsidRPr="00BB24A5" w14:paraId="51E51FD3" w14:textId="77777777">
        <w:trPr>
          <w:jc w:val="center"/>
        </w:trPr>
        <w:tc>
          <w:tcPr>
            <w:tcW w:w="3331" w:type="dxa"/>
            <w:vAlign w:val="center"/>
          </w:tcPr>
          <w:p w14:paraId="7E92FD3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Risks</w:t>
            </w:r>
          </w:p>
        </w:tc>
        <w:tc>
          <w:tcPr>
            <w:tcW w:w="3331" w:type="dxa"/>
            <w:vAlign w:val="center"/>
          </w:tcPr>
          <w:p w14:paraId="68098C7C"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Identification, assessment and management of possible harms</w:t>
            </w:r>
          </w:p>
        </w:tc>
        <w:tc>
          <w:tcPr>
            <w:tcW w:w="3331" w:type="dxa"/>
            <w:vAlign w:val="center"/>
          </w:tcPr>
          <w:p w14:paraId="515F58F9"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financial; environmental; digital risks</w:t>
            </w:r>
          </w:p>
        </w:tc>
      </w:tr>
      <w:tr w:rsidR="003902C2" w:rsidRPr="00BB24A5" w14:paraId="61F61F91" w14:textId="77777777">
        <w:trPr>
          <w:jc w:val="center"/>
        </w:trPr>
        <w:tc>
          <w:tcPr>
            <w:tcW w:w="3331" w:type="dxa"/>
            <w:vAlign w:val="center"/>
          </w:tcPr>
          <w:p w14:paraId="27272177" w14:textId="77777777" w:rsidR="005219AB" w:rsidRDefault="00BB24A5">
            <w:pPr>
              <w:spacing w:before="30" w:after="30"/>
              <w:rPr>
                <w:rFonts w:asciiTheme="majorBidi" w:hAnsiTheme="majorBidi" w:cstheme="majorBidi"/>
                <w:b/>
                <w:bCs/>
                <w:sz w:val="22"/>
              </w:rPr>
            </w:pPr>
            <w:r w:rsidRPr="00BB24A5">
              <w:rPr>
                <w:rFonts w:asciiTheme="majorBidi" w:hAnsiTheme="majorBidi" w:cstheme="majorBidi"/>
                <w:b/>
                <w:bCs/>
                <w:sz w:val="22"/>
              </w:rPr>
              <w:t>Governance systems</w:t>
            </w:r>
            <w:r w:rsidR="005219AB">
              <w:rPr>
                <w:rFonts w:asciiTheme="majorBidi" w:hAnsiTheme="majorBidi" w:cstheme="majorBidi"/>
                <w:b/>
                <w:bCs/>
                <w:sz w:val="22"/>
              </w:rPr>
              <w:t xml:space="preserve"> </w:t>
            </w:r>
          </w:p>
          <w:p w14:paraId="5E02B38C" w14:textId="42875440" w:rsidR="003902C2" w:rsidRPr="00BB24A5" w:rsidRDefault="005219AB">
            <w:pPr>
              <w:spacing w:before="30" w:after="30"/>
              <w:rPr>
                <w:rFonts w:asciiTheme="majorBidi" w:hAnsiTheme="majorBidi" w:cstheme="majorBidi"/>
                <w:b/>
                <w:bCs/>
                <w:sz w:val="22"/>
              </w:rPr>
            </w:pPr>
            <w:r>
              <w:rPr>
                <w:rFonts w:asciiTheme="majorBidi" w:hAnsiTheme="majorBidi" w:cstheme="majorBidi"/>
                <w:b/>
                <w:bCs/>
                <w:sz w:val="22"/>
              </w:rPr>
              <w:t>(Regulating the regulator)</w:t>
            </w:r>
          </w:p>
        </w:tc>
        <w:tc>
          <w:tcPr>
            <w:tcW w:w="3331" w:type="dxa"/>
            <w:vAlign w:val="center"/>
          </w:tcPr>
          <w:p w14:paraId="28AEF028"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Actors and processes that themselves perform governance</w:t>
            </w:r>
          </w:p>
        </w:tc>
        <w:tc>
          <w:tcPr>
            <w:tcW w:w="3331" w:type="dxa"/>
            <w:vAlign w:val="center"/>
          </w:tcPr>
          <w:p w14:paraId="5A3FF064"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regulators; auditors; certifiers; accreditation systems</w:t>
            </w:r>
          </w:p>
        </w:tc>
      </w:tr>
    </w:tbl>
    <w:p w14:paraId="70C564F9" w14:textId="77777777" w:rsidR="00524B8E" w:rsidRDefault="00524B8E">
      <w:pPr>
        <w:spacing w:after="200" w:line="276" w:lineRule="auto"/>
        <w:rPr>
          <w:rFonts w:asciiTheme="majorBidi" w:eastAsiaTheme="majorEastAsia" w:hAnsiTheme="majorBidi" w:cstheme="majorBidi"/>
          <w:b/>
          <w:bCs/>
          <w:color w:val="4F81BD" w:themeColor="accent1"/>
          <w:sz w:val="24"/>
          <w:szCs w:val="24"/>
        </w:rPr>
      </w:pPr>
      <w:r>
        <w:rPr>
          <w:rFonts w:asciiTheme="majorBidi" w:hAnsiTheme="majorBidi"/>
          <w:sz w:val="24"/>
          <w:szCs w:val="24"/>
        </w:rPr>
        <w:br w:type="page"/>
      </w:r>
    </w:p>
    <w:p w14:paraId="3A25E574" w14:textId="465E425C" w:rsidR="003902C2" w:rsidRPr="00094FA3" w:rsidRDefault="00BB24A5" w:rsidP="00094FA3">
      <w:pPr>
        <w:rPr>
          <w:rFonts w:asciiTheme="majorBidi" w:hAnsiTheme="majorBidi" w:cstheme="majorBidi"/>
          <w:b/>
          <w:bCs/>
          <w:sz w:val="24"/>
          <w:szCs w:val="24"/>
        </w:rPr>
      </w:pPr>
      <w:r w:rsidRPr="00094FA3">
        <w:rPr>
          <w:rFonts w:asciiTheme="majorBidi" w:hAnsiTheme="majorBidi" w:cstheme="majorBidi"/>
          <w:b/>
          <w:bCs/>
          <w:sz w:val="24"/>
          <w:szCs w:val="24"/>
        </w:rPr>
        <w:lastRenderedPageBreak/>
        <w:t>3.2 Actors: who governs and who is governed?</w:t>
      </w:r>
    </w:p>
    <w:p w14:paraId="5AE05C92" w14:textId="43559C69" w:rsidR="003902C2" w:rsidRDefault="00BB24A5" w:rsidP="00444355">
      <w:pPr>
        <w:jc w:val="both"/>
        <w:rPr>
          <w:rFonts w:asciiTheme="majorBidi" w:hAnsiTheme="majorBidi" w:cstheme="majorBidi"/>
          <w:sz w:val="24"/>
          <w:szCs w:val="24"/>
        </w:rPr>
      </w:pPr>
      <w:r w:rsidRPr="00BB24A5">
        <w:rPr>
          <w:rFonts w:asciiTheme="majorBidi" w:hAnsiTheme="majorBidi" w:cstheme="majorBidi"/>
          <w:sz w:val="24"/>
          <w:szCs w:val="24"/>
        </w:rPr>
        <w:t xml:space="preserve">Legal texts populate governance systems. They create public authorities, recognize private organizations, authorize professionals and assign responsibilities to firms, associations, standards bodies, auditors, courts and citizens. </w:t>
      </w:r>
    </w:p>
    <w:p w14:paraId="243E2D5E" w14:textId="77777777" w:rsidR="00BB24A5" w:rsidRPr="00BB24A5" w:rsidRDefault="00BB24A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28"/>
        <w:gridCol w:w="3328"/>
        <w:gridCol w:w="3328"/>
      </w:tblGrid>
      <w:tr w:rsidR="003902C2" w:rsidRPr="00BB24A5" w14:paraId="16B3C68D" w14:textId="77777777">
        <w:trPr>
          <w:jc w:val="center"/>
        </w:trPr>
        <w:tc>
          <w:tcPr>
            <w:tcW w:w="3331" w:type="dxa"/>
            <w:vAlign w:val="center"/>
          </w:tcPr>
          <w:p w14:paraId="6C4C272D"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Actor family</w:t>
            </w:r>
          </w:p>
        </w:tc>
        <w:tc>
          <w:tcPr>
            <w:tcW w:w="3331" w:type="dxa"/>
            <w:vAlign w:val="center"/>
          </w:tcPr>
          <w:p w14:paraId="4087D6E5"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Typical functions</w:t>
            </w:r>
          </w:p>
        </w:tc>
        <w:tc>
          <w:tcPr>
            <w:tcW w:w="3331" w:type="dxa"/>
            <w:vAlign w:val="center"/>
          </w:tcPr>
          <w:p w14:paraId="364BD83F"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Possible relational position</w:t>
            </w:r>
          </w:p>
        </w:tc>
      </w:tr>
      <w:tr w:rsidR="00444355" w:rsidRPr="00BB24A5" w14:paraId="2D121E64" w14:textId="77777777">
        <w:trPr>
          <w:jc w:val="center"/>
        </w:trPr>
        <w:tc>
          <w:tcPr>
            <w:tcW w:w="3331" w:type="dxa"/>
            <w:vAlign w:val="center"/>
          </w:tcPr>
          <w:p w14:paraId="21002C71" w14:textId="7C20C282" w:rsidR="00444355" w:rsidRPr="00BB24A5" w:rsidRDefault="00444355">
            <w:pPr>
              <w:spacing w:before="30" w:after="30"/>
              <w:rPr>
                <w:rFonts w:asciiTheme="majorBidi" w:hAnsiTheme="majorBidi" w:cstheme="majorBidi"/>
                <w:b/>
                <w:bCs/>
                <w:sz w:val="24"/>
                <w:szCs w:val="24"/>
              </w:rPr>
            </w:pPr>
            <w:r>
              <w:rPr>
                <w:rFonts w:asciiTheme="majorBidi" w:hAnsiTheme="majorBidi" w:cstheme="majorBidi"/>
                <w:b/>
                <w:bCs/>
                <w:sz w:val="24"/>
                <w:szCs w:val="24"/>
              </w:rPr>
              <w:t>R/I/T/B</w:t>
            </w:r>
          </w:p>
        </w:tc>
        <w:tc>
          <w:tcPr>
            <w:tcW w:w="3331" w:type="dxa"/>
            <w:vAlign w:val="center"/>
          </w:tcPr>
          <w:p w14:paraId="1EB5A665" w14:textId="46A7C6A0" w:rsidR="00444355" w:rsidRPr="00BB24A5" w:rsidRDefault="00444355">
            <w:pPr>
              <w:spacing w:before="30" w:after="30"/>
              <w:rPr>
                <w:rFonts w:asciiTheme="majorBidi" w:hAnsiTheme="majorBidi" w:cstheme="majorBidi"/>
                <w:sz w:val="24"/>
                <w:szCs w:val="24"/>
              </w:rPr>
            </w:pPr>
            <w:r>
              <w:rPr>
                <w:rFonts w:asciiTheme="majorBidi" w:hAnsiTheme="majorBidi" w:cstheme="majorBidi"/>
                <w:sz w:val="24"/>
                <w:szCs w:val="24"/>
              </w:rPr>
              <w:t>Rule-maker; Rule-Taker; Rule-Intermediaries; Rule-Beneficiaries</w:t>
            </w:r>
          </w:p>
        </w:tc>
        <w:tc>
          <w:tcPr>
            <w:tcW w:w="3331" w:type="dxa"/>
            <w:vAlign w:val="center"/>
          </w:tcPr>
          <w:p w14:paraId="39BD4523" w14:textId="5E998A25" w:rsidR="00444355" w:rsidRPr="00BB24A5" w:rsidRDefault="00444355">
            <w:pPr>
              <w:spacing w:before="30" w:after="30"/>
              <w:rPr>
                <w:rFonts w:asciiTheme="majorBidi" w:hAnsiTheme="majorBidi" w:cstheme="majorBidi"/>
                <w:sz w:val="24"/>
                <w:szCs w:val="24"/>
              </w:rPr>
            </w:pPr>
            <w:r>
              <w:rPr>
                <w:rFonts w:asciiTheme="majorBidi" w:hAnsiTheme="majorBidi" w:cstheme="majorBidi"/>
                <w:sz w:val="24"/>
                <w:szCs w:val="24"/>
              </w:rPr>
              <w:t xml:space="preserve">Multiple; overlapping </w:t>
            </w:r>
          </w:p>
        </w:tc>
      </w:tr>
      <w:tr w:rsidR="003902C2" w:rsidRPr="00BB24A5" w14:paraId="72BA065E" w14:textId="77777777">
        <w:trPr>
          <w:jc w:val="center"/>
        </w:trPr>
        <w:tc>
          <w:tcPr>
            <w:tcW w:w="3331" w:type="dxa"/>
            <w:vAlign w:val="center"/>
          </w:tcPr>
          <w:p w14:paraId="09D4C4A6"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Political institutions</w:t>
            </w:r>
          </w:p>
        </w:tc>
        <w:tc>
          <w:tcPr>
            <w:tcW w:w="3331" w:type="dxa"/>
            <w:vAlign w:val="center"/>
          </w:tcPr>
          <w:p w14:paraId="4288DB5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authorization; goal-setting; oversight</w:t>
            </w:r>
          </w:p>
        </w:tc>
        <w:tc>
          <w:tcPr>
            <w:tcW w:w="3331" w:type="dxa"/>
            <w:vAlign w:val="center"/>
          </w:tcPr>
          <w:p w14:paraId="17535394"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rule-maker / principal</w:t>
            </w:r>
          </w:p>
        </w:tc>
      </w:tr>
      <w:tr w:rsidR="003902C2" w:rsidRPr="00BB24A5" w14:paraId="62D75CFB" w14:textId="77777777">
        <w:trPr>
          <w:jc w:val="center"/>
        </w:trPr>
        <w:tc>
          <w:tcPr>
            <w:tcW w:w="3331" w:type="dxa"/>
            <w:vAlign w:val="center"/>
          </w:tcPr>
          <w:p w14:paraId="6593276D"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Administrative bodies</w:t>
            </w:r>
          </w:p>
        </w:tc>
        <w:tc>
          <w:tcPr>
            <w:tcW w:w="3331" w:type="dxa"/>
            <w:vAlign w:val="center"/>
          </w:tcPr>
          <w:p w14:paraId="595C745C"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rule-making; licensing; monitoring; enforcement</w:t>
            </w:r>
          </w:p>
        </w:tc>
        <w:tc>
          <w:tcPr>
            <w:tcW w:w="3331" w:type="dxa"/>
            <w:vAlign w:val="center"/>
          </w:tcPr>
          <w:p w14:paraId="4AE8DF9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regulator / intermediary / target</w:t>
            </w:r>
          </w:p>
        </w:tc>
      </w:tr>
      <w:tr w:rsidR="003902C2" w:rsidRPr="00BB24A5" w14:paraId="05917280" w14:textId="77777777">
        <w:trPr>
          <w:jc w:val="center"/>
        </w:trPr>
        <w:tc>
          <w:tcPr>
            <w:tcW w:w="3331" w:type="dxa"/>
            <w:vAlign w:val="center"/>
          </w:tcPr>
          <w:p w14:paraId="7B16E5F1"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Courts and tribunals</w:t>
            </w:r>
          </w:p>
        </w:tc>
        <w:tc>
          <w:tcPr>
            <w:tcW w:w="3331" w:type="dxa"/>
            <w:vAlign w:val="center"/>
          </w:tcPr>
          <w:p w14:paraId="388049CF"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interpretation; review; remedy</w:t>
            </w:r>
          </w:p>
        </w:tc>
        <w:tc>
          <w:tcPr>
            <w:tcW w:w="3331" w:type="dxa"/>
            <w:vAlign w:val="center"/>
          </w:tcPr>
          <w:p w14:paraId="2C9C5C6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reviewer / enforcer</w:t>
            </w:r>
          </w:p>
        </w:tc>
      </w:tr>
      <w:tr w:rsidR="003902C2" w:rsidRPr="00BB24A5" w14:paraId="33A941E2" w14:textId="77777777">
        <w:trPr>
          <w:jc w:val="center"/>
        </w:trPr>
        <w:tc>
          <w:tcPr>
            <w:tcW w:w="3331" w:type="dxa"/>
            <w:vAlign w:val="center"/>
          </w:tcPr>
          <w:p w14:paraId="37E249E1"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Firms and regulated organizations</w:t>
            </w:r>
          </w:p>
        </w:tc>
        <w:tc>
          <w:tcPr>
            <w:tcW w:w="3331" w:type="dxa"/>
            <w:vAlign w:val="center"/>
          </w:tcPr>
          <w:p w14:paraId="7F390B1C"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implementation; reporting; internal control</w:t>
            </w:r>
          </w:p>
        </w:tc>
        <w:tc>
          <w:tcPr>
            <w:tcW w:w="3331" w:type="dxa"/>
            <w:vAlign w:val="center"/>
          </w:tcPr>
          <w:p w14:paraId="4A6C3139"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target / self-regulator / intermediary</w:t>
            </w:r>
          </w:p>
        </w:tc>
      </w:tr>
      <w:tr w:rsidR="003902C2" w:rsidRPr="00BB24A5" w14:paraId="1CDF5C4F" w14:textId="77777777">
        <w:trPr>
          <w:jc w:val="center"/>
        </w:trPr>
        <w:tc>
          <w:tcPr>
            <w:tcW w:w="3331" w:type="dxa"/>
            <w:vAlign w:val="center"/>
          </w:tcPr>
          <w:p w14:paraId="7F513D56"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Professional and sectoral associations</w:t>
            </w:r>
          </w:p>
        </w:tc>
        <w:tc>
          <w:tcPr>
            <w:tcW w:w="3331" w:type="dxa"/>
            <w:vAlign w:val="center"/>
          </w:tcPr>
          <w:p w14:paraId="6AAAFBF5"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standards; discipline; expertise</w:t>
            </w:r>
          </w:p>
        </w:tc>
        <w:tc>
          <w:tcPr>
            <w:tcW w:w="3331" w:type="dxa"/>
            <w:vAlign w:val="center"/>
          </w:tcPr>
          <w:p w14:paraId="3C90DF9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intermediary / self-regulator</w:t>
            </w:r>
          </w:p>
        </w:tc>
      </w:tr>
      <w:tr w:rsidR="003902C2" w:rsidRPr="00BB24A5" w14:paraId="626F004D" w14:textId="77777777">
        <w:trPr>
          <w:jc w:val="center"/>
        </w:trPr>
        <w:tc>
          <w:tcPr>
            <w:tcW w:w="3331" w:type="dxa"/>
            <w:vAlign w:val="center"/>
          </w:tcPr>
          <w:p w14:paraId="3FE5071C"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Standards and accreditation bodies</w:t>
            </w:r>
          </w:p>
        </w:tc>
        <w:tc>
          <w:tcPr>
            <w:tcW w:w="3331" w:type="dxa"/>
            <w:vAlign w:val="center"/>
          </w:tcPr>
          <w:p w14:paraId="504E90CB"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standardization; authorization; quality control</w:t>
            </w:r>
          </w:p>
        </w:tc>
        <w:tc>
          <w:tcPr>
            <w:tcW w:w="3331" w:type="dxa"/>
            <w:vAlign w:val="center"/>
          </w:tcPr>
          <w:p w14:paraId="71158A7E"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meta-regulator / intermediary</w:t>
            </w:r>
          </w:p>
        </w:tc>
      </w:tr>
      <w:tr w:rsidR="003902C2" w:rsidRPr="00BB24A5" w14:paraId="559F8B20" w14:textId="77777777">
        <w:trPr>
          <w:jc w:val="center"/>
        </w:trPr>
        <w:tc>
          <w:tcPr>
            <w:tcW w:w="3331" w:type="dxa"/>
            <w:vAlign w:val="center"/>
          </w:tcPr>
          <w:p w14:paraId="576B85FA"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Auditors, certifiers and verifiers</w:t>
            </w:r>
          </w:p>
        </w:tc>
        <w:tc>
          <w:tcPr>
            <w:tcW w:w="3331" w:type="dxa"/>
            <w:vAlign w:val="center"/>
          </w:tcPr>
          <w:p w14:paraId="52FFB943"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monitoring; verification; assurance</w:t>
            </w:r>
          </w:p>
        </w:tc>
        <w:tc>
          <w:tcPr>
            <w:tcW w:w="3331" w:type="dxa"/>
            <w:vAlign w:val="center"/>
          </w:tcPr>
          <w:p w14:paraId="37731954"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intermediary</w:t>
            </w:r>
          </w:p>
        </w:tc>
      </w:tr>
      <w:tr w:rsidR="003902C2" w:rsidRPr="00BB24A5" w14:paraId="15789268" w14:textId="77777777">
        <w:trPr>
          <w:jc w:val="center"/>
        </w:trPr>
        <w:tc>
          <w:tcPr>
            <w:tcW w:w="3331" w:type="dxa"/>
            <w:vAlign w:val="center"/>
          </w:tcPr>
          <w:p w14:paraId="64A91BC5"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Civil society and media</w:t>
            </w:r>
          </w:p>
        </w:tc>
        <w:tc>
          <w:tcPr>
            <w:tcW w:w="3331" w:type="dxa"/>
            <w:vAlign w:val="center"/>
          </w:tcPr>
          <w:p w14:paraId="469B49E7"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monitoring; representation; reputational pressure</w:t>
            </w:r>
          </w:p>
        </w:tc>
        <w:tc>
          <w:tcPr>
            <w:tcW w:w="3331" w:type="dxa"/>
            <w:vAlign w:val="center"/>
          </w:tcPr>
          <w:p w14:paraId="4E6F0DF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watchdog / beneficiary / intermediary</w:t>
            </w:r>
          </w:p>
        </w:tc>
      </w:tr>
      <w:tr w:rsidR="003902C2" w:rsidRPr="00BB24A5" w14:paraId="1576892A" w14:textId="77777777">
        <w:trPr>
          <w:jc w:val="center"/>
        </w:trPr>
        <w:tc>
          <w:tcPr>
            <w:tcW w:w="3331" w:type="dxa"/>
            <w:vAlign w:val="center"/>
          </w:tcPr>
          <w:p w14:paraId="4D955E0C"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Citizens, workers, consumers, investors</w:t>
            </w:r>
          </w:p>
        </w:tc>
        <w:tc>
          <w:tcPr>
            <w:tcW w:w="3331" w:type="dxa"/>
            <w:vAlign w:val="center"/>
          </w:tcPr>
          <w:p w14:paraId="7645CA0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rights claims; participation; information use</w:t>
            </w:r>
          </w:p>
        </w:tc>
        <w:tc>
          <w:tcPr>
            <w:tcW w:w="3331" w:type="dxa"/>
            <w:vAlign w:val="center"/>
          </w:tcPr>
          <w:p w14:paraId="6E6435F2"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beneficiary / target / monitor</w:t>
            </w:r>
          </w:p>
        </w:tc>
      </w:tr>
    </w:tbl>
    <w:p w14:paraId="46367201" w14:textId="77777777" w:rsidR="00FC6A57" w:rsidRDefault="00FC6A57">
      <w:pPr>
        <w:pStyle w:val="Heading1"/>
        <w:rPr>
          <w:rFonts w:asciiTheme="majorBidi" w:hAnsiTheme="majorBidi"/>
          <w:color w:val="auto"/>
          <w:sz w:val="24"/>
          <w:szCs w:val="24"/>
        </w:rPr>
      </w:pPr>
    </w:p>
    <w:p w14:paraId="4026E280" w14:textId="77777777" w:rsidR="00FC6A57" w:rsidRDefault="00FC6A57">
      <w:pPr>
        <w:spacing w:after="200" w:line="276" w:lineRule="auto"/>
        <w:rPr>
          <w:rFonts w:asciiTheme="majorBidi" w:eastAsiaTheme="majorEastAsia" w:hAnsiTheme="majorBidi" w:cstheme="majorBidi"/>
          <w:b/>
          <w:bCs/>
          <w:sz w:val="24"/>
          <w:szCs w:val="24"/>
        </w:rPr>
      </w:pPr>
      <w:r>
        <w:rPr>
          <w:rFonts w:asciiTheme="majorBidi" w:hAnsiTheme="majorBidi"/>
          <w:sz w:val="24"/>
          <w:szCs w:val="24"/>
        </w:rPr>
        <w:br w:type="page"/>
      </w:r>
    </w:p>
    <w:p w14:paraId="5A696D65" w14:textId="4701E813" w:rsidR="003902C2" w:rsidRPr="00BB24A5" w:rsidRDefault="00524B8E">
      <w:pPr>
        <w:pStyle w:val="Heading2"/>
        <w:rPr>
          <w:rFonts w:asciiTheme="majorBidi" w:hAnsiTheme="majorBidi"/>
          <w:color w:val="auto"/>
          <w:sz w:val="24"/>
          <w:szCs w:val="24"/>
        </w:rPr>
      </w:pPr>
      <w:r>
        <w:rPr>
          <w:rFonts w:asciiTheme="majorBidi" w:hAnsiTheme="majorBidi"/>
          <w:color w:val="auto"/>
          <w:sz w:val="24"/>
          <w:szCs w:val="24"/>
        </w:rPr>
        <w:lastRenderedPageBreak/>
        <w:t xml:space="preserve">3.3 </w:t>
      </w:r>
      <w:r w:rsidR="00BB24A5" w:rsidRPr="00BB24A5">
        <w:rPr>
          <w:rFonts w:asciiTheme="majorBidi" w:hAnsiTheme="majorBidi"/>
          <w:color w:val="auto"/>
          <w:sz w:val="24"/>
          <w:szCs w:val="24"/>
        </w:rPr>
        <w:t>Functions</w:t>
      </w:r>
    </w:p>
    <w:p w14:paraId="19969A07" w14:textId="59069A3B" w:rsidR="00BB24A5" w:rsidRDefault="00BB24A5" w:rsidP="00BB24A5">
      <w:pPr>
        <w:spacing w:line="276" w:lineRule="auto"/>
        <w:rPr>
          <w:rFonts w:asciiTheme="majorBidi" w:hAnsiTheme="majorBidi" w:cstheme="majorBidi"/>
          <w:sz w:val="24"/>
          <w:szCs w:val="24"/>
        </w:rPr>
      </w:pPr>
      <w:r w:rsidRPr="00BB24A5">
        <w:rPr>
          <w:rFonts w:asciiTheme="majorBidi" w:hAnsiTheme="majorBidi" w:cstheme="majorBidi"/>
          <w:sz w:val="24"/>
          <w:szCs w:val="24"/>
        </w:rPr>
        <w:t>Functions identify the governance work actors perform. They include rule-making and standard-setting; implementation; interpretation and translation; information provision; monitoring; verification</w:t>
      </w:r>
      <w:r w:rsidR="00524B8E">
        <w:rPr>
          <w:rFonts w:asciiTheme="majorBidi" w:hAnsiTheme="majorBidi" w:cstheme="majorBidi"/>
          <w:sz w:val="24"/>
          <w:szCs w:val="24"/>
        </w:rPr>
        <w:t>;</w:t>
      </w:r>
      <w:r w:rsidRPr="00BB24A5">
        <w:rPr>
          <w:rFonts w:asciiTheme="majorBidi" w:hAnsiTheme="majorBidi" w:cstheme="majorBidi"/>
          <w:sz w:val="24"/>
          <w:szCs w:val="24"/>
        </w:rPr>
        <w:t xml:space="preserve"> assurance; investigation; enforcement; adjudication and dispute resolution; remediation; and review. Separating functions from</w:t>
      </w:r>
      <w:r w:rsidR="00524B8E">
        <w:rPr>
          <w:rFonts w:asciiTheme="majorBidi" w:hAnsiTheme="majorBidi" w:cstheme="majorBidi"/>
          <w:sz w:val="24"/>
          <w:szCs w:val="24"/>
        </w:rPr>
        <w:t xml:space="preserve"> actors and</w:t>
      </w:r>
      <w:r w:rsidRPr="00BB24A5">
        <w:rPr>
          <w:rFonts w:asciiTheme="majorBidi" w:hAnsiTheme="majorBidi" w:cstheme="majorBidi"/>
          <w:sz w:val="24"/>
          <w:szCs w:val="24"/>
        </w:rPr>
        <w:t xml:space="preserve"> </w:t>
      </w:r>
      <w:r w:rsidR="00524B8E">
        <w:rPr>
          <w:rFonts w:asciiTheme="majorBidi" w:hAnsiTheme="majorBidi" w:cstheme="majorBidi"/>
          <w:sz w:val="24"/>
          <w:szCs w:val="24"/>
        </w:rPr>
        <w:t xml:space="preserve">mechanism </w:t>
      </w:r>
      <w:r w:rsidRPr="00BB24A5">
        <w:rPr>
          <w:rFonts w:asciiTheme="majorBidi" w:hAnsiTheme="majorBidi" w:cstheme="majorBidi"/>
          <w:sz w:val="24"/>
          <w:szCs w:val="24"/>
        </w:rPr>
        <w:t>permit comparison of the division of regulatory labour: the same function may be performed by a ministry, agency, association, firm, auditor or civil-society organization.</w:t>
      </w:r>
      <w:r w:rsidR="00524B8E">
        <w:rPr>
          <w:rFonts w:asciiTheme="majorBidi" w:hAnsiTheme="majorBidi" w:cstheme="majorBidi"/>
          <w:sz w:val="24"/>
          <w:szCs w:val="24"/>
        </w:rPr>
        <w:t xml:space="preserve"> Similarly, the same function may be achieved by different mechanisms. </w:t>
      </w:r>
    </w:p>
    <w:p w14:paraId="6D57B8B3" w14:textId="77777777" w:rsidR="00444355" w:rsidRDefault="00444355" w:rsidP="00BB24A5">
      <w:pPr>
        <w:spacing w:line="276" w:lineRule="auto"/>
        <w:rPr>
          <w:rFonts w:asciiTheme="majorBidi" w:hAnsiTheme="majorBidi" w:cstheme="majorBidi"/>
          <w:sz w:val="24"/>
          <w:szCs w:val="24"/>
        </w:rPr>
      </w:pPr>
    </w:p>
    <w:tbl>
      <w:tblPr>
        <w:tblW w:w="10000" w:type="dxa"/>
        <w:tblInd w:w="80" w:type="dxa"/>
        <w:tblLayout w:type="fixed"/>
        <w:tblCellMar>
          <w:left w:w="80" w:type="dxa"/>
          <w:right w:w="80" w:type="dxa"/>
        </w:tblCellMar>
        <w:tblLook w:val="0000" w:firstRow="0" w:lastRow="0" w:firstColumn="0" w:lastColumn="0" w:noHBand="0" w:noVBand="0"/>
      </w:tblPr>
      <w:tblGrid>
        <w:gridCol w:w="3000"/>
        <w:gridCol w:w="3900"/>
        <w:gridCol w:w="3100"/>
      </w:tblGrid>
      <w:tr w:rsidR="00444355" w14:paraId="2773E641" w14:textId="77777777" w:rsidTr="0017123D">
        <w:tc>
          <w:tcPr>
            <w:tcW w:w="3000" w:type="dxa"/>
            <w:tcBorders>
              <w:top w:val="single" w:sz="4" w:space="0" w:color="auto"/>
              <w:left w:val="single" w:sz="4" w:space="0" w:color="auto"/>
              <w:bottom w:val="single" w:sz="4" w:space="0" w:color="auto"/>
              <w:right w:val="single" w:sz="4" w:space="0" w:color="auto"/>
            </w:tcBorders>
          </w:tcPr>
          <w:p w14:paraId="23E1E167"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Function</w:t>
            </w:r>
          </w:p>
        </w:tc>
        <w:tc>
          <w:tcPr>
            <w:tcW w:w="3900" w:type="dxa"/>
            <w:tcBorders>
              <w:top w:val="single" w:sz="4" w:space="0" w:color="auto"/>
              <w:left w:val="single" w:sz="4" w:space="0" w:color="auto"/>
              <w:bottom w:val="single" w:sz="4" w:space="0" w:color="auto"/>
              <w:right w:val="single" w:sz="4" w:space="0" w:color="auto"/>
            </w:tcBorders>
          </w:tcPr>
          <w:p w14:paraId="2B90FCF8"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Governance work performed</w:t>
            </w:r>
          </w:p>
        </w:tc>
        <w:tc>
          <w:tcPr>
            <w:tcW w:w="3100" w:type="dxa"/>
            <w:tcBorders>
              <w:top w:val="single" w:sz="4" w:space="0" w:color="auto"/>
              <w:left w:val="single" w:sz="4" w:space="0" w:color="auto"/>
              <w:bottom w:val="single" w:sz="4" w:space="0" w:color="auto"/>
              <w:right w:val="single" w:sz="4" w:space="0" w:color="auto"/>
            </w:tcBorders>
          </w:tcPr>
          <w:p w14:paraId="744573A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Illustrative legal device</w:t>
            </w:r>
          </w:p>
        </w:tc>
      </w:tr>
      <w:tr w:rsidR="00444355" w14:paraId="7F9B81D0" w14:textId="77777777" w:rsidTr="0017123D">
        <w:tc>
          <w:tcPr>
            <w:tcW w:w="3000" w:type="dxa"/>
            <w:tcBorders>
              <w:top w:val="single" w:sz="4" w:space="0" w:color="auto"/>
              <w:left w:val="single" w:sz="4" w:space="0" w:color="auto"/>
              <w:bottom w:val="single" w:sz="4" w:space="0" w:color="auto"/>
              <w:right w:val="single" w:sz="4" w:space="0" w:color="auto"/>
            </w:tcBorders>
          </w:tcPr>
          <w:p w14:paraId="245511D3"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Rule-making and standard-setting</w:t>
            </w:r>
          </w:p>
        </w:tc>
        <w:tc>
          <w:tcPr>
            <w:tcW w:w="3900" w:type="dxa"/>
            <w:tcBorders>
              <w:top w:val="single" w:sz="4" w:space="0" w:color="auto"/>
              <w:left w:val="single" w:sz="4" w:space="0" w:color="auto"/>
              <w:bottom w:val="single" w:sz="4" w:space="0" w:color="auto"/>
              <w:right w:val="single" w:sz="4" w:space="0" w:color="auto"/>
            </w:tcBorders>
          </w:tcPr>
          <w:p w14:paraId="6E9986B1"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Formulates binding rules, technical standards, benchmarks, or codes that specify expected conduct or performance.</w:t>
            </w:r>
          </w:p>
        </w:tc>
        <w:tc>
          <w:tcPr>
            <w:tcW w:w="3100" w:type="dxa"/>
            <w:tcBorders>
              <w:top w:val="single" w:sz="4" w:space="0" w:color="auto"/>
              <w:left w:val="single" w:sz="4" w:space="0" w:color="auto"/>
              <w:bottom w:val="single" w:sz="4" w:space="0" w:color="auto"/>
              <w:right w:val="single" w:sz="4" w:space="0" w:color="auto"/>
            </w:tcBorders>
          </w:tcPr>
          <w:p w14:paraId="12D1399A"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Delegated regulation; technical standard; statutory code; binding guideline.</w:t>
            </w:r>
          </w:p>
        </w:tc>
      </w:tr>
      <w:tr w:rsidR="00444355" w14:paraId="7A9DBD37" w14:textId="77777777" w:rsidTr="0017123D">
        <w:tc>
          <w:tcPr>
            <w:tcW w:w="3000" w:type="dxa"/>
            <w:tcBorders>
              <w:top w:val="single" w:sz="4" w:space="0" w:color="auto"/>
              <w:left w:val="single" w:sz="4" w:space="0" w:color="auto"/>
              <w:bottom w:val="single" w:sz="4" w:space="0" w:color="auto"/>
              <w:right w:val="single" w:sz="4" w:space="0" w:color="auto"/>
            </w:tcBorders>
          </w:tcPr>
          <w:p w14:paraId="0BD00399"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Implementation</w:t>
            </w:r>
          </w:p>
        </w:tc>
        <w:tc>
          <w:tcPr>
            <w:tcW w:w="3900" w:type="dxa"/>
            <w:tcBorders>
              <w:top w:val="single" w:sz="4" w:space="0" w:color="auto"/>
              <w:left w:val="single" w:sz="4" w:space="0" w:color="auto"/>
              <w:bottom w:val="single" w:sz="4" w:space="0" w:color="auto"/>
              <w:right w:val="single" w:sz="4" w:space="0" w:color="auto"/>
            </w:tcBorders>
          </w:tcPr>
          <w:p w14:paraId="4626C1F3"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Gives practical effect to legal rules, </w:t>
            </w:r>
            <w:proofErr w:type="spellStart"/>
            <w:r w:rsidRPr="00444355">
              <w:rPr>
                <w:rFonts w:asciiTheme="majorBidi" w:hAnsiTheme="majorBidi" w:cstheme="majorBidi"/>
                <w:sz w:val="24"/>
                <w:szCs w:val="24"/>
              </w:rPr>
              <w:t>programmes</w:t>
            </w:r>
            <w:proofErr w:type="spellEnd"/>
            <w:r w:rsidRPr="00444355">
              <w:rPr>
                <w:rFonts w:asciiTheme="majorBidi" w:hAnsiTheme="majorBidi" w:cstheme="majorBidi"/>
                <w:sz w:val="24"/>
                <w:szCs w:val="24"/>
              </w:rPr>
              <w:t>, standards, or regulatory requirements.</w:t>
            </w:r>
          </w:p>
        </w:tc>
        <w:tc>
          <w:tcPr>
            <w:tcW w:w="3100" w:type="dxa"/>
            <w:tcBorders>
              <w:top w:val="single" w:sz="4" w:space="0" w:color="auto"/>
              <w:left w:val="single" w:sz="4" w:space="0" w:color="auto"/>
              <w:bottom w:val="single" w:sz="4" w:space="0" w:color="auto"/>
              <w:right w:val="single" w:sz="4" w:space="0" w:color="auto"/>
            </w:tcBorders>
          </w:tcPr>
          <w:p w14:paraId="57EB580D"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Compliance </w:t>
            </w:r>
            <w:proofErr w:type="spellStart"/>
            <w:r w:rsidRPr="00444355">
              <w:rPr>
                <w:rFonts w:asciiTheme="majorBidi" w:hAnsiTheme="majorBidi" w:cstheme="majorBidi"/>
                <w:sz w:val="24"/>
                <w:szCs w:val="24"/>
              </w:rPr>
              <w:t>programme</w:t>
            </w:r>
            <w:proofErr w:type="spellEnd"/>
            <w:r w:rsidRPr="00444355">
              <w:rPr>
                <w:rFonts w:asciiTheme="majorBidi" w:hAnsiTheme="majorBidi" w:cstheme="majorBidi"/>
                <w:sz w:val="24"/>
                <w:szCs w:val="24"/>
              </w:rPr>
              <w:t>; implementation plan; permit procedure; mandated internal control system.</w:t>
            </w:r>
          </w:p>
        </w:tc>
      </w:tr>
      <w:tr w:rsidR="00444355" w14:paraId="05A5461A" w14:textId="77777777" w:rsidTr="0017123D">
        <w:tc>
          <w:tcPr>
            <w:tcW w:w="3000" w:type="dxa"/>
            <w:tcBorders>
              <w:top w:val="single" w:sz="4" w:space="0" w:color="auto"/>
              <w:left w:val="single" w:sz="4" w:space="0" w:color="auto"/>
              <w:bottom w:val="single" w:sz="4" w:space="0" w:color="auto"/>
              <w:right w:val="single" w:sz="4" w:space="0" w:color="auto"/>
            </w:tcBorders>
          </w:tcPr>
          <w:p w14:paraId="1070E6A9"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Interpretation and translation</w:t>
            </w:r>
          </w:p>
        </w:tc>
        <w:tc>
          <w:tcPr>
            <w:tcW w:w="3900" w:type="dxa"/>
            <w:tcBorders>
              <w:top w:val="single" w:sz="4" w:space="0" w:color="auto"/>
              <w:left w:val="single" w:sz="4" w:space="0" w:color="auto"/>
              <w:bottom w:val="single" w:sz="4" w:space="0" w:color="auto"/>
              <w:right w:val="single" w:sz="4" w:space="0" w:color="auto"/>
            </w:tcBorders>
          </w:tcPr>
          <w:p w14:paraId="564DA8A6"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Clarifies, specifies, or translates general legal requirements into operational guidance for particular actors or settings.</w:t>
            </w:r>
          </w:p>
        </w:tc>
        <w:tc>
          <w:tcPr>
            <w:tcW w:w="3100" w:type="dxa"/>
            <w:tcBorders>
              <w:top w:val="single" w:sz="4" w:space="0" w:color="auto"/>
              <w:left w:val="single" w:sz="4" w:space="0" w:color="auto"/>
              <w:bottom w:val="single" w:sz="4" w:space="0" w:color="auto"/>
              <w:right w:val="single" w:sz="4" w:space="0" w:color="auto"/>
            </w:tcBorders>
          </w:tcPr>
          <w:p w14:paraId="7C4BDE8A"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Regulatory guidance; interpretive notice; professional protocol; implementation guideline.</w:t>
            </w:r>
          </w:p>
        </w:tc>
      </w:tr>
      <w:tr w:rsidR="00444355" w14:paraId="1EE93B01" w14:textId="77777777" w:rsidTr="0017123D">
        <w:tc>
          <w:tcPr>
            <w:tcW w:w="3000" w:type="dxa"/>
            <w:tcBorders>
              <w:top w:val="single" w:sz="4" w:space="0" w:color="auto"/>
              <w:left w:val="single" w:sz="4" w:space="0" w:color="auto"/>
              <w:bottom w:val="single" w:sz="4" w:space="0" w:color="auto"/>
              <w:right w:val="single" w:sz="4" w:space="0" w:color="auto"/>
            </w:tcBorders>
          </w:tcPr>
          <w:p w14:paraId="307F1190"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Information provision</w:t>
            </w:r>
          </w:p>
        </w:tc>
        <w:tc>
          <w:tcPr>
            <w:tcW w:w="3900" w:type="dxa"/>
            <w:tcBorders>
              <w:top w:val="single" w:sz="4" w:space="0" w:color="auto"/>
              <w:left w:val="single" w:sz="4" w:space="0" w:color="auto"/>
              <w:bottom w:val="single" w:sz="4" w:space="0" w:color="auto"/>
              <w:right w:val="single" w:sz="4" w:space="0" w:color="auto"/>
            </w:tcBorders>
          </w:tcPr>
          <w:p w14:paraId="15D18B0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Produces, collects, organizes, transmits, or discloses information needed for governance.</w:t>
            </w:r>
          </w:p>
        </w:tc>
        <w:tc>
          <w:tcPr>
            <w:tcW w:w="3100" w:type="dxa"/>
            <w:tcBorders>
              <w:top w:val="single" w:sz="4" w:space="0" w:color="auto"/>
              <w:left w:val="single" w:sz="4" w:space="0" w:color="auto"/>
              <w:bottom w:val="single" w:sz="4" w:space="0" w:color="auto"/>
              <w:right w:val="single" w:sz="4" w:space="0" w:color="auto"/>
            </w:tcBorders>
          </w:tcPr>
          <w:p w14:paraId="22CFF4A6"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Mandatory report; public register; disclosure requirement; notification duty.</w:t>
            </w:r>
          </w:p>
        </w:tc>
      </w:tr>
      <w:tr w:rsidR="00444355" w14:paraId="6C307DD8" w14:textId="77777777" w:rsidTr="0017123D">
        <w:tc>
          <w:tcPr>
            <w:tcW w:w="3000" w:type="dxa"/>
            <w:tcBorders>
              <w:top w:val="single" w:sz="4" w:space="0" w:color="auto"/>
              <w:left w:val="single" w:sz="4" w:space="0" w:color="auto"/>
              <w:bottom w:val="single" w:sz="4" w:space="0" w:color="auto"/>
              <w:right w:val="single" w:sz="4" w:space="0" w:color="auto"/>
            </w:tcBorders>
          </w:tcPr>
          <w:p w14:paraId="74895FC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Monitoring</w:t>
            </w:r>
          </w:p>
        </w:tc>
        <w:tc>
          <w:tcPr>
            <w:tcW w:w="3900" w:type="dxa"/>
            <w:tcBorders>
              <w:top w:val="single" w:sz="4" w:space="0" w:color="auto"/>
              <w:left w:val="single" w:sz="4" w:space="0" w:color="auto"/>
              <w:bottom w:val="single" w:sz="4" w:space="0" w:color="auto"/>
              <w:right w:val="single" w:sz="4" w:space="0" w:color="auto"/>
            </w:tcBorders>
          </w:tcPr>
          <w:p w14:paraId="552BCA3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Observes conduct, conditions, processes, or performance in order to identify compliance, risk, or change.</w:t>
            </w:r>
          </w:p>
        </w:tc>
        <w:tc>
          <w:tcPr>
            <w:tcW w:w="3100" w:type="dxa"/>
            <w:tcBorders>
              <w:top w:val="single" w:sz="4" w:space="0" w:color="auto"/>
              <w:left w:val="single" w:sz="4" w:space="0" w:color="auto"/>
              <w:bottom w:val="single" w:sz="4" w:space="0" w:color="auto"/>
              <w:right w:val="single" w:sz="4" w:space="0" w:color="auto"/>
            </w:tcBorders>
          </w:tcPr>
          <w:p w14:paraId="0BF90B3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Inspection; reporting obligation; surveillance system; compliance monitoring requirement.</w:t>
            </w:r>
          </w:p>
        </w:tc>
      </w:tr>
      <w:tr w:rsidR="00444355" w14:paraId="48309C67" w14:textId="77777777" w:rsidTr="0017123D">
        <w:tc>
          <w:tcPr>
            <w:tcW w:w="3000" w:type="dxa"/>
            <w:tcBorders>
              <w:top w:val="single" w:sz="4" w:space="0" w:color="auto"/>
              <w:left w:val="single" w:sz="4" w:space="0" w:color="auto"/>
              <w:bottom w:val="single" w:sz="4" w:space="0" w:color="auto"/>
              <w:right w:val="single" w:sz="4" w:space="0" w:color="auto"/>
            </w:tcBorders>
          </w:tcPr>
          <w:p w14:paraId="1B58B62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Enforcement</w:t>
            </w:r>
          </w:p>
        </w:tc>
        <w:tc>
          <w:tcPr>
            <w:tcW w:w="3900" w:type="dxa"/>
            <w:tcBorders>
              <w:top w:val="single" w:sz="4" w:space="0" w:color="auto"/>
              <w:left w:val="single" w:sz="4" w:space="0" w:color="auto"/>
              <w:bottom w:val="single" w:sz="4" w:space="0" w:color="auto"/>
              <w:right w:val="single" w:sz="4" w:space="0" w:color="auto"/>
            </w:tcBorders>
          </w:tcPr>
          <w:p w14:paraId="3550417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Secures compliance and responds to violations through corrective, coercive, or punitive action.</w:t>
            </w:r>
          </w:p>
        </w:tc>
        <w:tc>
          <w:tcPr>
            <w:tcW w:w="3100" w:type="dxa"/>
            <w:tcBorders>
              <w:top w:val="single" w:sz="4" w:space="0" w:color="auto"/>
              <w:left w:val="single" w:sz="4" w:space="0" w:color="auto"/>
              <w:bottom w:val="single" w:sz="4" w:space="0" w:color="auto"/>
              <w:right w:val="single" w:sz="4" w:space="0" w:color="auto"/>
            </w:tcBorders>
          </w:tcPr>
          <w:p w14:paraId="62ED6460"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Administrative order; fine; </w:t>
            </w:r>
            <w:proofErr w:type="spellStart"/>
            <w:r w:rsidRPr="00444355">
              <w:rPr>
                <w:rFonts w:asciiTheme="majorBidi" w:hAnsiTheme="majorBidi" w:cstheme="majorBidi"/>
                <w:sz w:val="24"/>
                <w:szCs w:val="24"/>
              </w:rPr>
              <w:t>licence</w:t>
            </w:r>
            <w:proofErr w:type="spellEnd"/>
            <w:r w:rsidRPr="00444355">
              <w:rPr>
                <w:rFonts w:asciiTheme="majorBidi" w:hAnsiTheme="majorBidi" w:cstheme="majorBidi"/>
                <w:sz w:val="24"/>
                <w:szCs w:val="24"/>
              </w:rPr>
              <w:t xml:space="preserve"> suspension; injunction; withdrawal of authorization.</w:t>
            </w:r>
          </w:p>
        </w:tc>
      </w:tr>
      <w:tr w:rsidR="00444355" w14:paraId="3E9752AA" w14:textId="77777777" w:rsidTr="0017123D">
        <w:tc>
          <w:tcPr>
            <w:tcW w:w="3000" w:type="dxa"/>
            <w:tcBorders>
              <w:top w:val="single" w:sz="4" w:space="0" w:color="auto"/>
              <w:left w:val="single" w:sz="4" w:space="0" w:color="auto"/>
              <w:bottom w:val="single" w:sz="4" w:space="0" w:color="auto"/>
              <w:right w:val="single" w:sz="4" w:space="0" w:color="auto"/>
            </w:tcBorders>
          </w:tcPr>
          <w:p w14:paraId="0BECF9F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Adjudication and dispute resolution</w:t>
            </w:r>
          </w:p>
        </w:tc>
        <w:tc>
          <w:tcPr>
            <w:tcW w:w="3900" w:type="dxa"/>
            <w:tcBorders>
              <w:top w:val="single" w:sz="4" w:space="0" w:color="auto"/>
              <w:left w:val="single" w:sz="4" w:space="0" w:color="auto"/>
              <w:bottom w:val="single" w:sz="4" w:space="0" w:color="auto"/>
              <w:right w:val="single" w:sz="4" w:space="0" w:color="auto"/>
            </w:tcBorders>
          </w:tcPr>
          <w:p w14:paraId="1D3ECE81"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Determines rights, obligations, liability, or contested interpretations and resolves disputes among actors.</w:t>
            </w:r>
          </w:p>
        </w:tc>
        <w:tc>
          <w:tcPr>
            <w:tcW w:w="3100" w:type="dxa"/>
            <w:tcBorders>
              <w:top w:val="single" w:sz="4" w:space="0" w:color="auto"/>
              <w:left w:val="single" w:sz="4" w:space="0" w:color="auto"/>
              <w:bottom w:val="single" w:sz="4" w:space="0" w:color="auto"/>
              <w:right w:val="single" w:sz="4" w:space="0" w:color="auto"/>
            </w:tcBorders>
          </w:tcPr>
          <w:p w14:paraId="0D84E6C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Judicial proceeding; administrative tribunal; arbitration; statutory complaints procedure.</w:t>
            </w:r>
          </w:p>
        </w:tc>
      </w:tr>
      <w:tr w:rsidR="00444355" w14:paraId="1FEB37FA" w14:textId="77777777" w:rsidTr="0017123D">
        <w:tc>
          <w:tcPr>
            <w:tcW w:w="3000" w:type="dxa"/>
            <w:tcBorders>
              <w:top w:val="single" w:sz="4" w:space="0" w:color="auto"/>
              <w:left w:val="single" w:sz="4" w:space="0" w:color="auto"/>
              <w:bottom w:val="single" w:sz="4" w:space="0" w:color="auto"/>
              <w:right w:val="single" w:sz="4" w:space="0" w:color="auto"/>
            </w:tcBorders>
          </w:tcPr>
          <w:p w14:paraId="4E4B17D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Remediation</w:t>
            </w:r>
          </w:p>
        </w:tc>
        <w:tc>
          <w:tcPr>
            <w:tcW w:w="3900" w:type="dxa"/>
            <w:tcBorders>
              <w:top w:val="single" w:sz="4" w:space="0" w:color="auto"/>
              <w:left w:val="single" w:sz="4" w:space="0" w:color="auto"/>
              <w:bottom w:val="single" w:sz="4" w:space="0" w:color="auto"/>
              <w:right w:val="single" w:sz="4" w:space="0" w:color="auto"/>
            </w:tcBorders>
          </w:tcPr>
          <w:p w14:paraId="31DDF237"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Corrects harm, restores compliance, compensates affected parties, or requires repair following failure or violation.</w:t>
            </w:r>
          </w:p>
        </w:tc>
        <w:tc>
          <w:tcPr>
            <w:tcW w:w="3100" w:type="dxa"/>
            <w:tcBorders>
              <w:top w:val="single" w:sz="4" w:space="0" w:color="auto"/>
              <w:left w:val="single" w:sz="4" w:space="0" w:color="auto"/>
              <w:bottom w:val="single" w:sz="4" w:space="0" w:color="auto"/>
              <w:right w:val="single" w:sz="4" w:space="0" w:color="auto"/>
            </w:tcBorders>
          </w:tcPr>
          <w:p w14:paraId="2AA1E56C"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Corrective-action order; compensation scheme; restitution requirement; remediation plan.</w:t>
            </w:r>
          </w:p>
        </w:tc>
      </w:tr>
    </w:tbl>
    <w:p w14:paraId="4512B990" w14:textId="77777777" w:rsidR="00444355" w:rsidRDefault="00444355">
      <w:pPr>
        <w:pStyle w:val="Heading2"/>
        <w:rPr>
          <w:rFonts w:asciiTheme="majorBidi" w:eastAsiaTheme="minorEastAsia" w:hAnsiTheme="majorBidi"/>
          <w:b w:val="0"/>
          <w:bCs w:val="0"/>
          <w:color w:val="auto"/>
          <w:sz w:val="24"/>
          <w:szCs w:val="24"/>
        </w:rPr>
      </w:pPr>
    </w:p>
    <w:p w14:paraId="2B026061" w14:textId="77777777" w:rsidR="00444355" w:rsidRDefault="00444355">
      <w:pPr>
        <w:spacing w:after="200" w:line="276" w:lineRule="auto"/>
        <w:rPr>
          <w:rFonts w:asciiTheme="majorBidi" w:hAnsiTheme="majorBidi" w:cstheme="majorBidi"/>
          <w:sz w:val="24"/>
          <w:szCs w:val="24"/>
        </w:rPr>
      </w:pPr>
      <w:r>
        <w:rPr>
          <w:rFonts w:asciiTheme="majorBidi" w:hAnsiTheme="majorBidi"/>
          <w:b/>
          <w:bCs/>
          <w:sz w:val="24"/>
          <w:szCs w:val="24"/>
        </w:rPr>
        <w:br w:type="page"/>
      </w:r>
    </w:p>
    <w:p w14:paraId="419FCC52" w14:textId="7A65B5F5" w:rsidR="003902C2" w:rsidRPr="00BB24A5" w:rsidRDefault="00444355">
      <w:pPr>
        <w:pStyle w:val="Heading2"/>
        <w:rPr>
          <w:rFonts w:asciiTheme="majorBidi" w:hAnsiTheme="majorBidi"/>
          <w:color w:val="auto"/>
          <w:sz w:val="24"/>
          <w:szCs w:val="24"/>
        </w:rPr>
      </w:pPr>
      <w:r>
        <w:rPr>
          <w:rFonts w:asciiTheme="majorBidi" w:hAnsiTheme="majorBidi"/>
          <w:color w:val="auto"/>
          <w:sz w:val="24"/>
          <w:szCs w:val="24"/>
        </w:rPr>
        <w:lastRenderedPageBreak/>
        <w:t>3.4</w:t>
      </w:r>
      <w:r w:rsidR="00BB24A5" w:rsidRPr="00BB24A5">
        <w:rPr>
          <w:rFonts w:asciiTheme="majorBidi" w:hAnsiTheme="majorBidi"/>
          <w:color w:val="auto"/>
          <w:sz w:val="24"/>
          <w:szCs w:val="24"/>
        </w:rPr>
        <w:t xml:space="preserve"> Mechanisms</w:t>
      </w:r>
    </w:p>
    <w:p w14:paraId="6E0F0E57" w14:textId="77777777" w:rsidR="003343B5" w:rsidRPr="00BB24A5" w:rsidRDefault="00BB24A5" w:rsidP="003343B5">
      <w:pPr>
        <w:spacing w:line="276" w:lineRule="auto"/>
        <w:rPr>
          <w:rFonts w:asciiTheme="majorBidi" w:hAnsiTheme="majorBidi" w:cstheme="majorBidi"/>
          <w:sz w:val="24"/>
          <w:szCs w:val="24"/>
        </w:rPr>
      </w:pPr>
      <w:r w:rsidRPr="00BB24A5">
        <w:rPr>
          <w:rFonts w:asciiTheme="majorBidi" w:hAnsiTheme="majorBidi" w:cstheme="majorBidi"/>
          <w:sz w:val="24"/>
          <w:szCs w:val="24"/>
        </w:rPr>
        <w:t>A governance mechanism is a distinct means through which an actor or institutional arrangement shapes the conduct, capacities, information, choices or decisions of another actor. Mechanisms are elementary means of governance rather than complete governance systems.</w:t>
      </w:r>
      <w:r w:rsidR="003343B5">
        <w:rPr>
          <w:rFonts w:asciiTheme="majorBidi" w:hAnsiTheme="majorBidi" w:cstheme="majorBidi"/>
          <w:sz w:val="24"/>
          <w:szCs w:val="24"/>
        </w:rPr>
        <w:t xml:space="preserve"> </w:t>
      </w:r>
      <w:r w:rsidR="003343B5" w:rsidRPr="00BB24A5">
        <w:rPr>
          <w:rFonts w:asciiTheme="majorBidi" w:hAnsiTheme="majorBidi" w:cstheme="majorBidi"/>
          <w:sz w:val="24"/>
          <w:szCs w:val="24"/>
        </w:rPr>
        <w:t>Instrument, mechanism and function should remain distinct. An instrument is a concrete legal or institutional device; a mechanism describes how that device exercises influence; and a function identifies the governance task performed. A mandatory public register is an instrument that may activate disclosure and reputational mechanisms while performing an information function. A third-party certificate is an instrument that may activate verification and authorization mechanisms while performing an assurance function.</w:t>
      </w:r>
    </w:p>
    <w:p w14:paraId="212A9813" w14:textId="77777777" w:rsidR="003343B5" w:rsidRPr="00BB24A5" w:rsidRDefault="003343B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964"/>
        <w:gridCol w:w="3689"/>
        <w:gridCol w:w="3331"/>
      </w:tblGrid>
      <w:tr w:rsidR="003902C2" w:rsidRPr="00BB24A5" w14:paraId="6D8B2BCB" w14:textId="77777777" w:rsidTr="00094FA3">
        <w:trPr>
          <w:jc w:val="center"/>
        </w:trPr>
        <w:tc>
          <w:tcPr>
            <w:tcW w:w="2965" w:type="dxa"/>
            <w:vAlign w:val="center"/>
          </w:tcPr>
          <w:p w14:paraId="5FEB336C" w14:textId="4FBE863F"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Mechanism</w:t>
            </w:r>
          </w:p>
        </w:tc>
        <w:tc>
          <w:tcPr>
            <w:tcW w:w="3687" w:type="dxa"/>
            <w:vAlign w:val="center"/>
          </w:tcPr>
          <w:p w14:paraId="5D2094DE" w14:textId="77777777"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Governing logic</w:t>
            </w:r>
          </w:p>
        </w:tc>
        <w:tc>
          <w:tcPr>
            <w:tcW w:w="3332" w:type="dxa"/>
            <w:vAlign w:val="center"/>
          </w:tcPr>
          <w:p w14:paraId="45FBF24C" w14:textId="77777777"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Illustrative legal device</w:t>
            </w:r>
          </w:p>
        </w:tc>
      </w:tr>
      <w:tr w:rsidR="003902C2" w:rsidRPr="00BB24A5" w14:paraId="7C1F93FC" w14:textId="77777777" w:rsidTr="00094FA3">
        <w:trPr>
          <w:jc w:val="center"/>
        </w:trPr>
        <w:tc>
          <w:tcPr>
            <w:tcW w:w="2965" w:type="dxa"/>
            <w:vAlign w:val="center"/>
          </w:tcPr>
          <w:p w14:paraId="0F1BF0F4"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Command</w:t>
            </w:r>
          </w:p>
        </w:tc>
        <w:tc>
          <w:tcPr>
            <w:tcW w:w="3687" w:type="dxa"/>
            <w:vAlign w:val="center"/>
          </w:tcPr>
          <w:p w14:paraId="3DF76AD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Require or prohibit</w:t>
            </w:r>
          </w:p>
        </w:tc>
        <w:tc>
          <w:tcPr>
            <w:tcW w:w="3332" w:type="dxa"/>
            <w:vAlign w:val="center"/>
          </w:tcPr>
          <w:p w14:paraId="57CA049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mandatory rule; permit condition</w:t>
            </w:r>
          </w:p>
        </w:tc>
      </w:tr>
      <w:tr w:rsidR="003902C2" w:rsidRPr="00BB24A5" w14:paraId="64DEAC2C" w14:textId="77777777" w:rsidTr="00094FA3">
        <w:trPr>
          <w:jc w:val="center"/>
        </w:trPr>
        <w:tc>
          <w:tcPr>
            <w:tcW w:w="2965" w:type="dxa"/>
            <w:vAlign w:val="center"/>
          </w:tcPr>
          <w:p w14:paraId="627D170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Incentive</w:t>
            </w:r>
          </w:p>
        </w:tc>
        <w:tc>
          <w:tcPr>
            <w:tcW w:w="3687" w:type="dxa"/>
            <w:vAlign w:val="center"/>
          </w:tcPr>
          <w:p w14:paraId="73E9DB6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Alter costs and benefits</w:t>
            </w:r>
          </w:p>
        </w:tc>
        <w:tc>
          <w:tcPr>
            <w:tcW w:w="3332" w:type="dxa"/>
            <w:vAlign w:val="center"/>
          </w:tcPr>
          <w:p w14:paraId="6D941461"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tax; subsidy; tradable right</w:t>
            </w:r>
          </w:p>
        </w:tc>
      </w:tr>
      <w:tr w:rsidR="003902C2" w:rsidRPr="00BB24A5" w14:paraId="21D94753" w14:textId="77777777" w:rsidTr="00094FA3">
        <w:trPr>
          <w:jc w:val="center"/>
        </w:trPr>
        <w:tc>
          <w:tcPr>
            <w:tcW w:w="2965" w:type="dxa"/>
            <w:vAlign w:val="center"/>
          </w:tcPr>
          <w:p w14:paraId="4D7FF33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Contract</w:t>
            </w:r>
          </w:p>
        </w:tc>
        <w:tc>
          <w:tcPr>
            <w:tcW w:w="3687" w:type="dxa"/>
            <w:vAlign w:val="center"/>
          </w:tcPr>
          <w:p w14:paraId="40A2800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Create agreed obligations</w:t>
            </w:r>
          </w:p>
        </w:tc>
        <w:tc>
          <w:tcPr>
            <w:tcW w:w="3332" w:type="dxa"/>
            <w:vAlign w:val="center"/>
          </w:tcPr>
          <w:p w14:paraId="3515D6A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public contract; concession</w:t>
            </w:r>
          </w:p>
        </w:tc>
      </w:tr>
      <w:tr w:rsidR="003902C2" w:rsidRPr="00BB24A5" w14:paraId="00BB6F2F" w14:textId="77777777" w:rsidTr="00094FA3">
        <w:trPr>
          <w:jc w:val="center"/>
        </w:trPr>
        <w:tc>
          <w:tcPr>
            <w:tcW w:w="2965" w:type="dxa"/>
            <w:vAlign w:val="center"/>
          </w:tcPr>
          <w:p w14:paraId="2791EF87"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Information</w:t>
            </w:r>
          </w:p>
        </w:tc>
        <w:tc>
          <w:tcPr>
            <w:tcW w:w="3687" w:type="dxa"/>
            <w:vAlign w:val="center"/>
          </w:tcPr>
          <w:p w14:paraId="249EE69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Alter knowledge or visibility</w:t>
            </w:r>
          </w:p>
        </w:tc>
        <w:tc>
          <w:tcPr>
            <w:tcW w:w="3332" w:type="dxa"/>
            <w:vAlign w:val="center"/>
          </w:tcPr>
          <w:p w14:paraId="7F01BCF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reporting; benchmarking</w:t>
            </w:r>
          </w:p>
        </w:tc>
      </w:tr>
      <w:tr w:rsidR="003902C2" w:rsidRPr="00BB24A5" w14:paraId="4181C6D7" w14:textId="77777777" w:rsidTr="00094FA3">
        <w:trPr>
          <w:jc w:val="center"/>
        </w:trPr>
        <w:tc>
          <w:tcPr>
            <w:tcW w:w="2965" w:type="dxa"/>
            <w:vAlign w:val="center"/>
          </w:tcPr>
          <w:p w14:paraId="31A4FF9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Disclosure</w:t>
            </w:r>
          </w:p>
        </w:tc>
        <w:tc>
          <w:tcPr>
            <w:tcW w:w="3687" w:type="dxa"/>
            <w:vAlign w:val="center"/>
          </w:tcPr>
          <w:p w14:paraId="21ED3EF0"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Mobilize external scrutiny</w:t>
            </w:r>
          </w:p>
        </w:tc>
        <w:tc>
          <w:tcPr>
            <w:tcW w:w="3332" w:type="dxa"/>
            <w:vAlign w:val="center"/>
          </w:tcPr>
          <w:p w14:paraId="2594335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public register; label</w:t>
            </w:r>
          </w:p>
        </w:tc>
      </w:tr>
      <w:tr w:rsidR="003902C2" w:rsidRPr="00BB24A5" w14:paraId="7A275682" w14:textId="77777777" w:rsidTr="00094FA3">
        <w:trPr>
          <w:jc w:val="center"/>
        </w:trPr>
        <w:tc>
          <w:tcPr>
            <w:tcW w:w="2965" w:type="dxa"/>
            <w:vAlign w:val="center"/>
          </w:tcPr>
          <w:p w14:paraId="2AB5F37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Authorization</w:t>
            </w:r>
          </w:p>
        </w:tc>
        <w:tc>
          <w:tcPr>
            <w:tcW w:w="3687" w:type="dxa"/>
            <w:vAlign w:val="center"/>
          </w:tcPr>
          <w:p w14:paraId="214A1E29"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Grant permission or status</w:t>
            </w:r>
          </w:p>
        </w:tc>
        <w:tc>
          <w:tcPr>
            <w:tcW w:w="3332" w:type="dxa"/>
            <w:vAlign w:val="center"/>
          </w:tcPr>
          <w:p w14:paraId="3373BD06"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licence; designation</w:t>
            </w:r>
          </w:p>
        </w:tc>
      </w:tr>
      <w:tr w:rsidR="003902C2" w:rsidRPr="00BB24A5" w14:paraId="59F8AC87" w14:textId="77777777" w:rsidTr="00094FA3">
        <w:trPr>
          <w:jc w:val="center"/>
        </w:trPr>
        <w:tc>
          <w:tcPr>
            <w:tcW w:w="2965" w:type="dxa"/>
            <w:vAlign w:val="center"/>
          </w:tcPr>
          <w:p w14:paraId="522EB66E"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Delegation</w:t>
            </w:r>
          </w:p>
        </w:tc>
        <w:tc>
          <w:tcPr>
            <w:tcW w:w="3687" w:type="dxa"/>
            <w:vAlign w:val="center"/>
          </w:tcPr>
          <w:p w14:paraId="651987E1"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Transfer authority</w:t>
            </w:r>
          </w:p>
        </w:tc>
        <w:tc>
          <w:tcPr>
            <w:tcW w:w="3332" w:type="dxa"/>
            <w:vAlign w:val="center"/>
          </w:tcPr>
          <w:p w14:paraId="1F7EAE7D"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statutory delegation</w:t>
            </w:r>
          </w:p>
        </w:tc>
      </w:tr>
      <w:tr w:rsidR="003902C2" w:rsidRPr="00BB24A5" w14:paraId="18A010D0" w14:textId="77777777" w:rsidTr="00094FA3">
        <w:trPr>
          <w:jc w:val="center"/>
        </w:trPr>
        <w:tc>
          <w:tcPr>
            <w:tcW w:w="2965" w:type="dxa"/>
            <w:vAlign w:val="center"/>
          </w:tcPr>
          <w:p w14:paraId="33FF9CF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Accreditation</w:t>
            </w:r>
          </w:p>
        </w:tc>
        <w:tc>
          <w:tcPr>
            <w:tcW w:w="3687" w:type="dxa"/>
            <w:vAlign w:val="center"/>
          </w:tcPr>
          <w:p w14:paraId="7034CAF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Validate competence to perform a role</w:t>
            </w:r>
          </w:p>
        </w:tc>
        <w:tc>
          <w:tcPr>
            <w:tcW w:w="3332" w:type="dxa"/>
            <w:vAlign w:val="center"/>
          </w:tcPr>
          <w:p w14:paraId="345AC0B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accreditation of certifiers</w:t>
            </w:r>
          </w:p>
        </w:tc>
      </w:tr>
      <w:tr w:rsidR="003902C2" w:rsidRPr="00BB24A5" w14:paraId="60BA3D4D" w14:textId="77777777" w:rsidTr="00094FA3">
        <w:trPr>
          <w:jc w:val="center"/>
        </w:trPr>
        <w:tc>
          <w:tcPr>
            <w:tcW w:w="2965" w:type="dxa"/>
            <w:vAlign w:val="center"/>
          </w:tcPr>
          <w:p w14:paraId="4FB1B75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Monitoring</w:t>
            </w:r>
          </w:p>
        </w:tc>
        <w:tc>
          <w:tcPr>
            <w:tcW w:w="3687" w:type="dxa"/>
            <w:vAlign w:val="center"/>
          </w:tcPr>
          <w:p w14:paraId="6FD3F5F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Observe behaviour or performance</w:t>
            </w:r>
          </w:p>
        </w:tc>
        <w:tc>
          <w:tcPr>
            <w:tcW w:w="3332" w:type="dxa"/>
            <w:vAlign w:val="center"/>
          </w:tcPr>
          <w:p w14:paraId="318F4797"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inspection; surveillance</w:t>
            </w:r>
          </w:p>
        </w:tc>
      </w:tr>
      <w:tr w:rsidR="003902C2" w:rsidRPr="00BB24A5" w14:paraId="635399B0" w14:textId="77777777" w:rsidTr="00094FA3">
        <w:trPr>
          <w:jc w:val="center"/>
        </w:trPr>
        <w:tc>
          <w:tcPr>
            <w:tcW w:w="2965" w:type="dxa"/>
            <w:vAlign w:val="center"/>
          </w:tcPr>
          <w:p w14:paraId="63CE9DD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Verification</w:t>
            </w:r>
          </w:p>
        </w:tc>
        <w:tc>
          <w:tcPr>
            <w:tcW w:w="3687" w:type="dxa"/>
            <w:vAlign w:val="center"/>
          </w:tcPr>
          <w:p w14:paraId="08895BE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Establish credibility of a claim</w:t>
            </w:r>
          </w:p>
        </w:tc>
        <w:tc>
          <w:tcPr>
            <w:tcW w:w="3332" w:type="dxa"/>
            <w:vAlign w:val="center"/>
          </w:tcPr>
          <w:p w14:paraId="1896915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audit; conformity assessment</w:t>
            </w:r>
          </w:p>
        </w:tc>
      </w:tr>
      <w:tr w:rsidR="003902C2" w:rsidRPr="00BB24A5" w14:paraId="0E3C4004" w14:textId="77777777" w:rsidTr="00094FA3">
        <w:trPr>
          <w:jc w:val="center"/>
        </w:trPr>
        <w:tc>
          <w:tcPr>
            <w:tcW w:w="2965" w:type="dxa"/>
            <w:vAlign w:val="center"/>
          </w:tcPr>
          <w:p w14:paraId="193BED46"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Participation</w:t>
            </w:r>
          </w:p>
        </w:tc>
        <w:tc>
          <w:tcPr>
            <w:tcW w:w="3687" w:type="dxa"/>
            <w:vAlign w:val="center"/>
          </w:tcPr>
          <w:p w14:paraId="2B0A6555"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Give affected actors voice</w:t>
            </w:r>
          </w:p>
        </w:tc>
        <w:tc>
          <w:tcPr>
            <w:tcW w:w="3332" w:type="dxa"/>
            <w:vAlign w:val="center"/>
          </w:tcPr>
          <w:p w14:paraId="48DE2B9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consultation; representation</w:t>
            </w:r>
          </w:p>
        </w:tc>
      </w:tr>
      <w:tr w:rsidR="003902C2" w:rsidRPr="00BB24A5" w14:paraId="7913786E" w14:textId="77777777" w:rsidTr="00094FA3">
        <w:trPr>
          <w:jc w:val="center"/>
        </w:trPr>
        <w:tc>
          <w:tcPr>
            <w:tcW w:w="2965" w:type="dxa"/>
            <w:vAlign w:val="center"/>
          </w:tcPr>
          <w:p w14:paraId="3870975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Reputation</w:t>
            </w:r>
          </w:p>
        </w:tc>
        <w:tc>
          <w:tcPr>
            <w:tcW w:w="3687" w:type="dxa"/>
            <w:vAlign w:val="center"/>
          </w:tcPr>
          <w:p w14:paraId="526AE62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Mobilize social or market evaluation</w:t>
            </w:r>
          </w:p>
        </w:tc>
        <w:tc>
          <w:tcPr>
            <w:tcW w:w="3332" w:type="dxa"/>
            <w:vAlign w:val="center"/>
          </w:tcPr>
          <w:p w14:paraId="6A0C688A"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ratings; publication</w:t>
            </w:r>
          </w:p>
        </w:tc>
      </w:tr>
      <w:tr w:rsidR="003902C2" w:rsidRPr="00BB24A5" w14:paraId="69BBC6E4" w14:textId="77777777" w:rsidTr="00094FA3">
        <w:trPr>
          <w:jc w:val="center"/>
        </w:trPr>
        <w:tc>
          <w:tcPr>
            <w:tcW w:w="2965" w:type="dxa"/>
            <w:vAlign w:val="center"/>
          </w:tcPr>
          <w:p w14:paraId="7B000F4A"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Sanction</w:t>
            </w:r>
          </w:p>
        </w:tc>
        <w:tc>
          <w:tcPr>
            <w:tcW w:w="3687" w:type="dxa"/>
            <w:vAlign w:val="center"/>
          </w:tcPr>
          <w:p w14:paraId="4C57897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Impose consequences for failure</w:t>
            </w:r>
          </w:p>
        </w:tc>
        <w:tc>
          <w:tcPr>
            <w:tcW w:w="3332" w:type="dxa"/>
            <w:vAlign w:val="center"/>
          </w:tcPr>
          <w:p w14:paraId="554240C6" w14:textId="1C21E586" w:rsidR="003902C2" w:rsidRPr="00356192" w:rsidRDefault="00444355">
            <w:pPr>
              <w:spacing w:before="30" w:after="30"/>
              <w:rPr>
                <w:rFonts w:asciiTheme="majorBidi" w:hAnsiTheme="majorBidi" w:cstheme="majorBidi"/>
                <w:sz w:val="22"/>
              </w:rPr>
            </w:pPr>
            <w:r w:rsidRPr="00356192">
              <w:rPr>
                <w:rFonts w:asciiTheme="majorBidi" w:hAnsiTheme="majorBidi" w:cstheme="majorBidi"/>
                <w:sz w:val="22"/>
              </w:rPr>
              <w:t>F</w:t>
            </w:r>
            <w:r w:rsidR="00BB24A5" w:rsidRPr="00356192">
              <w:rPr>
                <w:rFonts w:asciiTheme="majorBidi" w:hAnsiTheme="majorBidi" w:cstheme="majorBidi"/>
                <w:sz w:val="22"/>
              </w:rPr>
              <w:t>ine; suspension; withdrawal</w:t>
            </w:r>
          </w:p>
        </w:tc>
      </w:tr>
      <w:tr w:rsidR="003902C2" w:rsidRPr="00BB24A5" w14:paraId="75BFA610" w14:textId="77777777" w:rsidTr="00094FA3">
        <w:trPr>
          <w:jc w:val="center"/>
        </w:trPr>
        <w:tc>
          <w:tcPr>
            <w:tcW w:w="2965" w:type="dxa"/>
            <w:vAlign w:val="center"/>
          </w:tcPr>
          <w:p w14:paraId="63CA064C" w14:textId="17BC5999"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Review</w:t>
            </w:r>
            <w:r w:rsidR="00444355" w:rsidRPr="00356192">
              <w:rPr>
                <w:rFonts w:asciiTheme="majorBidi" w:hAnsiTheme="majorBidi" w:cstheme="majorBidi"/>
                <w:sz w:val="22"/>
              </w:rPr>
              <w:t xml:space="preserve"> (Peer Review)</w:t>
            </w:r>
          </w:p>
        </w:tc>
        <w:tc>
          <w:tcPr>
            <w:tcW w:w="3687" w:type="dxa"/>
            <w:vAlign w:val="center"/>
          </w:tcPr>
          <w:p w14:paraId="586079E9"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Subject decisions to reconsideration</w:t>
            </w:r>
          </w:p>
        </w:tc>
        <w:tc>
          <w:tcPr>
            <w:tcW w:w="3332" w:type="dxa"/>
            <w:vAlign w:val="center"/>
          </w:tcPr>
          <w:p w14:paraId="0831B37E" w14:textId="3195B89D" w:rsidR="003902C2" w:rsidRPr="00356192" w:rsidRDefault="00444355">
            <w:pPr>
              <w:spacing w:before="30" w:after="30"/>
              <w:rPr>
                <w:rFonts w:asciiTheme="majorBidi" w:hAnsiTheme="majorBidi" w:cstheme="majorBidi"/>
                <w:sz w:val="22"/>
              </w:rPr>
            </w:pPr>
            <w:r w:rsidRPr="00356192">
              <w:rPr>
                <w:rFonts w:asciiTheme="majorBidi" w:hAnsiTheme="majorBidi" w:cstheme="majorBidi"/>
                <w:sz w:val="22"/>
              </w:rPr>
              <w:t>A</w:t>
            </w:r>
            <w:r w:rsidR="00BB24A5" w:rsidRPr="00356192">
              <w:rPr>
                <w:rFonts w:asciiTheme="majorBidi" w:hAnsiTheme="majorBidi" w:cstheme="majorBidi"/>
                <w:sz w:val="22"/>
              </w:rPr>
              <w:t>dministrative</w:t>
            </w:r>
            <w:r w:rsidRPr="00356192">
              <w:rPr>
                <w:rFonts w:asciiTheme="majorBidi" w:hAnsiTheme="majorBidi" w:cstheme="majorBidi"/>
                <w:sz w:val="22"/>
              </w:rPr>
              <w:t>, Academic,</w:t>
            </w:r>
            <w:r w:rsidR="00BB24A5" w:rsidRPr="00356192">
              <w:rPr>
                <w:rFonts w:asciiTheme="majorBidi" w:hAnsiTheme="majorBidi" w:cstheme="majorBidi"/>
                <w:sz w:val="22"/>
              </w:rPr>
              <w:t xml:space="preserve"> or </w:t>
            </w:r>
            <w:r w:rsidRPr="00356192">
              <w:rPr>
                <w:rFonts w:asciiTheme="majorBidi" w:hAnsiTheme="majorBidi" w:cstheme="majorBidi"/>
                <w:sz w:val="22"/>
              </w:rPr>
              <w:t>J</w:t>
            </w:r>
            <w:r w:rsidR="00BB24A5" w:rsidRPr="00356192">
              <w:rPr>
                <w:rFonts w:asciiTheme="majorBidi" w:hAnsiTheme="majorBidi" w:cstheme="majorBidi"/>
                <w:sz w:val="22"/>
              </w:rPr>
              <w:t>udicial review</w:t>
            </w:r>
          </w:p>
        </w:tc>
      </w:tr>
      <w:tr w:rsidR="003343B5" w:rsidRPr="00BB24A5" w14:paraId="6ED6E219" w14:textId="77777777" w:rsidTr="00094FA3">
        <w:trPr>
          <w:jc w:val="center"/>
        </w:trPr>
        <w:tc>
          <w:tcPr>
            <w:tcW w:w="2965" w:type="dxa"/>
            <w:vAlign w:val="center"/>
          </w:tcPr>
          <w:p w14:paraId="0E7328E6" w14:textId="23A7DFC9"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Registration</w:t>
            </w:r>
          </w:p>
        </w:tc>
        <w:tc>
          <w:tcPr>
            <w:tcW w:w="3687" w:type="dxa"/>
            <w:vAlign w:val="center"/>
          </w:tcPr>
          <w:p w14:paraId="72F4C4EF" w14:textId="77777777" w:rsidR="003343B5" w:rsidRPr="00356192" w:rsidRDefault="003343B5">
            <w:pPr>
              <w:spacing w:before="30" w:after="30"/>
              <w:rPr>
                <w:rFonts w:asciiTheme="majorBidi" w:hAnsiTheme="majorBidi" w:cstheme="majorBidi"/>
                <w:sz w:val="22"/>
              </w:rPr>
            </w:pPr>
          </w:p>
        </w:tc>
        <w:tc>
          <w:tcPr>
            <w:tcW w:w="3332" w:type="dxa"/>
            <w:vAlign w:val="center"/>
          </w:tcPr>
          <w:p w14:paraId="33340CAC" w14:textId="77777777" w:rsidR="003343B5" w:rsidRPr="00356192" w:rsidRDefault="003343B5">
            <w:pPr>
              <w:spacing w:before="30" w:after="30"/>
              <w:rPr>
                <w:rFonts w:asciiTheme="majorBidi" w:hAnsiTheme="majorBidi" w:cstheme="majorBidi"/>
                <w:sz w:val="22"/>
              </w:rPr>
            </w:pPr>
          </w:p>
        </w:tc>
      </w:tr>
      <w:tr w:rsidR="003343B5" w:rsidRPr="00BB24A5" w14:paraId="7630F529" w14:textId="77777777" w:rsidTr="00094FA3">
        <w:trPr>
          <w:jc w:val="center"/>
        </w:trPr>
        <w:tc>
          <w:tcPr>
            <w:tcW w:w="2965" w:type="dxa"/>
            <w:vAlign w:val="center"/>
          </w:tcPr>
          <w:p w14:paraId="25E2F2EB" w14:textId="7E93CF4B"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Notification</w:t>
            </w:r>
          </w:p>
        </w:tc>
        <w:tc>
          <w:tcPr>
            <w:tcW w:w="3687" w:type="dxa"/>
            <w:vAlign w:val="center"/>
          </w:tcPr>
          <w:p w14:paraId="0E8DDF31" w14:textId="77777777" w:rsidR="003343B5" w:rsidRPr="00356192" w:rsidRDefault="003343B5">
            <w:pPr>
              <w:spacing w:before="30" w:after="30"/>
              <w:rPr>
                <w:rFonts w:asciiTheme="majorBidi" w:hAnsiTheme="majorBidi" w:cstheme="majorBidi"/>
                <w:sz w:val="22"/>
              </w:rPr>
            </w:pPr>
          </w:p>
        </w:tc>
        <w:tc>
          <w:tcPr>
            <w:tcW w:w="3332" w:type="dxa"/>
            <w:vAlign w:val="center"/>
          </w:tcPr>
          <w:p w14:paraId="73B808A7" w14:textId="77777777" w:rsidR="003343B5" w:rsidRPr="00356192" w:rsidRDefault="003343B5">
            <w:pPr>
              <w:spacing w:before="30" w:after="30"/>
              <w:rPr>
                <w:rFonts w:asciiTheme="majorBidi" w:hAnsiTheme="majorBidi" w:cstheme="majorBidi"/>
                <w:sz w:val="22"/>
              </w:rPr>
            </w:pPr>
          </w:p>
        </w:tc>
      </w:tr>
      <w:tr w:rsidR="003343B5" w:rsidRPr="00BB24A5" w14:paraId="7FCBAC7E" w14:textId="77777777" w:rsidTr="00094FA3">
        <w:trPr>
          <w:jc w:val="center"/>
        </w:trPr>
        <w:tc>
          <w:tcPr>
            <w:tcW w:w="2965" w:type="dxa"/>
            <w:vAlign w:val="center"/>
          </w:tcPr>
          <w:p w14:paraId="3D62624B" w14:textId="26138B83"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Reporting </w:t>
            </w:r>
          </w:p>
        </w:tc>
        <w:tc>
          <w:tcPr>
            <w:tcW w:w="3687" w:type="dxa"/>
            <w:vAlign w:val="center"/>
          </w:tcPr>
          <w:p w14:paraId="02619A3C" w14:textId="77777777" w:rsidR="003343B5" w:rsidRPr="00356192" w:rsidRDefault="003343B5">
            <w:pPr>
              <w:spacing w:before="30" w:after="30"/>
              <w:rPr>
                <w:rFonts w:asciiTheme="majorBidi" w:hAnsiTheme="majorBidi" w:cstheme="majorBidi"/>
                <w:sz w:val="22"/>
              </w:rPr>
            </w:pPr>
          </w:p>
        </w:tc>
        <w:tc>
          <w:tcPr>
            <w:tcW w:w="3332" w:type="dxa"/>
            <w:vAlign w:val="center"/>
          </w:tcPr>
          <w:p w14:paraId="7566B21B" w14:textId="77777777" w:rsidR="003343B5" w:rsidRPr="00356192" w:rsidRDefault="003343B5">
            <w:pPr>
              <w:spacing w:before="30" w:after="30"/>
              <w:rPr>
                <w:rFonts w:asciiTheme="majorBidi" w:hAnsiTheme="majorBidi" w:cstheme="majorBidi"/>
                <w:sz w:val="22"/>
              </w:rPr>
            </w:pPr>
          </w:p>
        </w:tc>
      </w:tr>
      <w:tr w:rsidR="003343B5" w:rsidRPr="00BB24A5" w14:paraId="51FC1391" w14:textId="77777777" w:rsidTr="00094FA3">
        <w:trPr>
          <w:jc w:val="center"/>
        </w:trPr>
        <w:tc>
          <w:tcPr>
            <w:tcW w:w="2965" w:type="dxa"/>
            <w:vAlign w:val="center"/>
          </w:tcPr>
          <w:p w14:paraId="2B99F362" w14:textId="47F62CC0"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Certification</w:t>
            </w:r>
          </w:p>
        </w:tc>
        <w:tc>
          <w:tcPr>
            <w:tcW w:w="3687" w:type="dxa"/>
            <w:vAlign w:val="center"/>
          </w:tcPr>
          <w:p w14:paraId="4C1AB2FE" w14:textId="77777777" w:rsidR="003343B5" w:rsidRPr="00356192" w:rsidRDefault="003343B5">
            <w:pPr>
              <w:spacing w:before="30" w:after="30"/>
              <w:rPr>
                <w:rFonts w:asciiTheme="majorBidi" w:hAnsiTheme="majorBidi" w:cstheme="majorBidi"/>
                <w:sz w:val="22"/>
              </w:rPr>
            </w:pPr>
          </w:p>
        </w:tc>
        <w:tc>
          <w:tcPr>
            <w:tcW w:w="3332" w:type="dxa"/>
            <w:vAlign w:val="center"/>
          </w:tcPr>
          <w:p w14:paraId="3751A38C" w14:textId="77777777" w:rsidR="003343B5" w:rsidRPr="00356192" w:rsidRDefault="003343B5">
            <w:pPr>
              <w:spacing w:before="30" w:after="30"/>
              <w:rPr>
                <w:rFonts w:asciiTheme="majorBidi" w:hAnsiTheme="majorBidi" w:cstheme="majorBidi"/>
                <w:sz w:val="22"/>
              </w:rPr>
            </w:pPr>
          </w:p>
        </w:tc>
      </w:tr>
      <w:tr w:rsidR="003343B5" w:rsidRPr="00BB24A5" w14:paraId="13715F11" w14:textId="77777777" w:rsidTr="00094FA3">
        <w:trPr>
          <w:jc w:val="center"/>
        </w:trPr>
        <w:tc>
          <w:tcPr>
            <w:tcW w:w="2965" w:type="dxa"/>
            <w:vAlign w:val="center"/>
          </w:tcPr>
          <w:p w14:paraId="406C900C" w14:textId="510A41A9"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Auditing </w:t>
            </w:r>
          </w:p>
        </w:tc>
        <w:tc>
          <w:tcPr>
            <w:tcW w:w="3687" w:type="dxa"/>
            <w:vAlign w:val="center"/>
          </w:tcPr>
          <w:p w14:paraId="1FDEE4F8" w14:textId="77777777" w:rsidR="003343B5" w:rsidRPr="00356192" w:rsidRDefault="003343B5">
            <w:pPr>
              <w:spacing w:before="30" w:after="30"/>
              <w:rPr>
                <w:rFonts w:asciiTheme="majorBidi" w:hAnsiTheme="majorBidi" w:cstheme="majorBidi"/>
                <w:sz w:val="22"/>
              </w:rPr>
            </w:pPr>
          </w:p>
        </w:tc>
        <w:tc>
          <w:tcPr>
            <w:tcW w:w="3332" w:type="dxa"/>
            <w:vAlign w:val="center"/>
          </w:tcPr>
          <w:p w14:paraId="4502B1F2" w14:textId="77777777" w:rsidR="003343B5" w:rsidRPr="00356192" w:rsidRDefault="003343B5">
            <w:pPr>
              <w:spacing w:before="30" w:after="30"/>
              <w:rPr>
                <w:rFonts w:asciiTheme="majorBidi" w:hAnsiTheme="majorBidi" w:cstheme="majorBidi"/>
                <w:sz w:val="22"/>
              </w:rPr>
            </w:pPr>
          </w:p>
        </w:tc>
      </w:tr>
      <w:tr w:rsidR="003343B5" w:rsidRPr="00BB24A5" w14:paraId="37C0D629" w14:textId="77777777" w:rsidTr="00094FA3">
        <w:trPr>
          <w:jc w:val="center"/>
        </w:trPr>
        <w:tc>
          <w:tcPr>
            <w:tcW w:w="2965" w:type="dxa"/>
            <w:vAlign w:val="center"/>
          </w:tcPr>
          <w:p w14:paraId="5F5D9139" w14:textId="2DD7B547"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Ranking &amp; Rating </w:t>
            </w:r>
          </w:p>
        </w:tc>
        <w:tc>
          <w:tcPr>
            <w:tcW w:w="3687" w:type="dxa"/>
            <w:vAlign w:val="center"/>
          </w:tcPr>
          <w:p w14:paraId="23991C43" w14:textId="77777777" w:rsidR="003343B5" w:rsidRPr="00356192" w:rsidRDefault="003343B5">
            <w:pPr>
              <w:spacing w:before="30" w:after="30"/>
              <w:rPr>
                <w:rFonts w:asciiTheme="majorBidi" w:hAnsiTheme="majorBidi" w:cstheme="majorBidi"/>
                <w:sz w:val="22"/>
              </w:rPr>
            </w:pPr>
          </w:p>
        </w:tc>
        <w:tc>
          <w:tcPr>
            <w:tcW w:w="3332" w:type="dxa"/>
            <w:vAlign w:val="center"/>
          </w:tcPr>
          <w:p w14:paraId="43DE070A" w14:textId="77777777" w:rsidR="003343B5" w:rsidRPr="00356192" w:rsidRDefault="003343B5">
            <w:pPr>
              <w:spacing w:before="30" w:after="30"/>
              <w:rPr>
                <w:rFonts w:asciiTheme="majorBidi" w:hAnsiTheme="majorBidi" w:cstheme="majorBidi"/>
                <w:sz w:val="22"/>
              </w:rPr>
            </w:pPr>
          </w:p>
        </w:tc>
      </w:tr>
      <w:tr w:rsidR="003343B5" w:rsidRPr="00BB24A5" w14:paraId="4D28643D" w14:textId="77777777" w:rsidTr="00094FA3">
        <w:trPr>
          <w:jc w:val="center"/>
        </w:trPr>
        <w:tc>
          <w:tcPr>
            <w:tcW w:w="2965" w:type="dxa"/>
            <w:vAlign w:val="center"/>
          </w:tcPr>
          <w:p w14:paraId="60F4685B" w14:textId="3DAE7B34"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Assurance</w:t>
            </w:r>
          </w:p>
        </w:tc>
        <w:tc>
          <w:tcPr>
            <w:tcW w:w="3687" w:type="dxa"/>
          </w:tcPr>
          <w:p w14:paraId="1B546126" w14:textId="1015C1D3"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Provides an authoritative or credible basis for reliance on compliance, quality, competence, or performance.</w:t>
            </w:r>
          </w:p>
        </w:tc>
        <w:tc>
          <w:tcPr>
            <w:tcW w:w="3332" w:type="dxa"/>
            <w:vAlign w:val="center"/>
          </w:tcPr>
          <w:p w14:paraId="0F1FAC79" w14:textId="77777777" w:rsidR="003343B5" w:rsidRPr="00356192" w:rsidRDefault="003343B5" w:rsidP="003343B5">
            <w:pPr>
              <w:spacing w:before="30" w:after="30"/>
              <w:rPr>
                <w:rFonts w:asciiTheme="majorBidi" w:hAnsiTheme="majorBidi" w:cstheme="majorBidi"/>
                <w:sz w:val="22"/>
              </w:rPr>
            </w:pPr>
          </w:p>
        </w:tc>
      </w:tr>
      <w:tr w:rsidR="003343B5" w:rsidRPr="00BB24A5" w14:paraId="6D6D691E" w14:textId="77777777" w:rsidTr="00094FA3">
        <w:trPr>
          <w:jc w:val="center"/>
        </w:trPr>
        <w:tc>
          <w:tcPr>
            <w:tcW w:w="2965" w:type="dxa"/>
            <w:vAlign w:val="center"/>
          </w:tcPr>
          <w:p w14:paraId="0092E3E0" w14:textId="2B989C01"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 xml:space="preserve">Conformity Assessment </w:t>
            </w:r>
          </w:p>
        </w:tc>
        <w:tc>
          <w:tcPr>
            <w:tcW w:w="3687" w:type="dxa"/>
          </w:tcPr>
          <w:p w14:paraId="1E3CBCD4" w14:textId="77777777" w:rsidR="003343B5" w:rsidRPr="00356192" w:rsidRDefault="003343B5" w:rsidP="003343B5">
            <w:pPr>
              <w:spacing w:before="30" w:after="30"/>
              <w:rPr>
                <w:rFonts w:asciiTheme="majorBidi" w:hAnsiTheme="majorBidi" w:cstheme="majorBidi"/>
                <w:sz w:val="22"/>
              </w:rPr>
            </w:pPr>
          </w:p>
        </w:tc>
        <w:tc>
          <w:tcPr>
            <w:tcW w:w="3332" w:type="dxa"/>
            <w:vAlign w:val="center"/>
          </w:tcPr>
          <w:p w14:paraId="1B24CA31" w14:textId="77777777" w:rsidR="003343B5" w:rsidRPr="00356192" w:rsidRDefault="003343B5" w:rsidP="003343B5">
            <w:pPr>
              <w:spacing w:before="30" w:after="30"/>
              <w:rPr>
                <w:rFonts w:asciiTheme="majorBidi" w:hAnsiTheme="majorBidi" w:cstheme="majorBidi"/>
                <w:sz w:val="22"/>
              </w:rPr>
            </w:pPr>
          </w:p>
        </w:tc>
      </w:tr>
      <w:tr w:rsidR="003343B5" w14:paraId="3C0099BC" w14:textId="77777777" w:rsidTr="00094FA3">
        <w:tblPrEx>
          <w:jc w:val="left"/>
        </w:tblPrEx>
        <w:tc>
          <w:tcPr>
            <w:tcW w:w="2965" w:type="dxa"/>
          </w:tcPr>
          <w:p w14:paraId="68B16357"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Investigation</w:t>
            </w:r>
          </w:p>
        </w:tc>
        <w:tc>
          <w:tcPr>
            <w:tcW w:w="3690" w:type="dxa"/>
          </w:tcPr>
          <w:p w14:paraId="783CEE13"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Examines suspected violations, failures, risks, or contested facts through systematic fact-finding.</w:t>
            </w:r>
          </w:p>
        </w:tc>
        <w:tc>
          <w:tcPr>
            <w:tcW w:w="3329" w:type="dxa"/>
          </w:tcPr>
          <w:p w14:paraId="54863734"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Statutory inquiry; investigatory power; compulsory information request; inspection following suspected breach.</w:t>
            </w:r>
          </w:p>
        </w:tc>
      </w:tr>
    </w:tbl>
    <w:p w14:paraId="18A02657" w14:textId="10D85CA0" w:rsidR="00356192" w:rsidRDefault="00356192">
      <w:pPr>
        <w:rPr>
          <w:rFonts w:asciiTheme="majorBidi" w:hAnsiTheme="majorBidi" w:cstheme="majorBidi"/>
          <w:sz w:val="24"/>
          <w:szCs w:val="24"/>
        </w:rPr>
      </w:pPr>
    </w:p>
    <w:p w14:paraId="57661BD9" w14:textId="77777777" w:rsidR="00356192" w:rsidRDefault="00356192">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4D38A32A" w14:textId="77777777" w:rsidR="003343B5" w:rsidRDefault="003343B5">
      <w:pPr>
        <w:rPr>
          <w:rFonts w:asciiTheme="majorBidi" w:hAnsiTheme="majorBidi" w:cstheme="majorBidi"/>
          <w:sz w:val="24"/>
          <w:szCs w:val="24"/>
        </w:rPr>
      </w:pPr>
    </w:p>
    <w:p w14:paraId="4E081360" w14:textId="77777777" w:rsidR="0053775A" w:rsidRPr="00656BE6" w:rsidRDefault="0053775A" w:rsidP="0053775A">
      <w:pPr>
        <w:rPr>
          <w:rFonts w:asciiTheme="majorBidi" w:hAnsiTheme="majorBidi" w:cstheme="majorBidi"/>
          <w:b/>
          <w:bCs/>
          <w:sz w:val="24"/>
          <w:szCs w:val="24"/>
        </w:rPr>
      </w:pPr>
      <w:r w:rsidRPr="00656BE6">
        <w:rPr>
          <w:rFonts w:asciiTheme="majorBidi" w:hAnsiTheme="majorBidi" w:cstheme="majorBidi"/>
          <w:b/>
          <w:bCs/>
          <w:sz w:val="24"/>
          <w:szCs w:val="24"/>
        </w:rPr>
        <w:t>3.5 Instruments: the institutional devices through which governance is organized</w:t>
      </w:r>
    </w:p>
    <w:p w14:paraId="26DC2511"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Governance is exercised not only through actors, functions and mechanisms, but also through concrete institutional devices. We refer to these devices as governance instruments. Instruments are legally constituted or legally recognized arrangements through which governing activity is made operational. </w:t>
      </w:r>
      <w:proofErr w:type="spellStart"/>
      <w:r w:rsidRPr="00A46BBD">
        <w:rPr>
          <w:rFonts w:ascii="Times New Roman" w:eastAsia="Times New Roman" w:hAnsi="Times New Roman" w:cs="Times New Roman"/>
          <w:sz w:val="24"/>
          <w:szCs w:val="24"/>
        </w:rPr>
        <w:t>Licences</w:t>
      </w:r>
      <w:proofErr w:type="spellEnd"/>
      <w:r w:rsidRPr="00A46BBD">
        <w:rPr>
          <w:rFonts w:ascii="Times New Roman" w:eastAsia="Times New Roman" w:hAnsi="Times New Roman" w:cs="Times New Roman"/>
          <w:sz w:val="24"/>
          <w:szCs w:val="24"/>
        </w:rPr>
        <w:t>, permits, audits, registries, reporting requirements, certification schemes, disclosure requirements, contracts, standards, accreditation systems, complaints procedures and sanctions are familiar examples. They give institutional form to governing intentions by specifying how authority, information, incentives, oversight or participation are to be organized in practice.</w:t>
      </w:r>
    </w:p>
    <w:p w14:paraId="6686B2D3"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Policy-instrument scholarship has long emphasized that governments rarely act directly upon social outcomes. Instead, they govern through tools that structure the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 xml:space="preserve"> and capacities of public and private actors. Early classifications distinguished instruments according to the resources governments mobilize, such as authority, information, finance and organization (Hood 1983). Later work broadened the analysis from governmental tools to the institutional arrangements through which public purposes are pursued, including grants, contracts, regulation, vouchers, insurance, government corporations and other forms of indirect governance (</w:t>
      </w:r>
      <w:proofErr w:type="spellStart"/>
      <w:r w:rsidRPr="00A46BBD">
        <w:rPr>
          <w:rFonts w:ascii="Times New Roman" w:eastAsia="Times New Roman" w:hAnsi="Times New Roman" w:cs="Times New Roman"/>
          <w:sz w:val="24"/>
          <w:szCs w:val="24"/>
        </w:rPr>
        <w:t>Salamon</w:t>
      </w:r>
      <w:proofErr w:type="spellEnd"/>
      <w:r w:rsidRPr="00A46BBD">
        <w:rPr>
          <w:rFonts w:ascii="Times New Roman" w:eastAsia="Times New Roman" w:hAnsi="Times New Roman" w:cs="Times New Roman"/>
          <w:sz w:val="24"/>
          <w:szCs w:val="24"/>
        </w:rPr>
        <w:t xml:space="preserve"> 2002). Schneider and Ingram (1990) similarly distinguished policy tools according to the </w:t>
      </w:r>
      <w:proofErr w:type="spellStart"/>
      <w:r w:rsidRPr="00A46BBD">
        <w:rPr>
          <w:rFonts w:ascii="Times New Roman" w:eastAsia="Times New Roman" w:hAnsi="Times New Roman" w:cs="Times New Roman"/>
          <w:sz w:val="24"/>
          <w:szCs w:val="24"/>
        </w:rPr>
        <w:t>behavioural</w:t>
      </w:r>
      <w:proofErr w:type="spellEnd"/>
      <w:r w:rsidRPr="00A46BBD">
        <w:rPr>
          <w:rFonts w:ascii="Times New Roman" w:eastAsia="Times New Roman" w:hAnsi="Times New Roman" w:cs="Times New Roman"/>
          <w:sz w:val="24"/>
          <w:szCs w:val="24"/>
        </w:rPr>
        <w:t xml:space="preserve"> assumptions and capacities through which they seek to induce action, while </w:t>
      </w:r>
      <w:proofErr w:type="spellStart"/>
      <w:r w:rsidRPr="00A46BBD">
        <w:rPr>
          <w:rFonts w:ascii="Times New Roman" w:eastAsia="Times New Roman" w:hAnsi="Times New Roman" w:cs="Times New Roman"/>
          <w:sz w:val="24"/>
          <w:szCs w:val="24"/>
        </w:rPr>
        <w:t>Vedung</w:t>
      </w:r>
      <w:proofErr w:type="spellEnd"/>
      <w:r w:rsidRPr="00A46BBD">
        <w:rPr>
          <w:rFonts w:ascii="Times New Roman" w:eastAsia="Times New Roman" w:hAnsi="Times New Roman" w:cs="Times New Roman"/>
          <w:sz w:val="24"/>
          <w:szCs w:val="24"/>
        </w:rPr>
        <w:t xml:space="preserve"> (1998) famously grouped instruments around regulation, economic means and information. More recent policy-design research has stressed that instruments rarely operate in isolation and should instead be understood as components of policy mixes and institutional configurations (Howlett 2010; Howlett and Rayner 2007).</w:t>
      </w:r>
    </w:p>
    <w:p w14:paraId="58872497"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For the present framework, the key point is that instruments are not merely policy choices. They are components of governance architecture. A licensing scheme, for example, establishes more than a substantive requirement. It creates an institutionalized process through which an actor applies for authorization, another actor assesses eligibility, conditions may be imposed, information may be requested, continued compliance may be monitored, and authorization may subsequently be suspended or withdrawn. An audit likewise creates a structured arrangement involving an auditee, an auditor, standards of assessment, information access, reporting, possible follow-up and frequently some relationship to a regulator or beneficiary. Instruments therefore organize actors and relationships as well as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w:t>
      </w:r>
    </w:p>
    <w:p w14:paraId="539389D3"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This understanding builds on </w:t>
      </w:r>
      <w:proofErr w:type="spellStart"/>
      <w:r w:rsidRPr="00A46BBD">
        <w:rPr>
          <w:rFonts w:ascii="Times New Roman" w:eastAsia="Times New Roman" w:hAnsi="Times New Roman" w:cs="Times New Roman"/>
          <w:sz w:val="24"/>
          <w:szCs w:val="24"/>
        </w:rPr>
        <w:t>Lascoumes</w:t>
      </w:r>
      <w:proofErr w:type="spellEnd"/>
      <w:r w:rsidRPr="00A46BBD">
        <w:rPr>
          <w:rFonts w:ascii="Times New Roman" w:eastAsia="Times New Roman" w:hAnsi="Times New Roman" w:cs="Times New Roman"/>
          <w:sz w:val="24"/>
          <w:szCs w:val="24"/>
        </w:rPr>
        <w:t xml:space="preserve"> and Le </w:t>
      </w:r>
      <w:proofErr w:type="spellStart"/>
      <w:r w:rsidRPr="00A46BBD">
        <w:rPr>
          <w:rFonts w:ascii="Times New Roman" w:eastAsia="Times New Roman" w:hAnsi="Times New Roman" w:cs="Times New Roman"/>
          <w:sz w:val="24"/>
          <w:szCs w:val="24"/>
        </w:rPr>
        <w:t>Galès</w:t>
      </w:r>
      <w:proofErr w:type="spellEnd"/>
      <w:r w:rsidRPr="00A46BBD">
        <w:rPr>
          <w:rFonts w:ascii="Times New Roman" w:eastAsia="Times New Roman" w:hAnsi="Times New Roman" w:cs="Times New Roman"/>
          <w:sz w:val="24"/>
          <w:szCs w:val="24"/>
        </w:rPr>
        <w:t>’ (2007) argument that policy instruments are not neutral technical devices but forms of social and political ordering. Instruments embody particular conceptions of the relationship between governing and governed and distribute resources, authority and responsibility among participants. A public inspection regime, a private certification scheme and mandatory self-assessment may all serve a monitoring or assurance function, but they assign governance work to different actors and create different patterns of discretion, dependence and accountability. Instrument choice is therefore constitutive of governance architecture.</w:t>
      </w:r>
    </w:p>
    <w:p w14:paraId="5E1B3CBE"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This is particularly important in contemporary regulation because many governing instruments are themselves organizationally complex. Certification, accreditation, auditing, benchmarking, disclosure and complaints mechanisms frequently enlist third parties rather than operating through a direct regulator–target relationship. As regulatory governance has become increasingly decentralized and </w:t>
      </w:r>
      <w:r w:rsidRPr="00A46BBD">
        <w:rPr>
          <w:rFonts w:ascii="Times New Roman" w:eastAsia="Times New Roman" w:hAnsi="Times New Roman" w:cs="Times New Roman"/>
          <w:sz w:val="24"/>
          <w:szCs w:val="24"/>
        </w:rPr>
        <w:lastRenderedPageBreak/>
        <w:t xml:space="preserve">hybrid, instruments have become vehicles through which regulatory work is distributed among public authorities, firms, professional organizations, intermediaries and beneficiaries (Gunningham, </w:t>
      </w:r>
      <w:proofErr w:type="spellStart"/>
      <w:r w:rsidRPr="00A46BBD">
        <w:rPr>
          <w:rFonts w:ascii="Times New Roman" w:eastAsia="Times New Roman" w:hAnsi="Times New Roman" w:cs="Times New Roman"/>
          <w:sz w:val="24"/>
          <w:szCs w:val="24"/>
        </w:rPr>
        <w:t>Grabosky</w:t>
      </w:r>
      <w:proofErr w:type="spellEnd"/>
      <w:r w:rsidRPr="00A46BBD">
        <w:rPr>
          <w:rFonts w:ascii="Times New Roman" w:eastAsia="Times New Roman" w:hAnsi="Times New Roman" w:cs="Times New Roman"/>
          <w:sz w:val="24"/>
          <w:szCs w:val="24"/>
        </w:rPr>
        <w:t xml:space="preserve"> and Sinclair 1998; Scott 2004; Abbott, Levi-Faur and Snidal 2017). From this perspective, instruments provide one of the principal observable interfaces between legal rules and governance architecture.</w:t>
      </w:r>
    </w:p>
    <w:p w14:paraId="5DDFB7E5" w14:textId="7A00613D" w:rsidR="0053775A" w:rsidRPr="00A46BBD" w:rsidRDefault="0053775A" w:rsidP="0053775A">
      <w:pPr>
        <w:spacing w:before="100" w:beforeAutospacing="1" w:afterAutospacing="1"/>
        <w:outlineLvl w:val="2"/>
        <w:rPr>
          <w:rFonts w:ascii="Times New Roman" w:eastAsia="Times New Roman" w:hAnsi="Times New Roman" w:cs="Times New Roman"/>
          <w:sz w:val="24"/>
          <w:szCs w:val="24"/>
        </w:rPr>
      </w:pPr>
      <w:r w:rsidRPr="00A46BBD">
        <w:rPr>
          <w:rFonts w:ascii="Times New Roman" w:eastAsia="Times New Roman" w:hAnsi="Times New Roman" w:cs="Times New Roman"/>
          <w:b/>
          <w:bCs/>
          <w:sz w:val="27"/>
          <w:szCs w:val="27"/>
        </w:rPr>
        <w:t>Instruments, mechanisms and functions</w:t>
      </w:r>
      <w:r>
        <w:rPr>
          <w:rFonts w:ascii="Times New Roman" w:eastAsia="Times New Roman" w:hAnsi="Times New Roman" w:cs="Times New Roman"/>
          <w:b/>
          <w:bCs/>
          <w:sz w:val="27"/>
          <w:szCs w:val="27"/>
        </w:rPr>
        <w:t xml:space="preserve">: </w:t>
      </w:r>
      <w:r w:rsidRPr="00A46BBD">
        <w:rPr>
          <w:rFonts w:ascii="Times New Roman" w:eastAsia="Times New Roman" w:hAnsi="Times New Roman" w:cs="Times New Roman"/>
          <w:sz w:val="24"/>
          <w:szCs w:val="24"/>
        </w:rPr>
        <w:t>A persistent conceptual difficulty concerns the boundary between instruments and mechanisms. The terms are often used interchangeably in the policy and regulation literatures. “Disclosure,” “auditing,” “licensing,” “monitoring” or “certification,” for example, may variously be described as instruments, mechanisms or regulatory techniques. For purposes of comparative coding, however, an analytical distinction is useful even when empirical boundaries remain imperfect.</w:t>
      </w:r>
    </w:p>
    <w:p w14:paraId="6A9EBD08"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A function identifies the governance work performed. A mechanism identifies the process through which influence, constraint or enablement operates. An instrument identifies the concrete institutional device through which the mechanism is organized. Thus, monitoring is a function when it describes the work of observing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 xml:space="preserve"> or performance; surveillance may constitute a mechanism through which information about that </w:t>
      </w:r>
      <w:proofErr w:type="spellStart"/>
      <w:r w:rsidRPr="00A46BBD">
        <w:rPr>
          <w:rFonts w:ascii="Times New Roman" w:eastAsia="Times New Roman" w:hAnsi="Times New Roman" w:cs="Times New Roman"/>
          <w:sz w:val="24"/>
          <w:szCs w:val="24"/>
        </w:rPr>
        <w:t>behaviour</w:t>
      </w:r>
      <w:proofErr w:type="spellEnd"/>
      <w:r w:rsidRPr="00A46BBD">
        <w:rPr>
          <w:rFonts w:ascii="Times New Roman" w:eastAsia="Times New Roman" w:hAnsi="Times New Roman" w:cs="Times New Roman"/>
          <w:sz w:val="24"/>
          <w:szCs w:val="24"/>
        </w:rPr>
        <w:t xml:space="preserve"> is generated; and an inspection </w:t>
      </w:r>
      <w:proofErr w:type="spellStart"/>
      <w:r w:rsidRPr="00A46BBD">
        <w:rPr>
          <w:rFonts w:ascii="Times New Roman" w:eastAsia="Times New Roman" w:hAnsi="Times New Roman" w:cs="Times New Roman"/>
          <w:sz w:val="24"/>
          <w:szCs w:val="24"/>
        </w:rPr>
        <w:t>programme</w:t>
      </w:r>
      <w:proofErr w:type="spellEnd"/>
      <w:r w:rsidRPr="00A46BBD">
        <w:rPr>
          <w:rFonts w:ascii="Times New Roman" w:eastAsia="Times New Roman" w:hAnsi="Times New Roman" w:cs="Times New Roman"/>
          <w:sz w:val="24"/>
          <w:szCs w:val="24"/>
        </w:rPr>
        <w:t xml:space="preserve"> may be the institutional instrument through which monitoring and surveillance are organized. Similarly, assurance is a function, verification may be the operative mechanism, and certification or auditing may be the instrument through which assurance is institutionalized.</w:t>
      </w:r>
    </w:p>
    <w:p w14:paraId="66C6CADF"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The distinction can be represented as:</w:t>
      </w:r>
    </w:p>
    <w:p w14:paraId="7361CD96" w14:textId="77777777" w:rsidR="0053775A" w:rsidRPr="00A46BBD" w:rsidRDefault="0053775A" w:rsidP="0053775A">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Function = \text{what governance work is performed} \]\[ Mechanism = \text{how influence or control operates} \]\[ Instrument = \text{the institutional device through which it is organized} \]</w:t>
      </w:r>
    </w:p>
    <w:p w14:paraId="0A18E802"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The relationship among these dimensions is not one-to-one. A single instrument may embody several mechanisms and perform several functions. A public registry, for example, may perform an information function while simultaneously activating disclosure, transparency and reputational mechanisms. Certification may combine verification, authorization and reputational mechanisms while performing assurance and monitoring functions. Conversely, the same mechanism may be instantiated through different instruments. Information disclosure may operate through mandatory reports, product labels, public databases or financial statements.</w:t>
      </w:r>
    </w:p>
    <w:p w14:paraId="78895995"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The coding implication is therefore that instruments should not be inferred mechanically from functions or mechanisms. They should be coded separately where the legal text establishes or recognizes a sufficiently distinct institutional device.</w:t>
      </w:r>
    </w:p>
    <w:p w14:paraId="2688987D" w14:textId="5147B860" w:rsidR="0053775A" w:rsidRPr="00A46BBD" w:rsidRDefault="0053775A" w:rsidP="0053775A">
      <w:pPr>
        <w:spacing w:before="100" w:beforeAutospacing="1" w:afterAutospacing="1"/>
        <w:outlineLvl w:val="2"/>
        <w:rPr>
          <w:rFonts w:ascii="Times New Roman" w:eastAsia="Times New Roman" w:hAnsi="Times New Roman" w:cs="Times New Roman"/>
          <w:sz w:val="24"/>
          <w:szCs w:val="24"/>
        </w:rPr>
      </w:pPr>
      <w:r w:rsidRPr="00A46BBD">
        <w:rPr>
          <w:rFonts w:ascii="Times New Roman" w:eastAsia="Times New Roman" w:hAnsi="Times New Roman" w:cs="Times New Roman"/>
          <w:b/>
          <w:bCs/>
          <w:sz w:val="27"/>
          <w:szCs w:val="27"/>
        </w:rPr>
        <w:t>Proposed coding of instruments</w:t>
      </w:r>
      <w:r>
        <w:rPr>
          <w:rFonts w:ascii="Times New Roman" w:eastAsia="Times New Roman" w:hAnsi="Times New Roman" w:cs="Times New Roman"/>
          <w:b/>
          <w:bCs/>
          <w:sz w:val="27"/>
          <w:szCs w:val="27"/>
        </w:rPr>
        <w:t xml:space="preserve">” </w:t>
      </w:r>
      <w:r w:rsidRPr="00A46BBD">
        <w:rPr>
          <w:rFonts w:ascii="Times New Roman" w:eastAsia="Times New Roman" w:hAnsi="Times New Roman" w:cs="Times New Roman"/>
          <w:sz w:val="24"/>
          <w:szCs w:val="24"/>
        </w:rPr>
        <w:t>For relational leximetrics, the most useful approach is to treat instruments as observable characteristics of legally constituted governance relationships rather than as mutually exclusive classifications of whole laws. A law may employ dozens of instruments simultaneously, and the same provision may establish more than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4238"/>
        <w:gridCol w:w="3478"/>
      </w:tblGrid>
      <w:tr w:rsidR="0053775A" w:rsidRPr="00A46BBD" w14:paraId="06F927E6" w14:textId="77777777" w:rsidTr="0053775A">
        <w:trPr>
          <w:tblHeader/>
          <w:tblCellSpacing w:w="15" w:type="dxa"/>
        </w:trPr>
        <w:tc>
          <w:tcPr>
            <w:tcW w:w="0" w:type="auto"/>
            <w:vAlign w:val="center"/>
            <w:hideMark/>
          </w:tcPr>
          <w:p w14:paraId="614EB366" w14:textId="77777777" w:rsidR="0053775A" w:rsidRPr="00A46BBD" w:rsidRDefault="0053775A" w:rsidP="00DA4984">
            <w:pPr>
              <w:jc w:val="center"/>
              <w:rPr>
                <w:rFonts w:ascii="Times New Roman" w:eastAsia="Times New Roman" w:hAnsi="Times New Roman" w:cs="Times New Roman"/>
                <w:b/>
                <w:bCs/>
                <w:sz w:val="24"/>
                <w:szCs w:val="24"/>
              </w:rPr>
            </w:pPr>
            <w:r w:rsidRPr="00A46BBD">
              <w:rPr>
                <w:rFonts w:ascii="Times New Roman" w:eastAsia="Times New Roman" w:hAnsi="Times New Roman" w:cs="Times New Roman"/>
                <w:b/>
                <w:bCs/>
                <w:sz w:val="24"/>
                <w:szCs w:val="24"/>
              </w:rPr>
              <w:t>Instrument family</w:t>
            </w:r>
          </w:p>
        </w:tc>
        <w:tc>
          <w:tcPr>
            <w:tcW w:w="0" w:type="auto"/>
            <w:vAlign w:val="center"/>
            <w:hideMark/>
          </w:tcPr>
          <w:p w14:paraId="23452E8B" w14:textId="77777777" w:rsidR="0053775A" w:rsidRPr="00A46BBD" w:rsidRDefault="0053775A" w:rsidP="00DA4984">
            <w:pPr>
              <w:jc w:val="center"/>
              <w:rPr>
                <w:rFonts w:ascii="Times New Roman" w:eastAsia="Times New Roman" w:hAnsi="Times New Roman" w:cs="Times New Roman"/>
                <w:b/>
                <w:bCs/>
                <w:sz w:val="24"/>
                <w:szCs w:val="24"/>
              </w:rPr>
            </w:pPr>
            <w:r w:rsidRPr="00A46BBD">
              <w:rPr>
                <w:rFonts w:ascii="Times New Roman" w:eastAsia="Times New Roman" w:hAnsi="Times New Roman" w:cs="Times New Roman"/>
                <w:b/>
                <w:bCs/>
                <w:sz w:val="24"/>
                <w:szCs w:val="24"/>
              </w:rPr>
              <w:t>Illustrative devices</w:t>
            </w:r>
          </w:p>
        </w:tc>
        <w:tc>
          <w:tcPr>
            <w:tcW w:w="0" w:type="auto"/>
            <w:vAlign w:val="center"/>
            <w:hideMark/>
          </w:tcPr>
          <w:p w14:paraId="30173FD9" w14:textId="77777777" w:rsidR="0053775A" w:rsidRPr="00A46BBD" w:rsidRDefault="0053775A" w:rsidP="00DA4984">
            <w:pPr>
              <w:jc w:val="center"/>
              <w:rPr>
                <w:rFonts w:ascii="Times New Roman" w:eastAsia="Times New Roman" w:hAnsi="Times New Roman" w:cs="Times New Roman"/>
                <w:b/>
                <w:bCs/>
                <w:sz w:val="24"/>
                <w:szCs w:val="24"/>
              </w:rPr>
            </w:pPr>
            <w:r w:rsidRPr="00A46BBD">
              <w:rPr>
                <w:rFonts w:ascii="Times New Roman" w:eastAsia="Times New Roman" w:hAnsi="Times New Roman" w:cs="Times New Roman"/>
                <w:b/>
                <w:bCs/>
                <w:sz w:val="24"/>
                <w:szCs w:val="24"/>
              </w:rPr>
              <w:t>Typical functions/mechanisms</w:t>
            </w:r>
          </w:p>
        </w:tc>
      </w:tr>
      <w:tr w:rsidR="0053775A" w:rsidRPr="00A46BBD" w14:paraId="5E9DB930" w14:textId="77777777" w:rsidTr="0053775A">
        <w:trPr>
          <w:tblCellSpacing w:w="15" w:type="dxa"/>
        </w:trPr>
        <w:tc>
          <w:tcPr>
            <w:tcW w:w="0" w:type="auto"/>
            <w:vAlign w:val="center"/>
            <w:hideMark/>
          </w:tcPr>
          <w:p w14:paraId="1F7C61A6"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Authorization</w:t>
            </w:r>
          </w:p>
        </w:tc>
        <w:tc>
          <w:tcPr>
            <w:tcW w:w="0" w:type="auto"/>
            <w:vAlign w:val="center"/>
            <w:hideMark/>
          </w:tcPr>
          <w:p w14:paraId="01BACE89" w14:textId="77777777" w:rsidR="0053775A" w:rsidRPr="00A46BBD" w:rsidRDefault="0053775A" w:rsidP="00DA4984">
            <w:pPr>
              <w:rPr>
                <w:rFonts w:ascii="Times New Roman" w:eastAsia="Times New Roman" w:hAnsi="Times New Roman" w:cs="Times New Roman"/>
                <w:sz w:val="24"/>
                <w:szCs w:val="24"/>
              </w:rPr>
            </w:pPr>
            <w:proofErr w:type="spellStart"/>
            <w:r w:rsidRPr="00A46BBD">
              <w:rPr>
                <w:rFonts w:ascii="Times New Roman" w:eastAsia="Times New Roman" w:hAnsi="Times New Roman" w:cs="Times New Roman"/>
                <w:sz w:val="24"/>
                <w:szCs w:val="24"/>
              </w:rPr>
              <w:t>licence</w:t>
            </w:r>
            <w:proofErr w:type="spellEnd"/>
            <w:r w:rsidRPr="00A46BBD">
              <w:rPr>
                <w:rFonts w:ascii="Times New Roman" w:eastAsia="Times New Roman" w:hAnsi="Times New Roman" w:cs="Times New Roman"/>
                <w:sz w:val="24"/>
                <w:szCs w:val="24"/>
              </w:rPr>
              <w:t>, permit, designation, approval</w:t>
            </w:r>
          </w:p>
        </w:tc>
        <w:tc>
          <w:tcPr>
            <w:tcW w:w="0" w:type="auto"/>
            <w:vAlign w:val="center"/>
            <w:hideMark/>
          </w:tcPr>
          <w:p w14:paraId="76921E34"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gatekeeping, authorization</w:t>
            </w:r>
          </w:p>
        </w:tc>
      </w:tr>
      <w:tr w:rsidR="0053775A" w:rsidRPr="00A46BBD" w14:paraId="00B19566" w14:textId="77777777" w:rsidTr="0053775A">
        <w:trPr>
          <w:tblCellSpacing w:w="15" w:type="dxa"/>
        </w:trPr>
        <w:tc>
          <w:tcPr>
            <w:tcW w:w="0" w:type="auto"/>
            <w:vAlign w:val="center"/>
            <w:hideMark/>
          </w:tcPr>
          <w:p w14:paraId="63D6406D"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lastRenderedPageBreak/>
              <w:t>Registration</w:t>
            </w:r>
          </w:p>
        </w:tc>
        <w:tc>
          <w:tcPr>
            <w:tcW w:w="0" w:type="auto"/>
            <w:vAlign w:val="center"/>
            <w:hideMark/>
          </w:tcPr>
          <w:p w14:paraId="2D727535"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registry, enrolment, notification system</w:t>
            </w:r>
          </w:p>
        </w:tc>
        <w:tc>
          <w:tcPr>
            <w:tcW w:w="0" w:type="auto"/>
            <w:vAlign w:val="center"/>
            <w:hideMark/>
          </w:tcPr>
          <w:p w14:paraId="1B074367"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information, identification, market entry</w:t>
            </w:r>
          </w:p>
        </w:tc>
      </w:tr>
      <w:tr w:rsidR="0053775A" w:rsidRPr="00A46BBD" w14:paraId="42B0824A" w14:textId="77777777" w:rsidTr="0053775A">
        <w:trPr>
          <w:tblCellSpacing w:w="15" w:type="dxa"/>
        </w:trPr>
        <w:tc>
          <w:tcPr>
            <w:tcW w:w="0" w:type="auto"/>
            <w:vAlign w:val="center"/>
            <w:hideMark/>
          </w:tcPr>
          <w:p w14:paraId="37BD0867"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Information</w:t>
            </w:r>
          </w:p>
        </w:tc>
        <w:tc>
          <w:tcPr>
            <w:tcW w:w="0" w:type="auto"/>
            <w:vAlign w:val="center"/>
            <w:hideMark/>
          </w:tcPr>
          <w:p w14:paraId="69F8208C"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mandatory report, disclosure statement, database, label</w:t>
            </w:r>
          </w:p>
        </w:tc>
        <w:tc>
          <w:tcPr>
            <w:tcW w:w="0" w:type="auto"/>
            <w:vAlign w:val="center"/>
            <w:hideMark/>
          </w:tcPr>
          <w:p w14:paraId="6F058AF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information provision, transparency</w:t>
            </w:r>
          </w:p>
        </w:tc>
      </w:tr>
      <w:tr w:rsidR="0053775A" w:rsidRPr="00A46BBD" w14:paraId="6DB66222" w14:textId="77777777" w:rsidTr="0053775A">
        <w:trPr>
          <w:tblCellSpacing w:w="15" w:type="dxa"/>
        </w:trPr>
        <w:tc>
          <w:tcPr>
            <w:tcW w:w="0" w:type="auto"/>
            <w:vAlign w:val="center"/>
            <w:hideMark/>
          </w:tcPr>
          <w:p w14:paraId="08832E06"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Monitoring</w:t>
            </w:r>
          </w:p>
        </w:tc>
        <w:tc>
          <w:tcPr>
            <w:tcW w:w="0" w:type="auto"/>
            <w:vAlign w:val="center"/>
            <w:hideMark/>
          </w:tcPr>
          <w:p w14:paraId="2B894731"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inspection, surveillance system, compliance review</w:t>
            </w:r>
          </w:p>
        </w:tc>
        <w:tc>
          <w:tcPr>
            <w:tcW w:w="0" w:type="auto"/>
            <w:vAlign w:val="center"/>
            <w:hideMark/>
          </w:tcPr>
          <w:p w14:paraId="4C7CE051"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observation, detection</w:t>
            </w:r>
          </w:p>
        </w:tc>
      </w:tr>
      <w:tr w:rsidR="0053775A" w:rsidRPr="00A46BBD" w14:paraId="5959E816" w14:textId="77777777" w:rsidTr="0053775A">
        <w:trPr>
          <w:tblCellSpacing w:w="15" w:type="dxa"/>
        </w:trPr>
        <w:tc>
          <w:tcPr>
            <w:tcW w:w="0" w:type="auto"/>
            <w:vAlign w:val="center"/>
            <w:hideMark/>
          </w:tcPr>
          <w:p w14:paraId="08DFA2F9"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Verification/assurance</w:t>
            </w:r>
          </w:p>
        </w:tc>
        <w:tc>
          <w:tcPr>
            <w:tcW w:w="0" w:type="auto"/>
            <w:vAlign w:val="center"/>
            <w:hideMark/>
          </w:tcPr>
          <w:p w14:paraId="067BDE3C"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audit, certification, conformity assessment</w:t>
            </w:r>
          </w:p>
        </w:tc>
        <w:tc>
          <w:tcPr>
            <w:tcW w:w="0" w:type="auto"/>
            <w:vAlign w:val="center"/>
            <w:hideMark/>
          </w:tcPr>
          <w:p w14:paraId="59096AFA"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verification, assurance</w:t>
            </w:r>
          </w:p>
        </w:tc>
      </w:tr>
      <w:tr w:rsidR="0053775A" w:rsidRPr="00A46BBD" w14:paraId="1FBBE55B" w14:textId="77777777" w:rsidTr="0053775A">
        <w:trPr>
          <w:tblCellSpacing w:w="15" w:type="dxa"/>
        </w:trPr>
        <w:tc>
          <w:tcPr>
            <w:tcW w:w="0" w:type="auto"/>
            <w:vAlign w:val="center"/>
            <w:hideMark/>
          </w:tcPr>
          <w:p w14:paraId="69298A14"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Standardization</w:t>
            </w:r>
          </w:p>
        </w:tc>
        <w:tc>
          <w:tcPr>
            <w:tcW w:w="0" w:type="auto"/>
            <w:vAlign w:val="center"/>
            <w:hideMark/>
          </w:tcPr>
          <w:p w14:paraId="79A3054B"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technical standard, code, benchmark</w:t>
            </w:r>
          </w:p>
        </w:tc>
        <w:tc>
          <w:tcPr>
            <w:tcW w:w="0" w:type="auto"/>
            <w:vAlign w:val="center"/>
            <w:hideMark/>
          </w:tcPr>
          <w:p w14:paraId="7E0EFAE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specification, coordination</w:t>
            </w:r>
          </w:p>
        </w:tc>
      </w:tr>
      <w:tr w:rsidR="0053775A" w:rsidRPr="00A46BBD" w14:paraId="655E91D4" w14:textId="77777777" w:rsidTr="0053775A">
        <w:trPr>
          <w:tblCellSpacing w:w="15" w:type="dxa"/>
        </w:trPr>
        <w:tc>
          <w:tcPr>
            <w:tcW w:w="0" w:type="auto"/>
            <w:vAlign w:val="center"/>
            <w:hideMark/>
          </w:tcPr>
          <w:p w14:paraId="065A9686"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Contractual</w:t>
            </w:r>
          </w:p>
        </w:tc>
        <w:tc>
          <w:tcPr>
            <w:tcW w:w="0" w:type="auto"/>
            <w:vAlign w:val="center"/>
            <w:hideMark/>
          </w:tcPr>
          <w:p w14:paraId="5C4D4A9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concession, procurement contract, regulatory agreement</w:t>
            </w:r>
          </w:p>
        </w:tc>
        <w:tc>
          <w:tcPr>
            <w:tcW w:w="0" w:type="auto"/>
            <w:vAlign w:val="center"/>
            <w:hideMark/>
          </w:tcPr>
          <w:p w14:paraId="1C32D693"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exchange, conditionality</w:t>
            </w:r>
          </w:p>
        </w:tc>
      </w:tr>
      <w:tr w:rsidR="0053775A" w:rsidRPr="00A46BBD" w14:paraId="28F56B02" w14:textId="77777777" w:rsidTr="0053775A">
        <w:trPr>
          <w:tblCellSpacing w:w="15" w:type="dxa"/>
        </w:trPr>
        <w:tc>
          <w:tcPr>
            <w:tcW w:w="0" w:type="auto"/>
            <w:vAlign w:val="center"/>
            <w:hideMark/>
          </w:tcPr>
          <w:p w14:paraId="780D5657"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Economic</w:t>
            </w:r>
          </w:p>
        </w:tc>
        <w:tc>
          <w:tcPr>
            <w:tcW w:w="0" w:type="auto"/>
            <w:vAlign w:val="center"/>
            <w:hideMark/>
          </w:tcPr>
          <w:p w14:paraId="32B65020"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tax, subsidy, fee, tradable entitlement</w:t>
            </w:r>
          </w:p>
        </w:tc>
        <w:tc>
          <w:tcPr>
            <w:tcW w:w="0" w:type="auto"/>
            <w:vAlign w:val="center"/>
            <w:hideMark/>
          </w:tcPr>
          <w:p w14:paraId="172CB3AB"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incentive</w:t>
            </w:r>
          </w:p>
        </w:tc>
      </w:tr>
      <w:tr w:rsidR="0053775A" w:rsidRPr="00A46BBD" w14:paraId="6B4F126A" w14:textId="77777777" w:rsidTr="0053775A">
        <w:trPr>
          <w:tblCellSpacing w:w="15" w:type="dxa"/>
        </w:trPr>
        <w:tc>
          <w:tcPr>
            <w:tcW w:w="0" w:type="auto"/>
            <w:vAlign w:val="center"/>
            <w:hideMark/>
          </w:tcPr>
          <w:p w14:paraId="6A16F4EE"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Participatory</w:t>
            </w:r>
          </w:p>
        </w:tc>
        <w:tc>
          <w:tcPr>
            <w:tcW w:w="0" w:type="auto"/>
            <w:vAlign w:val="center"/>
            <w:hideMark/>
          </w:tcPr>
          <w:p w14:paraId="0DBF3A10"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consultation, advisory body, representation procedure</w:t>
            </w:r>
          </w:p>
        </w:tc>
        <w:tc>
          <w:tcPr>
            <w:tcW w:w="0" w:type="auto"/>
            <w:vAlign w:val="center"/>
            <w:hideMark/>
          </w:tcPr>
          <w:p w14:paraId="7C2324FE"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participation, representation</w:t>
            </w:r>
          </w:p>
        </w:tc>
      </w:tr>
      <w:tr w:rsidR="0053775A" w:rsidRPr="00A46BBD" w14:paraId="075276AC" w14:textId="77777777" w:rsidTr="0053775A">
        <w:trPr>
          <w:tblCellSpacing w:w="15" w:type="dxa"/>
        </w:trPr>
        <w:tc>
          <w:tcPr>
            <w:tcW w:w="0" w:type="auto"/>
            <w:vAlign w:val="center"/>
            <w:hideMark/>
          </w:tcPr>
          <w:p w14:paraId="53826D4F"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Accountability/redress</w:t>
            </w:r>
          </w:p>
        </w:tc>
        <w:tc>
          <w:tcPr>
            <w:tcW w:w="0" w:type="auto"/>
            <w:vAlign w:val="center"/>
            <w:hideMark/>
          </w:tcPr>
          <w:p w14:paraId="4DA852D4"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complaint procedure, appeal, review, ombuds process</w:t>
            </w:r>
          </w:p>
        </w:tc>
        <w:tc>
          <w:tcPr>
            <w:tcW w:w="0" w:type="auto"/>
            <w:vAlign w:val="center"/>
            <w:hideMark/>
          </w:tcPr>
          <w:p w14:paraId="4D7E74C5"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answerability, contestation, remedy</w:t>
            </w:r>
          </w:p>
        </w:tc>
      </w:tr>
      <w:tr w:rsidR="0053775A" w:rsidRPr="00A46BBD" w14:paraId="47C17557" w14:textId="77777777" w:rsidTr="0053775A">
        <w:trPr>
          <w:tblCellSpacing w:w="15" w:type="dxa"/>
        </w:trPr>
        <w:tc>
          <w:tcPr>
            <w:tcW w:w="0" w:type="auto"/>
            <w:vAlign w:val="center"/>
            <w:hideMark/>
          </w:tcPr>
          <w:p w14:paraId="019F5471"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Enforcement</w:t>
            </w:r>
          </w:p>
        </w:tc>
        <w:tc>
          <w:tcPr>
            <w:tcW w:w="0" w:type="auto"/>
            <w:vAlign w:val="center"/>
            <w:hideMark/>
          </w:tcPr>
          <w:p w14:paraId="5877301E"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fine, suspension, withdrawal, corrective order</w:t>
            </w:r>
          </w:p>
        </w:tc>
        <w:tc>
          <w:tcPr>
            <w:tcW w:w="0" w:type="auto"/>
            <w:vAlign w:val="center"/>
            <w:hideMark/>
          </w:tcPr>
          <w:p w14:paraId="6F7DCA29"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coercion, sanction</w:t>
            </w:r>
          </w:p>
        </w:tc>
      </w:tr>
      <w:tr w:rsidR="0053775A" w:rsidRPr="00A46BBD" w14:paraId="3DFFE710" w14:textId="77777777" w:rsidTr="0053775A">
        <w:trPr>
          <w:tblCellSpacing w:w="15" w:type="dxa"/>
        </w:trPr>
        <w:tc>
          <w:tcPr>
            <w:tcW w:w="0" w:type="auto"/>
            <w:vAlign w:val="center"/>
            <w:hideMark/>
          </w:tcPr>
          <w:p w14:paraId="63BF5A8D"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Risk-transfer</w:t>
            </w:r>
          </w:p>
        </w:tc>
        <w:tc>
          <w:tcPr>
            <w:tcW w:w="0" w:type="auto"/>
            <w:vAlign w:val="center"/>
            <w:hideMark/>
          </w:tcPr>
          <w:p w14:paraId="3F01CC28"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insurance, guarantee, financial security</w:t>
            </w:r>
          </w:p>
        </w:tc>
        <w:tc>
          <w:tcPr>
            <w:tcW w:w="0" w:type="auto"/>
            <w:vAlign w:val="center"/>
            <w:hideMark/>
          </w:tcPr>
          <w:p w14:paraId="4301FAD0" w14:textId="77777777" w:rsidR="0053775A" w:rsidRPr="00A46BBD" w:rsidRDefault="0053775A" w:rsidP="00DA4984">
            <w:pPr>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risk allocation, assurance</w:t>
            </w:r>
          </w:p>
        </w:tc>
      </w:tr>
    </w:tbl>
    <w:p w14:paraId="26112AE5" w14:textId="12880CE3" w:rsidR="0053775A" w:rsidRPr="00A46BBD" w:rsidRDefault="0053775A" w:rsidP="0053775A">
      <w:pPr>
        <w:spacing w:before="100" w:beforeAutospacing="1" w:afterAutospacing="1" w:line="276" w:lineRule="auto"/>
        <w:jc w:val="both"/>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Such a classification should remain deliberately open to refinement. The objective is not to establish a universal and exhaustive instrument taxonomy but to create categories sufficiently stable for comparison while preserving the possibility of more detailed domain-specific coding. Different regulatory sectors may rely on distinctive instruments: environmental governance may employ emissions permits and trading schemes; financial governance may employ capital requirements and stress tests; digital governance may rely heavily on risk assessments, transparency reporting, trusted flaggers, conformity assessments or codes of conduct.</w:t>
      </w:r>
      <w:r>
        <w:rPr>
          <w:rFonts w:ascii="Times New Roman" w:eastAsia="Times New Roman" w:hAnsi="Times New Roman" w:cs="Times New Roman"/>
          <w:sz w:val="24"/>
          <w:szCs w:val="24"/>
        </w:rPr>
        <w:t xml:space="preserve"> </w:t>
      </w:r>
      <w:r w:rsidRPr="00A46BBD">
        <w:rPr>
          <w:rFonts w:ascii="Times New Roman" w:eastAsia="Times New Roman" w:hAnsi="Times New Roman" w:cs="Times New Roman"/>
          <w:sz w:val="24"/>
          <w:szCs w:val="24"/>
        </w:rPr>
        <w:t>The crucial requirement is vertical traceability. Every coded instrument should remain linked to the provision or provisions establishing it and, where possible, to the actors and relationships through which it operates. This makes it possible to distinguish, for example, between an audit performed internally by a regulated firm, an audit conducted by an independent private intermediary, and an inspection undertaken directly by a public authority. The nominal instrument may appear similar, while its governance architecture differs substantially.</w:t>
      </w:r>
    </w:p>
    <w:p w14:paraId="2B1D135E" w14:textId="109C7155" w:rsidR="0053775A" w:rsidRPr="00A46BBD" w:rsidRDefault="0053775A" w:rsidP="0053775A">
      <w:pPr>
        <w:spacing w:before="100" w:beforeAutospacing="1" w:afterAutospacing="1"/>
        <w:jc w:val="both"/>
        <w:outlineLvl w:val="2"/>
        <w:rPr>
          <w:rFonts w:ascii="Times New Roman" w:eastAsia="Times New Roman" w:hAnsi="Times New Roman" w:cs="Times New Roman"/>
          <w:sz w:val="24"/>
          <w:szCs w:val="24"/>
        </w:rPr>
      </w:pPr>
      <w:r w:rsidRPr="00A46BBD">
        <w:rPr>
          <w:rFonts w:ascii="Times New Roman" w:eastAsia="Times New Roman" w:hAnsi="Times New Roman" w:cs="Times New Roman"/>
          <w:b/>
          <w:bCs/>
          <w:sz w:val="27"/>
          <w:szCs w:val="27"/>
        </w:rPr>
        <w:t>Instruments as building blocks of architectures</w:t>
      </w:r>
      <w:r>
        <w:rPr>
          <w:rFonts w:ascii="Times New Roman" w:eastAsia="Times New Roman" w:hAnsi="Times New Roman" w:cs="Times New Roman"/>
          <w:b/>
          <w:bCs/>
          <w:sz w:val="27"/>
          <w:szCs w:val="27"/>
        </w:rPr>
        <w:t xml:space="preserve">: </w:t>
      </w:r>
      <w:r w:rsidRPr="00A46BBD">
        <w:rPr>
          <w:rFonts w:ascii="Times New Roman" w:eastAsia="Times New Roman" w:hAnsi="Times New Roman" w:cs="Times New Roman"/>
          <w:sz w:val="24"/>
          <w:szCs w:val="24"/>
        </w:rPr>
        <w:t xml:space="preserve">Instrument coding becomes most useful when instruments are analyzed configurationally rather than as isolated frequencies. Counting </w:t>
      </w:r>
      <w:proofErr w:type="spellStart"/>
      <w:r w:rsidRPr="00A46BBD">
        <w:rPr>
          <w:rFonts w:ascii="Times New Roman" w:eastAsia="Times New Roman" w:hAnsi="Times New Roman" w:cs="Times New Roman"/>
          <w:sz w:val="24"/>
          <w:szCs w:val="24"/>
        </w:rPr>
        <w:t>licences</w:t>
      </w:r>
      <w:proofErr w:type="spellEnd"/>
      <w:r w:rsidRPr="00A46BBD">
        <w:rPr>
          <w:rFonts w:ascii="Times New Roman" w:eastAsia="Times New Roman" w:hAnsi="Times New Roman" w:cs="Times New Roman"/>
          <w:sz w:val="24"/>
          <w:szCs w:val="24"/>
        </w:rPr>
        <w:t>, audits or reporting requirements can reveal the prevalence of particular regulatory devices, but governance architecture depends upon how those instruments are combined and who operates them.</w:t>
      </w:r>
      <w:r>
        <w:rPr>
          <w:rFonts w:ascii="Times New Roman" w:eastAsia="Times New Roman" w:hAnsi="Times New Roman" w:cs="Times New Roman"/>
          <w:sz w:val="24"/>
          <w:szCs w:val="24"/>
        </w:rPr>
        <w:t xml:space="preserve"> </w:t>
      </w:r>
      <w:r w:rsidRPr="00A46BBD">
        <w:rPr>
          <w:rFonts w:ascii="Times New Roman" w:eastAsia="Times New Roman" w:hAnsi="Times New Roman" w:cs="Times New Roman"/>
          <w:sz w:val="24"/>
          <w:szCs w:val="24"/>
        </w:rPr>
        <w:t xml:space="preserve">Consider two legal regimes that both rely heavily upon auditing. In one, audits are conducted directly by a state </w:t>
      </w:r>
      <w:r w:rsidRPr="00A46BBD">
        <w:rPr>
          <w:rFonts w:ascii="Times New Roman" w:eastAsia="Times New Roman" w:hAnsi="Times New Roman" w:cs="Times New Roman"/>
          <w:sz w:val="24"/>
          <w:szCs w:val="24"/>
        </w:rPr>
        <w:lastRenderedPageBreak/>
        <w:t>inspectorate and feed into hierarchical enforcement. In another, audits are performed by accredited private bodies whose findings determine market access and are themselves subject to public supervision. The same nominal instrument is embedded in different relationships and consequently contributes to different architectures.</w:t>
      </w:r>
      <w:r>
        <w:rPr>
          <w:rFonts w:ascii="Times New Roman" w:eastAsia="Times New Roman" w:hAnsi="Times New Roman" w:cs="Times New Roman"/>
          <w:sz w:val="24"/>
          <w:szCs w:val="24"/>
        </w:rPr>
        <w:t xml:space="preserve"> </w:t>
      </w:r>
      <w:r w:rsidRPr="00A46BBD">
        <w:rPr>
          <w:rFonts w:ascii="Times New Roman" w:eastAsia="Times New Roman" w:hAnsi="Times New Roman" w:cs="Times New Roman"/>
          <w:sz w:val="24"/>
          <w:szCs w:val="24"/>
        </w:rPr>
        <w:t>This also means that instruments can serve as important intermediate units of aggregation. They are more concrete than regulatory strategies or governance architectures but often more institutionally consequential than individual legal statements. Identifying recurrent combinations of instruments may therefore help reveal characteristic governance arrangements—for example, accreditation–certification chains, registration–reporting systems, self-assessment–audit systems, or licensing–inspection–sanction sequences.</w:t>
      </w:r>
    </w:p>
    <w:p w14:paraId="157CCD8D" w14:textId="77777777" w:rsidR="0053775A" w:rsidRPr="00A46BBD" w:rsidRDefault="0053775A" w:rsidP="0053775A">
      <w:pPr>
        <w:spacing w:before="100" w:beforeAutospacing="1" w:afterAutospacing="1"/>
        <w:jc w:val="both"/>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Instrument analysis thus adds an important layer to relational leximetrics. It allows the researcher to identify not only who governs whom and through what form of influence, but through which institutional technologies governance is made operational. In doing so, it connects the traditional policy-instruments literature with the broader analysis of law as an architecture for organizing governance.</w:t>
      </w:r>
    </w:p>
    <w:p w14:paraId="5068B6DA" w14:textId="77777777" w:rsidR="0053775A" w:rsidRDefault="0053775A" w:rsidP="0036629B">
      <w:pPr>
        <w:rPr>
          <w:rFonts w:asciiTheme="majorBidi" w:hAnsiTheme="majorBidi" w:cstheme="majorBidi"/>
          <w:b/>
          <w:bCs/>
          <w:sz w:val="24"/>
          <w:szCs w:val="24"/>
        </w:rPr>
      </w:pPr>
    </w:p>
    <w:p w14:paraId="7626EABC" w14:textId="77777777" w:rsidR="0053775A" w:rsidRDefault="0053775A" w:rsidP="0036629B">
      <w:pPr>
        <w:rPr>
          <w:rFonts w:asciiTheme="majorBidi" w:hAnsiTheme="majorBidi" w:cstheme="majorBidi"/>
          <w:b/>
          <w:bCs/>
          <w:sz w:val="24"/>
          <w:szCs w:val="24"/>
        </w:rPr>
      </w:pPr>
    </w:p>
    <w:p w14:paraId="6E4E423F" w14:textId="5C3B9DF0" w:rsidR="00094FA3" w:rsidRDefault="00094FA3" w:rsidP="0036629B">
      <w:pPr>
        <w:rPr>
          <w:rFonts w:asciiTheme="majorBidi" w:hAnsiTheme="majorBidi" w:cstheme="majorBidi"/>
          <w:b/>
          <w:bCs/>
          <w:sz w:val="24"/>
          <w:szCs w:val="24"/>
        </w:rPr>
      </w:pPr>
      <w:r>
        <w:rPr>
          <w:rFonts w:asciiTheme="majorBidi" w:hAnsiTheme="majorBidi" w:cstheme="majorBidi"/>
          <w:b/>
          <w:bCs/>
          <w:sz w:val="24"/>
          <w:szCs w:val="24"/>
        </w:rPr>
        <w:t>3.</w:t>
      </w:r>
      <w:r w:rsidR="0053775A">
        <w:rPr>
          <w:rFonts w:asciiTheme="majorBidi" w:hAnsiTheme="majorBidi" w:cstheme="majorBidi"/>
          <w:b/>
          <w:bCs/>
          <w:sz w:val="24"/>
          <w:szCs w:val="24"/>
        </w:rPr>
        <w:t>6</w:t>
      </w:r>
      <w:r>
        <w:rPr>
          <w:rFonts w:asciiTheme="majorBidi" w:hAnsiTheme="majorBidi" w:cstheme="majorBidi"/>
          <w:b/>
          <w:bCs/>
          <w:sz w:val="24"/>
          <w:szCs w:val="24"/>
        </w:rPr>
        <w:t>. Relationships</w:t>
      </w:r>
    </w:p>
    <w:p w14:paraId="54A73191" w14:textId="336A4DA8" w:rsidR="00094FA3" w:rsidRDefault="00094FA3" w:rsidP="00094FA3">
      <w:pPr>
        <w:pStyle w:val="NormalWeb"/>
        <w:spacing w:line="360" w:lineRule="auto"/>
        <w:jc w:val="both"/>
      </w:pPr>
      <w:r>
        <w:rPr>
          <w:rStyle w:val="Strong"/>
        </w:rPr>
        <w:t>Relationships</w:t>
      </w:r>
      <w:r>
        <w:t xml:space="preserve"> are the legally constituted connections between two or more actors through which authority, obligations, information, resources, oversight, accountability, representation, or other forms of governance are exercised. A relationship specifies not simply that actors participate in governance, but </w:t>
      </w:r>
      <w:r w:rsidRPr="00094FA3">
        <w:rPr>
          <w:rStyle w:val="Strong"/>
          <w:b w:val="0"/>
          <w:bCs w:val="0"/>
        </w:rPr>
        <w:t>how Actor A is institutionally connected to Actor B</w:t>
      </w:r>
      <w:r>
        <w:t xml:space="preserve">. Relationships are therefore directional and relational: a regulator may authorize a verifier, a firm may report to a regulator, an auditor may verify a firm's claims, a court may review an agency's decision, or an association may represent its members. The same actor can consequently occupy different governance positions across different relationships. This distinction is central to relational leximetrics because governance architecture is constituted not by the presence of particular actors alone, but by the </w:t>
      </w:r>
      <w:r w:rsidRPr="00094FA3">
        <w:rPr>
          <w:rStyle w:val="Strong"/>
          <w:b w:val="0"/>
          <w:bCs w:val="0"/>
        </w:rPr>
        <w:t>pattern of relationships connecting them</w:t>
      </w:r>
      <w:r>
        <w:t xml:space="preserve">. This develops the relational premise already stated in the paper: actors do not possess fixed governance identities; their governance position depends on the particular legally constituted relationship in which they participate.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666"/>
        <w:gridCol w:w="2557"/>
        <w:gridCol w:w="1673"/>
      </w:tblGrid>
      <w:tr w:rsidR="00094FA3" w14:paraId="7EE75CA7" w14:textId="77777777" w:rsidTr="00094FA3">
        <w:trPr>
          <w:tblHeader/>
          <w:tblCellSpacing w:w="15" w:type="dxa"/>
        </w:trPr>
        <w:tc>
          <w:tcPr>
            <w:tcW w:w="0" w:type="auto"/>
            <w:vAlign w:val="center"/>
            <w:hideMark/>
          </w:tcPr>
          <w:p w14:paraId="3483733D"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Relationship</w:t>
            </w:r>
          </w:p>
        </w:tc>
        <w:tc>
          <w:tcPr>
            <w:tcW w:w="0" w:type="auto"/>
            <w:vAlign w:val="center"/>
            <w:hideMark/>
          </w:tcPr>
          <w:p w14:paraId="31E8B63D"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Core relation</w:t>
            </w:r>
          </w:p>
        </w:tc>
        <w:tc>
          <w:tcPr>
            <w:tcW w:w="0" w:type="auto"/>
            <w:vAlign w:val="center"/>
            <w:hideMark/>
          </w:tcPr>
          <w:p w14:paraId="47A41C26"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Typical legal expression</w:t>
            </w:r>
          </w:p>
        </w:tc>
        <w:tc>
          <w:tcPr>
            <w:tcW w:w="0" w:type="auto"/>
            <w:vAlign w:val="center"/>
            <w:hideMark/>
          </w:tcPr>
          <w:p w14:paraId="7DD8BD69"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Illustration</w:t>
            </w:r>
          </w:p>
        </w:tc>
      </w:tr>
      <w:tr w:rsidR="00094FA3" w14:paraId="7F16FAD2" w14:textId="77777777" w:rsidTr="00094FA3">
        <w:trPr>
          <w:tblCellSpacing w:w="15" w:type="dxa"/>
        </w:trPr>
        <w:tc>
          <w:tcPr>
            <w:tcW w:w="0" w:type="auto"/>
            <w:vAlign w:val="center"/>
            <w:hideMark/>
          </w:tcPr>
          <w:p w14:paraId="0CDA6816"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Authority / control</w:t>
            </w:r>
          </w:p>
        </w:tc>
        <w:tc>
          <w:tcPr>
            <w:tcW w:w="0" w:type="auto"/>
            <w:vAlign w:val="center"/>
            <w:hideMark/>
          </w:tcPr>
          <w:p w14:paraId="31D7B962"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has legal power to direct or constrain B</w:t>
            </w:r>
          </w:p>
        </w:tc>
        <w:tc>
          <w:tcPr>
            <w:tcW w:w="0" w:type="auto"/>
            <w:vAlign w:val="center"/>
            <w:hideMark/>
          </w:tcPr>
          <w:p w14:paraId="3BEFB09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command, prohibition, binding decision</w:t>
            </w:r>
          </w:p>
        </w:tc>
        <w:tc>
          <w:tcPr>
            <w:tcW w:w="0" w:type="auto"/>
            <w:vAlign w:val="center"/>
            <w:hideMark/>
          </w:tcPr>
          <w:p w14:paraId="7555FEA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firm</w:t>
            </w:r>
          </w:p>
        </w:tc>
      </w:tr>
      <w:tr w:rsidR="00094FA3" w14:paraId="56D8051A" w14:textId="77777777" w:rsidTr="00094FA3">
        <w:trPr>
          <w:tblCellSpacing w:w="15" w:type="dxa"/>
        </w:trPr>
        <w:tc>
          <w:tcPr>
            <w:tcW w:w="0" w:type="auto"/>
            <w:vAlign w:val="center"/>
            <w:hideMark/>
          </w:tcPr>
          <w:p w14:paraId="2FA1464C"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Delegation / authorization</w:t>
            </w:r>
          </w:p>
        </w:tc>
        <w:tc>
          <w:tcPr>
            <w:tcW w:w="0" w:type="auto"/>
            <w:vAlign w:val="center"/>
            <w:hideMark/>
          </w:tcPr>
          <w:p w14:paraId="59129CC3"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empowers B to exercise specified authority or functions</w:t>
            </w:r>
          </w:p>
        </w:tc>
        <w:tc>
          <w:tcPr>
            <w:tcW w:w="0" w:type="auto"/>
            <w:vAlign w:val="center"/>
            <w:hideMark/>
          </w:tcPr>
          <w:p w14:paraId="3A14C5C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delegation, mandate, designation</w:t>
            </w:r>
          </w:p>
        </w:tc>
        <w:tc>
          <w:tcPr>
            <w:tcW w:w="0" w:type="auto"/>
            <w:vAlign w:val="center"/>
            <w:hideMark/>
          </w:tcPr>
          <w:p w14:paraId="49F4FE99"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ministry → agency</w:t>
            </w:r>
          </w:p>
        </w:tc>
      </w:tr>
      <w:tr w:rsidR="00094FA3" w14:paraId="144CAF61" w14:textId="77777777" w:rsidTr="00094FA3">
        <w:trPr>
          <w:tblCellSpacing w:w="15" w:type="dxa"/>
        </w:trPr>
        <w:tc>
          <w:tcPr>
            <w:tcW w:w="0" w:type="auto"/>
            <w:vAlign w:val="center"/>
            <w:hideMark/>
          </w:tcPr>
          <w:p w14:paraId="3848A843"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Oversight / supervision</w:t>
            </w:r>
          </w:p>
        </w:tc>
        <w:tc>
          <w:tcPr>
            <w:tcW w:w="0" w:type="auto"/>
            <w:vAlign w:val="center"/>
            <w:hideMark/>
          </w:tcPr>
          <w:p w14:paraId="566BE8CE"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monitors or controls B's exercise of functions</w:t>
            </w:r>
          </w:p>
        </w:tc>
        <w:tc>
          <w:tcPr>
            <w:tcW w:w="0" w:type="auto"/>
            <w:vAlign w:val="center"/>
            <w:hideMark/>
          </w:tcPr>
          <w:p w14:paraId="04CF183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supervision, inspection, approval</w:t>
            </w:r>
          </w:p>
        </w:tc>
        <w:tc>
          <w:tcPr>
            <w:tcW w:w="0" w:type="auto"/>
            <w:vAlign w:val="center"/>
            <w:hideMark/>
          </w:tcPr>
          <w:p w14:paraId="17E055EA"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intermediary</w:t>
            </w:r>
          </w:p>
        </w:tc>
      </w:tr>
      <w:tr w:rsidR="00094FA3" w14:paraId="3CDAB874" w14:textId="77777777" w:rsidTr="00094FA3">
        <w:trPr>
          <w:tblCellSpacing w:w="15" w:type="dxa"/>
        </w:trPr>
        <w:tc>
          <w:tcPr>
            <w:tcW w:w="0" w:type="auto"/>
            <w:vAlign w:val="center"/>
            <w:hideMark/>
          </w:tcPr>
          <w:p w14:paraId="5CF0C6A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lastRenderedPageBreak/>
              <w:t>Accountability</w:t>
            </w:r>
          </w:p>
        </w:tc>
        <w:tc>
          <w:tcPr>
            <w:tcW w:w="0" w:type="auto"/>
            <w:vAlign w:val="center"/>
            <w:hideMark/>
          </w:tcPr>
          <w:p w14:paraId="1C01A0CE"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B must explain, justify or answer for conduct to A</w:t>
            </w:r>
          </w:p>
        </w:tc>
        <w:tc>
          <w:tcPr>
            <w:tcW w:w="0" w:type="auto"/>
            <w:vAlign w:val="center"/>
            <w:hideMark/>
          </w:tcPr>
          <w:p w14:paraId="0582B1CB"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reporting, reasons, audit, answerability</w:t>
            </w:r>
          </w:p>
        </w:tc>
        <w:tc>
          <w:tcPr>
            <w:tcW w:w="0" w:type="auto"/>
            <w:vAlign w:val="center"/>
            <w:hideMark/>
          </w:tcPr>
          <w:p w14:paraId="01EB59A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agency → legislature</w:t>
            </w:r>
          </w:p>
        </w:tc>
      </w:tr>
      <w:tr w:rsidR="00094FA3" w14:paraId="01CBB194" w14:textId="77777777" w:rsidTr="00094FA3">
        <w:trPr>
          <w:tblCellSpacing w:w="15" w:type="dxa"/>
        </w:trPr>
        <w:tc>
          <w:tcPr>
            <w:tcW w:w="0" w:type="auto"/>
            <w:vAlign w:val="center"/>
            <w:hideMark/>
          </w:tcPr>
          <w:p w14:paraId="2DE305BF"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Information / reporting</w:t>
            </w:r>
          </w:p>
        </w:tc>
        <w:tc>
          <w:tcPr>
            <w:tcW w:w="0" w:type="auto"/>
            <w:vAlign w:val="center"/>
            <w:hideMark/>
          </w:tcPr>
          <w:p w14:paraId="7960456D"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must provide information to B</w:t>
            </w:r>
          </w:p>
        </w:tc>
        <w:tc>
          <w:tcPr>
            <w:tcW w:w="0" w:type="auto"/>
            <w:vAlign w:val="center"/>
            <w:hideMark/>
          </w:tcPr>
          <w:p w14:paraId="7D546D0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notification, disclosure, reporting</w:t>
            </w:r>
          </w:p>
        </w:tc>
        <w:tc>
          <w:tcPr>
            <w:tcW w:w="0" w:type="auto"/>
            <w:vAlign w:val="center"/>
            <w:hideMark/>
          </w:tcPr>
          <w:p w14:paraId="2AE72D9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firm → regulator</w:t>
            </w:r>
          </w:p>
        </w:tc>
      </w:tr>
      <w:tr w:rsidR="00094FA3" w14:paraId="3C2E8F5C" w14:textId="77777777" w:rsidTr="00094FA3">
        <w:trPr>
          <w:tblCellSpacing w:w="15" w:type="dxa"/>
        </w:trPr>
        <w:tc>
          <w:tcPr>
            <w:tcW w:w="0" w:type="auto"/>
            <w:vAlign w:val="center"/>
            <w:hideMark/>
          </w:tcPr>
          <w:p w14:paraId="7E681A1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Verification / assurance</w:t>
            </w:r>
          </w:p>
        </w:tc>
        <w:tc>
          <w:tcPr>
            <w:tcW w:w="0" w:type="auto"/>
            <w:vAlign w:val="center"/>
            <w:hideMark/>
          </w:tcPr>
          <w:p w14:paraId="7ABD94F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assesses the validity, quality or conformity of B or B's claims</w:t>
            </w:r>
          </w:p>
        </w:tc>
        <w:tc>
          <w:tcPr>
            <w:tcW w:w="0" w:type="auto"/>
            <w:vAlign w:val="center"/>
            <w:hideMark/>
          </w:tcPr>
          <w:p w14:paraId="560973F8"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audit, certification, conformity assessment</w:t>
            </w:r>
          </w:p>
        </w:tc>
        <w:tc>
          <w:tcPr>
            <w:tcW w:w="0" w:type="auto"/>
            <w:vAlign w:val="center"/>
            <w:hideMark/>
          </w:tcPr>
          <w:p w14:paraId="43B2C4A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auditor → firm</w:t>
            </w:r>
          </w:p>
        </w:tc>
      </w:tr>
      <w:tr w:rsidR="00094FA3" w14:paraId="0C86FC9D" w14:textId="77777777" w:rsidTr="00094FA3">
        <w:trPr>
          <w:tblCellSpacing w:w="15" w:type="dxa"/>
        </w:trPr>
        <w:tc>
          <w:tcPr>
            <w:tcW w:w="0" w:type="auto"/>
            <w:vAlign w:val="center"/>
            <w:hideMark/>
          </w:tcPr>
          <w:p w14:paraId="613E96B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Review / adjudication</w:t>
            </w:r>
          </w:p>
        </w:tc>
        <w:tc>
          <w:tcPr>
            <w:tcW w:w="0" w:type="auto"/>
            <w:vAlign w:val="center"/>
            <w:hideMark/>
          </w:tcPr>
          <w:p w14:paraId="3928993D"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can reconsider, validate, overturn or resolve decisions concerning B</w:t>
            </w:r>
          </w:p>
        </w:tc>
        <w:tc>
          <w:tcPr>
            <w:tcW w:w="0" w:type="auto"/>
            <w:vAlign w:val="center"/>
            <w:hideMark/>
          </w:tcPr>
          <w:p w14:paraId="658B79D2"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appeal, judicial review, complaints</w:t>
            </w:r>
          </w:p>
        </w:tc>
        <w:tc>
          <w:tcPr>
            <w:tcW w:w="0" w:type="auto"/>
            <w:vAlign w:val="center"/>
            <w:hideMark/>
          </w:tcPr>
          <w:p w14:paraId="32CD642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court → regulator</w:t>
            </w:r>
          </w:p>
        </w:tc>
      </w:tr>
      <w:tr w:rsidR="00094FA3" w14:paraId="3C2D463E" w14:textId="77777777" w:rsidTr="00094FA3">
        <w:trPr>
          <w:tblCellSpacing w:w="15" w:type="dxa"/>
        </w:trPr>
        <w:tc>
          <w:tcPr>
            <w:tcW w:w="0" w:type="auto"/>
            <w:vAlign w:val="center"/>
            <w:hideMark/>
          </w:tcPr>
          <w:p w14:paraId="3195D679"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Representation / participation</w:t>
            </w:r>
          </w:p>
        </w:tc>
        <w:tc>
          <w:tcPr>
            <w:tcW w:w="0" w:type="auto"/>
            <w:vAlign w:val="center"/>
            <w:hideMark/>
          </w:tcPr>
          <w:p w14:paraId="5C51A5B7"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represents, speaks for, or participates on behalf of B or affected interests</w:t>
            </w:r>
          </w:p>
        </w:tc>
        <w:tc>
          <w:tcPr>
            <w:tcW w:w="0" w:type="auto"/>
            <w:vAlign w:val="center"/>
            <w:hideMark/>
          </w:tcPr>
          <w:p w14:paraId="434F3B71"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consultation, representation, participation rights</w:t>
            </w:r>
          </w:p>
        </w:tc>
        <w:tc>
          <w:tcPr>
            <w:tcW w:w="0" w:type="auto"/>
            <w:vAlign w:val="center"/>
            <w:hideMark/>
          </w:tcPr>
          <w:p w14:paraId="51A82F59"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association → members</w:t>
            </w:r>
          </w:p>
        </w:tc>
      </w:tr>
      <w:tr w:rsidR="00094FA3" w14:paraId="3CE02BE7" w14:textId="77777777" w:rsidTr="00094FA3">
        <w:trPr>
          <w:tblCellSpacing w:w="15" w:type="dxa"/>
        </w:trPr>
        <w:tc>
          <w:tcPr>
            <w:tcW w:w="0" w:type="auto"/>
            <w:vAlign w:val="center"/>
            <w:hideMark/>
          </w:tcPr>
          <w:p w14:paraId="2FEC9B5B"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Contractual / exchange</w:t>
            </w:r>
          </w:p>
        </w:tc>
        <w:tc>
          <w:tcPr>
            <w:tcW w:w="0" w:type="auto"/>
            <w:vAlign w:val="center"/>
            <w:hideMark/>
          </w:tcPr>
          <w:p w14:paraId="2310BBF1"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and B are connected through legally structured exchange</w:t>
            </w:r>
          </w:p>
        </w:tc>
        <w:tc>
          <w:tcPr>
            <w:tcW w:w="0" w:type="auto"/>
            <w:vAlign w:val="center"/>
            <w:hideMark/>
          </w:tcPr>
          <w:p w14:paraId="5406C3C6"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contract, concession, procurement</w:t>
            </w:r>
          </w:p>
        </w:tc>
        <w:tc>
          <w:tcPr>
            <w:tcW w:w="0" w:type="auto"/>
            <w:vAlign w:val="center"/>
            <w:hideMark/>
          </w:tcPr>
          <w:p w14:paraId="229157C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government ↔ provider</w:t>
            </w:r>
          </w:p>
        </w:tc>
      </w:tr>
      <w:tr w:rsidR="00094FA3" w14:paraId="0D964707" w14:textId="77777777" w:rsidTr="00094FA3">
        <w:trPr>
          <w:tblCellSpacing w:w="15" w:type="dxa"/>
        </w:trPr>
        <w:tc>
          <w:tcPr>
            <w:tcW w:w="0" w:type="auto"/>
            <w:vAlign w:val="center"/>
            <w:hideMark/>
          </w:tcPr>
          <w:p w14:paraId="7F011DDF"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Beneficiary / protective</w:t>
            </w:r>
          </w:p>
        </w:tc>
        <w:tc>
          <w:tcPr>
            <w:tcW w:w="0" w:type="auto"/>
            <w:vAlign w:val="center"/>
            <w:hideMark/>
          </w:tcPr>
          <w:p w14:paraId="68E3F5D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Governance by A is directed toward protecting or providing rights/benefits to B</w:t>
            </w:r>
          </w:p>
        </w:tc>
        <w:tc>
          <w:tcPr>
            <w:tcW w:w="0" w:type="auto"/>
            <w:vAlign w:val="center"/>
            <w:hideMark/>
          </w:tcPr>
          <w:p w14:paraId="0C5BF0E3"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entitlement, protection, beneficiary right</w:t>
            </w:r>
          </w:p>
        </w:tc>
        <w:tc>
          <w:tcPr>
            <w:tcW w:w="0" w:type="auto"/>
            <w:vAlign w:val="center"/>
            <w:hideMark/>
          </w:tcPr>
          <w:p w14:paraId="3E34E086"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consumer</w:t>
            </w:r>
          </w:p>
        </w:tc>
      </w:tr>
    </w:tbl>
    <w:p w14:paraId="25EDCB62" w14:textId="4F0E2031" w:rsidR="00094FA3" w:rsidRDefault="00094FA3" w:rsidP="00094FA3">
      <w:pPr>
        <w:pStyle w:val="NormalWeb"/>
      </w:pPr>
      <w:r>
        <w:t xml:space="preserve">We distinguish </w:t>
      </w:r>
      <w:r w:rsidRPr="00094FA3">
        <w:rPr>
          <w:rStyle w:val="Strong"/>
          <w:b w:val="0"/>
          <w:bCs w:val="0"/>
        </w:rPr>
        <w:t xml:space="preserve">relationship </w:t>
      </w:r>
      <w:r>
        <w:rPr>
          <w:rStyle w:val="Strong"/>
        </w:rPr>
        <w:t>type</w:t>
      </w:r>
      <w:r>
        <w:t xml:space="preserve"> from </w:t>
      </w:r>
      <w:r w:rsidRPr="00094FA3">
        <w:rPr>
          <w:rStyle w:val="Strong"/>
          <w:b w:val="0"/>
          <w:bCs w:val="0"/>
        </w:rPr>
        <w:t>relationship</w:t>
      </w:r>
      <w:r>
        <w:rPr>
          <w:rStyle w:val="Strong"/>
        </w:rPr>
        <w:t xml:space="preserve"> attributes</w:t>
      </w:r>
      <w:r w:rsidR="002835F4">
        <w:rPr>
          <w:rStyle w:val="Strong"/>
        </w:rPr>
        <w:t xml:space="preserve"> </w:t>
      </w:r>
      <w:r w:rsidR="002835F4" w:rsidRPr="002835F4">
        <w:rPr>
          <w:rStyle w:val="Strong"/>
          <w:b w:val="0"/>
          <w:bCs w:val="0"/>
        </w:rPr>
        <w:t>such as mechanisms</w:t>
      </w:r>
      <w:r>
        <w:t xml:space="preserve">. The relationship might be </w:t>
      </w:r>
      <w:r>
        <w:rPr>
          <w:rStyle w:val="Strong"/>
        </w:rPr>
        <w:t>delegation</w:t>
      </w:r>
      <w:r>
        <w:t>, for example, but that delegation can vary along several attributes:</w:t>
      </w:r>
    </w:p>
    <w:p w14:paraId="2EA02F7E" w14:textId="77777777" w:rsidR="00094FA3" w:rsidRPr="00094FA3" w:rsidRDefault="00094FA3" w:rsidP="002835F4">
      <w:pPr>
        <w:pStyle w:val="NormalWeb"/>
      </w:pPr>
      <w:r w:rsidRPr="00094FA3">
        <w:rPr>
          <w:rStyle w:val="Strong"/>
          <w:b w:val="0"/>
          <w:bCs w:val="0"/>
        </w:rPr>
        <w:t>Direction:</w:t>
      </w:r>
      <w:r w:rsidRPr="00094FA3">
        <w:t xml:space="preserve"> A → B or A ↔ B</w:t>
      </w:r>
      <w:r w:rsidRPr="00094FA3">
        <w:br/>
      </w:r>
      <w:r w:rsidRPr="00094FA3">
        <w:rPr>
          <w:rStyle w:val="Strong"/>
          <w:b w:val="0"/>
          <w:bCs w:val="0"/>
        </w:rPr>
        <w:t>Legal basis:</w:t>
      </w:r>
      <w:r w:rsidRPr="00094FA3">
        <w:t xml:space="preserve"> mandatory / authorized / voluntary</w:t>
      </w:r>
      <w:r w:rsidRPr="00094FA3">
        <w:br/>
      </w:r>
      <w:r w:rsidRPr="00094FA3">
        <w:rPr>
          <w:rStyle w:val="Strong"/>
          <w:b w:val="0"/>
          <w:bCs w:val="0"/>
        </w:rPr>
        <w:t>Authority:</w:t>
      </w:r>
      <w:r w:rsidRPr="00094FA3">
        <w:t xml:space="preserve"> binding / non-binding</w:t>
      </w:r>
      <w:r w:rsidRPr="00094FA3">
        <w:br/>
      </w:r>
      <w:r w:rsidRPr="00094FA3">
        <w:rPr>
          <w:rStyle w:val="Strong"/>
          <w:b w:val="0"/>
          <w:bCs w:val="0"/>
        </w:rPr>
        <w:t>Discretion:</w:t>
      </w:r>
      <w:r w:rsidRPr="00094FA3">
        <w:t xml:space="preserve"> low / medium / high</w:t>
      </w:r>
      <w:r w:rsidRPr="00094FA3">
        <w:br/>
      </w:r>
      <w:r w:rsidRPr="00094FA3">
        <w:rPr>
          <w:rStyle w:val="Strong"/>
          <w:b w:val="0"/>
          <w:bCs w:val="0"/>
        </w:rPr>
        <w:t>Independence:</w:t>
      </w:r>
      <w:r w:rsidRPr="00094FA3">
        <w:t xml:space="preserve"> dependent / semi-autonomous / autonomous</w:t>
      </w:r>
      <w:r w:rsidRPr="00094FA3">
        <w:br/>
      </w:r>
      <w:r w:rsidRPr="00094FA3">
        <w:rPr>
          <w:rStyle w:val="Strong"/>
          <w:b w:val="0"/>
          <w:bCs w:val="0"/>
        </w:rPr>
        <w:t>Accountability:</w:t>
      </w:r>
      <w:r w:rsidRPr="00094FA3">
        <w:t xml:space="preserve"> to whom B is answerable</w:t>
      </w:r>
      <w:r w:rsidRPr="00094FA3">
        <w:br/>
      </w:r>
      <w:r w:rsidRPr="00094FA3">
        <w:rPr>
          <w:rStyle w:val="Strong"/>
          <w:b w:val="0"/>
          <w:bCs w:val="0"/>
        </w:rPr>
        <w:t>Intensity:</w:t>
      </w:r>
      <w:r w:rsidRPr="00094FA3">
        <w:t xml:space="preserve"> episodic / periodic / continuous</w:t>
      </w:r>
      <w:r w:rsidRPr="00094FA3">
        <w:br/>
      </w:r>
      <w:r w:rsidRPr="00094FA3">
        <w:rPr>
          <w:rStyle w:val="Strong"/>
          <w:b w:val="0"/>
          <w:bCs w:val="0"/>
        </w:rPr>
        <w:t>Transparency:</w:t>
      </w:r>
      <w:r w:rsidRPr="00094FA3">
        <w:t xml:space="preserve"> public / restricted / confidential</w:t>
      </w:r>
      <w:r w:rsidRPr="00094FA3">
        <w:br/>
      </w:r>
      <w:proofErr w:type="spellStart"/>
      <w:r w:rsidRPr="00094FA3">
        <w:rPr>
          <w:rStyle w:val="Strong"/>
          <w:b w:val="0"/>
          <w:bCs w:val="0"/>
        </w:rPr>
        <w:t>Sanctionability</w:t>
      </w:r>
      <w:proofErr w:type="spellEnd"/>
      <w:r w:rsidRPr="00094FA3">
        <w:rPr>
          <w:rStyle w:val="Strong"/>
          <w:b w:val="0"/>
          <w:bCs w:val="0"/>
        </w:rPr>
        <w:t>:</w:t>
      </w:r>
      <w:r w:rsidRPr="00094FA3">
        <w:t xml:space="preserve"> whether failure generates consequences</w:t>
      </w:r>
      <w:r w:rsidRPr="00094FA3">
        <w:br/>
      </w:r>
      <w:r w:rsidRPr="00094FA3">
        <w:rPr>
          <w:rStyle w:val="Strong"/>
          <w:b w:val="0"/>
          <w:bCs w:val="0"/>
        </w:rPr>
        <w:t>Contestability:</w:t>
      </w:r>
      <w:r w:rsidRPr="00094FA3">
        <w:t xml:space="preserve"> whether decisions can be challenged or reviewed</w:t>
      </w:r>
    </w:p>
    <w:p w14:paraId="133BBE8C" w14:textId="5115D0B2" w:rsidR="00094FA3" w:rsidRPr="00094FA3" w:rsidRDefault="00094FA3" w:rsidP="00094FA3">
      <w:pPr>
        <w:pStyle w:val="NormalWeb"/>
        <w:rPr>
          <w:rStyle w:val="Strong"/>
          <w:b w:val="0"/>
          <w:bCs w:val="0"/>
        </w:rPr>
      </w:pPr>
      <w:r w:rsidRPr="00094FA3">
        <w:t xml:space="preserve">This produces a much more powerful data structure. Instead of coding merely:   </w:t>
      </w:r>
      <w:r w:rsidRPr="00094FA3">
        <w:rPr>
          <w:rStyle w:val="Strong"/>
          <w:b w:val="0"/>
          <w:bCs w:val="0"/>
        </w:rPr>
        <w:t>Regulator — Intermediary — Firm</w:t>
      </w:r>
      <w:r>
        <w:rPr>
          <w:rStyle w:val="Strong"/>
          <w:b w:val="0"/>
          <w:bCs w:val="0"/>
        </w:rPr>
        <w:t xml:space="preserve">. </w:t>
      </w:r>
      <w:r>
        <w:t>W</w:t>
      </w:r>
      <w:r w:rsidRPr="00094FA3">
        <w:t xml:space="preserve">e can </w:t>
      </w:r>
      <w:r>
        <w:t>identify</w:t>
      </w:r>
      <w:r w:rsidRPr="00094FA3">
        <w:t xml:space="preserve">: </w:t>
      </w:r>
    </w:p>
    <w:p w14:paraId="6DBCC413" w14:textId="381831D0" w:rsidR="00094FA3" w:rsidRPr="00094FA3" w:rsidRDefault="00094FA3" w:rsidP="00094FA3">
      <w:pPr>
        <w:pStyle w:val="NormalWeb"/>
      </w:pPr>
      <w:r w:rsidRPr="00094FA3">
        <w:rPr>
          <w:rStyle w:val="Strong"/>
          <w:b w:val="0"/>
          <w:bCs w:val="0"/>
        </w:rPr>
        <w:t>Regulator → authorizes → Certifier</w:t>
      </w:r>
      <w:r w:rsidRPr="00094FA3">
        <w:br/>
      </w:r>
      <w:r w:rsidRPr="00094FA3">
        <w:rPr>
          <w:rStyle w:val="Strong"/>
          <w:b w:val="0"/>
          <w:bCs w:val="0"/>
        </w:rPr>
        <w:t>Regulator → supervises → Certifier</w:t>
      </w:r>
      <w:r w:rsidRPr="00094FA3">
        <w:br/>
      </w:r>
      <w:r w:rsidRPr="00094FA3">
        <w:rPr>
          <w:rStyle w:val="Strong"/>
          <w:b w:val="0"/>
          <w:bCs w:val="0"/>
        </w:rPr>
        <w:t>Certifier → verifies → Firm</w:t>
      </w:r>
      <w:r w:rsidRPr="00094FA3">
        <w:br/>
      </w:r>
      <w:r w:rsidRPr="00094FA3">
        <w:rPr>
          <w:rStyle w:val="Strong"/>
          <w:b w:val="0"/>
          <w:bCs w:val="0"/>
        </w:rPr>
        <w:t>Firm → provides information → Certifier</w:t>
      </w:r>
      <w:r w:rsidRPr="00094FA3">
        <w:br/>
      </w:r>
      <w:r w:rsidRPr="00094FA3">
        <w:rPr>
          <w:rStyle w:val="Strong"/>
          <w:b w:val="0"/>
          <w:bCs w:val="0"/>
        </w:rPr>
        <w:t>Certifier → reports → Regulator</w:t>
      </w:r>
      <w:r w:rsidRPr="00094FA3">
        <w:br/>
      </w:r>
      <w:r w:rsidRPr="00094FA3">
        <w:rPr>
          <w:rStyle w:val="Strong"/>
          <w:b w:val="0"/>
          <w:bCs w:val="0"/>
        </w:rPr>
        <w:t>Firm → provides product/service → Consumer</w:t>
      </w:r>
      <w:r w:rsidRPr="00094FA3">
        <w:br/>
      </w:r>
      <w:r w:rsidRPr="00094FA3">
        <w:rPr>
          <w:rStyle w:val="Strong"/>
          <w:b w:val="0"/>
          <w:bCs w:val="0"/>
        </w:rPr>
        <w:t>Regulator → protects → Consumer</w:t>
      </w:r>
    </w:p>
    <w:p w14:paraId="65A5147C" w14:textId="77777777" w:rsidR="00094FA3" w:rsidRDefault="00094FA3" w:rsidP="0036629B">
      <w:pPr>
        <w:rPr>
          <w:rFonts w:asciiTheme="majorBidi" w:hAnsiTheme="majorBidi" w:cstheme="majorBidi"/>
          <w:b/>
          <w:bCs/>
          <w:sz w:val="24"/>
          <w:szCs w:val="24"/>
        </w:rPr>
      </w:pPr>
    </w:p>
    <w:p w14:paraId="191C6D3B" w14:textId="697F2724" w:rsidR="009F52E6" w:rsidRDefault="00671550" w:rsidP="00656BE6">
      <w:pPr>
        <w:rPr>
          <w:rFonts w:asciiTheme="majorBidi" w:hAnsiTheme="majorBidi" w:cstheme="majorBidi"/>
          <w:b/>
          <w:bCs/>
          <w:sz w:val="24"/>
          <w:szCs w:val="24"/>
        </w:rPr>
      </w:pPr>
      <w:r>
        <w:rPr>
          <w:rFonts w:asciiTheme="majorBidi" w:hAnsiTheme="majorBidi" w:cstheme="majorBidi"/>
          <w:b/>
          <w:bCs/>
          <w:sz w:val="24"/>
          <w:szCs w:val="24"/>
        </w:rPr>
        <w:lastRenderedPageBreak/>
        <w:t>4</w:t>
      </w:r>
      <w:r w:rsidR="009F52E6">
        <w:rPr>
          <w:rFonts w:asciiTheme="majorBidi" w:hAnsiTheme="majorBidi" w:cstheme="majorBidi"/>
          <w:b/>
          <w:bCs/>
          <w:sz w:val="24"/>
          <w:szCs w:val="24"/>
        </w:rPr>
        <w:t xml:space="preserve">. </w:t>
      </w:r>
      <w:r w:rsidR="00656BE6">
        <w:rPr>
          <w:rFonts w:asciiTheme="majorBidi" w:hAnsiTheme="majorBidi" w:cstheme="majorBidi"/>
          <w:b/>
          <w:bCs/>
          <w:sz w:val="24"/>
          <w:szCs w:val="24"/>
        </w:rPr>
        <w:t xml:space="preserve"> Level 2: Relational Attribute </w:t>
      </w:r>
    </w:p>
    <w:p w14:paraId="76A0ABC0" w14:textId="564F88EA" w:rsidR="009F52E6" w:rsidRDefault="009F52E6" w:rsidP="0036629B">
      <w:pPr>
        <w:rPr>
          <w:rFonts w:asciiTheme="majorBidi" w:hAnsiTheme="majorBidi" w:cstheme="majorBidi"/>
          <w:b/>
          <w:bCs/>
          <w:sz w:val="24"/>
          <w:szCs w:val="24"/>
        </w:rPr>
      </w:pPr>
    </w:p>
    <w:p w14:paraId="10587066" w14:textId="77719399" w:rsidR="009A22BF" w:rsidRPr="009A22BF" w:rsidRDefault="009A22BF" w:rsidP="009A22BF">
      <w:pPr>
        <w:pStyle w:val="Footer"/>
        <w:spacing w:line="276" w:lineRule="auto"/>
        <w:jc w:val="both"/>
        <w:rPr>
          <w:rFonts w:asciiTheme="majorBidi" w:hAnsiTheme="majorBidi" w:cstheme="majorBidi"/>
          <w:sz w:val="24"/>
          <w:szCs w:val="24"/>
        </w:rPr>
      </w:pPr>
      <w:r w:rsidRPr="009A22BF">
        <w:rPr>
          <w:rFonts w:asciiTheme="majorBidi" w:hAnsiTheme="majorBidi" w:cstheme="majorBidi"/>
          <w:sz w:val="24"/>
          <w:szCs w:val="24"/>
        </w:rPr>
        <w:t>Authority, discretion and accountability are relational attributes that qualify the governance relationships reconstructed from law. Authority identifies the legally consequential capacity attached to a relationship; discretion identifies the scope of legally structured choice in exercising that capacity; and accountability identifies the institutionalized relationships through which the exercise of authority and discretion must be explained, assessed, reviewed or answered for.</w:t>
      </w:r>
    </w:p>
    <w:p w14:paraId="44446EB8" w14:textId="77777777" w:rsidR="009A22BF" w:rsidRDefault="009A22BF" w:rsidP="0036629B">
      <w:pPr>
        <w:rPr>
          <w:rFonts w:asciiTheme="majorBidi" w:hAnsiTheme="majorBidi" w:cstheme="majorBidi"/>
          <w:b/>
          <w:bCs/>
          <w:sz w:val="24"/>
          <w:szCs w:val="24"/>
        </w:rPr>
      </w:pPr>
    </w:p>
    <w:p w14:paraId="0FE07DC2" w14:textId="18C7BFF7" w:rsidR="009F52E6" w:rsidRPr="009F52E6" w:rsidRDefault="00671550" w:rsidP="009F52E6">
      <w:pPr>
        <w:pStyle w:val="Heading2"/>
        <w:rPr>
          <w:rFonts w:asciiTheme="majorBidi" w:hAnsiTheme="majorBidi"/>
          <w:color w:val="auto"/>
          <w:sz w:val="24"/>
          <w:szCs w:val="24"/>
        </w:rPr>
      </w:pPr>
      <w:r>
        <w:rPr>
          <w:rFonts w:asciiTheme="majorBidi" w:hAnsiTheme="majorBidi"/>
          <w:color w:val="auto"/>
          <w:sz w:val="24"/>
          <w:szCs w:val="24"/>
        </w:rPr>
        <w:t>4</w:t>
      </w:r>
      <w:r w:rsidR="009F52E6" w:rsidRPr="009F52E6">
        <w:rPr>
          <w:rFonts w:asciiTheme="majorBidi" w:hAnsiTheme="majorBidi"/>
          <w:color w:val="auto"/>
          <w:sz w:val="24"/>
          <w:szCs w:val="24"/>
        </w:rPr>
        <w:t>.1 Authority: the legally constituted capacity to govern</w:t>
      </w:r>
    </w:p>
    <w:p w14:paraId="3245224A"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Governance relationships differ not only in who participates and what functions they perform, but also in the authority attached to those functions. Authority refers to the legally constituted capacity of an actor to make decisions, issue requirements, determine status, allocate rights or obligations, constrain the conduct of others, or otherwise produce consequences recognized by the legal order. It is therefore distinct from participation, expertise, influence, or organizational importance. An actor may be highly influential without possessing formal authority, while another may exercise legally binding authority even if its practical capacity is limited. For the analysis of law as governance architecture, the relevant question is consequently not only who acts, but with what legally recognized capacity to govern.</w:t>
      </w:r>
    </w:p>
    <w:p w14:paraId="21414E2C"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Authority has long occupied a central place in theories of administration and regulation. Weber's account of legal-rational authority emphasized the institutionalization of competence through formally constituted offices and rules. Public-administration scholarship subsequently examined how authority is distributed through delegation, jurisdiction, hierarchy, and administrative discretion, while principal-agent approaches conceptualized governance as chains in which authority is transferred but accompanied by mechanisms of control and oversight. Regulatory governance complicates this image because authority is increasingly fragmented across public agencies, private bodies, professional organizations, regulated firms, and intermediaries. Regulatory systems may therefore combine formal public authority with delegated, derivative, conditional, or functionally limited forms of private authority (</w:t>
      </w:r>
      <w:proofErr w:type="spellStart"/>
      <w:r w:rsidRPr="009F52E6">
        <w:rPr>
          <w:rFonts w:asciiTheme="majorBidi" w:hAnsiTheme="majorBidi" w:cstheme="majorBidi"/>
        </w:rPr>
        <w:t>Majone</w:t>
      </w:r>
      <w:proofErr w:type="spellEnd"/>
      <w:r w:rsidRPr="009F52E6">
        <w:rPr>
          <w:rFonts w:asciiTheme="majorBidi" w:hAnsiTheme="majorBidi" w:cstheme="majorBidi"/>
        </w:rPr>
        <w:t xml:space="preserve"> 1997; Black 2001; Abbott et al. 2015; Abbott, Levi-Faur and Snidal 2017).</w:t>
      </w:r>
    </w:p>
    <w:p w14:paraId="6160A6EE"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The distinction between authority and function is essential. Two actors may perform the same function while possessing very different authority. A public inspector, an internal compliance officer, and a private auditor may all monitor compliance. Yet the inspector may possess statutory powers of entry and sanction, the compliance officer may act under internal organizational authority, and the auditor may only assess and report. Similarly, several actors may participate in rule-making, but only some may issue legally binding standards. Coding function without authority would therefore risk treating institutionally distinct forms of governance as equivalent.</w:t>
      </w:r>
    </w:p>
    <w:p w14:paraId="53F0D419"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Authority should also be distinguished from mechanism and instrument. Authorization, delegation, licensing, certification, and accreditation may operate as mechanisms or instruments through which authority is constituted or exercised, but authority refers to the legal capacity attached to the actor or relationship. A </w:t>
      </w:r>
      <w:proofErr w:type="spellStart"/>
      <w:r w:rsidRPr="009F52E6">
        <w:rPr>
          <w:rFonts w:asciiTheme="majorBidi" w:hAnsiTheme="majorBidi" w:cstheme="majorBidi"/>
        </w:rPr>
        <w:t>licence</w:t>
      </w:r>
      <w:proofErr w:type="spellEnd"/>
      <w:r w:rsidRPr="009F52E6">
        <w:rPr>
          <w:rFonts w:asciiTheme="majorBidi" w:hAnsiTheme="majorBidi" w:cstheme="majorBidi"/>
        </w:rPr>
        <w:t>, for example, is an instrument; authorization is a mechanism through which status or permission is conferred; and the licensing authority's legally recognized power to grant, condition, suspend, or withdraw that permission is an attribute of the governance relationship. The same instrument can consequently embody different degrees of authority depending on its legal consequences.</w:t>
      </w:r>
    </w:p>
    <w:p w14:paraId="5905A28A"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lastRenderedPageBreak/>
        <w:t>For coding purposes, authority is best treated as a multidimensional relational attribute rather than as a single dichotomy. At least five dimensions can be distinguished.</w:t>
      </w:r>
    </w:p>
    <w:p w14:paraId="483971B5"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First, </w:t>
      </w:r>
      <w:r w:rsidRPr="009F52E6">
        <w:rPr>
          <w:rStyle w:val="Strong"/>
          <w:rFonts w:asciiTheme="majorBidi" w:hAnsiTheme="majorBidi" w:cstheme="majorBidi"/>
        </w:rPr>
        <w:t>bindingness</w:t>
      </w:r>
      <w:r w:rsidRPr="009F52E6">
        <w:rPr>
          <w:rFonts w:asciiTheme="majorBidi" w:hAnsiTheme="majorBidi" w:cstheme="majorBidi"/>
        </w:rPr>
        <w:t xml:space="preserve"> concerns whether an actor's decision or requirement legally constrains another actor. Binding authority differs from advisory, recommendatory, or informational influence.</w:t>
      </w:r>
    </w:p>
    <w:p w14:paraId="5ECC03F8"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Second, </w:t>
      </w:r>
      <w:r w:rsidRPr="009F52E6">
        <w:rPr>
          <w:rStyle w:val="Strong"/>
          <w:rFonts w:asciiTheme="majorBidi" w:hAnsiTheme="majorBidi" w:cstheme="majorBidi"/>
        </w:rPr>
        <w:t>scope</w:t>
      </w:r>
      <w:r w:rsidRPr="009F52E6">
        <w:rPr>
          <w:rFonts w:asciiTheme="majorBidi" w:hAnsiTheme="majorBidi" w:cstheme="majorBidi"/>
        </w:rPr>
        <w:t xml:space="preserve"> concerns the range of matters over which authority extends. Authority may be broad, covering an entire regulatory domain, or narrow, confined to a specific technical assessment, authorization, standard, or procedural step.</w:t>
      </w:r>
    </w:p>
    <w:p w14:paraId="53C12B6B"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Third, </w:t>
      </w:r>
      <w:r w:rsidRPr="009F52E6">
        <w:rPr>
          <w:rStyle w:val="Strong"/>
          <w:rFonts w:asciiTheme="majorBidi" w:hAnsiTheme="majorBidi" w:cstheme="majorBidi"/>
        </w:rPr>
        <w:t>consequence</w:t>
      </w:r>
      <w:r w:rsidRPr="009F52E6">
        <w:rPr>
          <w:rFonts w:asciiTheme="majorBidi" w:hAnsiTheme="majorBidi" w:cstheme="majorBidi"/>
        </w:rPr>
        <w:t xml:space="preserve"> concerns what legal effects follow from the exercise of authority. An actor may merely issue an opinion, or its decision may determine market access, eligibility, certification, liability, sanction, or legal status.</w:t>
      </w:r>
    </w:p>
    <w:p w14:paraId="34AB780C"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Fourth, </w:t>
      </w:r>
      <w:r w:rsidRPr="009F52E6">
        <w:rPr>
          <w:rStyle w:val="Strong"/>
          <w:rFonts w:asciiTheme="majorBidi" w:hAnsiTheme="majorBidi" w:cstheme="majorBidi"/>
        </w:rPr>
        <w:t>derivation</w:t>
      </w:r>
      <w:r w:rsidRPr="009F52E6">
        <w:rPr>
          <w:rFonts w:asciiTheme="majorBidi" w:hAnsiTheme="majorBidi" w:cstheme="majorBidi"/>
        </w:rPr>
        <w:t xml:space="preserve"> concerns the source of authority. Authority may be original or statutory, delegated by another public body, conferred through designation or accreditation, or recognized conditionally by law. This distinction is especially important for regulatory intermediaries whose authority often derives from legally structured recognition rather than direct sovereign competence.</w:t>
      </w:r>
    </w:p>
    <w:p w14:paraId="31292579"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 xml:space="preserve">Fifth, </w:t>
      </w:r>
      <w:r w:rsidRPr="009F52E6">
        <w:rPr>
          <w:rStyle w:val="Strong"/>
          <w:rFonts w:asciiTheme="majorBidi" w:hAnsiTheme="majorBidi" w:cstheme="majorBidi"/>
        </w:rPr>
        <w:t>reviewability and reversibility</w:t>
      </w:r>
      <w:r w:rsidRPr="009F52E6">
        <w:rPr>
          <w:rFonts w:asciiTheme="majorBidi" w:hAnsiTheme="majorBidi" w:cstheme="majorBidi"/>
        </w:rPr>
        <w:t xml:space="preserve"> concern whether the exercise of authority is subject to approval, appeal, supervision, or withdrawal by another actor. Authority that is formally binding but easily reversible or tightly supervised differs from authority exercised with substantial institutional autonomy.</w:t>
      </w:r>
    </w:p>
    <w:p w14:paraId="128F66E1" w14:textId="77777777" w:rsidR="009F52E6" w:rsidRPr="009F52E6" w:rsidRDefault="009F52E6" w:rsidP="009F52E6">
      <w:pPr>
        <w:pStyle w:val="NormalWeb"/>
        <w:jc w:val="both"/>
        <w:rPr>
          <w:rFonts w:asciiTheme="majorBidi" w:hAnsiTheme="majorBidi" w:cstheme="majorBidi"/>
        </w:rPr>
      </w:pPr>
      <w:r w:rsidRPr="009F52E6">
        <w:rPr>
          <w:rFonts w:asciiTheme="majorBidi" w:hAnsiTheme="majorBidi" w:cstheme="majorBidi"/>
        </w:rPr>
        <w:t>These distinctions suggest a relational representation such as:</w:t>
      </w:r>
    </w:p>
    <w:p w14:paraId="226A8A00" w14:textId="58FA373A" w:rsidR="009F52E6" w:rsidRPr="009F52E6" w:rsidRDefault="009F52E6" w:rsidP="00071058">
      <w:pPr>
        <w:jc w:val="center"/>
        <w:rPr>
          <w:rFonts w:asciiTheme="majorBidi" w:hAnsiTheme="majorBidi" w:cstheme="majorBidi"/>
          <w:sz w:val="24"/>
          <w:szCs w:val="24"/>
        </w:rPr>
      </w:pPr>
      <w:r w:rsidRPr="00071058">
        <w:rPr>
          <w:rFonts w:asciiTheme="majorBidi" w:hAnsiTheme="majorBidi" w:cstheme="majorBidi"/>
          <w:sz w:val="24"/>
          <w:szCs w:val="24"/>
          <w:highlight w:val="yellow"/>
        </w:rPr>
        <w:t>Authority= f(Bindingness,\ Scope,\ Consequence,\ Derivation,\ Reviewability)</w:t>
      </w:r>
    </w:p>
    <w:p w14:paraId="6C3CE7AE" w14:textId="77777777" w:rsidR="009F52E6" w:rsidRPr="009F52E6" w:rsidRDefault="009F52E6" w:rsidP="00071058">
      <w:pPr>
        <w:pStyle w:val="NormalWeb"/>
        <w:spacing w:line="276" w:lineRule="auto"/>
        <w:jc w:val="both"/>
        <w:rPr>
          <w:rFonts w:asciiTheme="majorBidi" w:hAnsiTheme="majorBidi" w:cstheme="majorBidi"/>
        </w:rPr>
      </w:pPr>
      <w:r w:rsidRPr="009F52E6">
        <w:rPr>
          <w:rFonts w:asciiTheme="majorBidi" w:hAnsiTheme="majorBidi" w:cstheme="majorBidi"/>
        </w:rPr>
        <w:t>The purpose of such a representation is not necessarily to construct a single additive authority index. Rather, it makes the different components of authority visible and permits comparison across governance relationships. A private certification body may possess narrow but highly consequential authority if its certificate is a necessary condition for market access. A ministry may possess broad statutory authority but delegate much of its operational exercise to specialized agencies. A standard-setting organization may lack formally binding authority while nevertheless acquiring substantial regulatory significance because legal compliance depends upon conformity with its standards. Authority should therefore be coded in a way that preserves these distinctions rather than reducing governance to a simple public/private dichotomy.</w:t>
      </w:r>
    </w:p>
    <w:p w14:paraId="7790FB90" w14:textId="77777777" w:rsidR="009F52E6" w:rsidRPr="009F52E6" w:rsidRDefault="009F52E6" w:rsidP="00071058">
      <w:pPr>
        <w:pStyle w:val="NormalWeb"/>
        <w:spacing w:line="276" w:lineRule="auto"/>
        <w:jc w:val="both"/>
        <w:rPr>
          <w:rFonts w:asciiTheme="majorBidi" w:hAnsiTheme="majorBidi" w:cstheme="majorBidi"/>
        </w:rPr>
      </w:pPr>
      <w:r w:rsidRPr="009F52E6">
        <w:rPr>
          <w:rFonts w:asciiTheme="majorBidi" w:hAnsiTheme="majorBidi" w:cstheme="majorBidi"/>
        </w:rPr>
        <w:t xml:space="preserve">This has direct implications for identifying governance architectures. Hierarchical governance is characterized not merely by direct relationships between public regulators and targets, but by concentrations of binding authority and sanctioning capacity. Delegated architectures distribute authority while preserving some chain of authorization and control. Intermediated architectures may assign consequential but bounded authority to third parties. Polycentric architectures distribute decision-making authority among multiple partly autonomous </w:t>
      </w:r>
      <w:proofErr w:type="spellStart"/>
      <w:r w:rsidRPr="009F52E6">
        <w:rPr>
          <w:rFonts w:asciiTheme="majorBidi" w:hAnsiTheme="majorBidi" w:cstheme="majorBidi"/>
        </w:rPr>
        <w:t>centres</w:t>
      </w:r>
      <w:proofErr w:type="spellEnd"/>
      <w:r w:rsidRPr="009F52E6">
        <w:rPr>
          <w:rFonts w:asciiTheme="majorBidi" w:hAnsiTheme="majorBidi" w:cstheme="majorBidi"/>
        </w:rPr>
        <w:t>. The structure of authority is therefore one of the principal dimensions through which governance architectures differ.</w:t>
      </w:r>
    </w:p>
    <w:p w14:paraId="100FBF2C" w14:textId="77777777" w:rsidR="009F52E6" w:rsidRPr="009F52E6" w:rsidRDefault="009F52E6" w:rsidP="00071058">
      <w:pPr>
        <w:pStyle w:val="NormalWeb"/>
        <w:spacing w:line="276" w:lineRule="auto"/>
        <w:jc w:val="both"/>
        <w:rPr>
          <w:rFonts w:asciiTheme="majorBidi" w:hAnsiTheme="majorBidi" w:cstheme="majorBidi"/>
        </w:rPr>
      </w:pPr>
      <w:r w:rsidRPr="009F52E6">
        <w:rPr>
          <w:rFonts w:asciiTheme="majorBidi" w:hAnsiTheme="majorBidi" w:cstheme="majorBidi"/>
        </w:rPr>
        <w:lastRenderedPageBreak/>
        <w:t>For relational leximetrics, authority can be coded at the level of the relationship while remaining traceable to the legal provision establishing it. This allows researchers to distinguish between the presence of a governance relationship and the strength or consequence of that relationship. It also helps address a central aggregation problem: a rarely mentioned actor may nevertheless be architecturally central if law assigns it decisive authority. Counting relationships alone would miss this feature. Authority therefore provides one of the principal means of weighting the structural significance of legally constituted relationships.</w:t>
      </w:r>
    </w:p>
    <w:p w14:paraId="16EAFC31" w14:textId="187F69CE" w:rsidR="00071058" w:rsidRPr="00071058" w:rsidRDefault="00671550" w:rsidP="00071058">
      <w:pPr>
        <w:rPr>
          <w:rFonts w:asciiTheme="majorBidi" w:hAnsiTheme="majorBidi" w:cstheme="majorBidi"/>
          <w:b/>
          <w:bCs/>
          <w:sz w:val="24"/>
          <w:szCs w:val="24"/>
        </w:rPr>
      </w:pPr>
      <w:r>
        <w:rPr>
          <w:rFonts w:asciiTheme="majorBidi" w:hAnsiTheme="majorBidi" w:cstheme="majorBidi"/>
          <w:b/>
          <w:bCs/>
          <w:sz w:val="24"/>
          <w:szCs w:val="24"/>
        </w:rPr>
        <w:t>4</w:t>
      </w:r>
      <w:r w:rsidR="00071058" w:rsidRPr="00071058">
        <w:rPr>
          <w:rFonts w:asciiTheme="majorBidi" w:hAnsiTheme="majorBidi" w:cstheme="majorBidi"/>
          <w:b/>
          <w:bCs/>
          <w:sz w:val="24"/>
          <w:szCs w:val="24"/>
        </w:rPr>
        <w:t>.2  Discretion: the legally structured space for choice</w:t>
      </w:r>
    </w:p>
    <w:p w14:paraId="6B8A1992" w14:textId="676A98FD" w:rsidR="00071058" w:rsidRDefault="00071058" w:rsidP="00071058">
      <w:pPr>
        <w:pStyle w:val="NormalWeb"/>
        <w:jc w:val="both"/>
      </w:pPr>
      <w:r>
        <w:t>If authority concerns whether and to what extent an actor possesses the capacity to govern, discretion concerns the range of choices available in exercising that capacity. Discretion exists where law permits an actor to select among legally acceptable courses of action, interpretations, priorities, procedures, standards, or responses. It is therefore neither the absence of law nor simply freedom from regulation. Discretion is itself legally structured: law can create, enlarge, constrain, channel, review, or withdraw the space within which actors exercise judgment. The study of discretion has been central to administrative law and public administration because legal rules cannot fully specify every future circumstance in which governing decisions must be made. Administrative organizations consequently operate within varying combinations of rule-bound constraint and delegated judgment. Classic accounts treated discretion as the space left by incomplete specification, while later work emphasized that discretion is often deliberately designed into regulatory systems to permit expertise, adaptation, prioritization, and responsiveness (Davis 1969; Galligan 1986; Hawkins 1992). Regulatory scholarship similarly demonstrates that principles-based, risk-based, management-based, and responsive forms of regulation depend upon varying degrees and locations of discretion rather than its simple presence or absence.</w:t>
      </w:r>
    </w:p>
    <w:p w14:paraId="2C03F545" w14:textId="77777777" w:rsidR="00071058" w:rsidRDefault="00071058" w:rsidP="00071058">
      <w:pPr>
        <w:pStyle w:val="NormalWeb"/>
      </w:pPr>
      <w:r>
        <w:t xml:space="preserve">For the present framework, discretion is important because identical functions and instruments can be embedded in very different governance architectures depending on how much choice actors possess. A regulator may be legally required to issue a </w:t>
      </w:r>
      <w:proofErr w:type="spellStart"/>
      <w:r>
        <w:t>licence</w:t>
      </w:r>
      <w:proofErr w:type="spellEnd"/>
      <w:r>
        <w:t xml:space="preserve"> once specified criteria are satisfied, or may retain broad discretion to consider additional factors. An auditor may apply a tightly specified checklist or exercise professional judgment in interpreting a general standard. A regulated firm may be required to use a prescribed technology or may be allowed to design its own compliance system. The institutional consequences of these arrangements differ even when the actors and nominal instruments appear similar.</w:t>
      </w:r>
    </w:p>
    <w:p w14:paraId="2EE51C07" w14:textId="77777777" w:rsidR="00071058" w:rsidRDefault="00071058" w:rsidP="00071058">
      <w:pPr>
        <w:pStyle w:val="NormalWeb"/>
      </w:pPr>
      <w:r>
        <w:t>Discretion should therefore be treated as relational and function-specific. An actor does not simply “have discretion.” It may possess extensive discretion in one governance function and very little in another. A regulator may have wide discretion over enforcement prioritization but little discretion over the substantive standard it applies. A certifier may exercise considerable technical judgment while having no authority to alter the legal consequences of certification. A regulated firm may enjoy broad implementation discretion while remaining subject to tightly specified performance outcomes.</w:t>
      </w:r>
    </w:p>
    <w:p w14:paraId="267108B8" w14:textId="77777777" w:rsidR="00071058" w:rsidRDefault="00071058" w:rsidP="00071058">
      <w:pPr>
        <w:pStyle w:val="NormalWeb"/>
      </w:pPr>
      <w:r>
        <w:t>At least five forms of discretion are analytically distinguishable.</w:t>
      </w:r>
    </w:p>
    <w:p w14:paraId="59683BF5" w14:textId="77777777" w:rsidR="00071058" w:rsidRDefault="00071058" w:rsidP="00071058">
      <w:pPr>
        <w:pStyle w:val="NormalWeb"/>
      </w:pPr>
      <w:r>
        <w:rPr>
          <w:rStyle w:val="Strong"/>
        </w:rPr>
        <w:t>Rule-making discretion</w:t>
      </w:r>
      <w:r>
        <w:t xml:space="preserve"> concerns the capacity to formulate, elaborate, or specify standards and requirements.</w:t>
      </w:r>
    </w:p>
    <w:p w14:paraId="0ED0F9ED" w14:textId="77777777" w:rsidR="00071058" w:rsidRDefault="00071058" w:rsidP="00071058">
      <w:pPr>
        <w:pStyle w:val="NormalWeb"/>
      </w:pPr>
      <w:r>
        <w:rPr>
          <w:rStyle w:val="Strong"/>
        </w:rPr>
        <w:lastRenderedPageBreak/>
        <w:t>Interpretive discretion</w:t>
      </w:r>
      <w:r>
        <w:t xml:space="preserve"> concerns the capacity to determine the meaning or application of open-textured legal standards.</w:t>
      </w:r>
    </w:p>
    <w:p w14:paraId="0210BD5D" w14:textId="77777777" w:rsidR="00071058" w:rsidRDefault="00071058" w:rsidP="00071058">
      <w:pPr>
        <w:pStyle w:val="NormalWeb"/>
      </w:pPr>
      <w:r>
        <w:rPr>
          <w:rStyle w:val="Strong"/>
        </w:rPr>
        <w:t>Implementation discretion</w:t>
      </w:r>
      <w:r>
        <w:t xml:space="preserve"> concerns the capacity to choose the means through which legal obligations or policy goals are achieved.</w:t>
      </w:r>
    </w:p>
    <w:p w14:paraId="573D381B" w14:textId="77777777" w:rsidR="00071058" w:rsidRDefault="00071058" w:rsidP="00071058">
      <w:pPr>
        <w:pStyle w:val="NormalWeb"/>
        <w:jc w:val="both"/>
      </w:pPr>
      <w:r>
        <w:rPr>
          <w:rStyle w:val="Strong"/>
        </w:rPr>
        <w:t>Monitoring and assessment discretion</w:t>
      </w:r>
      <w:r>
        <w:t xml:space="preserve"> concerns choices about what evidence to examine, how to evaluate it, and how to determine conformity, risk, or performance.</w:t>
      </w:r>
    </w:p>
    <w:p w14:paraId="629E3ACD" w14:textId="77777777" w:rsidR="00071058" w:rsidRDefault="00071058" w:rsidP="00071058">
      <w:pPr>
        <w:pStyle w:val="NormalWeb"/>
        <w:jc w:val="both"/>
      </w:pPr>
      <w:r>
        <w:rPr>
          <w:rStyle w:val="Strong"/>
        </w:rPr>
        <w:t>Enforcement discretion</w:t>
      </w:r>
      <w:r>
        <w:t xml:space="preserve"> concerns choices about whether, when, and how strongly to respond to non-compliance.</w:t>
      </w:r>
    </w:p>
    <w:p w14:paraId="6B42B6E4" w14:textId="77777777" w:rsidR="00071058" w:rsidRDefault="00071058" w:rsidP="00071058">
      <w:pPr>
        <w:pStyle w:val="NormalWeb"/>
        <w:jc w:val="both"/>
      </w:pPr>
      <w:r>
        <w:t>These dimensions can coexist within the same relationship. An intermediary, for example, may have little rule-making discretion but substantial assessment discretion. A regulated organization operating under management-based regulation may have extensive implementation discretion but limited discretion over reporting or audit requirements.</w:t>
      </w:r>
    </w:p>
    <w:p w14:paraId="3C5D34B9" w14:textId="1BE8C837" w:rsidR="00071058" w:rsidRDefault="00071058" w:rsidP="00071058">
      <w:pPr>
        <w:pStyle w:val="NormalWeb"/>
        <w:jc w:val="both"/>
      </w:pPr>
      <w:r>
        <w:t xml:space="preserve">Discretion also has several attributes that can be coded. </w:t>
      </w:r>
      <w:r>
        <w:rPr>
          <w:rStyle w:val="Strong"/>
        </w:rPr>
        <w:t>Range</w:t>
      </w:r>
      <w:r>
        <w:t xml:space="preserve"> concerns the breadth of permissible choices. </w:t>
      </w:r>
      <w:r>
        <w:rPr>
          <w:rStyle w:val="Strong"/>
        </w:rPr>
        <w:t>Specificity of constraint</w:t>
      </w:r>
      <w:r>
        <w:t xml:space="preserve"> concerns how precisely law structures those choices. </w:t>
      </w:r>
      <w:r>
        <w:rPr>
          <w:rStyle w:val="Strong"/>
        </w:rPr>
        <w:t>Conditionality</w:t>
      </w:r>
      <w:r>
        <w:t xml:space="preserve"> concerns whether discretion becomes available only when specified conditions are met. </w:t>
      </w:r>
      <w:r>
        <w:rPr>
          <w:rStyle w:val="Strong"/>
        </w:rPr>
        <w:t>Reviewability</w:t>
      </w:r>
      <w:r>
        <w:t xml:space="preserve"> concerns whether another actor can reconsider or overturn the exercise of discretion. </w:t>
      </w:r>
      <w:r>
        <w:rPr>
          <w:rStyle w:val="Strong"/>
        </w:rPr>
        <w:t>Justification requirements</w:t>
      </w:r>
      <w:r>
        <w:t xml:space="preserve"> concern whether the actor must provide reasons or evidence supporting its choice. These dimensions make it possible to distinguish formally similar grants of discretion that differ substantially in institutional effect. A simplified coding formulation might therefore be:</w:t>
      </w:r>
    </w:p>
    <w:p w14:paraId="5EBC6343" w14:textId="668C9323" w:rsidR="00071058" w:rsidRPr="00071058" w:rsidRDefault="00071058" w:rsidP="00071058">
      <w:pPr>
        <w:jc w:val="center"/>
        <w:rPr>
          <w:rFonts w:asciiTheme="majorBidi" w:hAnsiTheme="majorBidi" w:cstheme="majorBidi"/>
        </w:rPr>
      </w:pPr>
      <w:r w:rsidRPr="00071058">
        <w:rPr>
          <w:rFonts w:asciiTheme="majorBidi" w:hAnsiTheme="majorBidi" w:cstheme="majorBidi"/>
        </w:rPr>
        <w:t>Discretion= f(Range,\ Specificity,\ Conditionality,\ Reviewability,\ Justification)</w:t>
      </w:r>
    </w:p>
    <w:p w14:paraId="7DBC19F2" w14:textId="14015D24" w:rsidR="00071058" w:rsidRDefault="00071058" w:rsidP="00071058">
      <w:pPr>
        <w:pStyle w:val="NormalWeb"/>
        <w:jc w:val="both"/>
      </w:pPr>
      <w:r>
        <w:t>The relationship between authority and discretion is especially important. They should not be treated as synonymous. An actor may possess substantial authority but little discretion where law tightly determines the action it must take. Conversely, an actor may possess substantial discretion within a limited technical role while lacking broader authority over regulatory targets. The two dimensions are therefore analytically separable. A useful way of representing their interaction is:</w:t>
      </w:r>
    </w:p>
    <w:tbl>
      <w:tblPr>
        <w:tblW w:w="0" w:type="auto"/>
        <w:tblCellSpacing w:w="15" w:type="dxa"/>
        <w:tblInd w:w="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2406"/>
        <w:gridCol w:w="2869"/>
      </w:tblGrid>
      <w:tr w:rsidR="00071058" w14:paraId="750F7523" w14:textId="77777777" w:rsidTr="00071058">
        <w:trPr>
          <w:tblHeader/>
          <w:tblCellSpacing w:w="15" w:type="dxa"/>
        </w:trPr>
        <w:tc>
          <w:tcPr>
            <w:tcW w:w="0" w:type="auto"/>
            <w:vAlign w:val="center"/>
            <w:hideMark/>
          </w:tcPr>
          <w:p w14:paraId="343C65B5" w14:textId="77777777" w:rsidR="00071058" w:rsidRPr="009A22BF" w:rsidRDefault="00071058">
            <w:pPr>
              <w:rPr>
                <w:rFonts w:asciiTheme="majorBidi" w:hAnsiTheme="majorBidi" w:cstheme="majorBidi"/>
                <w:sz w:val="24"/>
                <w:szCs w:val="24"/>
              </w:rPr>
            </w:pPr>
          </w:p>
        </w:tc>
        <w:tc>
          <w:tcPr>
            <w:tcW w:w="0" w:type="auto"/>
            <w:vAlign w:val="center"/>
            <w:hideMark/>
          </w:tcPr>
          <w:p w14:paraId="0C168FEC" w14:textId="77777777" w:rsidR="00071058" w:rsidRPr="009A22BF" w:rsidRDefault="00071058">
            <w:pPr>
              <w:jc w:val="center"/>
              <w:rPr>
                <w:rFonts w:asciiTheme="majorBidi" w:hAnsiTheme="majorBidi" w:cstheme="majorBidi"/>
                <w:b/>
                <w:bCs/>
                <w:sz w:val="24"/>
                <w:szCs w:val="24"/>
              </w:rPr>
            </w:pPr>
            <w:r w:rsidRPr="009A22BF">
              <w:rPr>
                <w:rFonts w:asciiTheme="majorBidi" w:hAnsiTheme="majorBidi" w:cstheme="majorBidi"/>
                <w:b/>
                <w:bCs/>
                <w:sz w:val="24"/>
                <w:szCs w:val="24"/>
              </w:rPr>
              <w:t>Low discretion</w:t>
            </w:r>
          </w:p>
        </w:tc>
        <w:tc>
          <w:tcPr>
            <w:tcW w:w="0" w:type="auto"/>
            <w:vAlign w:val="center"/>
            <w:hideMark/>
          </w:tcPr>
          <w:p w14:paraId="589C08EE" w14:textId="77777777" w:rsidR="00071058" w:rsidRPr="009A22BF" w:rsidRDefault="00071058">
            <w:pPr>
              <w:jc w:val="center"/>
              <w:rPr>
                <w:rFonts w:asciiTheme="majorBidi" w:hAnsiTheme="majorBidi" w:cstheme="majorBidi"/>
                <w:b/>
                <w:bCs/>
                <w:sz w:val="24"/>
                <w:szCs w:val="24"/>
              </w:rPr>
            </w:pPr>
            <w:r w:rsidRPr="009A22BF">
              <w:rPr>
                <w:rFonts w:asciiTheme="majorBidi" w:hAnsiTheme="majorBidi" w:cstheme="majorBidi"/>
                <w:b/>
                <w:bCs/>
                <w:sz w:val="24"/>
                <w:szCs w:val="24"/>
              </w:rPr>
              <w:t>High discretion</w:t>
            </w:r>
          </w:p>
        </w:tc>
      </w:tr>
      <w:tr w:rsidR="00071058" w14:paraId="5CC4D9F9" w14:textId="77777777" w:rsidTr="00071058">
        <w:trPr>
          <w:tblCellSpacing w:w="15" w:type="dxa"/>
        </w:trPr>
        <w:tc>
          <w:tcPr>
            <w:tcW w:w="0" w:type="auto"/>
            <w:vAlign w:val="center"/>
            <w:hideMark/>
          </w:tcPr>
          <w:p w14:paraId="6D0DC862" w14:textId="77777777" w:rsidR="00071058" w:rsidRPr="009A22BF" w:rsidRDefault="00071058">
            <w:pPr>
              <w:rPr>
                <w:rFonts w:asciiTheme="majorBidi" w:hAnsiTheme="majorBidi" w:cstheme="majorBidi"/>
                <w:b/>
                <w:bCs/>
                <w:sz w:val="24"/>
                <w:szCs w:val="24"/>
              </w:rPr>
            </w:pPr>
            <w:r w:rsidRPr="009A22BF">
              <w:rPr>
                <w:rFonts w:asciiTheme="majorBidi" w:hAnsiTheme="majorBidi" w:cstheme="majorBidi"/>
                <w:b/>
                <w:bCs/>
                <w:sz w:val="24"/>
                <w:szCs w:val="24"/>
              </w:rPr>
              <w:t>High authority</w:t>
            </w:r>
          </w:p>
        </w:tc>
        <w:tc>
          <w:tcPr>
            <w:tcW w:w="0" w:type="auto"/>
            <w:vAlign w:val="center"/>
            <w:hideMark/>
          </w:tcPr>
          <w:p w14:paraId="2CA131D0" w14:textId="25963B9C"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rule-bound authoritative</w:t>
            </w:r>
          </w:p>
          <w:p w14:paraId="44CD3D6E" w14:textId="5D51F7ED"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governance</w:t>
            </w:r>
          </w:p>
        </w:tc>
        <w:tc>
          <w:tcPr>
            <w:tcW w:w="0" w:type="auto"/>
            <w:vAlign w:val="center"/>
            <w:hideMark/>
          </w:tcPr>
          <w:p w14:paraId="49602657" w14:textId="77777777"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discretionary authoritative</w:t>
            </w:r>
          </w:p>
          <w:p w14:paraId="10BA791C" w14:textId="0F798925"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governance</w:t>
            </w:r>
          </w:p>
        </w:tc>
      </w:tr>
      <w:tr w:rsidR="00071058" w14:paraId="0D1C07E8" w14:textId="77777777" w:rsidTr="00071058">
        <w:trPr>
          <w:tblCellSpacing w:w="15" w:type="dxa"/>
        </w:trPr>
        <w:tc>
          <w:tcPr>
            <w:tcW w:w="0" w:type="auto"/>
            <w:vAlign w:val="center"/>
            <w:hideMark/>
          </w:tcPr>
          <w:p w14:paraId="06EB0525" w14:textId="77777777" w:rsidR="00071058" w:rsidRPr="009A22BF" w:rsidRDefault="00071058">
            <w:pPr>
              <w:rPr>
                <w:rFonts w:asciiTheme="majorBidi" w:hAnsiTheme="majorBidi" w:cstheme="majorBidi"/>
                <w:b/>
                <w:bCs/>
                <w:sz w:val="24"/>
                <w:szCs w:val="24"/>
              </w:rPr>
            </w:pPr>
            <w:r w:rsidRPr="009A22BF">
              <w:rPr>
                <w:rFonts w:asciiTheme="majorBidi" w:hAnsiTheme="majorBidi" w:cstheme="majorBidi"/>
                <w:b/>
                <w:bCs/>
                <w:sz w:val="24"/>
                <w:szCs w:val="24"/>
              </w:rPr>
              <w:t>Low authority</w:t>
            </w:r>
          </w:p>
        </w:tc>
        <w:tc>
          <w:tcPr>
            <w:tcW w:w="0" w:type="auto"/>
            <w:vAlign w:val="center"/>
            <w:hideMark/>
          </w:tcPr>
          <w:p w14:paraId="1E1BA504" w14:textId="77777777"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constrained supporting</w:t>
            </w:r>
          </w:p>
          <w:p w14:paraId="01310E33" w14:textId="448F1021"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role</w:t>
            </w:r>
          </w:p>
        </w:tc>
        <w:tc>
          <w:tcPr>
            <w:tcW w:w="0" w:type="auto"/>
            <w:vAlign w:val="center"/>
            <w:hideMark/>
          </w:tcPr>
          <w:p w14:paraId="3DB4D4BC" w14:textId="77777777" w:rsidR="009A22BF"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autonomous but non-binding</w:t>
            </w:r>
          </w:p>
          <w:p w14:paraId="51FA5F04" w14:textId="3F6AAAF7" w:rsidR="00071058" w:rsidRPr="009A22BF" w:rsidRDefault="00071058" w:rsidP="009A22BF">
            <w:pPr>
              <w:jc w:val="center"/>
              <w:rPr>
                <w:rFonts w:asciiTheme="majorBidi" w:hAnsiTheme="majorBidi" w:cstheme="majorBidi"/>
                <w:sz w:val="24"/>
                <w:szCs w:val="24"/>
              </w:rPr>
            </w:pPr>
            <w:r w:rsidRPr="009A22BF">
              <w:rPr>
                <w:rFonts w:asciiTheme="majorBidi" w:hAnsiTheme="majorBidi" w:cstheme="majorBidi"/>
                <w:sz w:val="24"/>
                <w:szCs w:val="24"/>
              </w:rPr>
              <w:t>judgment</w:t>
            </w:r>
          </w:p>
        </w:tc>
      </w:tr>
    </w:tbl>
    <w:p w14:paraId="3691F297" w14:textId="77777777" w:rsidR="00071058" w:rsidRDefault="00071058" w:rsidP="00071058">
      <w:pPr>
        <w:pStyle w:val="NormalWeb"/>
        <w:spacing w:line="276" w:lineRule="auto"/>
        <w:jc w:val="both"/>
      </w:pPr>
    </w:p>
    <w:p w14:paraId="0767F9FF" w14:textId="138D80C6" w:rsidR="00071058" w:rsidRDefault="00071058" w:rsidP="00071058">
      <w:pPr>
        <w:pStyle w:val="NormalWeb"/>
        <w:spacing w:line="276" w:lineRule="auto"/>
        <w:jc w:val="both"/>
      </w:pPr>
      <w:r>
        <w:t xml:space="preserve">This distinction is particularly valuable for </w:t>
      </w:r>
      <w:proofErr w:type="spellStart"/>
      <w:r>
        <w:t>analysing</w:t>
      </w:r>
      <w:proofErr w:type="spellEnd"/>
      <w:r>
        <w:t xml:space="preserve"> regulatory intermediaries. Some intermediaries perform tightly specified verification tasks whose consequences are legally significant: high authority, relatively low discretion. Others provide assessments, ratings, guidance, or standards that are formally non-binding but depend heavily upon professional or technical judgment: lower formal authority, higher </w:t>
      </w:r>
      <w:r>
        <w:lastRenderedPageBreak/>
        <w:t>discretion. Still others combine both, as where accredited conformity-assessment bodies exercise substantial technical judgment and their decisions determine access to regulated markets.</w:t>
      </w:r>
    </w:p>
    <w:p w14:paraId="3AEE4D48" w14:textId="5B9BD9E9" w:rsidR="00071058" w:rsidRDefault="00071058" w:rsidP="00071058">
      <w:pPr>
        <w:pStyle w:val="NormalWeb"/>
        <w:spacing w:line="276" w:lineRule="auto"/>
        <w:jc w:val="both"/>
      </w:pPr>
      <w:r>
        <w:t xml:space="preserve">Discretion also connects directly to regulatory strategies. Prescriptive regulation generally seeks to reduce implementation discretion by specifying actions, technologies, or inputs. Performance-based regulation constrains outcomes while leaving greater discretion over means. Management-based regulation deliberately relocates discretion to regulated organizations by requiring them to design systems appropriate to their circumstances. Principles-based regulation transfers interpretive discretion to regulators, regulatees, courts, and intermediaries. Risk-based and responsive regulation allocate discretion over prioritization and enforcement sequencing. These strategies can therefore be understood partly as different ways of distributing discretion across the governance architecture. Your current discussion already points in this direction when distinguishing where along the regulatory chain the legally enforceable standard is located. </w:t>
      </w:r>
    </w:p>
    <w:p w14:paraId="63178BFC" w14:textId="77777777" w:rsidR="00071058" w:rsidRPr="00071058" w:rsidRDefault="00071058" w:rsidP="00071058">
      <w:pPr>
        <w:pStyle w:val="NormalWeb"/>
        <w:spacing w:line="276" w:lineRule="auto"/>
        <w:jc w:val="both"/>
        <w:rPr>
          <w:b/>
          <w:bCs/>
        </w:rPr>
      </w:pPr>
      <w:r>
        <w:t xml:space="preserve">The distribution of discretion is consequently an architectural property as well as a relational one. Two laws can contain the same actors, instruments, and formal relationships but differ substantially in where discretion is located. One may concentrate judgment in a public authority; another may shift interpretive responsibility to firms; another may allocate technical judgment to professional intermediaries; and an experimentalist arrangement may deliberately distribute discretion across several levels while requiring reporting, comparison, and revision. Mapping discretion therefore reveals not only how much flexibility a legal regime provides, but </w:t>
      </w:r>
      <w:r w:rsidRPr="00071058">
        <w:rPr>
          <w:rStyle w:val="Strong"/>
          <w:b w:val="0"/>
          <w:bCs w:val="0"/>
        </w:rPr>
        <w:t>who is trusted or authorized to exercise judgment within it</w:t>
      </w:r>
      <w:r w:rsidRPr="00071058">
        <w:rPr>
          <w:b/>
          <w:bCs/>
        </w:rPr>
        <w:t>.</w:t>
      </w:r>
    </w:p>
    <w:p w14:paraId="196231AB" w14:textId="77777777" w:rsidR="00071058" w:rsidRDefault="00071058" w:rsidP="00071058">
      <w:pPr>
        <w:pStyle w:val="NormalWeb"/>
        <w:spacing w:line="276" w:lineRule="auto"/>
        <w:jc w:val="both"/>
      </w:pPr>
      <w:r>
        <w:t>For relational leximetrics, discretion should ordinarily be coded from explicit legal indicators rather than inferred from general assumptions about institutional roles. Relevant indicators include open-textured standards, powers framed in permissive rather than mandatory terms, requirements to take specified factors into account, choice among alternative compliance methods, authority to set priorities, exemptions or derogations, and requirements to provide reasons for judgment. Where the legal text does not permit a reliable assessment, discretion should remain uncoded rather than inferred from external expectations about how the actor normally operates.</w:t>
      </w:r>
    </w:p>
    <w:p w14:paraId="67182EE8" w14:textId="77777777" w:rsidR="00071058" w:rsidRDefault="00071058" w:rsidP="00071058">
      <w:pPr>
        <w:pStyle w:val="NormalWeb"/>
        <w:spacing w:line="276" w:lineRule="auto"/>
        <w:jc w:val="both"/>
      </w:pPr>
      <w:r>
        <w:t>Taken together, authority and discretion permit a richer reconstruction of governance architecture than actor and relationship coding alone. Authority identifies where law locates consequential decision-making capacity; discretion identifies where it locates judgment. Their joint distribution helps reveal whether governance is centralized or dispersed, rule-bound or adaptive, directly administered or intermediated, and tightly controlled or dependent upon professional, organizational, or private judgment.</w:t>
      </w:r>
    </w:p>
    <w:p w14:paraId="29C52A16" w14:textId="77777777" w:rsidR="00071058" w:rsidRDefault="00071058" w:rsidP="00071058">
      <w:pPr>
        <w:pStyle w:val="NormalWeb"/>
        <w:spacing w:line="276" w:lineRule="auto"/>
        <w:jc w:val="both"/>
      </w:pPr>
      <w:r>
        <w:t xml:space="preserve">Authority and discretion are thus not independent additions to the architecture framework but attributes that qualify the governance relationships reconstructed from law. Functions identify what actors do; mechanisms identify how influence operates; instruments identify the institutional devices through which governance is organized; relationships identify how actors are connected; authority identifies the legally consequential capacity attached to those relationships; and discretion identifies the scope of legally structured choice in exercising that capacity. Together these dimensions permit governance architectures </w:t>
      </w:r>
      <w:r>
        <w:lastRenderedPageBreak/>
        <w:t>to be distinguished not simply by their participants or formal structures, but by the distribution of governing power and judgment across the system.</w:t>
      </w:r>
    </w:p>
    <w:p w14:paraId="25EBB6A9" w14:textId="4E0D6E43" w:rsidR="00071058" w:rsidRDefault="00071058" w:rsidP="0036629B">
      <w:pPr>
        <w:rPr>
          <w:rFonts w:asciiTheme="majorBidi" w:hAnsiTheme="majorBidi" w:cstheme="majorBidi"/>
          <w:b/>
          <w:bCs/>
          <w:sz w:val="24"/>
          <w:szCs w:val="24"/>
        </w:rPr>
      </w:pPr>
    </w:p>
    <w:p w14:paraId="6B9D5FF2" w14:textId="77777777" w:rsidR="0040748E" w:rsidRPr="009A22BF" w:rsidRDefault="0040748E" w:rsidP="009A22BF">
      <w:pPr>
        <w:rPr>
          <w:rFonts w:asciiTheme="majorBidi" w:hAnsiTheme="majorBidi" w:cstheme="majorBidi"/>
          <w:b/>
          <w:bCs/>
          <w:sz w:val="24"/>
          <w:szCs w:val="24"/>
        </w:rPr>
      </w:pPr>
      <w:r w:rsidRPr="009A22BF">
        <w:rPr>
          <w:rFonts w:asciiTheme="majorBidi" w:hAnsiTheme="majorBidi" w:cstheme="majorBidi"/>
          <w:b/>
          <w:bCs/>
          <w:sz w:val="24"/>
          <w:szCs w:val="24"/>
        </w:rPr>
        <w:t>4.3 Accountability: answerability, assessment and consequences</w:t>
      </w:r>
    </w:p>
    <w:p w14:paraId="0F76AC4C"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Governance relationships differ not only in the authority and discretion allocated to actors, but also in the arrangements through which the exercise of governing power is rendered answerable. Accountability refers to an institutionalized relationship in which an actor is required to provide information or justification concerning its conduct to another actor or forum that is entitled to scrutinize, assess, question, or respond to that conduct. Accountability is therefore relational rather than simply an attribute of an organization. An actor is accountable </w:t>
      </w:r>
      <w:r w:rsidRPr="009A22BF">
        <w:rPr>
          <w:rStyle w:val="Strong"/>
          <w:rFonts w:asciiTheme="majorBidi" w:hAnsiTheme="majorBidi" w:cstheme="majorBidi"/>
          <w:b w:val="0"/>
          <w:bCs w:val="0"/>
        </w:rPr>
        <w:t>to whom</w:t>
      </w:r>
      <w:r w:rsidRPr="009A22BF">
        <w:rPr>
          <w:rFonts w:asciiTheme="majorBidi" w:hAnsiTheme="majorBidi" w:cstheme="majorBidi"/>
          <w:b/>
          <w:bCs/>
        </w:rPr>
        <w:t xml:space="preserve">, </w:t>
      </w:r>
      <w:r w:rsidRPr="009A22BF">
        <w:rPr>
          <w:rStyle w:val="Strong"/>
          <w:rFonts w:asciiTheme="majorBidi" w:hAnsiTheme="majorBidi" w:cstheme="majorBidi"/>
          <w:b w:val="0"/>
          <w:bCs w:val="0"/>
        </w:rPr>
        <w:t>for what</w:t>
      </w:r>
      <w:r w:rsidRPr="009A22BF">
        <w:rPr>
          <w:rFonts w:asciiTheme="majorBidi" w:hAnsiTheme="majorBidi" w:cstheme="majorBidi"/>
          <w:b/>
          <w:bCs/>
        </w:rPr>
        <w:t xml:space="preserve">, </w:t>
      </w:r>
      <w:r w:rsidRPr="009A22BF">
        <w:rPr>
          <w:rStyle w:val="Strong"/>
          <w:rFonts w:asciiTheme="majorBidi" w:hAnsiTheme="majorBidi" w:cstheme="majorBidi"/>
          <w:b w:val="0"/>
          <w:bCs w:val="0"/>
        </w:rPr>
        <w:t>through which procedure</w:t>
      </w:r>
      <w:r w:rsidRPr="009A22BF">
        <w:rPr>
          <w:rFonts w:asciiTheme="majorBidi" w:hAnsiTheme="majorBidi" w:cstheme="majorBidi"/>
        </w:rPr>
        <w:t xml:space="preserve">, and </w:t>
      </w:r>
      <w:r w:rsidRPr="009A22BF">
        <w:rPr>
          <w:rStyle w:val="Strong"/>
          <w:rFonts w:asciiTheme="majorBidi" w:hAnsiTheme="majorBidi" w:cstheme="majorBidi"/>
          <w:b w:val="0"/>
          <w:bCs w:val="0"/>
        </w:rPr>
        <w:t>with what possible consequences</w:t>
      </w:r>
      <w:r w:rsidRPr="009A22BF">
        <w:rPr>
          <w:rFonts w:asciiTheme="majorBidi" w:hAnsiTheme="majorBidi" w:cstheme="majorBidi"/>
          <w:b/>
          <w:bCs/>
        </w:rPr>
        <w:t xml:space="preserve"> </w:t>
      </w:r>
      <w:r w:rsidRPr="009A22BF">
        <w:rPr>
          <w:rFonts w:asciiTheme="majorBidi" w:hAnsiTheme="majorBidi" w:cstheme="majorBidi"/>
        </w:rPr>
        <w:t>are distinct questions that must be recovered from the legal architecture.</w:t>
      </w:r>
    </w:p>
    <w:p w14:paraId="56BC89F1"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This understanding builds on a large literature in public administration and democratic governance that treats accountability as a structured relationship between an actor and a forum. </w:t>
      </w:r>
      <w:proofErr w:type="spellStart"/>
      <w:r w:rsidRPr="009A22BF">
        <w:rPr>
          <w:rFonts w:asciiTheme="majorBidi" w:hAnsiTheme="majorBidi" w:cstheme="majorBidi"/>
        </w:rPr>
        <w:t>Bovens</w:t>
      </w:r>
      <w:proofErr w:type="spellEnd"/>
      <w:r w:rsidRPr="009A22BF">
        <w:rPr>
          <w:rFonts w:asciiTheme="majorBidi" w:hAnsiTheme="majorBidi" w:cstheme="majorBidi"/>
        </w:rPr>
        <w:t xml:space="preserve"> (2007), for example, conceptualizes accountability as a relationship in which an actor is obliged to explain and justify conduct, a forum can question and pass judgment, and consequences may follow. </w:t>
      </w:r>
      <w:proofErr w:type="spellStart"/>
      <w:r w:rsidRPr="009A22BF">
        <w:rPr>
          <w:rFonts w:asciiTheme="majorBidi" w:hAnsiTheme="majorBidi" w:cstheme="majorBidi"/>
        </w:rPr>
        <w:t>Mulgan</w:t>
      </w:r>
      <w:proofErr w:type="spellEnd"/>
      <w:r w:rsidRPr="009A22BF">
        <w:rPr>
          <w:rFonts w:asciiTheme="majorBidi" w:hAnsiTheme="majorBidi" w:cstheme="majorBidi"/>
        </w:rPr>
        <w:t xml:space="preserve"> (2000, 2003) similarly emphasizes answerability and external scrutiny, while </w:t>
      </w:r>
      <w:proofErr w:type="spellStart"/>
      <w:r w:rsidRPr="009A22BF">
        <w:rPr>
          <w:rFonts w:asciiTheme="majorBidi" w:hAnsiTheme="majorBidi" w:cstheme="majorBidi"/>
        </w:rPr>
        <w:t>Romzek</w:t>
      </w:r>
      <w:proofErr w:type="spellEnd"/>
      <w:r w:rsidRPr="009A22BF">
        <w:rPr>
          <w:rFonts w:asciiTheme="majorBidi" w:hAnsiTheme="majorBidi" w:cstheme="majorBidi"/>
        </w:rPr>
        <w:t xml:space="preserve"> and </w:t>
      </w:r>
      <w:proofErr w:type="spellStart"/>
      <w:r w:rsidRPr="009A22BF">
        <w:rPr>
          <w:rFonts w:asciiTheme="majorBidi" w:hAnsiTheme="majorBidi" w:cstheme="majorBidi"/>
        </w:rPr>
        <w:t>Dubnick</w:t>
      </w:r>
      <w:proofErr w:type="spellEnd"/>
      <w:r w:rsidRPr="009A22BF">
        <w:rPr>
          <w:rFonts w:asciiTheme="majorBidi" w:hAnsiTheme="majorBidi" w:cstheme="majorBidi"/>
        </w:rPr>
        <w:t xml:space="preserve"> (1987) demonstrate that public organizations are commonly subject to multiple accountability relationships operating through hierarchical, legal, professional and political channels. These traditions are particularly useful for relational leximetrics because they direct attention away from abstract statements that an organization is “accountable” and toward the specific institutional relationships through which accountability is constituted.</w:t>
      </w:r>
    </w:p>
    <w:p w14:paraId="1A04D472"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Accountability should be distinguished from several neighboring concepts in the framework. </w:t>
      </w:r>
      <w:r w:rsidRPr="009A22BF">
        <w:rPr>
          <w:rStyle w:val="Strong"/>
          <w:rFonts w:asciiTheme="majorBidi" w:hAnsiTheme="majorBidi" w:cstheme="majorBidi"/>
        </w:rPr>
        <w:t>Reporting</w:t>
      </w:r>
      <w:r w:rsidRPr="009A22BF">
        <w:rPr>
          <w:rFonts w:asciiTheme="majorBidi" w:hAnsiTheme="majorBidi" w:cstheme="majorBidi"/>
        </w:rPr>
        <w:t xml:space="preserve"> is an information relationship: Actor A provides information to Actor B. Reporting may support accountability, but information provision alone does not necessarily create an accountability relationship. </w:t>
      </w:r>
      <w:r w:rsidRPr="009A22BF">
        <w:rPr>
          <w:rStyle w:val="Strong"/>
          <w:rFonts w:asciiTheme="majorBidi" w:hAnsiTheme="majorBidi" w:cstheme="majorBidi"/>
        </w:rPr>
        <w:t>Monitoring</w:t>
      </w:r>
      <w:r w:rsidRPr="009A22BF">
        <w:rPr>
          <w:rFonts w:asciiTheme="majorBidi" w:hAnsiTheme="majorBidi" w:cstheme="majorBidi"/>
        </w:rPr>
        <w:t xml:space="preserve"> concerns observation of conduct or performance. </w:t>
      </w:r>
      <w:r w:rsidRPr="009A22BF">
        <w:rPr>
          <w:rStyle w:val="Strong"/>
          <w:rFonts w:asciiTheme="majorBidi" w:hAnsiTheme="majorBidi" w:cstheme="majorBidi"/>
        </w:rPr>
        <w:t>Review</w:t>
      </w:r>
      <w:r w:rsidRPr="009A22BF">
        <w:rPr>
          <w:rFonts w:asciiTheme="majorBidi" w:hAnsiTheme="majorBidi" w:cstheme="majorBidi"/>
        </w:rPr>
        <w:t xml:space="preserve"> concerns reconsideration or assessment of a decision. </w:t>
      </w:r>
      <w:r w:rsidRPr="009A22BF">
        <w:rPr>
          <w:rStyle w:val="Strong"/>
          <w:rFonts w:asciiTheme="majorBidi" w:hAnsiTheme="majorBidi" w:cstheme="majorBidi"/>
        </w:rPr>
        <w:t>Enforcement</w:t>
      </w:r>
      <w:r w:rsidRPr="009A22BF">
        <w:rPr>
          <w:rFonts w:asciiTheme="majorBidi" w:hAnsiTheme="majorBidi" w:cstheme="majorBidi"/>
        </w:rPr>
        <w:t xml:space="preserve"> concerns the imposition of corrective or punitive consequences. Accountability may incorporate all of these, but it is not reducible to any one of them. A reporting requirement without a right to question or assess may constitute transparency rather than accountability; a monitoring system may detect </w:t>
      </w:r>
      <w:proofErr w:type="spellStart"/>
      <w:r w:rsidRPr="009A22BF">
        <w:rPr>
          <w:rFonts w:asciiTheme="majorBidi" w:hAnsiTheme="majorBidi" w:cstheme="majorBidi"/>
        </w:rPr>
        <w:t>behaviour</w:t>
      </w:r>
      <w:proofErr w:type="spellEnd"/>
      <w:r w:rsidRPr="009A22BF">
        <w:rPr>
          <w:rFonts w:asciiTheme="majorBidi" w:hAnsiTheme="majorBidi" w:cstheme="majorBidi"/>
        </w:rPr>
        <w:t xml:space="preserve"> without requiring justification; and enforcement may be triggered automatically without any meaningful process of answerability.</w:t>
      </w:r>
    </w:p>
    <w:p w14:paraId="248F9AA5" w14:textId="03AB5013"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For purposes of coding, accountability can therefore be understood as a composite relational structure linking several possible components:</w:t>
      </w:r>
      <w:r w:rsidR="009A22BF" w:rsidRPr="009A22BF">
        <w:rPr>
          <w:rFonts w:asciiTheme="majorBidi" w:hAnsiTheme="majorBidi" w:cstheme="majorBidi"/>
        </w:rPr>
        <w:t xml:space="preserve"> information, explanation, justification, assessment, response and consequence.  </w:t>
      </w:r>
      <w:r w:rsidRPr="009A22BF">
        <w:rPr>
          <w:rFonts w:asciiTheme="majorBidi" w:hAnsiTheme="majorBidi" w:cstheme="majorBidi"/>
        </w:rPr>
        <w:t xml:space="preserve">Not every accountability relationship will contain all </w:t>
      </w:r>
      <w:r w:rsidR="009A22BF" w:rsidRPr="009A22BF">
        <w:rPr>
          <w:rFonts w:asciiTheme="majorBidi" w:hAnsiTheme="majorBidi" w:cstheme="majorBidi"/>
        </w:rPr>
        <w:t>these</w:t>
      </w:r>
      <w:r w:rsidRPr="009A22BF">
        <w:rPr>
          <w:rFonts w:asciiTheme="majorBidi" w:hAnsiTheme="majorBidi" w:cstheme="majorBidi"/>
        </w:rPr>
        <w:t xml:space="preserve"> components, and their institutional strength may vary considerably. The analytical objective should not be to impose an excessively restrictive definition, but to identify which components are legally constituted and how they are distributed across actors.</w:t>
      </w:r>
    </w:p>
    <w:p w14:paraId="2649B28D"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At least six dimensions of legally constituted accountability can be distinguished.</w:t>
      </w:r>
    </w:p>
    <w:p w14:paraId="74539F97"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lastRenderedPageBreak/>
        <w:t>First, the accountability forum</w:t>
      </w:r>
      <w:r w:rsidRPr="009A22BF">
        <w:rPr>
          <w:rFonts w:asciiTheme="majorBidi" w:hAnsiTheme="majorBidi" w:cstheme="majorBidi"/>
        </w:rPr>
        <w:t xml:space="preserve"> identifies the actor or institution to whom another actor is answerable. A public agency may be accountable to a ministry, legislature, court, auditor, ombudsman, supervisory authority, professional body, or affected public. A regulatory intermediary may be answerable to an accreditor, competent authority, client, professional association, or beneficiary. Because contemporary governance frequently contains several accountability forums simultaneously, the database should permit multiple accountability relationships rather than assigning each actor a single accountability status.</w:t>
      </w:r>
    </w:p>
    <w:p w14:paraId="471E51ED"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Second, the object of accountability</w:t>
      </w:r>
      <w:r w:rsidRPr="009A22BF">
        <w:rPr>
          <w:rFonts w:asciiTheme="majorBidi" w:hAnsiTheme="majorBidi" w:cstheme="majorBidi"/>
        </w:rPr>
        <w:t xml:space="preserve"> identifies what conduct, decision, function, or outcome must be accounted for. Accountability may concern the legality of a decision, financial management, procedural compliance, technical performance, risk assessment, enforcement activity, use of delegated authority, or protection of rights. The object of accountability should therefore remain linked to the particular governance function and relationship rather than being treated as a general property of the actor.</w:t>
      </w:r>
    </w:p>
    <w:p w14:paraId="7139C47D"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Third, the information obligation</w:t>
      </w:r>
      <w:r w:rsidRPr="009A22BF">
        <w:rPr>
          <w:rFonts w:asciiTheme="majorBidi" w:hAnsiTheme="majorBidi" w:cstheme="majorBidi"/>
        </w:rPr>
        <w:t xml:space="preserve"> concerns whether the accountable actor must disclose or transmit information concerning its actions. Relevant devices include periodic reports, notification requirements, record-keeping duties, publication obligations, audit trails, reasons for decisions, and access to documents. This is the informational foundation upon which stronger forms of accountability may be constructed.</w:t>
      </w:r>
    </w:p>
    <w:p w14:paraId="5033F5FB"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Fourth, justification or answerability</w:t>
      </w:r>
      <w:r w:rsidRPr="009A22BF">
        <w:rPr>
          <w:rFonts w:asciiTheme="majorBidi" w:hAnsiTheme="majorBidi" w:cstheme="majorBidi"/>
        </w:rPr>
        <w:t xml:space="preserve"> concerns whether the actor must explain or defend its conduct rather than merely provide information. Duties to give reasons, respond to questions, demonstrate compliance, explain methodological choices, or justify departures from standards indicate stronger answerability than simple reporting.</w:t>
      </w:r>
    </w:p>
    <w:p w14:paraId="747080B6"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Fifth, assessment and judgment</w:t>
      </w:r>
      <w:r w:rsidRPr="009A22BF">
        <w:rPr>
          <w:rFonts w:asciiTheme="majorBidi" w:hAnsiTheme="majorBidi" w:cstheme="majorBidi"/>
        </w:rPr>
        <w:t xml:space="preserve"> concern whether the accountability forum has authority to evaluate the conduct or explanation provided. Assessment may take the form of audit findings, supervisory determinations, parliamentary scrutiny, professional review, judicial review, accreditation decisions, or administrative approval. An information relationship becomes more clearly accountability-oriented where the receiving forum possesses an institutionalized capacity to judge adequacy or compliance.</w:t>
      </w:r>
    </w:p>
    <w:p w14:paraId="1B06C0DA" w14:textId="77777777" w:rsidR="0040748E" w:rsidRPr="009A22BF" w:rsidRDefault="0040748E" w:rsidP="009A22BF">
      <w:pPr>
        <w:pStyle w:val="NormalWeb"/>
        <w:spacing w:line="276" w:lineRule="auto"/>
        <w:jc w:val="both"/>
        <w:rPr>
          <w:rFonts w:asciiTheme="majorBidi" w:hAnsiTheme="majorBidi" w:cstheme="majorBidi"/>
        </w:rPr>
      </w:pPr>
      <w:r w:rsidRPr="009A22BF">
        <w:rPr>
          <w:rStyle w:val="Strong"/>
          <w:rFonts w:asciiTheme="majorBidi" w:hAnsiTheme="majorBidi" w:cstheme="majorBidi"/>
        </w:rPr>
        <w:t>Sixth, consequences</w:t>
      </w:r>
      <w:r w:rsidRPr="009A22BF">
        <w:rPr>
          <w:rFonts w:asciiTheme="majorBidi" w:hAnsiTheme="majorBidi" w:cstheme="majorBidi"/>
        </w:rPr>
        <w:t xml:space="preserve"> concern what may follow from adverse assessment. Consequences may range from recommendations and reputational exposure to corrective orders, withdrawal of designation, financial penalties, reversal of decisions, disciplinary action, or removal from office. The existence of consequences strengthens accountability but should not be treated as a necessary condition for every form of answerability. Some accountability institutions rely principally on publicity, explanation, review, or reputational effects rather than formal sanctions.</w:t>
      </w:r>
    </w:p>
    <w:p w14:paraId="619F2054"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As with authority and discretion, the purpose of this representation is not necessarily to construct a single additive index. Rather, it allows accountability relationships to be decomposed into comparable attributes and prevents formally different arrangements from being collapsed into a simple dichotomy of accountable/not accountable.</w:t>
      </w:r>
    </w:p>
    <w:p w14:paraId="3EA73545"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lastRenderedPageBreak/>
        <w:t xml:space="preserve">Accountability is particularly important for </w:t>
      </w:r>
      <w:proofErr w:type="spellStart"/>
      <w:r w:rsidRPr="009A22BF">
        <w:rPr>
          <w:rFonts w:asciiTheme="majorBidi" w:hAnsiTheme="majorBidi" w:cstheme="majorBidi"/>
        </w:rPr>
        <w:t>analysing</w:t>
      </w:r>
      <w:proofErr w:type="spellEnd"/>
      <w:r w:rsidRPr="009A22BF">
        <w:rPr>
          <w:rFonts w:asciiTheme="majorBidi" w:hAnsiTheme="majorBidi" w:cstheme="majorBidi"/>
        </w:rPr>
        <w:t xml:space="preserve"> indirect and intermediary-based governance. The delegation or intermediation of regulatory functions creates a recurrent problem: actors exercising important governance functions may not be embedded in conventional hierarchical accountability relationships. A private auditor, certifier, standards body, or platform may exercise considerable discretion and produce decisions with substantial regulatory consequences while remaining formally outside the administrative hierarchy. The relevant empirical question is therefore not simply whether authority has been distributed away from the state, but whether accountability has been redistributed alongside it.</w:t>
      </w:r>
    </w:p>
    <w:p w14:paraId="775A4588" w14:textId="70C6750A"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This suggests distinguishing between the </w:t>
      </w:r>
      <w:r w:rsidRPr="009A22BF">
        <w:rPr>
          <w:rStyle w:val="Strong"/>
          <w:rFonts w:asciiTheme="majorBidi" w:hAnsiTheme="majorBidi" w:cstheme="majorBidi"/>
        </w:rPr>
        <w:t>allocation of governing capacity</w:t>
      </w:r>
      <w:r w:rsidRPr="009A22BF">
        <w:rPr>
          <w:rFonts w:asciiTheme="majorBidi" w:hAnsiTheme="majorBidi" w:cstheme="majorBidi"/>
        </w:rPr>
        <w:t xml:space="preserve"> and the </w:t>
      </w:r>
      <w:r w:rsidRPr="009A22BF">
        <w:rPr>
          <w:rStyle w:val="Strong"/>
          <w:rFonts w:asciiTheme="majorBidi" w:hAnsiTheme="majorBidi" w:cstheme="majorBidi"/>
        </w:rPr>
        <w:t>allocation of accountability</w:t>
      </w:r>
      <w:r w:rsidRPr="009A22BF">
        <w:rPr>
          <w:rFonts w:asciiTheme="majorBidi" w:hAnsiTheme="majorBidi" w:cstheme="majorBidi"/>
        </w:rPr>
        <w:t>. A governance architecture may delegate authority while retaining strong public supervision and review. Alternatively, it may confer substantial authority and discretion upon an intermediary while establishing only weak informational duties. The two architectures therefore differ not in the amount of delegation alone but in the extent to which accountability follows delegated</w:t>
      </w:r>
      <w:r w:rsidR="009A22BF" w:rsidRPr="009A22BF">
        <w:rPr>
          <w:rFonts w:asciiTheme="majorBidi" w:hAnsiTheme="majorBidi" w:cstheme="majorBidi"/>
        </w:rPr>
        <w:t xml:space="preserve">. </w:t>
      </w:r>
      <w:r w:rsidRPr="009A22BF">
        <w:rPr>
          <w:rFonts w:asciiTheme="majorBidi" w:hAnsiTheme="majorBidi" w:cstheme="majorBidi"/>
        </w:rPr>
        <w:t>This distinction is central to the analysis of regulatory intermediaries. An accreditation body may authorize a certifier; the certifier may assess a regulated firm; the certifier may then be required to report to a competent authority; the firm may challenge the certification decision; and the competent authority may withdraw the certifier's designation. Accountability architecture is therefore produced by a configuration of information, justification, assessment, review, and sanction relations rather than by a single legal clause.</w:t>
      </w:r>
    </w:p>
    <w:p w14:paraId="3D036475"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The direction of accountability should also be preserved. Traditional administrative systems emphasize </w:t>
      </w:r>
      <w:r w:rsidRPr="009A22BF">
        <w:rPr>
          <w:rStyle w:val="Strong"/>
          <w:rFonts w:asciiTheme="majorBidi" w:hAnsiTheme="majorBidi" w:cstheme="majorBidi"/>
        </w:rPr>
        <w:t>vertical accountability</w:t>
      </w:r>
      <w:r w:rsidRPr="009A22BF">
        <w:rPr>
          <w:rFonts w:asciiTheme="majorBidi" w:hAnsiTheme="majorBidi" w:cstheme="majorBidi"/>
        </w:rPr>
        <w:t xml:space="preserve">, in which lower-level actors answer to superior public authorities. Contemporary governance additionally relies on </w:t>
      </w:r>
      <w:r w:rsidRPr="009A22BF">
        <w:rPr>
          <w:rStyle w:val="Strong"/>
          <w:rFonts w:asciiTheme="majorBidi" w:hAnsiTheme="majorBidi" w:cstheme="majorBidi"/>
        </w:rPr>
        <w:t>horizontal accountability</w:t>
      </w:r>
      <w:r w:rsidRPr="009A22BF">
        <w:rPr>
          <w:rFonts w:asciiTheme="majorBidi" w:hAnsiTheme="majorBidi" w:cstheme="majorBidi"/>
        </w:rPr>
        <w:t xml:space="preserve">, where agencies, courts, auditors, ombudsmen or other bodies scrutinize one another without a simple superior–subordinate relationship. Regulatory governance may also create forms of </w:t>
      </w:r>
      <w:r w:rsidRPr="009A22BF">
        <w:rPr>
          <w:rStyle w:val="Strong"/>
          <w:rFonts w:asciiTheme="majorBidi" w:hAnsiTheme="majorBidi" w:cstheme="majorBidi"/>
        </w:rPr>
        <w:t>downward or stakeholder accountability</w:t>
      </w:r>
      <w:r w:rsidRPr="009A22BF">
        <w:rPr>
          <w:rFonts w:asciiTheme="majorBidi" w:hAnsiTheme="majorBidi" w:cstheme="majorBidi"/>
        </w:rPr>
        <w:t>, in which regulators, firms or intermediaries must provide reasons, information, complaint procedures or remedies to citizens, consumers, workers or other beneficiaries.</w:t>
      </w:r>
    </w:p>
    <w:p w14:paraId="4631A4E2"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These directions are analytically consequential. A regime may exhibit strong upward reporting to the regulator while providing weak opportunities for affected parties to challenge decisions. Another may combine relatively weak hierarchical supervision with substantial transparency, complaints and judicial review. Both may appear “accountable” in aggregate, but the architecture and beneficiaries of accountability differ.</w:t>
      </w:r>
    </w:p>
    <w:p w14:paraId="798F5DC5"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For coding purposes, accountability direction can therefore be represented as:</w:t>
      </w:r>
    </w:p>
    <w:p w14:paraId="0C0D4F72"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upward accountability;</w:t>
      </w:r>
    </w:p>
    <w:p w14:paraId="75AD8C12"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horizontal accountability;</w:t>
      </w:r>
    </w:p>
    <w:p w14:paraId="1DE38F91"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downward/stakeholder accountability;</w:t>
      </w:r>
    </w:p>
    <w:p w14:paraId="3E077F6C" w14:textId="77777777" w:rsidR="0040748E" w:rsidRPr="009A22BF" w:rsidRDefault="0040748E" w:rsidP="009A22BF">
      <w:pPr>
        <w:numPr>
          <w:ilvl w:val="0"/>
          <w:numId w:val="16"/>
        </w:numPr>
        <w:spacing w:before="100" w:beforeAutospacing="1" w:afterAutospacing="1" w:line="276" w:lineRule="auto"/>
        <w:jc w:val="both"/>
        <w:rPr>
          <w:rFonts w:asciiTheme="majorBidi" w:hAnsiTheme="majorBidi" w:cstheme="majorBidi"/>
          <w:sz w:val="24"/>
          <w:szCs w:val="24"/>
        </w:rPr>
      </w:pPr>
      <w:r w:rsidRPr="009A22BF">
        <w:rPr>
          <w:rFonts w:asciiTheme="majorBidi" w:hAnsiTheme="majorBidi" w:cstheme="majorBidi"/>
          <w:sz w:val="24"/>
          <w:szCs w:val="24"/>
        </w:rPr>
        <w:t>reciprocal or mutual accountability.</w:t>
      </w:r>
    </w:p>
    <w:p w14:paraId="40B03298"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lastRenderedPageBreak/>
        <w:t>The categories should describe relational position rather than assume that one form is normatively superior.</w:t>
      </w:r>
    </w:p>
    <w:p w14:paraId="666D2063" w14:textId="201E6B98"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 xml:space="preserve">The framework also permits analysis of the </w:t>
      </w:r>
      <w:r w:rsidRPr="009A22BF">
        <w:rPr>
          <w:rFonts w:asciiTheme="majorBidi" w:hAnsiTheme="majorBidi" w:cstheme="majorBidi"/>
          <w:u w:val="single"/>
        </w:rPr>
        <w:t>completeness</w:t>
      </w:r>
      <w:r w:rsidRPr="009A22BF">
        <w:rPr>
          <w:rFonts w:asciiTheme="majorBidi" w:hAnsiTheme="majorBidi" w:cstheme="majorBidi"/>
        </w:rPr>
        <w:t xml:space="preserve"> of accountability arrangements. A weak accountability relationship may involve only periodic reporting. A stronger relationship may combine information, justification, scrutiny and consequences. Different accountability mechanisms serve different purposes and excessive oversight may constrain expertise, flexibility or innovation. The point is instead to identify how many stages of the accountability process are legally institutionalized and where gaps occur.</w:t>
      </w:r>
    </w:p>
    <w:p w14:paraId="03805354" w14:textId="77777777"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This is particularly relevant to the relationship between discretion and accountability. Governance systems frequently grant discretion precisely because detailed ex ante rules cannot anticipate complex circumstances. Where discretion expands, legal architecture may compensate through stronger obligations to explain, disclose, document, review, or justify choices. The distribution of discretion should therefore be studied together with the distribution of accountability.</w:t>
      </w:r>
    </w:p>
    <w:p w14:paraId="2C8B6752" w14:textId="3CA8F79B"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Whether actual laws establish such compensating arrangements is an empirical question rather than an assumption. Relational leximetrics makes it possible to investigate it systematically.</w:t>
      </w:r>
      <w:r w:rsidR="009A22BF" w:rsidRPr="009A22BF">
        <w:rPr>
          <w:rFonts w:asciiTheme="majorBidi" w:hAnsiTheme="majorBidi" w:cstheme="majorBidi"/>
        </w:rPr>
        <w:t xml:space="preserve"> </w:t>
      </w:r>
      <w:r w:rsidRPr="009A22BF">
        <w:rPr>
          <w:rFonts w:asciiTheme="majorBidi" w:hAnsiTheme="majorBidi" w:cstheme="majorBidi"/>
        </w:rPr>
        <w:t>At the primary coding stage, researchers should avoid assigning broad judgments such as “strong accountability” or “weak accountability.” Instead, they should record the observable legal components from which such judgments can later be derived. A useful coding structure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4754"/>
      </w:tblGrid>
      <w:tr w:rsidR="0040748E" w:rsidRPr="009A22BF" w14:paraId="0EBEF58E" w14:textId="77777777" w:rsidTr="009A22BF">
        <w:trPr>
          <w:tblHeader/>
          <w:tblCellSpacing w:w="15" w:type="dxa"/>
        </w:trPr>
        <w:tc>
          <w:tcPr>
            <w:tcW w:w="0" w:type="auto"/>
            <w:vAlign w:val="center"/>
            <w:hideMark/>
          </w:tcPr>
          <w:p w14:paraId="7B077A9E" w14:textId="77777777" w:rsidR="0040748E" w:rsidRPr="009A22BF" w:rsidRDefault="0040748E" w:rsidP="009A22BF">
            <w:pPr>
              <w:spacing w:line="276" w:lineRule="auto"/>
              <w:jc w:val="both"/>
              <w:rPr>
                <w:rFonts w:asciiTheme="majorBidi" w:hAnsiTheme="majorBidi" w:cstheme="majorBidi"/>
                <w:b/>
                <w:bCs/>
                <w:sz w:val="24"/>
                <w:szCs w:val="24"/>
              </w:rPr>
            </w:pPr>
            <w:r w:rsidRPr="009A22BF">
              <w:rPr>
                <w:rFonts w:asciiTheme="majorBidi" w:hAnsiTheme="majorBidi" w:cstheme="majorBidi"/>
                <w:b/>
                <w:bCs/>
                <w:sz w:val="24"/>
                <w:szCs w:val="24"/>
              </w:rPr>
              <w:t>Variable</w:t>
            </w:r>
          </w:p>
        </w:tc>
        <w:tc>
          <w:tcPr>
            <w:tcW w:w="0" w:type="auto"/>
            <w:vAlign w:val="center"/>
            <w:hideMark/>
          </w:tcPr>
          <w:p w14:paraId="68F80AB0" w14:textId="77777777" w:rsidR="0040748E" w:rsidRPr="009A22BF" w:rsidRDefault="0040748E" w:rsidP="009A22BF">
            <w:pPr>
              <w:spacing w:line="276" w:lineRule="auto"/>
              <w:jc w:val="both"/>
              <w:rPr>
                <w:rFonts w:asciiTheme="majorBidi" w:hAnsiTheme="majorBidi" w:cstheme="majorBidi"/>
                <w:b/>
                <w:bCs/>
                <w:sz w:val="24"/>
                <w:szCs w:val="24"/>
              </w:rPr>
            </w:pPr>
            <w:r w:rsidRPr="009A22BF">
              <w:rPr>
                <w:rFonts w:asciiTheme="majorBidi" w:hAnsiTheme="majorBidi" w:cstheme="majorBidi"/>
                <w:b/>
                <w:bCs/>
                <w:sz w:val="24"/>
                <w:szCs w:val="24"/>
              </w:rPr>
              <w:t>Coding question</w:t>
            </w:r>
          </w:p>
        </w:tc>
      </w:tr>
      <w:tr w:rsidR="0040748E" w:rsidRPr="009A22BF" w14:paraId="232BC43E" w14:textId="77777777" w:rsidTr="009A22BF">
        <w:trPr>
          <w:tblCellSpacing w:w="15" w:type="dxa"/>
        </w:trPr>
        <w:tc>
          <w:tcPr>
            <w:tcW w:w="0" w:type="auto"/>
            <w:vAlign w:val="center"/>
            <w:hideMark/>
          </w:tcPr>
          <w:p w14:paraId="4EDF067A"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accountable_actor</w:t>
            </w:r>
            <w:proofErr w:type="spellEnd"/>
          </w:p>
        </w:tc>
        <w:tc>
          <w:tcPr>
            <w:tcW w:w="0" w:type="auto"/>
            <w:vAlign w:val="center"/>
            <w:hideMark/>
          </w:tcPr>
          <w:p w14:paraId="5D085182"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Who must account?</w:t>
            </w:r>
          </w:p>
        </w:tc>
      </w:tr>
      <w:tr w:rsidR="0040748E" w:rsidRPr="009A22BF" w14:paraId="554D63D0" w14:textId="77777777" w:rsidTr="009A22BF">
        <w:trPr>
          <w:tblCellSpacing w:w="15" w:type="dxa"/>
        </w:trPr>
        <w:tc>
          <w:tcPr>
            <w:tcW w:w="0" w:type="auto"/>
            <w:vAlign w:val="center"/>
            <w:hideMark/>
          </w:tcPr>
          <w:p w14:paraId="61143418"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accountability_forum</w:t>
            </w:r>
            <w:proofErr w:type="spellEnd"/>
          </w:p>
        </w:tc>
        <w:tc>
          <w:tcPr>
            <w:tcW w:w="0" w:type="auto"/>
            <w:vAlign w:val="center"/>
            <w:hideMark/>
          </w:tcPr>
          <w:p w14:paraId="5F1F780D"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To whom?</w:t>
            </w:r>
          </w:p>
        </w:tc>
      </w:tr>
      <w:tr w:rsidR="0040748E" w:rsidRPr="009A22BF" w14:paraId="78F59062" w14:textId="77777777" w:rsidTr="009A22BF">
        <w:trPr>
          <w:tblCellSpacing w:w="15" w:type="dxa"/>
        </w:trPr>
        <w:tc>
          <w:tcPr>
            <w:tcW w:w="0" w:type="auto"/>
            <w:vAlign w:val="center"/>
            <w:hideMark/>
          </w:tcPr>
          <w:p w14:paraId="14FAFB48"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accountability_object</w:t>
            </w:r>
            <w:proofErr w:type="spellEnd"/>
          </w:p>
        </w:tc>
        <w:tc>
          <w:tcPr>
            <w:tcW w:w="0" w:type="auto"/>
            <w:vAlign w:val="center"/>
            <w:hideMark/>
          </w:tcPr>
          <w:p w14:paraId="7B86AF07"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For which decision, function or conduct?</w:t>
            </w:r>
          </w:p>
        </w:tc>
      </w:tr>
      <w:tr w:rsidR="0040748E" w:rsidRPr="009A22BF" w14:paraId="6EA70C7D" w14:textId="77777777" w:rsidTr="009A22BF">
        <w:trPr>
          <w:tblCellSpacing w:w="15" w:type="dxa"/>
        </w:trPr>
        <w:tc>
          <w:tcPr>
            <w:tcW w:w="0" w:type="auto"/>
            <w:vAlign w:val="center"/>
            <w:hideMark/>
          </w:tcPr>
          <w:p w14:paraId="7FB0EEB7"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information_required</w:t>
            </w:r>
            <w:proofErr w:type="spellEnd"/>
          </w:p>
        </w:tc>
        <w:tc>
          <w:tcPr>
            <w:tcW w:w="0" w:type="auto"/>
            <w:vAlign w:val="center"/>
            <w:hideMark/>
          </w:tcPr>
          <w:p w14:paraId="41C2F112"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Must information be provided?</w:t>
            </w:r>
          </w:p>
        </w:tc>
      </w:tr>
      <w:tr w:rsidR="0040748E" w:rsidRPr="009A22BF" w14:paraId="4AF75F5C" w14:textId="77777777" w:rsidTr="009A22BF">
        <w:trPr>
          <w:tblCellSpacing w:w="15" w:type="dxa"/>
        </w:trPr>
        <w:tc>
          <w:tcPr>
            <w:tcW w:w="0" w:type="auto"/>
            <w:vAlign w:val="center"/>
            <w:hideMark/>
          </w:tcPr>
          <w:p w14:paraId="19970628"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justification_required</w:t>
            </w:r>
            <w:proofErr w:type="spellEnd"/>
          </w:p>
        </w:tc>
        <w:tc>
          <w:tcPr>
            <w:tcW w:w="0" w:type="auto"/>
            <w:vAlign w:val="center"/>
            <w:hideMark/>
          </w:tcPr>
          <w:p w14:paraId="51D3F1FD"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Must reasons or explanations be given?</w:t>
            </w:r>
          </w:p>
        </w:tc>
      </w:tr>
      <w:tr w:rsidR="0040748E" w:rsidRPr="009A22BF" w14:paraId="1578E6E4" w14:textId="77777777" w:rsidTr="009A22BF">
        <w:trPr>
          <w:tblCellSpacing w:w="15" w:type="dxa"/>
        </w:trPr>
        <w:tc>
          <w:tcPr>
            <w:tcW w:w="0" w:type="auto"/>
            <w:vAlign w:val="center"/>
            <w:hideMark/>
          </w:tcPr>
          <w:p w14:paraId="0F122E35"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assessment_power</w:t>
            </w:r>
            <w:proofErr w:type="spellEnd"/>
          </w:p>
        </w:tc>
        <w:tc>
          <w:tcPr>
            <w:tcW w:w="0" w:type="auto"/>
            <w:vAlign w:val="center"/>
            <w:hideMark/>
          </w:tcPr>
          <w:p w14:paraId="47835C4E"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Can the forum evaluate or judge conduct?</w:t>
            </w:r>
          </w:p>
        </w:tc>
      </w:tr>
      <w:tr w:rsidR="0040748E" w:rsidRPr="009A22BF" w14:paraId="2424491E" w14:textId="77777777" w:rsidTr="009A22BF">
        <w:trPr>
          <w:tblCellSpacing w:w="15" w:type="dxa"/>
        </w:trPr>
        <w:tc>
          <w:tcPr>
            <w:tcW w:w="0" w:type="auto"/>
            <w:vAlign w:val="center"/>
            <w:hideMark/>
          </w:tcPr>
          <w:p w14:paraId="5A3E8867"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consequence_power</w:t>
            </w:r>
            <w:proofErr w:type="spellEnd"/>
          </w:p>
        </w:tc>
        <w:tc>
          <w:tcPr>
            <w:tcW w:w="0" w:type="auto"/>
            <w:vAlign w:val="center"/>
            <w:hideMark/>
          </w:tcPr>
          <w:p w14:paraId="2C03AD83"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Can consequences follow?</w:t>
            </w:r>
          </w:p>
        </w:tc>
      </w:tr>
      <w:tr w:rsidR="0040748E" w:rsidRPr="009A22BF" w14:paraId="397F8322" w14:textId="77777777" w:rsidTr="009A22BF">
        <w:trPr>
          <w:tblCellSpacing w:w="15" w:type="dxa"/>
        </w:trPr>
        <w:tc>
          <w:tcPr>
            <w:tcW w:w="0" w:type="auto"/>
            <w:vAlign w:val="center"/>
            <w:hideMark/>
          </w:tcPr>
          <w:p w14:paraId="1F15C52A" w14:textId="77777777" w:rsidR="0040748E" w:rsidRPr="009A22BF" w:rsidRDefault="0040748E" w:rsidP="009A22BF">
            <w:pPr>
              <w:spacing w:line="276" w:lineRule="auto"/>
              <w:jc w:val="both"/>
              <w:rPr>
                <w:rFonts w:asciiTheme="majorBidi" w:hAnsiTheme="majorBidi" w:cstheme="majorBidi"/>
                <w:sz w:val="24"/>
                <w:szCs w:val="24"/>
              </w:rPr>
            </w:pPr>
            <w:proofErr w:type="spellStart"/>
            <w:r w:rsidRPr="009A22BF">
              <w:rPr>
                <w:rFonts w:asciiTheme="majorBidi" w:hAnsiTheme="majorBidi" w:cstheme="majorBidi"/>
                <w:sz w:val="24"/>
                <w:szCs w:val="24"/>
              </w:rPr>
              <w:t>review_available</w:t>
            </w:r>
            <w:proofErr w:type="spellEnd"/>
          </w:p>
        </w:tc>
        <w:tc>
          <w:tcPr>
            <w:tcW w:w="0" w:type="auto"/>
            <w:vAlign w:val="center"/>
            <w:hideMark/>
          </w:tcPr>
          <w:p w14:paraId="213997C1"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Can the decision be reconsidered or challenged?</w:t>
            </w:r>
          </w:p>
        </w:tc>
      </w:tr>
      <w:tr w:rsidR="0040748E" w:rsidRPr="009A22BF" w14:paraId="23E14FBE" w14:textId="77777777" w:rsidTr="009A22BF">
        <w:trPr>
          <w:tblCellSpacing w:w="15" w:type="dxa"/>
        </w:trPr>
        <w:tc>
          <w:tcPr>
            <w:tcW w:w="0" w:type="auto"/>
            <w:vAlign w:val="center"/>
            <w:hideMark/>
          </w:tcPr>
          <w:p w14:paraId="6BD675C8"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transparency</w:t>
            </w:r>
          </w:p>
        </w:tc>
        <w:tc>
          <w:tcPr>
            <w:tcW w:w="0" w:type="auto"/>
            <w:vAlign w:val="center"/>
            <w:hideMark/>
          </w:tcPr>
          <w:p w14:paraId="1D716FF8"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Is the process public, restricted or confidential?</w:t>
            </w:r>
          </w:p>
        </w:tc>
      </w:tr>
      <w:tr w:rsidR="0040748E" w:rsidRPr="009A22BF" w14:paraId="33DD92CE" w14:textId="77777777" w:rsidTr="009A22BF">
        <w:trPr>
          <w:tblCellSpacing w:w="15" w:type="dxa"/>
        </w:trPr>
        <w:tc>
          <w:tcPr>
            <w:tcW w:w="0" w:type="auto"/>
            <w:vAlign w:val="center"/>
            <w:hideMark/>
          </w:tcPr>
          <w:p w14:paraId="15BCECEA"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frequency</w:t>
            </w:r>
          </w:p>
        </w:tc>
        <w:tc>
          <w:tcPr>
            <w:tcW w:w="0" w:type="auto"/>
            <w:vAlign w:val="center"/>
            <w:hideMark/>
          </w:tcPr>
          <w:p w14:paraId="0BD98C07" w14:textId="77777777" w:rsidR="0040748E" w:rsidRPr="009A22BF" w:rsidRDefault="0040748E" w:rsidP="009A22BF">
            <w:pPr>
              <w:spacing w:line="276" w:lineRule="auto"/>
              <w:jc w:val="both"/>
              <w:rPr>
                <w:rFonts w:asciiTheme="majorBidi" w:hAnsiTheme="majorBidi" w:cstheme="majorBidi"/>
                <w:sz w:val="24"/>
                <w:szCs w:val="24"/>
              </w:rPr>
            </w:pPr>
            <w:r w:rsidRPr="009A22BF">
              <w:rPr>
                <w:rFonts w:asciiTheme="majorBidi" w:hAnsiTheme="majorBidi" w:cstheme="majorBidi"/>
                <w:sz w:val="24"/>
                <w:szCs w:val="24"/>
              </w:rPr>
              <w:t>Continuous, periodic, event-triggered or ad hoc?</w:t>
            </w:r>
          </w:p>
        </w:tc>
      </w:tr>
    </w:tbl>
    <w:p w14:paraId="39D9A6C2" w14:textId="5180771A" w:rsidR="0040748E" w:rsidRPr="009A22BF" w:rsidRDefault="0040748E" w:rsidP="009A22BF">
      <w:pPr>
        <w:pStyle w:val="NormalWeb"/>
        <w:spacing w:line="276" w:lineRule="auto"/>
        <w:jc w:val="both"/>
        <w:rPr>
          <w:rFonts w:asciiTheme="majorBidi" w:hAnsiTheme="majorBidi" w:cstheme="majorBidi"/>
        </w:rPr>
      </w:pPr>
      <w:r w:rsidRPr="009A22BF">
        <w:rPr>
          <w:rFonts w:asciiTheme="majorBidi" w:hAnsiTheme="majorBidi" w:cstheme="majorBidi"/>
        </w:rPr>
        <w:t>These variables should remain anchored in the provisions that establish them. Where accountability is constituted across several provisions, the database should preserve the links among those provisions rather than force the relationship into a single textual observation.</w:t>
      </w:r>
      <w:r w:rsidR="009A22BF" w:rsidRPr="009A22BF">
        <w:rPr>
          <w:rFonts w:asciiTheme="majorBidi" w:hAnsiTheme="majorBidi" w:cstheme="majorBidi"/>
        </w:rPr>
        <w:t xml:space="preserve"> </w:t>
      </w:r>
      <w:r w:rsidRPr="009A22BF">
        <w:rPr>
          <w:rFonts w:asciiTheme="majorBidi" w:hAnsiTheme="majorBidi" w:cstheme="majorBidi"/>
        </w:rPr>
        <w:t xml:space="preserve">The resulting approach permits </w:t>
      </w:r>
      <w:r w:rsidRPr="009A22BF">
        <w:rPr>
          <w:rFonts w:asciiTheme="majorBidi" w:hAnsiTheme="majorBidi" w:cstheme="majorBidi"/>
        </w:rPr>
        <w:lastRenderedPageBreak/>
        <w:t>accountability to be analyzed both relationally and architecturally. At the relational level, it identifies who answers to whom and through which processes. At the architectural level, it reveals whether accountability follows the distribution of authority and discretion across the governance system. A law that decentralizes regulatory functions while concentrating accountability upward to a public regulator produces a different governance architecture from one in which intermediaries are primarily accountable to clients, professional bodies or affected stakeholders.</w:t>
      </w:r>
      <w:r w:rsidR="009A22BF" w:rsidRPr="009A22BF">
        <w:rPr>
          <w:rFonts w:asciiTheme="majorBidi" w:hAnsiTheme="majorBidi" w:cstheme="majorBidi"/>
        </w:rPr>
        <w:t xml:space="preserve"> </w:t>
      </w:r>
      <w:r w:rsidRPr="009A22BF">
        <w:rPr>
          <w:rFonts w:asciiTheme="majorBidi" w:hAnsiTheme="majorBidi" w:cstheme="majorBidi"/>
        </w:rPr>
        <w:t>Accountability is therefore not simply a constraint imposed upon governance. It is one of the principal ways in which law structures governance itself. Mapping accountability relationships makes visible the countervailing arrangements through which authority and discretion are supervised, explained, contested and corrected.</w:t>
      </w:r>
    </w:p>
    <w:p w14:paraId="64F291FD" w14:textId="48D780DC" w:rsidR="00656BE6" w:rsidRDefault="00656BE6" w:rsidP="0036629B">
      <w:pPr>
        <w:rPr>
          <w:rFonts w:asciiTheme="majorBidi" w:hAnsiTheme="majorBidi" w:cstheme="majorBidi"/>
          <w:b/>
          <w:bCs/>
          <w:sz w:val="24"/>
          <w:szCs w:val="24"/>
        </w:rPr>
      </w:pPr>
    </w:p>
    <w:p w14:paraId="0E774B9F" w14:textId="33D8539A" w:rsidR="00656BE6" w:rsidRPr="0040748E" w:rsidRDefault="00656BE6" w:rsidP="0036629B">
      <w:pPr>
        <w:rPr>
          <w:rFonts w:asciiTheme="majorBidi" w:hAnsiTheme="majorBidi" w:cstheme="majorBidi"/>
          <w:b/>
          <w:bCs/>
          <w:sz w:val="28"/>
          <w:szCs w:val="28"/>
        </w:rPr>
      </w:pPr>
      <w:r w:rsidRPr="0040748E">
        <w:rPr>
          <w:rFonts w:asciiTheme="majorBidi" w:hAnsiTheme="majorBidi" w:cstheme="majorBidi"/>
          <w:b/>
          <w:bCs/>
          <w:sz w:val="28"/>
          <w:szCs w:val="28"/>
        </w:rPr>
        <w:t>5.  Higher Level Constructs:  Level III</w:t>
      </w:r>
    </w:p>
    <w:p w14:paraId="45CFCAF2" w14:textId="77777777" w:rsidR="00656BE6" w:rsidRDefault="00656BE6" w:rsidP="0036629B">
      <w:pPr>
        <w:rPr>
          <w:rFonts w:asciiTheme="majorBidi" w:hAnsiTheme="majorBidi" w:cstheme="majorBidi"/>
          <w:b/>
          <w:bCs/>
          <w:sz w:val="24"/>
          <w:szCs w:val="24"/>
        </w:rPr>
      </w:pPr>
    </w:p>
    <w:p w14:paraId="0169AAE1" w14:textId="7E91AAA8" w:rsidR="003902C2" w:rsidRPr="0036629B" w:rsidRDefault="00656BE6" w:rsidP="0036629B">
      <w:pPr>
        <w:rPr>
          <w:rFonts w:asciiTheme="majorBidi" w:hAnsiTheme="majorBidi" w:cstheme="majorBidi"/>
          <w:b/>
          <w:bCs/>
          <w:sz w:val="24"/>
          <w:szCs w:val="24"/>
        </w:rPr>
      </w:pPr>
      <w:r>
        <w:rPr>
          <w:rFonts w:asciiTheme="majorBidi" w:hAnsiTheme="majorBidi" w:cstheme="majorBidi"/>
          <w:b/>
          <w:bCs/>
          <w:sz w:val="24"/>
          <w:szCs w:val="24"/>
        </w:rPr>
        <w:t xml:space="preserve">5.1 </w:t>
      </w:r>
      <w:r w:rsidR="00094FA3">
        <w:rPr>
          <w:rFonts w:asciiTheme="majorBidi" w:hAnsiTheme="majorBidi" w:cstheme="majorBidi"/>
          <w:b/>
          <w:bCs/>
          <w:sz w:val="24"/>
          <w:szCs w:val="24"/>
        </w:rPr>
        <w:t xml:space="preserve"> </w:t>
      </w:r>
      <w:r w:rsidR="00BB24A5" w:rsidRPr="0036629B">
        <w:rPr>
          <w:rFonts w:asciiTheme="majorBidi" w:hAnsiTheme="majorBidi" w:cstheme="majorBidi"/>
          <w:b/>
          <w:bCs/>
          <w:sz w:val="24"/>
          <w:szCs w:val="24"/>
        </w:rPr>
        <w:t xml:space="preserve"> Strategies: Patterned Combinations of Mechanisms</w:t>
      </w:r>
    </w:p>
    <w:p w14:paraId="3E913EFB" w14:textId="77777777" w:rsidR="00356192" w:rsidRPr="009D1438" w:rsidRDefault="00356192" w:rsidP="00071058">
      <w:pPr>
        <w:spacing w:before="180" w:after="180" w:line="276" w:lineRule="auto"/>
        <w:jc w:val="both"/>
        <w:rPr>
          <w:rFonts w:asciiTheme="majorBidi" w:hAnsiTheme="majorBidi" w:cstheme="majorBidi"/>
          <w:sz w:val="24"/>
          <w:szCs w:val="24"/>
        </w:rPr>
      </w:pPr>
      <w:r w:rsidRPr="009D1438">
        <w:rPr>
          <w:rFonts w:asciiTheme="majorBidi" w:hAnsiTheme="majorBidi" w:cstheme="majorBidi"/>
          <w:sz w:val="24"/>
          <w:szCs w:val="24"/>
        </w:rPr>
        <w:t xml:space="preserve">A </w:t>
      </w:r>
      <w:r w:rsidRPr="009D1438">
        <w:rPr>
          <w:rFonts w:asciiTheme="majorBidi" w:hAnsiTheme="majorBidi" w:cstheme="majorBidi"/>
          <w:b/>
          <w:bCs/>
          <w:sz w:val="24"/>
          <w:szCs w:val="24"/>
        </w:rPr>
        <w:t>strategy of regulation</w:t>
      </w:r>
      <w:r w:rsidRPr="009D1438">
        <w:rPr>
          <w:rFonts w:asciiTheme="majorBidi" w:hAnsiTheme="majorBidi" w:cstheme="majorBidi"/>
          <w:sz w:val="24"/>
          <w:szCs w:val="24"/>
        </w:rPr>
        <w:t xml:space="preserve"> is a patterned approach through which public authority structures the obligations of regulated actors in order to achieve regulatory goals. Strategies differ according to </w:t>
      </w:r>
      <w:r w:rsidRPr="009D1438">
        <w:rPr>
          <w:rFonts w:asciiTheme="majorBidi" w:hAnsiTheme="majorBidi" w:cstheme="majorBidi"/>
          <w:i/>
          <w:iCs/>
          <w:sz w:val="24"/>
          <w:szCs w:val="24"/>
        </w:rPr>
        <w:t>what the regulator specifies and makes the principal object of compliance</w:t>
      </w:r>
      <w:r w:rsidRPr="009D1438">
        <w:rPr>
          <w:rFonts w:asciiTheme="majorBidi" w:hAnsiTheme="majorBidi" w:cstheme="majorBidi"/>
          <w:sz w:val="24"/>
          <w:szCs w:val="24"/>
        </w:rPr>
        <w:t xml:space="preserve">: prescribed conduct or technology, organizational processes, management systems, procedures, measurable performance, or ultimate outcomes. A single regulatory strategy may employ several mechanisms and functions and may be embedded in different architectures. Moreover, the categories are not necessarily mutually exclusive: a statute may combine detailed procedural requirements with management-system duties and performance or outcome standards (Coglianese and </w:t>
      </w:r>
      <w:proofErr w:type="spellStart"/>
      <w:r w:rsidRPr="009D1438">
        <w:rPr>
          <w:rFonts w:asciiTheme="majorBidi" w:hAnsiTheme="majorBidi" w:cstheme="majorBidi"/>
          <w:sz w:val="24"/>
          <w:szCs w:val="24"/>
        </w:rPr>
        <w:t>Lazer</w:t>
      </w:r>
      <w:proofErr w:type="spellEnd"/>
      <w:r w:rsidRPr="009D1438">
        <w:rPr>
          <w:rFonts w:asciiTheme="majorBidi" w:hAnsiTheme="majorBidi" w:cstheme="majorBidi"/>
          <w:sz w:val="24"/>
          <w:szCs w:val="24"/>
        </w:rPr>
        <w:t xml:space="preserve"> 2003; May 2007; Baldwin, Cave and Lodge 2012).</w:t>
      </w:r>
    </w:p>
    <w:p w14:paraId="652A027E" w14:textId="77777777" w:rsidR="00356192" w:rsidRPr="00356192" w:rsidRDefault="00356192" w:rsidP="00071058">
      <w:pPr>
        <w:spacing w:line="276" w:lineRule="auto"/>
        <w:jc w:val="both"/>
        <w:rPr>
          <w:rFonts w:asciiTheme="majorBidi" w:hAnsiTheme="majorBidi" w:cstheme="majorBidi"/>
          <w:sz w:val="24"/>
          <w:szCs w:val="24"/>
        </w:rPr>
      </w:pPr>
      <w:r w:rsidRPr="00356192">
        <w:rPr>
          <w:rFonts w:asciiTheme="majorBidi" w:hAnsiTheme="majorBidi" w:cstheme="majorBidi"/>
          <w:b/>
          <w:bCs/>
          <w:sz w:val="24"/>
          <w:szCs w:val="24"/>
        </w:rPr>
        <w:t>Prescriptive regulation</w:t>
      </w:r>
      <w:r w:rsidRPr="00356192">
        <w:rPr>
          <w:rFonts w:asciiTheme="majorBidi" w:hAnsiTheme="majorBidi" w:cstheme="majorBidi"/>
          <w:sz w:val="24"/>
          <w:szCs w:val="24"/>
        </w:rPr>
        <w:t xml:space="preserve"> specifies the actions, technologies, inputs, designs, or practices that regulated actors must use or avoid. Compliance is established primarily by determining whether the prescribed requirement has been followed. Technology-based rules, detailed design standards, equipment mandates, and specified operating practices are characteristic examples. Prescriptive regulation can provide clarity and facilitate enforcement, particularly where regulators know which practices reliably reduce harm, but it may reduce flexibility and become obsolete when technology or organizational practice changes rapidly (May 2007; Coglianese, Nash and Olmstead 2003). It provides the principal contrast against which management-, performance-, and outcome-based strategies are usually defined.</w:t>
      </w:r>
    </w:p>
    <w:p w14:paraId="2FCD80F6" w14:textId="77777777" w:rsidR="00356192" w:rsidRDefault="00356192" w:rsidP="00356192">
      <w:pPr>
        <w:jc w:val="both"/>
        <w:rPr>
          <w:rFonts w:asciiTheme="majorBidi" w:hAnsiTheme="majorBidi" w:cstheme="majorBidi"/>
          <w:b/>
          <w:bCs/>
          <w:sz w:val="24"/>
          <w:szCs w:val="24"/>
        </w:rPr>
      </w:pPr>
    </w:p>
    <w:p w14:paraId="17AE776A" w14:textId="5435D23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Procedural-based regulation</w:t>
      </w:r>
      <w:r w:rsidRPr="00356192">
        <w:rPr>
          <w:rFonts w:asciiTheme="majorBidi" w:hAnsiTheme="majorBidi" w:cstheme="majorBidi"/>
          <w:sz w:val="24"/>
          <w:szCs w:val="24"/>
        </w:rPr>
        <w:t xml:space="preserve"> requires regulated actors or public decision-makers to follow specified decision-making, consultation, documentation, notification, review, or participation procedures. Its immediate regulatory object is therefore not necessarily the substantive result or the quality of a management system, but the </w:t>
      </w:r>
      <w:r w:rsidRPr="00356192">
        <w:rPr>
          <w:rFonts w:asciiTheme="majorBidi" w:hAnsiTheme="majorBidi" w:cstheme="majorBidi"/>
          <w:b/>
          <w:bCs/>
          <w:sz w:val="24"/>
          <w:szCs w:val="24"/>
        </w:rPr>
        <w:t>procedure through which decisions and actions are taken</w:t>
      </w:r>
      <w:r w:rsidRPr="00356192">
        <w:rPr>
          <w:rFonts w:asciiTheme="majorBidi" w:hAnsiTheme="majorBidi" w:cstheme="majorBidi"/>
          <w:sz w:val="24"/>
          <w:szCs w:val="24"/>
        </w:rPr>
        <w:t xml:space="preserve">. Examples include duties to consult affected parties, provide reasons, conduct an impact assessment, disclose specified information, observe notice-and-comment requirements, maintain an appeal process, or obtain independent review. Procedural regulation can serve substantive goals indirectly by improving information, consistency, participation, transparency, or accountability. It overlaps with process-based regulation, but a useful distinction is that </w:t>
      </w:r>
      <w:r w:rsidRPr="00356192">
        <w:rPr>
          <w:rFonts w:asciiTheme="majorBidi" w:hAnsiTheme="majorBidi" w:cstheme="majorBidi"/>
          <w:i/>
          <w:iCs/>
          <w:sz w:val="24"/>
          <w:szCs w:val="24"/>
        </w:rPr>
        <w:t>process-based regulation</w:t>
      </w:r>
      <w:r w:rsidRPr="00356192">
        <w:rPr>
          <w:rFonts w:asciiTheme="majorBidi" w:hAnsiTheme="majorBidi" w:cstheme="majorBidi"/>
          <w:sz w:val="24"/>
          <w:szCs w:val="24"/>
        </w:rPr>
        <w:t xml:space="preserve"> ordinarily concerns operational or production processes used to control substantive risks, whereas </w:t>
      </w:r>
      <w:r w:rsidRPr="00356192">
        <w:rPr>
          <w:rFonts w:asciiTheme="majorBidi" w:hAnsiTheme="majorBidi" w:cstheme="majorBidi"/>
          <w:i/>
          <w:iCs/>
          <w:sz w:val="24"/>
          <w:szCs w:val="24"/>
        </w:rPr>
        <w:t>procedural regulation</w:t>
      </w:r>
      <w:r w:rsidRPr="00356192">
        <w:rPr>
          <w:rFonts w:asciiTheme="majorBidi" w:hAnsiTheme="majorBidi" w:cstheme="majorBidi"/>
          <w:sz w:val="24"/>
          <w:szCs w:val="24"/>
        </w:rPr>
        <w:t xml:space="preserve"> concerns the </w:t>
      </w:r>
      <w:r w:rsidRPr="00356192">
        <w:rPr>
          <w:rFonts w:asciiTheme="majorBidi" w:hAnsiTheme="majorBidi" w:cstheme="majorBidi"/>
          <w:sz w:val="24"/>
          <w:szCs w:val="24"/>
        </w:rPr>
        <w:lastRenderedPageBreak/>
        <w:t>legally structured steps through which decisions, authorizations, participation, or accountability are organized. The boundary is empirical rather than absolute, and coding should preserve the underlying legal requirement rather than assume that the two categories are always exclusive.</w:t>
      </w:r>
    </w:p>
    <w:p w14:paraId="1B5612E1" w14:textId="77777777" w:rsidR="00356192" w:rsidRDefault="00356192" w:rsidP="00356192">
      <w:pPr>
        <w:jc w:val="both"/>
        <w:rPr>
          <w:rFonts w:asciiTheme="majorBidi" w:hAnsiTheme="majorBidi" w:cstheme="majorBidi"/>
          <w:sz w:val="24"/>
          <w:szCs w:val="24"/>
        </w:rPr>
      </w:pPr>
    </w:p>
    <w:p w14:paraId="1B27D69B" w14:textId="79D92B1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Process-based regulation</w:t>
      </w:r>
      <w:r w:rsidRPr="00356192">
        <w:rPr>
          <w:rFonts w:asciiTheme="majorBidi" w:hAnsiTheme="majorBidi" w:cstheme="majorBidi"/>
          <w:sz w:val="24"/>
          <w:szCs w:val="24"/>
        </w:rPr>
        <w:t xml:space="preserve"> makes specified processes or systems of activity the principal object of regulatory obligation. Gilad (2010) provides an important integrative contribution by treating systems-based regulation, enforced self-regulation, management-based regulation, principles-based regulation, and meta-regulation as members of a broader family of ‘process-oriented regulation’: approaches that permit organizations to adapt regulation to their circumstances while holding them accountable for the adequacy and effectiveness of their self-regulatory systems. Rather than prescribing every substantive action or demanding only a final result, it requires regulated organizations to establish or follow processes believed to increase the probability of achieving public goals. Examples include requirements for hazard analysis, due diligence, quality-control processes, risk assessment, consultation, record keeping, or internal review. In the literature, process-based, system-based, and management-based regulation are sometimes used interchangeably, especially where the required process concerns organizational systems for controlling risk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May 2007). Analytically, however, process-based regulation can be treated as the broader category: it governs how an activity is organized or conducted, whether or not it requires a comprehensive managerial system.</w:t>
      </w:r>
    </w:p>
    <w:p w14:paraId="50F0F6C9" w14:textId="77777777" w:rsidR="00356192" w:rsidRDefault="00356192" w:rsidP="00356192">
      <w:pPr>
        <w:jc w:val="both"/>
        <w:rPr>
          <w:rFonts w:asciiTheme="majorBidi" w:hAnsiTheme="majorBidi" w:cstheme="majorBidi"/>
          <w:b/>
          <w:bCs/>
          <w:sz w:val="24"/>
          <w:szCs w:val="24"/>
        </w:rPr>
      </w:pPr>
    </w:p>
    <w:p w14:paraId="6260BB84" w14:textId="501F0433"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Management-based regulation</w:t>
      </w:r>
      <w:r w:rsidRPr="00356192">
        <w:rPr>
          <w:rFonts w:asciiTheme="majorBidi" w:hAnsiTheme="majorBidi" w:cstheme="majorBidi"/>
          <w:sz w:val="24"/>
          <w:szCs w:val="24"/>
        </w:rPr>
        <w:t xml:space="preserve"> is a more specific strategy that requires regulated organizations to develop and operate their own planning, risk-management, monitoring, and corrective systems directed toward publicly specified goals.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define its distinctive feature as directing firms to engage in planning processes aimed at public objectives while leaving them significant discretion over the substantive means chosen. The regulator thus regulates the organization’s </w:t>
      </w:r>
      <w:r w:rsidRPr="00356192">
        <w:rPr>
          <w:rFonts w:asciiTheme="majorBidi" w:hAnsiTheme="majorBidi" w:cstheme="majorBidi"/>
          <w:b/>
          <w:bCs/>
          <w:sz w:val="24"/>
          <w:szCs w:val="24"/>
        </w:rPr>
        <w:t>capacity to regulate itself</w:t>
      </w:r>
      <w:r w:rsidRPr="00356192">
        <w:rPr>
          <w:rFonts w:asciiTheme="majorBidi" w:hAnsiTheme="majorBidi" w:cstheme="majorBidi"/>
          <w:sz w:val="24"/>
          <w:szCs w:val="24"/>
        </w:rPr>
        <w:t xml:space="preserve"> rather than attempting to prescribe all operational conduct. Management-based regulation is especially attractive where regulated entities are heterogeneous, regulators possess less information than firms about internal operations, and outputs or harms are difficult to measure directly. Food-safety systems, environmental management systems, and industrial risk-management plans provide prominent examples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Management-based regulation is closely related to meta-regulation, although the latter places greater conceptual emphasis on the regulator’s oversight of the regulated organization’s own regulatory or compliance system. Prescriptive, process/management, performance, and outcome approaches primarily differ in where along the causal chain the regulator places the legally enforceable standard: inputs and conduct; organizational processes and systems; measurable performance; or ultimate results. Procedural regulation focuses on the legally required steps through which decisions and accountability are organized. Principles-based regulation varies the specificity and openness of the norm; risk-based regulation varies the allocation of regulatory attention; and responsive regulation varies the sequencing of intervention and enforcement. A law may therefore simultaneously be management-based, risk-based, principles-based, and responsively enforced. For comparative coding, the strongest approach is to code these dimensions separately rather than force each law into a single regulatory-strategy category.</w:t>
      </w:r>
    </w:p>
    <w:p w14:paraId="5A4EA63A" w14:textId="77777777" w:rsidR="00356192" w:rsidRDefault="00356192" w:rsidP="00356192">
      <w:pPr>
        <w:jc w:val="both"/>
        <w:rPr>
          <w:rFonts w:asciiTheme="majorBidi" w:hAnsiTheme="majorBidi" w:cstheme="majorBidi"/>
          <w:b/>
          <w:bCs/>
          <w:sz w:val="24"/>
          <w:szCs w:val="24"/>
        </w:rPr>
      </w:pPr>
    </w:p>
    <w:p w14:paraId="3406B489" w14:textId="47386A3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Performance-based regulation</w:t>
      </w:r>
      <w:r w:rsidRPr="00356192">
        <w:rPr>
          <w:rFonts w:asciiTheme="majorBidi" w:hAnsiTheme="majorBidi" w:cstheme="majorBidi"/>
          <w:sz w:val="24"/>
          <w:szCs w:val="24"/>
        </w:rPr>
        <w:t xml:space="preserve"> specifies a measurable level of performance that regulated actors must achieve or avoid while leaving them discretion over the means used to meet that standard. Instead of requiring a particular technology, design, or procedure, the regulator incorporates the desired </w:t>
      </w:r>
      <w:r w:rsidRPr="00356192">
        <w:rPr>
          <w:rFonts w:asciiTheme="majorBidi" w:hAnsiTheme="majorBidi" w:cstheme="majorBidi"/>
          <w:sz w:val="24"/>
          <w:szCs w:val="24"/>
        </w:rPr>
        <w:lastRenderedPageBreak/>
        <w:t>performance into the regulatory standard itself (Coglianese, Nash and Olmstead 2003). Examples include maximum emission rates, energy-efficiency levels, safety tolerances, or reliability standards. Its central trade-off is between flexibility and measurability: performance standards can encourage innovation and adaptation, but they depend on the regulator’s ability to define, observe, and verify relevant performance. Performance-based regulation therefore differs from management-based regulation in the location of regulatory attention: the former evaluates what level of performance is achieved, whereas the latter evaluates whether an adequate management system or process has been established and operated.</w:t>
      </w:r>
    </w:p>
    <w:p w14:paraId="785FA235" w14:textId="77777777" w:rsidR="00356192" w:rsidRDefault="00356192" w:rsidP="00356192">
      <w:pPr>
        <w:jc w:val="both"/>
        <w:rPr>
          <w:rFonts w:asciiTheme="majorBidi" w:hAnsiTheme="majorBidi" w:cstheme="majorBidi"/>
          <w:b/>
          <w:bCs/>
          <w:sz w:val="24"/>
          <w:szCs w:val="24"/>
        </w:rPr>
      </w:pPr>
    </w:p>
    <w:p w14:paraId="0048AFBC" w14:textId="164BE367"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Outcomes-based regulation</w:t>
      </w:r>
      <w:r w:rsidRPr="00356192">
        <w:rPr>
          <w:rFonts w:asciiTheme="majorBidi" w:hAnsiTheme="majorBidi" w:cstheme="majorBidi"/>
          <w:sz w:val="24"/>
          <w:szCs w:val="24"/>
        </w:rPr>
        <w:t xml:space="preserve"> focuses regulatory obligations on the ultimate result or public condition that regulation seeks to produce, allowing regulated actors substantial discretion in determining how to achieve it. The terminology overlaps considerably with performance-based and goals-based regulation, and these expressions are frequently used interchangeably in both academic and policy literatures. A useful analytical distinction, however, is to reserve </w:t>
      </w:r>
      <w:r w:rsidRPr="00356192">
        <w:rPr>
          <w:rFonts w:asciiTheme="majorBidi" w:hAnsiTheme="majorBidi" w:cstheme="majorBidi"/>
          <w:i/>
          <w:iCs/>
          <w:sz w:val="24"/>
          <w:szCs w:val="24"/>
        </w:rPr>
        <w:t>performance</w:t>
      </w:r>
      <w:r w:rsidRPr="00356192">
        <w:rPr>
          <w:rFonts w:asciiTheme="majorBidi" w:hAnsiTheme="majorBidi" w:cstheme="majorBidi"/>
          <w:sz w:val="24"/>
          <w:szCs w:val="24"/>
        </w:rPr>
        <w:t xml:space="preserve"> for measurable outputs or standards attributable relatively directly to regulated conduct, and </w:t>
      </w:r>
      <w:r w:rsidRPr="00356192">
        <w:rPr>
          <w:rFonts w:asciiTheme="majorBidi" w:hAnsiTheme="majorBidi" w:cstheme="majorBidi"/>
          <w:i/>
          <w:iCs/>
          <w:sz w:val="24"/>
          <w:szCs w:val="24"/>
        </w:rPr>
        <w:t>outcomes</w:t>
      </w:r>
      <w:r w:rsidRPr="00356192">
        <w:rPr>
          <w:rFonts w:asciiTheme="majorBidi" w:hAnsiTheme="majorBidi" w:cstheme="majorBidi"/>
          <w:sz w:val="24"/>
          <w:szCs w:val="24"/>
        </w:rPr>
        <w:t xml:space="preserve"> for the broader consequences that regulation ultimately seeks to secure. Thus, a required reduction in the emission rate of a facility can be treated as a performance standard, whereas achievement of a specified level of ambient environmental quality is an outcome. Outcome-based regulation offers high flexibility but becomes difficult where causal attribution is weak, outcomes are affected by multiple actors, or results emerge only after long time lags (Coglianese, Nash and Olmstead 2003; OECD 2021).</w:t>
      </w:r>
    </w:p>
    <w:p w14:paraId="08E55C9E" w14:textId="77777777" w:rsidR="00356192" w:rsidRDefault="00356192" w:rsidP="00356192">
      <w:pPr>
        <w:jc w:val="both"/>
        <w:rPr>
          <w:rFonts w:asciiTheme="majorBidi" w:hAnsiTheme="majorBidi" w:cstheme="majorBidi"/>
          <w:b/>
          <w:bCs/>
          <w:sz w:val="24"/>
          <w:szCs w:val="24"/>
        </w:rPr>
      </w:pPr>
    </w:p>
    <w:p w14:paraId="526FE181" w14:textId="77777777" w:rsidR="00356192" w:rsidRDefault="00356192" w:rsidP="00356192">
      <w:pPr>
        <w:jc w:val="both"/>
        <w:rPr>
          <w:rFonts w:asciiTheme="majorBidi" w:hAnsiTheme="majorBidi" w:cstheme="majorBidi"/>
          <w:b/>
          <w:bCs/>
          <w:sz w:val="24"/>
          <w:szCs w:val="24"/>
        </w:rPr>
      </w:pPr>
    </w:p>
    <w:p w14:paraId="7F8A691A" w14:textId="621ECB73"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Principles-based regulation</w:t>
      </w:r>
      <w:r w:rsidRPr="00356192">
        <w:rPr>
          <w:rFonts w:asciiTheme="majorBidi" w:hAnsiTheme="majorBidi" w:cstheme="majorBidi"/>
          <w:sz w:val="24"/>
          <w:szCs w:val="24"/>
        </w:rPr>
        <w:t xml:space="preserve"> articulates broad standards, duties, or normative principles rather than detailed rules specifying exactly how compliance must be achieved. Related </w:t>
      </w:r>
      <w:r w:rsidRPr="00356192">
        <w:rPr>
          <w:rFonts w:asciiTheme="majorBidi" w:hAnsiTheme="majorBidi" w:cstheme="majorBidi"/>
          <w:b/>
          <w:bCs/>
          <w:sz w:val="24"/>
          <w:szCs w:val="24"/>
        </w:rPr>
        <w:t>goals-based regulation</w:t>
      </w:r>
      <w:r w:rsidRPr="00356192">
        <w:rPr>
          <w:rFonts w:asciiTheme="majorBidi" w:hAnsiTheme="majorBidi" w:cstheme="majorBidi"/>
          <w:sz w:val="24"/>
          <w:szCs w:val="24"/>
        </w:rPr>
        <w:t xml:space="preserve"> states the regulatory objective while leaving significant discretion concerning the means. Such strategies can accommodate heterogeneity and technological change but transfer interpretive responsibility to regulatees, regulators, courts, and intermediaries. They consequently require institutional capacities for interpretation, supervision, and ex post assessment. Principles-, goals-, performance-, and outcomes-based approaches overlap because all reduce reliance on detailed prescriptions, but they differ in what substitutes for prescription: a normative standard, a goal, a measurable performance threshold, or an ultimate outcome.</w:t>
      </w:r>
    </w:p>
    <w:p w14:paraId="6ECC481F" w14:textId="77777777" w:rsidR="00356192" w:rsidRDefault="00356192" w:rsidP="00356192">
      <w:pPr>
        <w:jc w:val="both"/>
        <w:rPr>
          <w:rFonts w:asciiTheme="majorBidi" w:hAnsiTheme="majorBidi" w:cstheme="majorBidi"/>
          <w:b/>
          <w:bCs/>
          <w:sz w:val="24"/>
          <w:szCs w:val="24"/>
        </w:rPr>
      </w:pPr>
    </w:p>
    <w:p w14:paraId="7BEF1848" w14:textId="292AECD4"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Risk-based regulation</w:t>
      </w:r>
      <w:r w:rsidRPr="00356192">
        <w:rPr>
          <w:rFonts w:asciiTheme="majorBidi" w:hAnsiTheme="majorBidi" w:cstheme="majorBidi"/>
          <w:sz w:val="24"/>
          <w:szCs w:val="24"/>
        </w:rPr>
        <w:t xml:space="preserve"> allocates regulatory attention and resources according to assessments of the probability and magnitude of harm. It is therefore less a specification of the content of individual obligations than a strategy for prioritizing regulatory intervention, inspection, supervision, and enforcement. Risk-based regulators classify activities or regulatees according to risk and concentrate attention where expected harms are greatest (Black and Baldwin 2010; Baldwin, Cave and Lodge 2012). Risk-based regulation can consequently coexist with prescriptive, process-, management-, performance-, or outcome-based standards. Its distinctive logic is selectivity according to risk, rather than the form taken by the substantive standard.</w:t>
      </w:r>
    </w:p>
    <w:p w14:paraId="12FD2929" w14:textId="77777777" w:rsidR="00356192" w:rsidRDefault="00356192" w:rsidP="00356192">
      <w:pPr>
        <w:jc w:val="both"/>
        <w:rPr>
          <w:rFonts w:asciiTheme="majorBidi" w:hAnsiTheme="majorBidi" w:cstheme="majorBidi"/>
          <w:b/>
          <w:bCs/>
          <w:sz w:val="24"/>
          <w:szCs w:val="24"/>
        </w:rPr>
      </w:pPr>
    </w:p>
    <w:p w14:paraId="1E838AE7" w14:textId="1520C730" w:rsid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Responsive regulation</w:t>
      </w:r>
      <w:r w:rsidRPr="00356192">
        <w:rPr>
          <w:rFonts w:asciiTheme="majorBidi" w:hAnsiTheme="majorBidi" w:cstheme="majorBidi"/>
          <w:sz w:val="24"/>
          <w:szCs w:val="24"/>
        </w:rPr>
        <w:t xml:space="preserve"> is an enforcement and implementation strategy in which regulatory intervention varies in response to the conduct, capacities, and motivations of regulated actors. Rather than applying one instrument uniformly, regulators may begin with persuasion or cooperative measures and escalate </w:t>
      </w:r>
      <w:r w:rsidRPr="00356192">
        <w:rPr>
          <w:rFonts w:asciiTheme="majorBidi" w:hAnsiTheme="majorBidi" w:cstheme="majorBidi"/>
          <w:sz w:val="24"/>
          <w:szCs w:val="24"/>
        </w:rPr>
        <w:lastRenderedPageBreak/>
        <w:t>toward increasingly coercive sanctions when compliance fails (Ayres and Braithwaite 1992). Responsive regulation therefore differs from the preceding strategies because it principally concerns the sequencing and calibration of regulatory intervention, rather than whether the underlying legal standard regulates inputs, processes, performance, or outcomes. It can be layered on top of any of these substantive strategies.</w:t>
      </w:r>
    </w:p>
    <w:p w14:paraId="2586463E" w14:textId="2B418F24" w:rsidR="00356192" w:rsidRDefault="00356192" w:rsidP="00356192">
      <w:pPr>
        <w:jc w:val="both"/>
        <w:rPr>
          <w:rFonts w:asciiTheme="majorBidi" w:hAnsiTheme="majorBidi" w:cstheme="majorBidi"/>
          <w:sz w:val="24"/>
          <w:szCs w:val="24"/>
        </w:rPr>
      </w:pPr>
    </w:p>
    <w:p w14:paraId="1A59D67E" w14:textId="77777777" w:rsidR="00356192" w:rsidRPr="00356192" w:rsidRDefault="00356192" w:rsidP="00356192">
      <w:pPr>
        <w:jc w:val="both"/>
        <w:rPr>
          <w:rFonts w:asciiTheme="majorBidi" w:hAnsiTheme="majorBidi" w:cstheme="majorBidi"/>
          <w:sz w:val="24"/>
          <w:szCs w:val="24"/>
        </w:rPr>
      </w:pPr>
    </w:p>
    <w:tbl>
      <w:tblPr>
        <w:tblW w:w="79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40"/>
        <w:gridCol w:w="2640"/>
        <w:gridCol w:w="2640"/>
      </w:tblGrid>
      <w:tr w:rsidR="00356192" w:rsidRPr="009D1438" w14:paraId="0390F814" w14:textId="77777777" w:rsidTr="00356192">
        <w:tc>
          <w:tcPr>
            <w:tcW w:w="2640" w:type="dxa"/>
          </w:tcPr>
          <w:p w14:paraId="72DB815A" w14:textId="28036057"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Strategy</w:t>
            </w:r>
          </w:p>
        </w:tc>
        <w:tc>
          <w:tcPr>
            <w:tcW w:w="2640" w:type="dxa"/>
            <w:tcMar>
              <w:left w:w="108" w:type="dxa"/>
              <w:right w:w="108" w:type="dxa"/>
            </w:tcMar>
          </w:tcPr>
          <w:p w14:paraId="0C55DA85" w14:textId="77777777"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Primary object of regulatory specification</w:t>
            </w:r>
          </w:p>
        </w:tc>
        <w:tc>
          <w:tcPr>
            <w:tcW w:w="2640" w:type="dxa"/>
            <w:tcMar>
              <w:left w:w="108" w:type="dxa"/>
              <w:right w:w="108" w:type="dxa"/>
            </w:tcMar>
          </w:tcPr>
          <w:p w14:paraId="54ACC867" w14:textId="3ACF7226"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Core regulatory logic</w:t>
            </w:r>
          </w:p>
        </w:tc>
      </w:tr>
      <w:tr w:rsidR="00356192" w:rsidRPr="009D1438" w14:paraId="7EB9DE9B" w14:textId="77777777" w:rsidTr="00356192">
        <w:tc>
          <w:tcPr>
            <w:tcW w:w="2640" w:type="dxa"/>
          </w:tcPr>
          <w:p w14:paraId="599ED926" w14:textId="2493A9E5"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Prescriptive / technology-based</w:t>
            </w:r>
          </w:p>
        </w:tc>
        <w:tc>
          <w:tcPr>
            <w:tcW w:w="2640" w:type="dxa"/>
            <w:tcMar>
              <w:left w:w="108" w:type="dxa"/>
              <w:right w:w="108" w:type="dxa"/>
            </w:tcMar>
          </w:tcPr>
          <w:p w14:paraId="78AA85BE"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Inputs, technologies, or specified conduct</w:t>
            </w:r>
          </w:p>
        </w:tc>
        <w:tc>
          <w:tcPr>
            <w:tcW w:w="2640" w:type="dxa"/>
            <w:tcMar>
              <w:left w:w="108" w:type="dxa"/>
              <w:right w:w="108" w:type="dxa"/>
            </w:tcMar>
          </w:tcPr>
          <w:p w14:paraId="40D9CDD3" w14:textId="435AE0F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Tell regulatees what to do or use</w:t>
            </w:r>
          </w:p>
        </w:tc>
      </w:tr>
      <w:tr w:rsidR="00356192" w:rsidRPr="009D1438" w14:paraId="7B44FB5B" w14:textId="77777777" w:rsidTr="00356192">
        <w:tc>
          <w:tcPr>
            <w:tcW w:w="2640" w:type="dxa"/>
          </w:tcPr>
          <w:p w14:paraId="3EB33D15" w14:textId="4FE98A2F"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Process-based</w:t>
            </w:r>
          </w:p>
        </w:tc>
        <w:tc>
          <w:tcPr>
            <w:tcW w:w="2640" w:type="dxa"/>
            <w:tcMar>
              <w:left w:w="108" w:type="dxa"/>
              <w:right w:w="108" w:type="dxa"/>
            </w:tcMar>
          </w:tcPr>
          <w:p w14:paraId="32CEF282"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Operational processes or systems</w:t>
            </w:r>
          </w:p>
        </w:tc>
        <w:tc>
          <w:tcPr>
            <w:tcW w:w="2640" w:type="dxa"/>
            <w:tcMar>
              <w:left w:w="108" w:type="dxa"/>
              <w:right w:w="108" w:type="dxa"/>
            </w:tcMar>
          </w:tcPr>
          <w:p w14:paraId="483A2FB5" w14:textId="1075304F"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Require processes expected to reduce risk or advance goals</w:t>
            </w:r>
          </w:p>
        </w:tc>
      </w:tr>
      <w:tr w:rsidR="00356192" w:rsidRPr="009D1438" w14:paraId="36433FEC" w14:textId="77777777" w:rsidTr="00356192">
        <w:tc>
          <w:tcPr>
            <w:tcW w:w="2640" w:type="dxa"/>
          </w:tcPr>
          <w:p w14:paraId="62A048D9" w14:textId="4D671EAA"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Management-based</w:t>
            </w:r>
          </w:p>
        </w:tc>
        <w:tc>
          <w:tcPr>
            <w:tcW w:w="2640" w:type="dxa"/>
            <w:tcMar>
              <w:left w:w="108" w:type="dxa"/>
              <w:right w:w="108" w:type="dxa"/>
            </w:tcMar>
          </w:tcPr>
          <w:p w14:paraId="637C855D"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Internal planning and management systems</w:t>
            </w:r>
          </w:p>
        </w:tc>
        <w:tc>
          <w:tcPr>
            <w:tcW w:w="2640" w:type="dxa"/>
            <w:tcMar>
              <w:left w:w="108" w:type="dxa"/>
              <w:right w:w="108" w:type="dxa"/>
            </w:tcMar>
          </w:tcPr>
          <w:p w14:paraId="3B152BEF" w14:textId="7ACB1299"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Require regulatees to organize their own systems for achieving public goals</w:t>
            </w:r>
          </w:p>
        </w:tc>
      </w:tr>
      <w:tr w:rsidR="00356192" w:rsidRPr="009D1438" w14:paraId="1C797A85" w14:textId="77777777" w:rsidTr="00356192">
        <w:tc>
          <w:tcPr>
            <w:tcW w:w="2640" w:type="dxa"/>
          </w:tcPr>
          <w:p w14:paraId="377E9927" w14:textId="081047B0"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Procedural-based</w:t>
            </w:r>
          </w:p>
        </w:tc>
        <w:tc>
          <w:tcPr>
            <w:tcW w:w="2640" w:type="dxa"/>
            <w:tcMar>
              <w:left w:w="108" w:type="dxa"/>
              <w:right w:w="108" w:type="dxa"/>
            </w:tcMar>
          </w:tcPr>
          <w:p w14:paraId="66201F90"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Decision, participation, documentation, or review procedures</w:t>
            </w:r>
          </w:p>
        </w:tc>
        <w:tc>
          <w:tcPr>
            <w:tcW w:w="2640" w:type="dxa"/>
            <w:tcMar>
              <w:left w:w="108" w:type="dxa"/>
              <w:right w:w="108" w:type="dxa"/>
            </w:tcMar>
          </w:tcPr>
          <w:p w14:paraId="7967C18F" w14:textId="5B9577DC"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Govern how decisions and accountability processes are conducted</w:t>
            </w:r>
          </w:p>
        </w:tc>
      </w:tr>
      <w:tr w:rsidR="00356192" w:rsidRPr="009D1438" w14:paraId="2ABD26D3" w14:textId="77777777" w:rsidTr="00356192">
        <w:tc>
          <w:tcPr>
            <w:tcW w:w="2640" w:type="dxa"/>
          </w:tcPr>
          <w:p w14:paraId="655A4385" w14:textId="739ADBF0"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Performance-based</w:t>
            </w:r>
          </w:p>
        </w:tc>
        <w:tc>
          <w:tcPr>
            <w:tcW w:w="2640" w:type="dxa"/>
            <w:tcMar>
              <w:left w:w="108" w:type="dxa"/>
              <w:right w:w="108" w:type="dxa"/>
            </w:tcMar>
          </w:tcPr>
          <w:p w14:paraId="610AA5A3"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Measurable outputs or performance standards</w:t>
            </w:r>
          </w:p>
        </w:tc>
        <w:tc>
          <w:tcPr>
            <w:tcW w:w="2640" w:type="dxa"/>
            <w:tcMar>
              <w:left w:w="108" w:type="dxa"/>
              <w:right w:w="108" w:type="dxa"/>
            </w:tcMar>
          </w:tcPr>
          <w:p w14:paraId="7081483C" w14:textId="10240B91"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Specify the required performance while leaving means flexible</w:t>
            </w:r>
          </w:p>
        </w:tc>
      </w:tr>
      <w:tr w:rsidR="00356192" w:rsidRPr="009D1438" w14:paraId="2E8C362A" w14:textId="77777777" w:rsidTr="00356192">
        <w:tc>
          <w:tcPr>
            <w:tcW w:w="2640" w:type="dxa"/>
          </w:tcPr>
          <w:p w14:paraId="0BF4E5AF" w14:textId="16F47E73"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Outcomes-based</w:t>
            </w:r>
          </w:p>
        </w:tc>
        <w:tc>
          <w:tcPr>
            <w:tcW w:w="2640" w:type="dxa"/>
            <w:tcMar>
              <w:left w:w="108" w:type="dxa"/>
              <w:right w:w="108" w:type="dxa"/>
            </w:tcMar>
          </w:tcPr>
          <w:p w14:paraId="2071AF6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Ultimate results or conditions</w:t>
            </w:r>
          </w:p>
        </w:tc>
        <w:tc>
          <w:tcPr>
            <w:tcW w:w="2640" w:type="dxa"/>
            <w:tcMar>
              <w:left w:w="108" w:type="dxa"/>
              <w:right w:w="108" w:type="dxa"/>
            </w:tcMar>
          </w:tcPr>
          <w:p w14:paraId="44633F9D" w14:textId="51DC6895"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Specify the desired end-state while leaving pathways flexible</w:t>
            </w:r>
          </w:p>
        </w:tc>
      </w:tr>
      <w:tr w:rsidR="00356192" w:rsidRPr="009D1438" w14:paraId="3F2CE40C" w14:textId="77777777" w:rsidTr="00356192">
        <w:tc>
          <w:tcPr>
            <w:tcW w:w="2640" w:type="dxa"/>
          </w:tcPr>
          <w:p w14:paraId="4BBC5EC1" w14:textId="3CA3C9C9"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Principles / goals-based</w:t>
            </w:r>
          </w:p>
        </w:tc>
        <w:tc>
          <w:tcPr>
            <w:tcW w:w="2640" w:type="dxa"/>
            <w:tcMar>
              <w:left w:w="108" w:type="dxa"/>
              <w:right w:w="108" w:type="dxa"/>
            </w:tcMar>
          </w:tcPr>
          <w:p w14:paraId="1FDC85C2"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Broad principles or regulatory goals</w:t>
            </w:r>
          </w:p>
        </w:tc>
        <w:tc>
          <w:tcPr>
            <w:tcW w:w="2640" w:type="dxa"/>
            <w:tcMar>
              <w:left w:w="108" w:type="dxa"/>
              <w:right w:w="108" w:type="dxa"/>
            </w:tcMar>
          </w:tcPr>
          <w:p w14:paraId="6A0439DE" w14:textId="0FA4EABB"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Establish open-textured standards rather than detailed prescriptions</w:t>
            </w:r>
          </w:p>
        </w:tc>
      </w:tr>
      <w:tr w:rsidR="00356192" w:rsidRPr="009D1438" w14:paraId="5BFE2F5F" w14:textId="77777777" w:rsidTr="00356192">
        <w:tc>
          <w:tcPr>
            <w:tcW w:w="2640" w:type="dxa"/>
          </w:tcPr>
          <w:p w14:paraId="58BF2C1A" w14:textId="7280ECD9"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Risk-based</w:t>
            </w:r>
          </w:p>
        </w:tc>
        <w:tc>
          <w:tcPr>
            <w:tcW w:w="2640" w:type="dxa"/>
            <w:tcMar>
              <w:left w:w="108" w:type="dxa"/>
              <w:right w:w="108" w:type="dxa"/>
            </w:tcMar>
          </w:tcPr>
          <w:p w14:paraId="76364CD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Distribution of regulatory attention</w:t>
            </w:r>
          </w:p>
        </w:tc>
        <w:tc>
          <w:tcPr>
            <w:tcW w:w="2640" w:type="dxa"/>
            <w:tcMar>
              <w:left w:w="108" w:type="dxa"/>
              <w:right w:w="108" w:type="dxa"/>
            </w:tcMar>
          </w:tcPr>
          <w:p w14:paraId="1C2F41DB" w14:textId="44CDD02A"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Prioritize intervention according to assessed risk</w:t>
            </w:r>
          </w:p>
        </w:tc>
      </w:tr>
      <w:tr w:rsidR="00356192" w:rsidRPr="009D1438" w14:paraId="33F576E1" w14:textId="77777777" w:rsidTr="00356192">
        <w:tc>
          <w:tcPr>
            <w:tcW w:w="2640" w:type="dxa"/>
          </w:tcPr>
          <w:p w14:paraId="143ED89F" w14:textId="570B2FF3"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Responsive</w:t>
            </w:r>
          </w:p>
        </w:tc>
        <w:tc>
          <w:tcPr>
            <w:tcW w:w="2640" w:type="dxa"/>
            <w:tcMar>
              <w:left w:w="108" w:type="dxa"/>
              <w:right w:w="108" w:type="dxa"/>
            </w:tcMar>
          </w:tcPr>
          <w:p w14:paraId="6E2A8B7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Sequence and intensity of intervention</w:t>
            </w:r>
          </w:p>
        </w:tc>
        <w:tc>
          <w:tcPr>
            <w:tcW w:w="2640" w:type="dxa"/>
            <w:tcMar>
              <w:left w:w="108" w:type="dxa"/>
              <w:right w:w="108" w:type="dxa"/>
            </w:tcMar>
          </w:tcPr>
          <w:p w14:paraId="7135B1DE" w14:textId="26B7B8FF"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 xml:space="preserve">Adjust and escalate regulatory response according to </w:t>
            </w:r>
            <w:proofErr w:type="spellStart"/>
            <w:r w:rsidRPr="00356192">
              <w:rPr>
                <w:rFonts w:asciiTheme="majorBidi" w:hAnsiTheme="majorBidi" w:cstheme="majorBidi"/>
                <w:sz w:val="22"/>
              </w:rPr>
              <w:t>behaviour</w:t>
            </w:r>
            <w:proofErr w:type="spellEnd"/>
            <w:r w:rsidRPr="00356192">
              <w:rPr>
                <w:rFonts w:asciiTheme="majorBidi" w:hAnsiTheme="majorBidi" w:cstheme="majorBidi"/>
                <w:sz w:val="22"/>
              </w:rPr>
              <w:t xml:space="preserve"> and context</w:t>
            </w:r>
          </w:p>
        </w:tc>
      </w:tr>
    </w:tbl>
    <w:p w14:paraId="1C81FA52" w14:textId="034736BE" w:rsidR="0033094E" w:rsidRDefault="0033094E" w:rsidP="00BB24A5">
      <w:pPr>
        <w:spacing w:line="276" w:lineRule="auto"/>
        <w:jc w:val="both"/>
        <w:rPr>
          <w:rFonts w:asciiTheme="majorBidi" w:hAnsiTheme="majorBidi" w:cstheme="majorBidi"/>
          <w:sz w:val="24"/>
          <w:szCs w:val="24"/>
        </w:rPr>
      </w:pPr>
    </w:p>
    <w:p w14:paraId="199F34AB" w14:textId="2FA4A712" w:rsidR="003902C2" w:rsidRPr="0033094E" w:rsidRDefault="005D4593" w:rsidP="0033094E">
      <w:pPr>
        <w:rPr>
          <w:rFonts w:asciiTheme="majorBidi" w:hAnsiTheme="majorBidi" w:cstheme="majorBidi"/>
          <w:b/>
          <w:bCs/>
          <w:sz w:val="24"/>
          <w:szCs w:val="24"/>
        </w:rPr>
      </w:pPr>
      <w:r>
        <w:rPr>
          <w:rFonts w:asciiTheme="majorBidi" w:hAnsiTheme="majorBidi" w:cstheme="majorBidi"/>
          <w:b/>
          <w:bCs/>
          <w:sz w:val="24"/>
          <w:szCs w:val="24"/>
        </w:rPr>
        <w:t>5</w:t>
      </w:r>
      <w:r w:rsidR="009F52E6">
        <w:rPr>
          <w:rFonts w:asciiTheme="majorBidi" w:hAnsiTheme="majorBidi" w:cstheme="majorBidi"/>
          <w:b/>
          <w:bCs/>
          <w:sz w:val="24"/>
          <w:szCs w:val="24"/>
        </w:rPr>
        <w:t>.</w:t>
      </w:r>
      <w:r>
        <w:rPr>
          <w:rFonts w:asciiTheme="majorBidi" w:hAnsiTheme="majorBidi" w:cstheme="majorBidi"/>
          <w:b/>
          <w:bCs/>
          <w:sz w:val="24"/>
          <w:szCs w:val="24"/>
        </w:rPr>
        <w:t>2</w:t>
      </w:r>
      <w:r w:rsidR="00BB24A5" w:rsidRPr="0033094E">
        <w:rPr>
          <w:rFonts w:asciiTheme="majorBidi" w:hAnsiTheme="majorBidi" w:cstheme="majorBidi"/>
          <w:b/>
          <w:bCs/>
          <w:sz w:val="24"/>
          <w:szCs w:val="24"/>
        </w:rPr>
        <w:t xml:space="preserve"> Governance Architectures: The Structural Configuration</w:t>
      </w:r>
    </w:p>
    <w:p w14:paraId="40C804A6"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A governance architecture is the legally constituted configuration through which governance work, authority, discretion and accountability are distributed among actors and organized through relationships, mechanisms and instruments. Architecture therefore concerns the patterned organization of governance rather than the presence of any individual rule, actor, instrument or mechanism. Two laws may employ similar substantive requirements or regulatory devices while nevertheless construct different governance architectures because they allocate governing functions and capacities differently among public </w:t>
      </w:r>
      <w:r w:rsidRPr="00E60B76">
        <w:rPr>
          <w:rFonts w:asciiTheme="majorBidi" w:hAnsiTheme="majorBidi" w:cstheme="majorBidi"/>
          <w:sz w:val="24"/>
          <w:szCs w:val="24"/>
        </w:rPr>
        <w:lastRenderedPageBreak/>
        <w:t>authorities, regulated organizations, intermediaries, beneficiaries and other actors. Conversely, similar architectural arrangements may recur across policy domains that differ substantially in their substantive objectives.</w:t>
      </w:r>
    </w:p>
    <w:p w14:paraId="546725AD"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This understanding places structure at the </w:t>
      </w:r>
      <w:proofErr w:type="spellStart"/>
      <w:r w:rsidRPr="00E60B76">
        <w:rPr>
          <w:rFonts w:asciiTheme="majorBidi" w:hAnsiTheme="majorBidi" w:cstheme="majorBidi"/>
          <w:sz w:val="24"/>
          <w:szCs w:val="24"/>
        </w:rPr>
        <w:t>centre</w:t>
      </w:r>
      <w:proofErr w:type="spellEnd"/>
      <w:r w:rsidRPr="00E60B76">
        <w:rPr>
          <w:rFonts w:asciiTheme="majorBidi" w:hAnsiTheme="majorBidi" w:cstheme="majorBidi"/>
          <w:sz w:val="24"/>
          <w:szCs w:val="24"/>
        </w:rPr>
        <w:t xml:space="preserve"> of the analysis. A governance architecture specifies not only which actors participate, but also which functions they perform, how they are connected, what authority and discretion they possess, how they are held accountable, and through which instruments their governing roles are made operational. Architecture is therefore an emergent property of a configuration. It cannot normally be inferred from the presence of a single instrument, relationship or actor. A statute containing an audit requirement is not necessarily audit-based; a statute containing an intermediary is not necessarily intermediated; and a statute requiring firms to adopt internal controls is not necessarily self-regulatory. Architectural classification requires attention to the wider distribution and interaction of governance work.</w:t>
      </w:r>
    </w:p>
    <w:p w14:paraId="141D41BB"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Governance architectures are consequently best understood multidimensionally rather than as mutually exclusive types. Labels such as hierarchical governance, self-regulation, meta-regulation, enhanced self-regulation, polycentric governance and multilevel governance capture recurrent configurations, but they refer to different structural properties and frequently overlap in practice. A single legal regime may be multilevel in its jurisdictional distribution, polycentric in the location of decision-making authority, strongly intermediated in monitoring and verification, meta-regulatory in its treatment of organizational compliance systems, and hierarchical in its ultimate enforcement structure. Treating these forms as exclusive alternatives would therefore obscure rather than clarify the architecture of contemporary governance.</w:t>
      </w:r>
    </w:p>
    <w:p w14:paraId="416F5B48" w14:textId="77777777" w:rsidR="00E60B76" w:rsidRPr="00E60B76" w:rsidRDefault="00E60B76" w:rsidP="00E60B76">
      <w:pPr>
        <w:pStyle w:val="Heading2"/>
        <w:jc w:val="both"/>
        <w:rPr>
          <w:rFonts w:asciiTheme="majorBidi" w:hAnsiTheme="majorBidi"/>
          <w:color w:val="auto"/>
          <w:sz w:val="24"/>
          <w:szCs w:val="24"/>
        </w:rPr>
      </w:pPr>
      <w:r w:rsidRPr="00E60B76">
        <w:rPr>
          <w:rFonts w:asciiTheme="majorBidi" w:hAnsiTheme="majorBidi"/>
          <w:color w:val="auto"/>
          <w:sz w:val="24"/>
          <w:szCs w:val="24"/>
        </w:rPr>
        <w:t>5.2.1 Architectural dimensions</w:t>
      </w:r>
    </w:p>
    <w:p w14:paraId="680DA368"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 multidimensional approach makes it possible to specify more precisely how governance is organized. The dimensions below do not exhaust all possible architectural properties, but they capture major sources of structural variation and provide a basis for systematic comparison across laws.</w:t>
      </w:r>
    </w:p>
    <w:tbl>
      <w:tblPr>
        <w:tblStyle w:val="TableGrid"/>
        <w:tblW w:w="0" w:type="auto"/>
        <w:jc w:val="center"/>
        <w:tblLook w:val="04A0" w:firstRow="1" w:lastRow="0" w:firstColumn="1" w:lastColumn="0" w:noHBand="0" w:noVBand="1"/>
      </w:tblPr>
      <w:tblGrid>
        <w:gridCol w:w="3264"/>
        <w:gridCol w:w="3264"/>
        <w:gridCol w:w="3264"/>
      </w:tblGrid>
      <w:tr w:rsidR="00E60B76" w:rsidRPr="00E60B76" w14:paraId="7B3BECFF"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hideMark/>
          </w:tcPr>
          <w:p w14:paraId="6E42CD3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Architectural dimension</w:t>
            </w:r>
          </w:p>
        </w:tc>
        <w:tc>
          <w:tcPr>
            <w:tcW w:w="3264" w:type="dxa"/>
            <w:tcBorders>
              <w:top w:val="single" w:sz="4" w:space="0" w:color="auto"/>
              <w:left w:val="single" w:sz="4" w:space="0" w:color="auto"/>
              <w:bottom w:val="single" w:sz="4" w:space="0" w:color="auto"/>
              <w:right w:val="single" w:sz="4" w:space="0" w:color="auto"/>
            </w:tcBorders>
            <w:hideMark/>
          </w:tcPr>
          <w:p w14:paraId="13C750D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Core question</w:t>
            </w:r>
          </w:p>
        </w:tc>
        <w:tc>
          <w:tcPr>
            <w:tcW w:w="3264" w:type="dxa"/>
            <w:tcBorders>
              <w:top w:val="single" w:sz="4" w:space="0" w:color="auto"/>
              <w:left w:val="single" w:sz="4" w:space="0" w:color="auto"/>
              <w:bottom w:val="single" w:sz="4" w:space="0" w:color="auto"/>
              <w:right w:val="single" w:sz="4" w:space="0" w:color="auto"/>
            </w:tcBorders>
            <w:hideMark/>
          </w:tcPr>
          <w:p w14:paraId="6074C87A"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Illustrative contrast</w:t>
            </w:r>
          </w:p>
        </w:tc>
      </w:tr>
      <w:tr w:rsidR="00E60B76" w:rsidRPr="00E60B76" w14:paraId="748875A4"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4FFFC6E"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Centralization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B83E34D"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Where is governing authority concentrated?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DB3C48E"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centralized / dispersed</w:t>
            </w:r>
          </w:p>
        </w:tc>
      </w:tr>
      <w:tr w:rsidR="00E60B76" w:rsidRPr="00E60B76" w14:paraId="4DDD6272"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21610BC"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Directness and intermediation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38CD564"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Is governance exercised directly or through third parties?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CE30FAF"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direct / intermediated</w:t>
            </w:r>
          </w:p>
        </w:tc>
      </w:tr>
      <w:tr w:rsidR="00E60B76" w:rsidRPr="00E60B76" w14:paraId="57EFE01E"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116A042"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Public-private allocation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C0ECC96"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Who performs regulatory work?</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ECB4A57"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public / hybrid / private</w:t>
            </w:r>
          </w:p>
        </w:tc>
      </w:tr>
      <w:tr w:rsidR="00E60B76" w:rsidRPr="00E60B76" w14:paraId="35BD2E56"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875CA1F"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Self-regulatory autonomy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9D7DE54"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How much governance is allocated to regulated actors themselves?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97918E6"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externally controlled / self-regulatory</w:t>
            </w:r>
          </w:p>
        </w:tc>
      </w:tr>
      <w:tr w:rsidR="00E60B76" w:rsidRPr="00E60B76" w14:paraId="294F5E25"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5A7599B"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Vertical distribution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0256A4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Across how many governmental levels is authority distributed?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66AC689"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single-level / multilevel</w:t>
            </w:r>
          </w:p>
        </w:tc>
      </w:tr>
      <w:tr w:rsidR="00E60B76" w:rsidRPr="00E60B76" w14:paraId="2A7F46A5"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4DB8C41"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Decision-</w:t>
            </w:r>
            <w:proofErr w:type="spellStart"/>
            <w:r w:rsidRPr="00E60B76">
              <w:rPr>
                <w:rFonts w:asciiTheme="majorBidi" w:hAnsiTheme="majorBidi" w:cstheme="majorBidi"/>
                <w:sz w:val="24"/>
                <w:szCs w:val="24"/>
              </w:rPr>
              <w:t>centre</w:t>
            </w:r>
            <w:proofErr w:type="spellEnd"/>
            <w:r w:rsidRPr="00E60B76">
              <w:rPr>
                <w:rFonts w:asciiTheme="majorBidi" w:hAnsiTheme="majorBidi" w:cstheme="majorBidi"/>
                <w:sz w:val="24"/>
                <w:szCs w:val="24"/>
              </w:rPr>
              <w:t xml:space="preserve"> plurality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5A07925"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 xml:space="preserve">How many partly autonomous decision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possess governing capacity?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85470FD"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monocentric / polycentric</w:t>
            </w:r>
          </w:p>
        </w:tc>
      </w:tr>
      <w:tr w:rsidR="00E60B76" w:rsidRPr="00E60B76" w14:paraId="5BBC7A2F"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FC5EC46"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lastRenderedPageBreak/>
              <w:t>Relational depth</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7062C73"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How many legally consequential stages or actors structure the path from rule-making to implementation?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2E3E45C"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dyadic / chained</w:t>
            </w:r>
          </w:p>
        </w:tc>
      </w:tr>
      <w:tr w:rsidR="00E60B76" w:rsidRPr="00E60B76" w14:paraId="2D8E70CA"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8A831F7"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Functional allocation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791C938"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Where are rule-making, monitoring, verification and enforcement located?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EE11FD1"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concentrated / distributed</w:t>
            </w:r>
          </w:p>
        </w:tc>
      </w:tr>
      <w:tr w:rsidR="00E60B76" w:rsidRPr="00E60B76" w14:paraId="6DA44FAD"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C89C362"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Discretion distribution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C1963D0"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Where is legally structured judgment located?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516FAE7" w14:textId="6BE3E1D9"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regulator-centered / distributed</w:t>
            </w:r>
          </w:p>
        </w:tc>
      </w:tr>
      <w:tr w:rsidR="00E60B76" w:rsidRPr="00E60B76" w14:paraId="004A7420" w14:textId="77777777" w:rsidTr="00E60B76">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53917EEE"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Accountability structure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FBF5DA2"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To whom are governing actors answerable and through how many forums?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B77DC47" w14:textId="77777777" w:rsidR="00E60B76" w:rsidRPr="00E60B76" w:rsidRDefault="00E60B76" w:rsidP="00E60B76">
            <w:pPr>
              <w:spacing w:line="240" w:lineRule="auto"/>
              <w:jc w:val="both"/>
              <w:rPr>
                <w:rFonts w:asciiTheme="majorBidi" w:hAnsiTheme="majorBidi" w:cstheme="majorBidi"/>
                <w:sz w:val="24"/>
                <w:szCs w:val="24"/>
              </w:rPr>
            </w:pPr>
            <w:r w:rsidRPr="00E60B76">
              <w:rPr>
                <w:rFonts w:asciiTheme="majorBidi" w:hAnsiTheme="majorBidi" w:cstheme="majorBidi"/>
                <w:sz w:val="24"/>
                <w:szCs w:val="24"/>
              </w:rPr>
              <w:t>concentrated / multiple</w:t>
            </w:r>
          </w:p>
        </w:tc>
      </w:tr>
    </w:tbl>
    <w:p w14:paraId="41CB8653" w14:textId="77777777" w:rsidR="00E60B76" w:rsidRDefault="00E60B76" w:rsidP="00E60B76">
      <w:pPr>
        <w:jc w:val="both"/>
        <w:rPr>
          <w:rFonts w:asciiTheme="majorBidi" w:hAnsiTheme="majorBidi" w:cstheme="majorBidi"/>
          <w:sz w:val="24"/>
          <w:szCs w:val="24"/>
        </w:rPr>
      </w:pPr>
    </w:p>
    <w:p w14:paraId="4355AB6B" w14:textId="0A1AD0DE"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Centralization concerns the concentration of legally consequential decision-making capacity. Highly centralized architectures concentrate rule-making, supervision and enforcement in a small number of public actors, whereas dispersed architectures distribute these functions across several institutions. Centralization is not equivalent to the number of actors. A system may contain many actors while leaving decisive authority concentrated in one regulator, or it may contain relatively few actors while distributing authority among several autonomous centers.</w:t>
      </w:r>
    </w:p>
    <w:p w14:paraId="489DFFC3"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Directness and intermediation concern the extent to which regulators govern targets directly or through third parties. Intermediation should be treated as a continuous architectural property rather than merely as a categorical type. The relevant issue is not simply whether intermediaries are present, but how much governance is routed through them, which functions they perform, how authoritative and indispensable they are, and how strongly they are themselves subject to regulation and supervision. Intermediation may therefore be central to an otherwise hierarchical, delegated, multilevel or polycentric architecture.</w:t>
      </w:r>
    </w:p>
    <w:p w14:paraId="7069C689"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Public-private allocation concerns the institutional location of regulatory work. Laws may concentrate rule-making, implementation, monitoring, verification and enforcement in public bodies, allocate substantial governance work to regulated firms and associations, or construct hybrid arrangements in which public and private actors perform complementary functions. The resulting architecture is not reducible to a simple public-private dichotomy because the same law may allocate different functions to different actor families.</w:t>
      </w:r>
    </w:p>
    <w:p w14:paraId="24F268C9"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Self-regulatory autonomy concerns the extent to which regulated actors themselves formulate, interpret, implement, monitor or enforce the rules governing their conduct. The concept therefore depends not merely on the presence of organizational compliance duties but on the substantive discretion and governance capacity retained by regulated actors. This dimension is central to distinguishing self-regulation, enforced self-regulation and meta-regulation, and it is analytically separable from intermediation. A regime may be highly intermediated yet leave little self-regulatory discretion to targets, while another may allocate extensive self-regulatory responsibilities without relying heavily on external intermediaries.</w:t>
      </w:r>
    </w:p>
    <w:p w14:paraId="02AAB9F8"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Vertical distribution concerns the location of authority across supranational, national, regional and local levels. Multilevel architectures distribute governing functions across several jurisdictional levels and may combine vertical hierarchy with horizontal coordination. Decision-</w:t>
      </w:r>
      <w:proofErr w:type="spellStart"/>
      <w:r w:rsidRPr="00E60B76">
        <w:rPr>
          <w:rFonts w:asciiTheme="majorBidi" w:hAnsiTheme="majorBidi" w:cstheme="majorBidi"/>
          <w:sz w:val="24"/>
          <w:szCs w:val="24"/>
        </w:rPr>
        <w:t>centre</w:t>
      </w:r>
      <w:proofErr w:type="spellEnd"/>
      <w:r w:rsidRPr="00E60B76">
        <w:rPr>
          <w:rFonts w:asciiTheme="majorBidi" w:hAnsiTheme="majorBidi" w:cstheme="majorBidi"/>
          <w:sz w:val="24"/>
          <w:szCs w:val="24"/>
        </w:rPr>
        <w:t xml:space="preserve"> plurality, by contrast, concerns the number and autonomy of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possessing meaningful governing capacities. Polycentric governance therefore cannot be identified simply from the presence of multiple actors; it requires multiple </w:t>
      </w:r>
      <w:proofErr w:type="spellStart"/>
      <w:r w:rsidRPr="00E60B76">
        <w:rPr>
          <w:rFonts w:asciiTheme="majorBidi" w:hAnsiTheme="majorBidi" w:cstheme="majorBidi"/>
          <w:sz w:val="24"/>
          <w:szCs w:val="24"/>
        </w:rPr>
        <w:lastRenderedPageBreak/>
        <w:t>centres</w:t>
      </w:r>
      <w:proofErr w:type="spellEnd"/>
      <w:r w:rsidRPr="00E60B76">
        <w:rPr>
          <w:rFonts w:asciiTheme="majorBidi" w:hAnsiTheme="majorBidi" w:cstheme="majorBidi"/>
          <w:sz w:val="24"/>
          <w:szCs w:val="24"/>
        </w:rPr>
        <w:t xml:space="preserve"> that exercise partly autonomous decision-making capacities while remaining institutionally interdependent (Ostrom 2005).</w:t>
      </w:r>
    </w:p>
    <w:p w14:paraId="6AAD157D"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Relational depth concerns the number and sequence of legally consequential stages through which governance operates. A direct regulator-target arrangement has limited relational depth. An accreditation and assurance system may instead involve public authorities, accreditation bodies, conformity-assessment bodies, regulated firms and beneficiaries, each occupying a distinct position in the regulatory process. Greater relational depth is not inherently superior or inferior, but it changes the distribution of information, authority, dependence and accountability and may create both capacity and control problems.</w:t>
      </w:r>
    </w:p>
    <w:p w14:paraId="0D1E57AC"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Functional allocation concerns where the work of governance is located. This dimension is particularly important because two laws can contain the same actors while distributing functions very differently among them. One architecture may retain rule-making, monitoring and enforcement in a public agency; another may retain rule-making publicly while assigning monitoring and verification to intermediaries and implementation to regulated firms. Architectural analysis should therefore identify not only which actors participate but also the distribution of rule-making, interpretation, implementation, information, monitoring, verification, enforcement, adjudication and remediation across actor categories.</w:t>
      </w:r>
    </w:p>
    <w:p w14:paraId="6016243E"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Discretion and accountability should likewise be treated as architectural distributions. Discretion may be retained by public regulators, shifted to regulated organizations, delegated to technical intermediaries or distributed across several institutional levels. Accountability may be concentrated in a hierarchical relationship or distributed across courts, auditors, supervisory bodies, professional associations and affected publics. Two architectures with similar actor and instrument profiles may therefore differ substantially in where judgment is located and to whom those exercising it must answer.</w:t>
      </w:r>
    </w:p>
    <w:p w14:paraId="4C7958A8" w14:textId="77777777" w:rsidR="00E60B76" w:rsidRPr="00E60B76" w:rsidRDefault="00E60B76" w:rsidP="00E60B76">
      <w:pPr>
        <w:pStyle w:val="Heading2"/>
        <w:jc w:val="both"/>
        <w:rPr>
          <w:rFonts w:asciiTheme="majorBidi" w:hAnsiTheme="majorBidi"/>
          <w:color w:val="auto"/>
          <w:sz w:val="24"/>
          <w:szCs w:val="24"/>
        </w:rPr>
      </w:pPr>
      <w:r w:rsidRPr="00E60B76">
        <w:rPr>
          <w:rFonts w:asciiTheme="majorBidi" w:hAnsiTheme="majorBidi"/>
          <w:color w:val="auto"/>
          <w:sz w:val="24"/>
          <w:szCs w:val="24"/>
        </w:rPr>
        <w:t>5.2.2 Recurrent architectural configurations</w:t>
      </w:r>
    </w:p>
    <w:p w14:paraId="664B01B7"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The dimensional approach does not eliminate the usefulness of ideal types. Named architectures remain valuable because they identify recurrent combinations of structural properties. Their status, however, should be understood configurationally: they are theoretically meaningful patterns formed by combinations of dimensions rather than mutually exclusive classifications of entire laws.</w:t>
      </w:r>
    </w:p>
    <w:p w14:paraId="668DBDC4"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Hierarchical governance concentrates authoritative decision-making in public actors and relies heavily on direct relations between regulators and regulatory targets. Its defining property is not simply state involvement but the concentration of binding authority and sanctioning capacity within an ordered structure of public control.</w:t>
      </w:r>
    </w:p>
    <w:p w14:paraId="66B604CF"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Delegated governance arises where a principal legally transfers or authorizes governance capacity to another actor while retaining some combination of oversight, review, revocation or other forms of control. Delegation therefore modifies hierarchy without necessarily eliminating it. The central questions are what authority has been transferred, to whom, under what conditions and subject to which controls (Abbott et al. 2015, 2020).</w:t>
      </w:r>
    </w:p>
    <w:p w14:paraId="6FE355A8"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Self-regulation refers to arrangements in which regulated actors, individually or collectively, assume substantial responsibility for developing, interpreting, implementing, monitoring or enforcing the norms governing their own conduct (Black 1996; Gunningham and Rees 1997). Its defining property is meaningful self-regulatory autonomy rather than the mere existence of internal compliance obligations.</w:t>
      </w:r>
    </w:p>
    <w:p w14:paraId="7F5A13C6"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Enforced self-regulation combines self-regulatory capacity with authoritative public oversight and the possibility of public enforcement. Regulated organizations formulate or administer context-specific rules or systems, while public authorities retain powers of approval, monitoring, intervention or sanction </w:t>
      </w:r>
      <w:r w:rsidRPr="00E60B76">
        <w:rPr>
          <w:rFonts w:asciiTheme="majorBidi" w:hAnsiTheme="majorBidi" w:cstheme="majorBidi"/>
          <w:sz w:val="24"/>
          <w:szCs w:val="24"/>
        </w:rPr>
        <w:lastRenderedPageBreak/>
        <w:t>(Ayres and Braithwaite 1992). The architecture therefore combines decentralization of regulatory design or implementation with a public enforcement framework.</w:t>
      </w:r>
    </w:p>
    <w:p w14:paraId="3DB59BF9"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Meta-regulation regulates the self-regulatory capacity of organizations. Instead of specifying every substantive action, public authority establishes requirements concerning the systems through which regulated organizations identify risks, organize compliance, monitor performance and correct failures (Parker 2002). The target's own governance system becomes an object of regulation. Meta-regulation may coexist with prescriptive requirements and can vary considerably in the discretion it affords regulated organizations.</w:t>
      </w:r>
    </w:p>
    <w:p w14:paraId="7B2D81D6"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Enhanced self-regulation adds a further architectural element: relatively autonomous intermediaries enhance, constrain or render credible the self-regulatory activity of regulated actors through functions such as monitoring, verification, certification, assurance, standard-setting or information provision. Its defining feature is therefore not intermediation alone, but the combination of meaningful self-regulatory capacity with institutionalized intermediary enhancement. This distinguishes enhanced self-regulation from regimes in which private intermediaries merely perform tightly prescribed functions on behalf of public authorities.</w:t>
      </w:r>
    </w:p>
    <w:p w14:paraId="1BDADB8A"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Accreditation and assurance architectures are characterized by relational depth and by the governance of those who themselves perform governance. Public authorities may recognize accreditation bodies, accreditation bodies may assess certifiers or verifiers, and those actors may in turn assess regulated organizations. Such arrangements create chains in which authority, competence and assurance are distributed across several organizational levels. Their architecture depends on both the verification of regulatory targets and the regulation of the verifying actors themselves.</w:t>
      </w:r>
    </w:p>
    <w:p w14:paraId="36250D15"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Networked governance is characterized by coordination among several interdependent actors where governance cannot be adequately represented as a single linear chain of command. Networked arrangements may contain hierarchy, bargaining, information exchange, professional authority and contractual relations simultaneously. The concept should therefore be reserved for configurations in which horizontal interdependence is structurally important rather than used whenever multiple actors participate.</w:t>
      </w:r>
    </w:p>
    <w:p w14:paraId="4673B133"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Polycentric governance involves multiple partly autonomous decision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possessing meaningful governing capacities and interacting through overlapping responsibilities, mutual adjustment or coordination (Ostrom 2005). Polycentricity therefore concerns the distribution of decision-making authority rather than actor multiplicity alone. A law that creates several agencies but subjects all consequential decisions to one central authority remains more monocentric than polycentric.</w:t>
      </w:r>
    </w:p>
    <w:p w14:paraId="5F61D1CF"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Multilevel governance distributes authority and governance functions across jurisdictional levels. A multilevel architecture may combine supranational rule-making, national implementation, regional administration and local enforcement, while also incorporating horizontal coordination and private or intermediary actors. Multilevel governance is therefore compatible with hierarchy, intermediation and polycentricity and should not be treated as an alternative to them.</w:t>
      </w:r>
    </w:p>
    <w:p w14:paraId="07822A1B" w14:textId="77777777" w:rsidR="00E60B76" w:rsidRDefault="00E60B76" w:rsidP="00281531">
      <w:pPr>
        <w:spacing w:line="276" w:lineRule="auto"/>
        <w:jc w:val="both"/>
        <w:rPr>
          <w:rStyle w:val="Strong"/>
          <w:rFonts w:asciiTheme="majorBidi" w:hAnsiTheme="majorBidi" w:cstheme="majorBidi"/>
          <w:b w:val="0"/>
          <w:bCs w:val="0"/>
          <w:sz w:val="24"/>
          <w:szCs w:val="24"/>
        </w:rPr>
      </w:pPr>
    </w:p>
    <w:p w14:paraId="72E56630" w14:textId="04B85F5D" w:rsidR="0033094E" w:rsidRDefault="0033094E">
      <w:pPr>
        <w:rPr>
          <w:rFonts w:asciiTheme="majorBidi" w:hAnsiTheme="majorBidi" w:cstheme="majorBidi"/>
          <w:sz w:val="24"/>
          <w:szCs w:val="24"/>
        </w:rPr>
      </w:pPr>
    </w:p>
    <w:p w14:paraId="302F1FF8" w14:textId="1AEA34E1" w:rsidR="00E60B76" w:rsidRDefault="00E60B76">
      <w:pPr>
        <w:rPr>
          <w:rFonts w:asciiTheme="majorBidi" w:hAnsiTheme="majorBidi" w:cstheme="majorBidi"/>
          <w:sz w:val="24"/>
          <w:szCs w:val="24"/>
        </w:rPr>
      </w:pPr>
    </w:p>
    <w:p w14:paraId="25FB4FAA" w14:textId="352C01E1" w:rsidR="00E60B76" w:rsidRDefault="00E60B76">
      <w:pPr>
        <w:rPr>
          <w:rFonts w:asciiTheme="majorBidi" w:hAnsiTheme="majorBidi" w:cstheme="majorBidi"/>
          <w:sz w:val="24"/>
          <w:szCs w:val="24"/>
        </w:rPr>
      </w:pPr>
    </w:p>
    <w:p w14:paraId="7450D566" w14:textId="5C17A0E4" w:rsidR="00E60B76" w:rsidRDefault="00E60B76">
      <w:pPr>
        <w:rPr>
          <w:rFonts w:asciiTheme="majorBidi" w:hAnsiTheme="majorBidi" w:cstheme="majorBidi"/>
          <w:sz w:val="24"/>
          <w:szCs w:val="24"/>
        </w:rPr>
      </w:pPr>
    </w:p>
    <w:p w14:paraId="118427F8" w14:textId="77777777" w:rsidR="00E60B76" w:rsidRDefault="00E60B76">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495"/>
        <w:gridCol w:w="3247"/>
        <w:gridCol w:w="2121"/>
        <w:gridCol w:w="2121"/>
      </w:tblGrid>
      <w:tr w:rsidR="003902C2" w:rsidRPr="0036629B" w14:paraId="20252946" w14:textId="77777777" w:rsidTr="00094FA3">
        <w:trPr>
          <w:jc w:val="center"/>
        </w:trPr>
        <w:tc>
          <w:tcPr>
            <w:tcW w:w="2495" w:type="dxa"/>
            <w:vAlign w:val="center"/>
          </w:tcPr>
          <w:p w14:paraId="1D60C7C3"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Architecture</w:t>
            </w:r>
          </w:p>
        </w:tc>
        <w:tc>
          <w:tcPr>
            <w:tcW w:w="3247" w:type="dxa"/>
            <w:vAlign w:val="center"/>
          </w:tcPr>
          <w:p w14:paraId="24DC4F5F"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Core actors</w:t>
            </w:r>
          </w:p>
        </w:tc>
        <w:tc>
          <w:tcPr>
            <w:tcW w:w="2121" w:type="dxa"/>
            <w:vAlign w:val="center"/>
          </w:tcPr>
          <w:p w14:paraId="32DDA696"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Defining structural feature</w:t>
            </w:r>
          </w:p>
        </w:tc>
        <w:tc>
          <w:tcPr>
            <w:tcW w:w="2121" w:type="dxa"/>
            <w:vAlign w:val="center"/>
          </w:tcPr>
          <w:p w14:paraId="7C4C8F5F"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Stylized relation</w:t>
            </w:r>
          </w:p>
        </w:tc>
      </w:tr>
      <w:tr w:rsidR="00281531" w:rsidRPr="0036629B" w14:paraId="1A484046" w14:textId="77777777" w:rsidTr="00094FA3">
        <w:trPr>
          <w:jc w:val="center"/>
        </w:trPr>
        <w:tc>
          <w:tcPr>
            <w:tcW w:w="2495" w:type="dxa"/>
            <w:vAlign w:val="center"/>
          </w:tcPr>
          <w:p w14:paraId="5EC8D1E0" w14:textId="013C9336"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Self-Regulation</w:t>
            </w:r>
          </w:p>
        </w:tc>
        <w:tc>
          <w:tcPr>
            <w:tcW w:w="3247" w:type="dxa"/>
            <w:vAlign w:val="center"/>
          </w:tcPr>
          <w:p w14:paraId="5928597D" w14:textId="132F3DC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Actor regulate itself</w:t>
            </w:r>
          </w:p>
        </w:tc>
        <w:tc>
          <w:tcPr>
            <w:tcW w:w="2121" w:type="dxa"/>
            <w:vAlign w:val="center"/>
          </w:tcPr>
          <w:p w14:paraId="7BFDE573" w14:textId="77777777" w:rsidR="00281531" w:rsidRPr="0036629B" w:rsidRDefault="00281531" w:rsidP="0033094E">
            <w:pPr>
              <w:spacing w:before="30" w:after="30" w:line="276" w:lineRule="auto"/>
              <w:rPr>
                <w:rFonts w:asciiTheme="majorBidi" w:hAnsiTheme="majorBidi" w:cstheme="majorBidi"/>
                <w:sz w:val="22"/>
              </w:rPr>
            </w:pPr>
          </w:p>
        </w:tc>
        <w:tc>
          <w:tcPr>
            <w:tcW w:w="2121" w:type="dxa"/>
            <w:vAlign w:val="center"/>
          </w:tcPr>
          <w:p w14:paraId="56587333" w14:textId="77777777" w:rsidR="00281531" w:rsidRPr="0036629B" w:rsidRDefault="00281531" w:rsidP="0033094E">
            <w:pPr>
              <w:spacing w:before="30" w:after="30" w:line="276" w:lineRule="auto"/>
              <w:rPr>
                <w:rFonts w:asciiTheme="majorBidi" w:hAnsiTheme="majorBidi" w:cstheme="majorBidi"/>
                <w:sz w:val="22"/>
              </w:rPr>
            </w:pPr>
          </w:p>
        </w:tc>
      </w:tr>
      <w:tr w:rsidR="00281531" w:rsidRPr="0036629B" w14:paraId="4076C95A" w14:textId="77777777" w:rsidTr="00094FA3">
        <w:trPr>
          <w:jc w:val="center"/>
        </w:trPr>
        <w:tc>
          <w:tcPr>
            <w:tcW w:w="2495" w:type="dxa"/>
            <w:vAlign w:val="center"/>
          </w:tcPr>
          <w:p w14:paraId="570F98C8" w14:textId="433311EB"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Enforced self-Regulation </w:t>
            </w:r>
          </w:p>
        </w:tc>
        <w:tc>
          <w:tcPr>
            <w:tcW w:w="3247" w:type="dxa"/>
            <w:vAlign w:val="center"/>
          </w:tcPr>
          <w:p w14:paraId="0C651CB5" w14:textId="7C2D3CB9"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target</w:t>
            </w:r>
          </w:p>
        </w:tc>
        <w:tc>
          <w:tcPr>
            <w:tcW w:w="2121" w:type="dxa"/>
            <w:vAlign w:val="center"/>
          </w:tcPr>
          <w:p w14:paraId="1E0AFC63" w14:textId="56D65FDA"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 xml:space="preserve">Indirect authoritative relations </w:t>
            </w:r>
          </w:p>
        </w:tc>
        <w:tc>
          <w:tcPr>
            <w:tcW w:w="2121" w:type="dxa"/>
            <w:vAlign w:val="center"/>
          </w:tcPr>
          <w:p w14:paraId="26811106" w14:textId="77777777" w:rsidR="00281531" w:rsidRPr="0036629B" w:rsidRDefault="00281531" w:rsidP="0033094E">
            <w:pPr>
              <w:spacing w:before="30" w:after="30" w:line="276" w:lineRule="auto"/>
              <w:rPr>
                <w:rFonts w:asciiTheme="majorBidi" w:hAnsiTheme="majorBidi" w:cstheme="majorBidi"/>
                <w:sz w:val="22"/>
              </w:rPr>
            </w:pPr>
          </w:p>
        </w:tc>
      </w:tr>
      <w:tr w:rsidR="00281531" w:rsidRPr="0036629B" w14:paraId="4F50C3EE" w14:textId="77777777" w:rsidTr="00094FA3">
        <w:trPr>
          <w:jc w:val="center"/>
        </w:trPr>
        <w:tc>
          <w:tcPr>
            <w:tcW w:w="2495" w:type="dxa"/>
            <w:vAlign w:val="center"/>
          </w:tcPr>
          <w:p w14:paraId="23061CE0" w14:textId="3381AB3E"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Enhanced self-Regulation </w:t>
            </w:r>
          </w:p>
        </w:tc>
        <w:tc>
          <w:tcPr>
            <w:tcW w:w="3247" w:type="dxa"/>
            <w:vAlign w:val="center"/>
          </w:tcPr>
          <w:p w14:paraId="3C8E7845" w14:textId="23309548"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 + intermediary + target</w:t>
            </w:r>
          </w:p>
        </w:tc>
        <w:tc>
          <w:tcPr>
            <w:tcW w:w="2121" w:type="dxa"/>
            <w:vAlign w:val="center"/>
          </w:tcPr>
          <w:p w14:paraId="40A8C010" w14:textId="3F4D010F"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regulatory work routed through third party</w:t>
            </w:r>
          </w:p>
        </w:tc>
        <w:tc>
          <w:tcPr>
            <w:tcW w:w="2121" w:type="dxa"/>
            <w:vAlign w:val="center"/>
          </w:tcPr>
          <w:p w14:paraId="24DD0D37" w14:textId="3ECFE6B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I -&gt; T</w:t>
            </w:r>
          </w:p>
        </w:tc>
      </w:tr>
      <w:tr w:rsidR="00281531" w:rsidRPr="0036629B" w14:paraId="7636086D" w14:textId="77777777" w:rsidTr="00094FA3">
        <w:trPr>
          <w:jc w:val="center"/>
        </w:trPr>
        <w:tc>
          <w:tcPr>
            <w:tcW w:w="2495" w:type="dxa"/>
            <w:vAlign w:val="center"/>
          </w:tcPr>
          <w:p w14:paraId="78F1C6CD" w14:textId="0D717064"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Meta-Regulation </w:t>
            </w:r>
          </w:p>
        </w:tc>
        <w:tc>
          <w:tcPr>
            <w:tcW w:w="3247" w:type="dxa"/>
            <w:vAlign w:val="center"/>
          </w:tcPr>
          <w:p w14:paraId="6E64A699" w14:textId="6D7F58CF"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target</w:t>
            </w:r>
          </w:p>
        </w:tc>
        <w:tc>
          <w:tcPr>
            <w:tcW w:w="2121" w:type="dxa"/>
            <w:vAlign w:val="center"/>
          </w:tcPr>
          <w:p w14:paraId="26582CCD" w14:textId="059AF2B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Supervision of Target’s self-regulatory system</w:t>
            </w:r>
          </w:p>
        </w:tc>
        <w:tc>
          <w:tcPr>
            <w:tcW w:w="2121" w:type="dxa"/>
            <w:vAlign w:val="center"/>
          </w:tcPr>
          <w:p w14:paraId="1FBB79A2" w14:textId="77777777" w:rsidR="00281531" w:rsidRPr="0036629B" w:rsidRDefault="00281531" w:rsidP="0033094E">
            <w:pPr>
              <w:spacing w:before="30" w:after="30" w:line="276" w:lineRule="auto"/>
              <w:rPr>
                <w:rFonts w:asciiTheme="majorBidi" w:hAnsiTheme="majorBidi" w:cstheme="majorBidi"/>
                <w:sz w:val="22"/>
              </w:rPr>
            </w:pPr>
          </w:p>
        </w:tc>
      </w:tr>
      <w:tr w:rsidR="003902C2" w:rsidRPr="0036629B" w14:paraId="087BE2D7" w14:textId="77777777" w:rsidTr="00094FA3">
        <w:trPr>
          <w:jc w:val="center"/>
        </w:trPr>
        <w:tc>
          <w:tcPr>
            <w:tcW w:w="2495" w:type="dxa"/>
            <w:vAlign w:val="center"/>
          </w:tcPr>
          <w:p w14:paraId="4CAD1C59"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Hierarchical</w:t>
            </w:r>
          </w:p>
        </w:tc>
        <w:tc>
          <w:tcPr>
            <w:tcW w:w="3247" w:type="dxa"/>
            <w:vAlign w:val="center"/>
          </w:tcPr>
          <w:p w14:paraId="28256BD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 target</w:t>
            </w:r>
          </w:p>
        </w:tc>
        <w:tc>
          <w:tcPr>
            <w:tcW w:w="2121" w:type="dxa"/>
            <w:vAlign w:val="center"/>
          </w:tcPr>
          <w:p w14:paraId="3EA69AA1"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direct authoritative relation</w:t>
            </w:r>
          </w:p>
        </w:tc>
        <w:tc>
          <w:tcPr>
            <w:tcW w:w="2121" w:type="dxa"/>
            <w:vAlign w:val="center"/>
          </w:tcPr>
          <w:p w14:paraId="1886DA92"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T</w:t>
            </w:r>
          </w:p>
        </w:tc>
      </w:tr>
      <w:tr w:rsidR="003902C2" w:rsidRPr="0036629B" w14:paraId="767277D7" w14:textId="77777777" w:rsidTr="00094FA3">
        <w:trPr>
          <w:jc w:val="center"/>
        </w:trPr>
        <w:tc>
          <w:tcPr>
            <w:tcW w:w="2495" w:type="dxa"/>
            <w:vAlign w:val="center"/>
          </w:tcPr>
          <w:p w14:paraId="13BA16BE"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Delegated</w:t>
            </w:r>
          </w:p>
        </w:tc>
        <w:tc>
          <w:tcPr>
            <w:tcW w:w="3247" w:type="dxa"/>
            <w:vAlign w:val="center"/>
          </w:tcPr>
          <w:p w14:paraId="6507392F"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principal + agent + target</w:t>
            </w:r>
          </w:p>
        </w:tc>
        <w:tc>
          <w:tcPr>
            <w:tcW w:w="2121" w:type="dxa"/>
            <w:vAlign w:val="center"/>
          </w:tcPr>
          <w:p w14:paraId="6129A8D3"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authority transferred under control</w:t>
            </w:r>
          </w:p>
        </w:tc>
        <w:tc>
          <w:tcPr>
            <w:tcW w:w="2121" w:type="dxa"/>
            <w:vAlign w:val="center"/>
          </w:tcPr>
          <w:p w14:paraId="163E7DF2"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 -&gt; A -&gt; T</w:t>
            </w:r>
          </w:p>
        </w:tc>
      </w:tr>
      <w:tr w:rsidR="003902C2" w:rsidRPr="0036629B" w14:paraId="4747F7D2" w14:textId="77777777" w:rsidTr="00094FA3">
        <w:trPr>
          <w:jc w:val="center"/>
        </w:trPr>
        <w:tc>
          <w:tcPr>
            <w:tcW w:w="2495" w:type="dxa"/>
            <w:vAlign w:val="center"/>
          </w:tcPr>
          <w:p w14:paraId="4ED04DA8"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Accreditation/assurance chain</w:t>
            </w:r>
          </w:p>
        </w:tc>
        <w:tc>
          <w:tcPr>
            <w:tcW w:w="3247" w:type="dxa"/>
            <w:vAlign w:val="center"/>
          </w:tcPr>
          <w:p w14:paraId="284001AC"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 + accreditor + verifier + target</w:t>
            </w:r>
          </w:p>
        </w:tc>
        <w:tc>
          <w:tcPr>
            <w:tcW w:w="2121" w:type="dxa"/>
            <w:vAlign w:val="center"/>
          </w:tcPr>
          <w:p w14:paraId="3A8CDC9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governance of verifier plus verification of target</w:t>
            </w:r>
          </w:p>
        </w:tc>
        <w:tc>
          <w:tcPr>
            <w:tcW w:w="2121" w:type="dxa"/>
            <w:vAlign w:val="center"/>
          </w:tcPr>
          <w:p w14:paraId="48F70357"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A -&gt; V -&gt; T</w:t>
            </w:r>
          </w:p>
        </w:tc>
      </w:tr>
      <w:tr w:rsidR="003902C2" w:rsidRPr="0036629B" w14:paraId="7C6E42B0" w14:textId="77777777" w:rsidTr="00094FA3">
        <w:trPr>
          <w:jc w:val="center"/>
        </w:trPr>
        <w:tc>
          <w:tcPr>
            <w:tcW w:w="2495" w:type="dxa"/>
            <w:vAlign w:val="center"/>
          </w:tcPr>
          <w:p w14:paraId="2EFB1D9D"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Networked</w:t>
            </w:r>
          </w:p>
        </w:tc>
        <w:tc>
          <w:tcPr>
            <w:tcW w:w="3247" w:type="dxa"/>
            <w:vAlign w:val="center"/>
          </w:tcPr>
          <w:p w14:paraId="72ABE03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multiple public/private actors</w:t>
            </w:r>
          </w:p>
        </w:tc>
        <w:tc>
          <w:tcPr>
            <w:tcW w:w="2121" w:type="dxa"/>
            <w:vAlign w:val="center"/>
          </w:tcPr>
          <w:p w14:paraId="46C538BB"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coordination among interdependent actors</w:t>
            </w:r>
          </w:p>
        </w:tc>
        <w:tc>
          <w:tcPr>
            <w:tcW w:w="2121" w:type="dxa"/>
            <w:vAlign w:val="center"/>
          </w:tcPr>
          <w:p w14:paraId="171E31EE"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many-to-many</w:t>
            </w:r>
          </w:p>
        </w:tc>
      </w:tr>
      <w:tr w:rsidR="003902C2" w:rsidRPr="0036629B" w14:paraId="3FEF1EBD" w14:textId="77777777" w:rsidTr="00094FA3">
        <w:trPr>
          <w:jc w:val="center"/>
        </w:trPr>
        <w:tc>
          <w:tcPr>
            <w:tcW w:w="2495" w:type="dxa"/>
            <w:vAlign w:val="center"/>
          </w:tcPr>
          <w:p w14:paraId="2D0141DD"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Polycentric</w:t>
            </w:r>
          </w:p>
        </w:tc>
        <w:tc>
          <w:tcPr>
            <w:tcW w:w="3247" w:type="dxa"/>
            <w:vAlign w:val="center"/>
          </w:tcPr>
          <w:p w14:paraId="244892BA"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multiple decision centres</w:t>
            </w:r>
          </w:p>
        </w:tc>
        <w:tc>
          <w:tcPr>
            <w:tcW w:w="2121" w:type="dxa"/>
            <w:vAlign w:val="center"/>
          </w:tcPr>
          <w:p w14:paraId="0F31C270"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overlapping, partly autonomous authority</w:t>
            </w:r>
          </w:p>
        </w:tc>
        <w:tc>
          <w:tcPr>
            <w:tcW w:w="2121" w:type="dxa"/>
            <w:vAlign w:val="center"/>
          </w:tcPr>
          <w:p w14:paraId="02FD0680"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interdependent centres</w:t>
            </w:r>
          </w:p>
        </w:tc>
      </w:tr>
      <w:tr w:rsidR="003902C2" w:rsidRPr="0036629B" w14:paraId="1E8B0245" w14:textId="77777777" w:rsidTr="00094FA3">
        <w:trPr>
          <w:jc w:val="center"/>
        </w:trPr>
        <w:tc>
          <w:tcPr>
            <w:tcW w:w="2495" w:type="dxa"/>
            <w:vAlign w:val="center"/>
          </w:tcPr>
          <w:p w14:paraId="537B0204"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Multi-level</w:t>
            </w:r>
          </w:p>
        </w:tc>
        <w:tc>
          <w:tcPr>
            <w:tcW w:w="3247" w:type="dxa"/>
            <w:vAlign w:val="center"/>
          </w:tcPr>
          <w:p w14:paraId="31093DA1"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supranational/national/subnational actors</w:t>
            </w:r>
          </w:p>
        </w:tc>
        <w:tc>
          <w:tcPr>
            <w:tcW w:w="2121" w:type="dxa"/>
            <w:vAlign w:val="center"/>
          </w:tcPr>
          <w:p w14:paraId="4A8E0BB9"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authority distributed vertically and horizontally</w:t>
            </w:r>
          </w:p>
        </w:tc>
        <w:tc>
          <w:tcPr>
            <w:tcW w:w="2121" w:type="dxa"/>
            <w:vAlign w:val="center"/>
          </w:tcPr>
          <w:p w14:paraId="4664A7ED"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L1 &lt;-&gt; L2 &lt;-&gt; L3</w:t>
            </w:r>
          </w:p>
        </w:tc>
      </w:tr>
    </w:tbl>
    <w:p w14:paraId="4033B8F2" w14:textId="09DBEF5F" w:rsidR="00BB24A5" w:rsidRDefault="00BB24A5">
      <w:pPr>
        <w:rPr>
          <w:rFonts w:asciiTheme="majorBidi" w:hAnsiTheme="majorBidi" w:cstheme="majorBidi"/>
          <w:sz w:val="24"/>
          <w:szCs w:val="24"/>
        </w:rPr>
      </w:pPr>
    </w:p>
    <w:p w14:paraId="64744B98" w14:textId="77777777" w:rsidR="00E60B76" w:rsidRPr="00E60B76" w:rsidRDefault="00E60B76" w:rsidP="00E60B76">
      <w:pPr>
        <w:pStyle w:val="Heading2"/>
        <w:jc w:val="both"/>
        <w:rPr>
          <w:rFonts w:asciiTheme="majorBidi" w:hAnsiTheme="majorBidi"/>
          <w:color w:val="auto"/>
          <w:sz w:val="24"/>
          <w:szCs w:val="24"/>
        </w:rPr>
      </w:pPr>
      <w:r w:rsidRPr="00E60B76">
        <w:rPr>
          <w:rFonts w:asciiTheme="majorBidi" w:hAnsiTheme="majorBidi"/>
          <w:color w:val="auto"/>
          <w:sz w:val="24"/>
          <w:szCs w:val="24"/>
        </w:rPr>
        <w:t>5.2.3 Mixed and overlapping architectures</w:t>
      </w:r>
    </w:p>
    <w:p w14:paraId="5C8504EC"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Actual legal systems commonly combine several of these configurations. A law may require firms to establish internal risk-management systems, subject those systems to verification by accredited private bodies, authorize national regulators to supervise the verifiers, and retain centralized public enforcement. Such an arrangement simultaneously displays elements of meta-regulation, enhanced self-regulation, accreditation-based assurance and hierarchy. The analytical task is therefore not necessarily to assign the law a single label, but to reconstruct how these components coexist and which are most consequential within the relevant regulatory domain.</w:t>
      </w:r>
    </w:p>
    <w:p w14:paraId="761AB17D"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This configurational perspective also permits architecture to vary within a single statute. Large contemporary laws frequently govern several objects, actor groups and regulatory stages. One part of a statute may rely on direct public authorization, another on internal organizational compliance systems, and another on intermediary verification. The legal act should consequently not be assumed to contain one homogeneous architecture. Architectural claims should specify the legal scope to which they apply </w:t>
      </w:r>
      <w:r w:rsidRPr="00E60B76">
        <w:rPr>
          <w:rFonts w:asciiTheme="majorBidi" w:hAnsiTheme="majorBidi" w:cstheme="majorBidi"/>
          <w:sz w:val="24"/>
          <w:szCs w:val="24"/>
        </w:rPr>
        <w:lastRenderedPageBreak/>
        <w:t>and identify whether the observed configuration concerns the entire law, a subsystem, a regulatory function or a particular stage of the regulatory process.</w:t>
      </w:r>
    </w:p>
    <w:p w14:paraId="79180DDB"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The significance of a configuration should furthermore be distinguished from its frequency. A rarely mentioned relationship may be architecturally decisive where it constitutes a mandatory gateway, allocates binding authority, or occupies an indispensable position in a regulatory sequence. Conversely, frequently repeated provisions may remain structurally peripheral. Architectural analysis therefore requires attention to centrality, authority, indispensability, sequence and consequence as well as prevalence. This point is especially important for measuring intermediation, because the mere number of intermediary actors provides little indication of whether governance actually depends upon them.</w:t>
      </w:r>
    </w:p>
    <w:p w14:paraId="2AD877BB" w14:textId="77777777" w:rsidR="00E60B76" w:rsidRPr="00E60B76" w:rsidRDefault="00E60B76" w:rsidP="00E60B76">
      <w:pPr>
        <w:jc w:val="both"/>
        <w:rPr>
          <w:rFonts w:asciiTheme="majorBidi" w:hAnsiTheme="majorBidi" w:cstheme="majorBidi"/>
          <w:sz w:val="24"/>
          <w:szCs w:val="24"/>
        </w:rPr>
      </w:pPr>
      <w:r w:rsidRPr="00E60B76">
        <w:rPr>
          <w:rFonts w:asciiTheme="majorBidi" w:hAnsiTheme="majorBidi" w:cstheme="majorBidi"/>
          <w:sz w:val="24"/>
          <w:szCs w:val="24"/>
        </w:rPr>
        <w:t xml:space="preserve">A multidimensional and configurational understanding of architecture consequently makes the concept suitable for comparative analysis. Laws can be compared not only by assigning them ideal-type labels but by examining how they distribute functions, authority, discretion and accountability; how direct or intermediated their regulatory pathways are; how deeply governance is chained across actors; how public and private capacities are combined; and how many partly autonomous decision </w:t>
      </w:r>
      <w:proofErr w:type="spellStart"/>
      <w:r w:rsidRPr="00E60B76">
        <w:rPr>
          <w:rFonts w:asciiTheme="majorBidi" w:hAnsiTheme="majorBidi" w:cstheme="majorBidi"/>
          <w:sz w:val="24"/>
          <w:szCs w:val="24"/>
        </w:rPr>
        <w:t>centres</w:t>
      </w:r>
      <w:proofErr w:type="spellEnd"/>
      <w:r w:rsidRPr="00E60B76">
        <w:rPr>
          <w:rFonts w:asciiTheme="majorBidi" w:hAnsiTheme="majorBidi" w:cstheme="majorBidi"/>
          <w:sz w:val="24"/>
          <w:szCs w:val="24"/>
        </w:rPr>
        <w:t xml:space="preserve"> they establish. Named architectural forms can then be understood as recurrent configurations within this larger multidimensional space.</w:t>
      </w:r>
    </w:p>
    <w:p w14:paraId="4D760D6F" w14:textId="77777777" w:rsidR="00E60B76" w:rsidRDefault="00E60B76" w:rsidP="00E60B76">
      <w:pPr>
        <w:spacing w:line="276" w:lineRule="auto"/>
        <w:jc w:val="both"/>
        <w:rPr>
          <w:rStyle w:val="Strong"/>
          <w:rFonts w:asciiTheme="majorBidi" w:hAnsiTheme="majorBidi" w:cstheme="majorBidi"/>
          <w:b w:val="0"/>
          <w:bCs w:val="0"/>
          <w:sz w:val="24"/>
          <w:szCs w:val="24"/>
        </w:rPr>
      </w:pPr>
    </w:p>
    <w:p w14:paraId="0628063F" w14:textId="3D559269" w:rsidR="003902C2" w:rsidRPr="00A71381" w:rsidRDefault="00656BE6">
      <w:pPr>
        <w:pStyle w:val="Heading1"/>
        <w:rPr>
          <w:rFonts w:asciiTheme="majorBidi" w:hAnsiTheme="majorBidi"/>
          <w:color w:val="auto"/>
          <w:sz w:val="24"/>
          <w:szCs w:val="24"/>
        </w:rPr>
      </w:pPr>
      <w:r>
        <w:rPr>
          <w:rFonts w:asciiTheme="majorBidi" w:hAnsiTheme="majorBidi"/>
          <w:color w:val="auto"/>
          <w:sz w:val="24"/>
          <w:szCs w:val="24"/>
        </w:rPr>
        <w:t>5</w:t>
      </w:r>
      <w:r w:rsidR="009F52E6">
        <w:rPr>
          <w:rFonts w:asciiTheme="majorBidi" w:hAnsiTheme="majorBidi"/>
          <w:color w:val="auto"/>
          <w:sz w:val="24"/>
          <w:szCs w:val="24"/>
        </w:rPr>
        <w:t>.</w:t>
      </w:r>
      <w:r w:rsidR="005D4593">
        <w:rPr>
          <w:rFonts w:asciiTheme="majorBidi" w:hAnsiTheme="majorBidi"/>
          <w:color w:val="auto"/>
          <w:sz w:val="24"/>
          <w:szCs w:val="24"/>
        </w:rPr>
        <w:t xml:space="preserve">3 </w:t>
      </w:r>
      <w:r w:rsidR="00BB24A5" w:rsidRPr="00A71381">
        <w:rPr>
          <w:rFonts w:asciiTheme="majorBidi" w:hAnsiTheme="majorBidi"/>
          <w:color w:val="auto"/>
          <w:sz w:val="24"/>
          <w:szCs w:val="24"/>
        </w:rPr>
        <w:t>Governance Logics</w:t>
      </w:r>
    </w:p>
    <w:p w14:paraId="07FC7E3A" w14:textId="38CCB452" w:rsidR="00FC6A57" w:rsidRDefault="00BB24A5" w:rsidP="0036629B">
      <w:pPr>
        <w:rPr>
          <w:rFonts w:asciiTheme="majorBidi" w:hAnsiTheme="majorBidi"/>
          <w:sz w:val="24"/>
          <w:szCs w:val="24"/>
        </w:rPr>
      </w:pPr>
      <w:r w:rsidRPr="00BB24A5">
        <w:rPr>
          <w:rFonts w:asciiTheme="majorBidi" w:hAnsiTheme="majorBidi" w:cstheme="majorBidi"/>
          <w:sz w:val="24"/>
          <w:szCs w:val="24"/>
        </w:rPr>
        <w:t xml:space="preserve">Governance logic refers to the broader organizing principle through which authority, responsibility and coordination are structured. A hierarchical logic privileges authoritative control; a market logic relies upon competition and exchange; an associational logic relies upon collective self-organization; a professional logic privileges expertise and peer authority; a network logic relies upon interdependence and coordination; and an experimentalist logic privileges adaptation, comparison and recursive learning. Actual laws commonly combine several logics, so the empirical task is to examine </w:t>
      </w:r>
    </w:p>
    <w:p w14:paraId="3AC9BC35" w14:textId="56FCF90E" w:rsidR="00A71381" w:rsidRDefault="00A71381" w:rsidP="00BB24A5">
      <w:pPr>
        <w:jc w:val="both"/>
        <w:rPr>
          <w:rFonts w:asciiTheme="majorBidi" w:hAnsiTheme="majorBidi" w:cstheme="majorBidi"/>
          <w:sz w:val="24"/>
          <w:szCs w:val="24"/>
        </w:rPr>
      </w:pPr>
    </w:p>
    <w:p w14:paraId="41EB7C75" w14:textId="02125D57" w:rsidR="00B746D2" w:rsidRDefault="00B746D2" w:rsidP="00BB24A5">
      <w:pPr>
        <w:jc w:val="both"/>
        <w:rPr>
          <w:rFonts w:asciiTheme="majorBidi" w:hAnsiTheme="majorBidi" w:cstheme="majorBidi"/>
          <w:sz w:val="24"/>
          <w:szCs w:val="24"/>
        </w:rPr>
      </w:pPr>
    </w:p>
    <w:p w14:paraId="0B63B934" w14:textId="77777777" w:rsidR="0034786B" w:rsidRPr="007142B2" w:rsidRDefault="0034786B" w:rsidP="0034786B">
      <w:pPr>
        <w:spacing w:before="100" w:beforeAutospacing="1" w:afterAutospacing="1" w:line="276" w:lineRule="auto"/>
        <w:jc w:val="both"/>
        <w:outlineLvl w:val="0"/>
        <w:rPr>
          <w:rFonts w:asciiTheme="majorBidi" w:eastAsia="Times New Roman" w:hAnsiTheme="majorBidi" w:cstheme="majorBidi"/>
          <w:b/>
          <w:bCs/>
          <w:kern w:val="36"/>
          <w:sz w:val="24"/>
          <w:szCs w:val="24"/>
        </w:rPr>
      </w:pPr>
      <w:r w:rsidRPr="007142B2">
        <w:rPr>
          <w:rFonts w:asciiTheme="majorBidi" w:eastAsia="Times New Roman" w:hAnsiTheme="majorBidi" w:cstheme="majorBidi"/>
          <w:b/>
          <w:bCs/>
          <w:kern w:val="36"/>
          <w:sz w:val="24"/>
          <w:szCs w:val="24"/>
        </w:rPr>
        <w:t>6. A Methodology of Relational Leximetrics: From Legal Text to Governance Architecture</w:t>
      </w:r>
    </w:p>
    <w:p w14:paraId="0BC4A56F"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conceptual framework developed above requires a methodology capable of translating legal texts into systematic and comparable representations of governance. The methodological challenge is not simply one of coding granularity. Legal evidence is encountered in sentences, clauses, paragraphs and provisions, whereas the theoretical objects of interest—relationships, regulatory strategies, governance architectures and governance regimes—usually exist at higher levels of aggregation. Moving between these levels therefore requires inference. A provision is not itself a governance architecture, the presence of an intermediary does not establish an intermediated regime, and the assignment of a monitoring function does not establish that monitoring occupies a central position in the regulatory system.</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Relational leximetrics addresses this problem by combining fine-grained legal coding with explicit rules of relational and configurational inference. Its purpose is to preserve the textual foundations of legal analysis while making it possible to compare the systems of governance constituted through law. The methodology rests on four principles. First, the unit of coding, unit of analysis and unit of inference should be distinguished. Second, legally constituted relationships provide a critical bridge between legal </w:t>
      </w:r>
      <w:r w:rsidRPr="007142B2">
        <w:rPr>
          <w:rFonts w:asciiTheme="majorBidi" w:eastAsia="Times New Roman" w:hAnsiTheme="majorBidi" w:cstheme="majorBidi"/>
          <w:sz w:val="24"/>
          <w:szCs w:val="24"/>
        </w:rPr>
        <w:lastRenderedPageBreak/>
        <w:t>text and governance architecture. Third, higher-order properties should be reconstructed from configurations of lower-level elements rather than inferred from their simple frequency. Fourth, every higher-order claim should remain traceable to the legal observations upon which it rests.</w:t>
      </w:r>
    </w:p>
    <w:p w14:paraId="120B46E1"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 Units of coding, analysis and inference</w:t>
      </w:r>
    </w:p>
    <w:p w14:paraId="55AAD80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foundational methodological distinction concerns the unit of coding, the unit of analysis and the unit of inference. These units may coincide, but they frequently do not. Confusing them creates a risk that an empirical observation made at one level will be converted, without sufficient justification, into a theoretical claim at another.</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The </w:t>
      </w:r>
      <w:r w:rsidRPr="007142B2">
        <w:rPr>
          <w:rFonts w:asciiTheme="majorBidi" w:eastAsia="Times New Roman" w:hAnsiTheme="majorBidi" w:cstheme="majorBidi"/>
          <w:b/>
          <w:bCs/>
          <w:sz w:val="24"/>
          <w:szCs w:val="24"/>
        </w:rPr>
        <w:t>unit of coding</w:t>
      </w:r>
      <w:r w:rsidRPr="007142B2">
        <w:rPr>
          <w:rFonts w:asciiTheme="majorBidi" w:eastAsia="Times New Roman" w:hAnsiTheme="majorBidi" w:cstheme="majorBidi"/>
          <w:sz w:val="24"/>
          <w:szCs w:val="24"/>
        </w:rPr>
        <w:t xml:space="preserve"> is the smallest element to which a researcher assigns a code. In legal research this may be a sentence, clause, paragraph, provision or institutional statement. The choice depends partly on the structure of the legal text and partly on the research question. Sentence-level coding provides textual precision, but linguistic boundaries do not necessarily correspond to institutional boundaries. One sentence may establish several distinct obligations or relationships, while a single governance relationship may be constituted through several provisions.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The </w:t>
      </w:r>
      <w:r w:rsidRPr="007142B2">
        <w:rPr>
          <w:rFonts w:asciiTheme="majorBidi" w:eastAsia="Times New Roman" w:hAnsiTheme="majorBidi" w:cstheme="majorBidi"/>
          <w:b/>
          <w:bCs/>
          <w:sz w:val="24"/>
          <w:szCs w:val="24"/>
        </w:rPr>
        <w:t>unit of analysis</w:t>
      </w:r>
      <w:r w:rsidRPr="007142B2">
        <w:rPr>
          <w:rFonts w:asciiTheme="majorBidi" w:eastAsia="Times New Roman" w:hAnsiTheme="majorBidi" w:cstheme="majorBidi"/>
          <w:sz w:val="24"/>
          <w:szCs w:val="24"/>
        </w:rPr>
        <w:t xml:space="preserve"> identifies the entity whose properties are actually being examined. For relational leximetrics, this may include actors and roles, governance functions, mechanisms, instruments, relationships, or relational attributes such as authority, discretion and accountability. The relationship is especially important because it records not merely that actors are mentioned, but how they are legally positioned relative to one another.</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The </w:t>
      </w:r>
      <w:r w:rsidRPr="007142B2">
        <w:rPr>
          <w:rFonts w:asciiTheme="majorBidi" w:eastAsia="Times New Roman" w:hAnsiTheme="majorBidi" w:cstheme="majorBidi"/>
          <w:b/>
          <w:bCs/>
          <w:sz w:val="24"/>
          <w:szCs w:val="24"/>
        </w:rPr>
        <w:t>unit of inference</w:t>
      </w:r>
      <w:r w:rsidRPr="007142B2">
        <w:rPr>
          <w:rFonts w:asciiTheme="majorBidi" w:eastAsia="Times New Roman" w:hAnsiTheme="majorBidi" w:cstheme="majorBidi"/>
          <w:sz w:val="24"/>
          <w:szCs w:val="24"/>
        </w:rPr>
        <w:t xml:space="preserve"> identifies the larger entity about which the researcher ultimately seeks to make a theoretical claim. Depending upon the research design, this may be a law, subsystem within a law, regulatory program, sectoral regime or broader governance system.</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The distinction can be summarized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5994"/>
      </w:tblGrid>
      <w:tr w:rsidR="0034786B" w:rsidRPr="007142B2" w14:paraId="63C66E6E" w14:textId="77777777" w:rsidTr="00DA4984">
        <w:trPr>
          <w:tblHeader/>
          <w:tblCellSpacing w:w="15" w:type="dxa"/>
        </w:trPr>
        <w:tc>
          <w:tcPr>
            <w:tcW w:w="0" w:type="auto"/>
            <w:vAlign w:val="center"/>
            <w:hideMark/>
          </w:tcPr>
          <w:p w14:paraId="162DE6B9" w14:textId="77777777" w:rsidR="0034786B" w:rsidRPr="007142B2" w:rsidRDefault="0034786B" w:rsidP="00DA4984">
            <w:pPr>
              <w:spacing w:line="276" w:lineRule="auto"/>
              <w:jc w:val="both"/>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Methodological unit</w:t>
            </w:r>
          </w:p>
        </w:tc>
        <w:tc>
          <w:tcPr>
            <w:tcW w:w="0" w:type="auto"/>
            <w:vAlign w:val="center"/>
            <w:hideMark/>
          </w:tcPr>
          <w:p w14:paraId="79F915CE" w14:textId="77777777" w:rsidR="0034786B" w:rsidRPr="007142B2" w:rsidRDefault="0034786B" w:rsidP="00DA4984">
            <w:pPr>
              <w:spacing w:line="276" w:lineRule="auto"/>
              <w:jc w:val="both"/>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Typical manifestation</w:t>
            </w:r>
          </w:p>
        </w:tc>
      </w:tr>
      <w:tr w:rsidR="0034786B" w:rsidRPr="007142B2" w14:paraId="5645EC25" w14:textId="77777777" w:rsidTr="00DA4984">
        <w:trPr>
          <w:tblCellSpacing w:w="15" w:type="dxa"/>
        </w:trPr>
        <w:tc>
          <w:tcPr>
            <w:tcW w:w="0" w:type="auto"/>
            <w:vAlign w:val="center"/>
            <w:hideMark/>
          </w:tcPr>
          <w:p w14:paraId="4E874FB2"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Unit of coding</w:t>
            </w:r>
          </w:p>
        </w:tc>
        <w:tc>
          <w:tcPr>
            <w:tcW w:w="0" w:type="auto"/>
            <w:vAlign w:val="center"/>
            <w:hideMark/>
          </w:tcPr>
          <w:p w14:paraId="3809426C"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clause, sentence, paragraph, provision, institutional statement</w:t>
            </w:r>
          </w:p>
        </w:tc>
      </w:tr>
      <w:tr w:rsidR="0034786B" w:rsidRPr="007142B2" w14:paraId="336344ED" w14:textId="77777777" w:rsidTr="00DA4984">
        <w:trPr>
          <w:tblCellSpacing w:w="15" w:type="dxa"/>
        </w:trPr>
        <w:tc>
          <w:tcPr>
            <w:tcW w:w="0" w:type="auto"/>
            <w:vAlign w:val="center"/>
            <w:hideMark/>
          </w:tcPr>
          <w:p w14:paraId="53812926"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Unit of analysis</w:t>
            </w:r>
          </w:p>
        </w:tc>
        <w:tc>
          <w:tcPr>
            <w:tcW w:w="0" w:type="auto"/>
            <w:vAlign w:val="center"/>
            <w:hideMark/>
          </w:tcPr>
          <w:p w14:paraId="1D146B40"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actor, function, instrument, relationship, relational attribute</w:t>
            </w:r>
          </w:p>
        </w:tc>
      </w:tr>
      <w:tr w:rsidR="0034786B" w:rsidRPr="007142B2" w14:paraId="193A15D8" w14:textId="77777777" w:rsidTr="00DA4984">
        <w:trPr>
          <w:tblCellSpacing w:w="15" w:type="dxa"/>
        </w:trPr>
        <w:tc>
          <w:tcPr>
            <w:tcW w:w="0" w:type="auto"/>
            <w:vAlign w:val="center"/>
            <w:hideMark/>
          </w:tcPr>
          <w:p w14:paraId="0258074D"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Unit of inference</w:t>
            </w:r>
          </w:p>
        </w:tc>
        <w:tc>
          <w:tcPr>
            <w:tcW w:w="0" w:type="auto"/>
            <w:vAlign w:val="center"/>
            <w:hideMark/>
          </w:tcPr>
          <w:p w14:paraId="061CC83A" w14:textId="77777777" w:rsidR="0034786B" w:rsidRPr="007142B2" w:rsidRDefault="0034786B" w:rsidP="00DA4984">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architecture, law, regulatory regime, governance system</w:t>
            </w:r>
          </w:p>
        </w:tc>
      </w:tr>
    </w:tbl>
    <w:p w14:paraId="6464AF7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central implication is that the unit of coding need not be the unit of analysis, and neither need be the unit of inference. A study may code individual provisions, </w:t>
      </w:r>
      <w:proofErr w:type="spellStart"/>
      <w:r w:rsidRPr="007142B2">
        <w:rPr>
          <w:rFonts w:asciiTheme="majorBidi" w:eastAsia="Times New Roman" w:hAnsiTheme="majorBidi" w:cstheme="majorBidi"/>
          <w:sz w:val="24"/>
          <w:szCs w:val="24"/>
        </w:rPr>
        <w:t>analyse</w:t>
      </w:r>
      <w:proofErr w:type="spellEnd"/>
      <w:r w:rsidRPr="007142B2">
        <w:rPr>
          <w:rFonts w:asciiTheme="majorBidi" w:eastAsia="Times New Roman" w:hAnsiTheme="majorBidi" w:cstheme="majorBidi"/>
          <w:sz w:val="24"/>
          <w:szCs w:val="24"/>
        </w:rPr>
        <w:t xml:space="preserve"> relationships and distributions of governance functions, and ultimately make claims about the architecture of a regulatory regime. The legitimacy of the higher-level claim depends upon the inferential procedures connecting those levels.</w:t>
      </w:r>
    </w:p>
    <w:p w14:paraId="05AD299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6.2 Levels of analysis and the Legal-Governance Inference Ladder</w:t>
      </w:r>
    </w:p>
    <w:p w14:paraId="5F203EB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Relational leximetrics can be represented through six analytical levels: legal text, institutional statements, governance relationships, governance configurations, legal architectures and governance regimes. These levels are nested but analytically distinct.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At the first level, </w:t>
      </w:r>
      <w:r w:rsidRPr="007142B2">
        <w:rPr>
          <w:rFonts w:asciiTheme="majorBidi" w:eastAsia="Times New Roman" w:hAnsiTheme="majorBidi" w:cstheme="majorBidi"/>
          <w:b/>
          <w:bCs/>
          <w:sz w:val="24"/>
          <w:szCs w:val="24"/>
        </w:rPr>
        <w:t>legal text</w:t>
      </w:r>
      <w:r w:rsidRPr="007142B2">
        <w:rPr>
          <w:rFonts w:asciiTheme="majorBidi" w:eastAsia="Times New Roman" w:hAnsiTheme="majorBidi" w:cstheme="majorBidi"/>
          <w:sz w:val="24"/>
          <w:szCs w:val="24"/>
        </w:rPr>
        <w:t xml:space="preserve"> provides the evidentiary substrate. The researcher identifies the language through which rights, obligations, permissions, powers, conditions and institutional arrangements are expressed.</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At the second level, </w:t>
      </w:r>
      <w:r w:rsidRPr="007142B2">
        <w:rPr>
          <w:rFonts w:asciiTheme="majorBidi" w:eastAsia="Times New Roman" w:hAnsiTheme="majorBidi" w:cstheme="majorBidi"/>
          <w:b/>
          <w:bCs/>
          <w:sz w:val="24"/>
          <w:szCs w:val="24"/>
        </w:rPr>
        <w:t>institutional statements</w:t>
      </w:r>
      <w:r w:rsidRPr="007142B2">
        <w:rPr>
          <w:rFonts w:asciiTheme="majorBidi" w:eastAsia="Times New Roman" w:hAnsiTheme="majorBidi" w:cstheme="majorBidi"/>
          <w:sz w:val="24"/>
          <w:szCs w:val="24"/>
        </w:rPr>
        <w:t xml:space="preserve"> identify the </w:t>
      </w:r>
      <w:r w:rsidRPr="007142B2">
        <w:rPr>
          <w:rFonts w:asciiTheme="majorBidi" w:eastAsia="Times New Roman" w:hAnsiTheme="majorBidi" w:cstheme="majorBidi"/>
          <w:sz w:val="24"/>
          <w:szCs w:val="24"/>
        </w:rPr>
        <w:lastRenderedPageBreak/>
        <w:t xml:space="preserve">legally significant propositions embedded in that text. Institutional Grammar demonstrates the usefulness of decomposing institutional statements into actors, actions, deontic operators, conditions and consequences (Crawford and Ostrom 1995; Frantz and </w:t>
      </w:r>
      <w:proofErr w:type="spellStart"/>
      <w:r w:rsidRPr="007142B2">
        <w:rPr>
          <w:rFonts w:asciiTheme="majorBidi" w:eastAsia="Times New Roman" w:hAnsiTheme="majorBidi" w:cstheme="majorBidi"/>
          <w:sz w:val="24"/>
          <w:szCs w:val="24"/>
        </w:rPr>
        <w:t>Siddiki</w:t>
      </w:r>
      <w:proofErr w:type="spellEnd"/>
      <w:r w:rsidRPr="007142B2">
        <w:rPr>
          <w:rFonts w:asciiTheme="majorBidi" w:eastAsia="Times New Roman" w:hAnsiTheme="majorBidi" w:cstheme="majorBidi"/>
          <w:sz w:val="24"/>
          <w:szCs w:val="24"/>
        </w:rPr>
        <w:t xml:space="preserve"> 2021, 2022). For present purposes, this level establishes, for example, that a provider must submit information, an authority may authorize an activity, or a verifier must assess compliance.</w:t>
      </w:r>
    </w:p>
    <w:p w14:paraId="73121425"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third level, </w:t>
      </w:r>
      <w:r w:rsidRPr="007142B2">
        <w:rPr>
          <w:rFonts w:asciiTheme="majorBidi" w:eastAsia="Times New Roman" w:hAnsiTheme="majorBidi" w:cstheme="majorBidi"/>
          <w:b/>
          <w:bCs/>
          <w:sz w:val="24"/>
          <w:szCs w:val="24"/>
        </w:rPr>
        <w:t>governance relationships</w:t>
      </w:r>
      <w:r w:rsidRPr="007142B2">
        <w:rPr>
          <w:rFonts w:asciiTheme="majorBidi" w:eastAsia="Times New Roman" w:hAnsiTheme="majorBidi" w:cstheme="majorBidi"/>
          <w:sz w:val="24"/>
          <w:szCs w:val="24"/>
        </w:rPr>
        <w:t xml:space="preserve"> identify the legally constituted connection among actors. A legal statement may establish that a regulator supervises a certifier, a certifier verifies a regulated firm, a firm reports to an authority, or a court reviews an agency decision. Relationships therefore transform isolated institutional statements into observations concerning the organization of governance.</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At the fourth level, </w:t>
      </w:r>
      <w:r w:rsidRPr="007142B2">
        <w:rPr>
          <w:rFonts w:asciiTheme="majorBidi" w:eastAsia="Times New Roman" w:hAnsiTheme="majorBidi" w:cstheme="majorBidi"/>
          <w:b/>
          <w:bCs/>
          <w:sz w:val="24"/>
          <w:szCs w:val="24"/>
        </w:rPr>
        <w:t>governance configurations</w:t>
      </w:r>
      <w:r w:rsidRPr="007142B2">
        <w:rPr>
          <w:rFonts w:asciiTheme="majorBidi" w:eastAsia="Times New Roman" w:hAnsiTheme="majorBidi" w:cstheme="majorBidi"/>
          <w:sz w:val="24"/>
          <w:szCs w:val="24"/>
        </w:rPr>
        <w:t xml:space="preserve"> combine relationships with functions, mechanisms, instruments and relational attributes. An accreditation and certification arrangement, for example, is not adequately represented by the isolated presence of accreditation, certification or reporting. Its institutional character derives from how these elements are connected and from the authority, discretion and accountability attached to the participating actors.</w:t>
      </w:r>
    </w:p>
    <w:p w14:paraId="179BB55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fifth level, </w:t>
      </w:r>
      <w:r w:rsidRPr="007142B2">
        <w:rPr>
          <w:rFonts w:asciiTheme="majorBidi" w:eastAsia="Times New Roman" w:hAnsiTheme="majorBidi" w:cstheme="majorBidi"/>
          <w:b/>
          <w:bCs/>
          <w:sz w:val="24"/>
          <w:szCs w:val="24"/>
        </w:rPr>
        <w:t>legal architecture</w:t>
      </w:r>
      <w:r w:rsidRPr="007142B2">
        <w:rPr>
          <w:rFonts w:asciiTheme="majorBidi" w:eastAsia="Times New Roman" w:hAnsiTheme="majorBidi" w:cstheme="majorBidi"/>
          <w:sz w:val="24"/>
          <w:szCs w:val="24"/>
        </w:rPr>
        <w:t xml:space="preserve"> concerns the patterned organization of governance within a law or legally constituted subsystem. Architectural claims concern properties such as centralization, intermediation, hierarchical depth, public-private hybridity, delegation, distribution of discretion and concentration of enforcement authority.</w:t>
      </w:r>
    </w:p>
    <w:p w14:paraId="4B88CC02"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Finally, the sixth level concerns the </w:t>
      </w:r>
      <w:r w:rsidRPr="007142B2">
        <w:rPr>
          <w:rFonts w:asciiTheme="majorBidi" w:eastAsia="Times New Roman" w:hAnsiTheme="majorBidi" w:cstheme="majorBidi"/>
          <w:b/>
          <w:bCs/>
          <w:sz w:val="24"/>
          <w:szCs w:val="24"/>
        </w:rPr>
        <w:t>governance regime</w:t>
      </w:r>
      <w:r w:rsidRPr="007142B2">
        <w:rPr>
          <w:rFonts w:asciiTheme="majorBidi" w:eastAsia="Times New Roman" w:hAnsiTheme="majorBidi" w:cstheme="majorBidi"/>
          <w:sz w:val="24"/>
          <w:szCs w:val="24"/>
        </w:rPr>
        <w:t>. Regulatory regimes often extend beyond a single statute and may incorporate multiple laws, delegated and implementing measures, administrative bodies, standards, judicial doctrines and legally recognized non-state institutions. Movement from the architecture of one law to the architecture of a regulatory regime therefore requires an explicit decision concerning the boundaries of the system under analysis.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The essential methodological principle is that movement between these levels constitutes inference rather than mechanical transformation. The further the researcher moves from the original text, the greater the theoretical burden associated with the claim.</w:t>
      </w:r>
    </w:p>
    <w:p w14:paraId="5A0736CD"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p>
    <w:p w14:paraId="61CE3AA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p>
    <w:p w14:paraId="3FACECE3"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6.3 The relationship as the pivotal bridge</w:t>
      </w:r>
    </w:p>
    <w:p w14:paraId="6808A09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Relationships occupy a distinctive position in this methodology because they connect elementary legal observations to the wider organization of governance. The presence of actors alone provides little information about architecture. A regulator, firm, auditor and standard-setting body could coexist in several fundamentally different governance arrangements. What distinguishes those arrangements is how law connects the actors and distributes governance work among them.</w:t>
      </w:r>
    </w:p>
    <w:p w14:paraId="2E05E925"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basic relational observation can be represented as:</w:t>
      </w:r>
    </w:p>
    <w:p w14:paraId="33CE08EF" w14:textId="77777777" w:rsidR="0034786B" w:rsidRPr="007142B2" w:rsidRDefault="0034786B" w:rsidP="0034786B">
      <w:pPr>
        <w:spacing w:line="276" w:lineRule="auto"/>
        <w:jc w:val="center"/>
        <w:rPr>
          <w:rFonts w:asciiTheme="majorBidi" w:eastAsia="Times New Roman" w:hAnsiTheme="majorBidi" w:cstheme="majorBidi"/>
          <w:sz w:val="24"/>
          <w:szCs w:val="24"/>
        </w:rPr>
      </w:pPr>
      <w:proofErr w:type="spellStart"/>
      <w:r w:rsidRPr="007142B2">
        <w:rPr>
          <w:rFonts w:asciiTheme="majorBidi" w:eastAsia="Times New Roman" w:hAnsiTheme="majorBidi" w:cstheme="majorBidi"/>
          <w:sz w:val="24"/>
          <w:szCs w:val="24"/>
        </w:rPr>
        <w:lastRenderedPageBreak/>
        <w:t>R_i</w:t>
      </w:r>
      <w:proofErr w:type="spellEnd"/>
      <w:r w:rsidRPr="007142B2">
        <w:rPr>
          <w:rFonts w:asciiTheme="majorBidi" w:eastAsia="Times New Roman" w:hAnsiTheme="majorBidi" w:cstheme="majorBidi"/>
          <w:sz w:val="24"/>
          <w:szCs w:val="24"/>
        </w:rPr>
        <w:t xml:space="preserve"> = (</w:t>
      </w:r>
      <w:proofErr w:type="spellStart"/>
      <w:r w:rsidRPr="007142B2">
        <w:rPr>
          <w:rFonts w:asciiTheme="majorBidi" w:eastAsia="Times New Roman" w:hAnsiTheme="majorBidi" w:cstheme="majorBidi"/>
          <w:sz w:val="24"/>
          <w:szCs w:val="24"/>
        </w:rPr>
        <w:t>Actor_A</w:t>
      </w:r>
      <w:proofErr w:type="spellEnd"/>
      <w:r w:rsidRPr="007142B2">
        <w:rPr>
          <w:rFonts w:asciiTheme="majorBidi" w:eastAsia="Times New Roman" w:hAnsiTheme="majorBidi" w:cstheme="majorBidi"/>
          <w:sz w:val="24"/>
          <w:szCs w:val="24"/>
        </w:rPr>
        <w:t>, Relationship</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 xml:space="preserve"> </w:t>
      </w:r>
      <w:proofErr w:type="spellStart"/>
      <w:r w:rsidRPr="007142B2">
        <w:rPr>
          <w:rFonts w:asciiTheme="majorBidi" w:eastAsia="Times New Roman" w:hAnsiTheme="majorBidi" w:cstheme="majorBidi"/>
          <w:sz w:val="24"/>
          <w:szCs w:val="24"/>
        </w:rPr>
        <w:t>Actor_B</w:t>
      </w:r>
      <w:proofErr w:type="spellEnd"/>
      <w:r w:rsidRPr="007142B2">
        <w:rPr>
          <w:rFonts w:asciiTheme="majorBidi" w:eastAsia="Times New Roman" w:hAnsiTheme="majorBidi" w:cstheme="majorBidi"/>
          <w:sz w:val="24"/>
          <w:szCs w:val="24"/>
        </w:rPr>
        <w:t>)</w:t>
      </w:r>
    </w:p>
    <w:p w14:paraId="0239802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but should ordinarily be supplemented by the governance elements and relational attributes associated with that relationship:</w:t>
      </w:r>
    </w:p>
    <w:p w14:paraId="72F6555F" w14:textId="77777777" w:rsidR="0034786B" w:rsidRPr="007142B2" w:rsidRDefault="0034786B" w:rsidP="0034786B">
      <w:pPr>
        <w:spacing w:line="276" w:lineRule="auto"/>
        <w:jc w:val="center"/>
        <w:rPr>
          <w:rFonts w:asciiTheme="majorBidi" w:eastAsia="Times New Roman" w:hAnsiTheme="majorBidi" w:cstheme="majorBidi"/>
          <w:sz w:val="24"/>
          <w:szCs w:val="24"/>
        </w:rPr>
      </w:pPr>
      <w:proofErr w:type="spellStart"/>
      <w:r w:rsidRPr="007142B2">
        <w:rPr>
          <w:rFonts w:asciiTheme="majorBidi" w:eastAsia="Times New Roman" w:hAnsiTheme="majorBidi" w:cstheme="majorBidi"/>
          <w:sz w:val="24"/>
          <w:szCs w:val="24"/>
        </w:rPr>
        <w:t>R_i</w:t>
      </w:r>
      <w:proofErr w:type="spellEnd"/>
      <w:r w:rsidRPr="007142B2">
        <w:rPr>
          <w:rFonts w:asciiTheme="majorBidi" w:eastAsia="Times New Roman" w:hAnsiTheme="majorBidi" w:cstheme="majorBidi"/>
          <w:sz w:val="24"/>
          <w:szCs w:val="24"/>
        </w:rPr>
        <w:t xml:space="preserve"> = (</w:t>
      </w:r>
      <w:proofErr w:type="spellStart"/>
      <w:r w:rsidRPr="007142B2">
        <w:rPr>
          <w:rFonts w:asciiTheme="majorBidi" w:eastAsia="Times New Roman" w:hAnsiTheme="majorBidi" w:cstheme="majorBidi"/>
          <w:sz w:val="24"/>
          <w:szCs w:val="24"/>
        </w:rPr>
        <w:t>Actor_A</w:t>
      </w:r>
      <w:proofErr w:type="spellEnd"/>
      <w:r w:rsidRPr="007142B2">
        <w:rPr>
          <w:rFonts w:asciiTheme="majorBidi" w:eastAsia="Times New Roman" w:hAnsiTheme="majorBidi" w:cstheme="majorBidi"/>
          <w:sz w:val="24"/>
          <w:szCs w:val="24"/>
        </w:rPr>
        <w:t xml:space="preserve">, </w:t>
      </w:r>
      <w:proofErr w:type="spellStart"/>
      <w:r w:rsidRPr="007142B2">
        <w:rPr>
          <w:rFonts w:asciiTheme="majorBidi" w:eastAsia="Times New Roman" w:hAnsiTheme="majorBidi" w:cstheme="majorBidi"/>
          <w:sz w:val="24"/>
          <w:szCs w:val="24"/>
        </w:rPr>
        <w:t>Actor_B</w:t>
      </w:r>
      <w:proofErr w:type="spellEnd"/>
      <w:r w:rsidRPr="007142B2">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Object,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Function,</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Mechanism,</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Instrument, Authority,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Discretion,</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Accountability)</w:t>
      </w:r>
    </w:p>
    <w:p w14:paraId="6F360B5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along with the legal provision or provisions from which the observation is derived.</w:t>
      </w:r>
    </w:p>
    <w:p w14:paraId="075E9DE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formulation emphasizes that relationships are typed rather than generic. A relationship involving supervision differs substantively from one involving reporting, verification, delegation, representation or review even when it connects the same actors. A simple network representation in which all connections are observationally equivalent would therefore lose much of the legal and institutional meaning that relational leximetrics seeks to preserve.</w:t>
      </w:r>
    </w:p>
    <w:p w14:paraId="53DCFD9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single provision may generate several relational observations. Conversely, one governance relationship may depend upon several provisions. A certifier's relationship with a firm, for example, may be constituted through one provision requiring assessment, another defining access to information, another regulating independence, and another determining the legal consequences of certification. The database must consequently preserve many-to-many links between legal evidence and relational observations.</w:t>
      </w:r>
    </w:p>
    <w:p w14:paraId="5FF94CB1"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6.4 Direct coding and theoretical inference</w:t>
      </w:r>
    </w:p>
    <w:p w14:paraId="79FFFD0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central methodological principle is to distinguish between relatively direct coding and progressively more interpretive inference.</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Objects, named actors, functions, instruments, mechanisms and explicit relationships can ordinarily be anchored relatively closely in legal text. Authority, discretion and accountability require greater interpretation but remain properties that can often be coded from identifiable legal indicators. Regulatory strategies, architectures and governance logics, by contrast, are higher-order constructs that normally require aggregation across multiple observations.</w:t>
      </w:r>
    </w:p>
    <w:p w14:paraId="6C9B413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Primary coding should therefore concentrate on evidence that can be located and adjudicated. Coders may identify, for example, that a conformity-assessment body verifies compliance, that its status depends upon accreditation, that a provider must supply specified information, that the assessment has legally consequential effects, and that a competent authority retains powers of supervision and withdrawal.</w:t>
      </w:r>
    </w:p>
    <w:p w14:paraId="1B210FF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coder should not initially be required to decide whether these observations constitute enhanced self-regulation, polycentric governance or some other theoretically demanding architectural category. Such classifications should normally be constructed from the lower-level data.</w:t>
      </w:r>
    </w:p>
    <w:p w14:paraId="5E6ECA8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separation serves two purposes. First, it improves reliability by reducing the theoretical burden imposed upon primary coders. Second, it allows competing theoretical classifications to be derived from the same empirical foundation. Researchers may disagree about the appropriate threshold for identifying polycentric or intermediated governance without having to reconstruct the underlying legal observations.</w:t>
      </w:r>
    </w:p>
    <w:p w14:paraId="5B5D702B"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lastRenderedPageBreak/>
        <w:t>6.5 From individual relationships to governance configurations</w:t>
      </w:r>
    </w:p>
    <w:p w14:paraId="2AA4FF8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first major step in aggregation consists of identifying configurations of governance relationships. A configuration is a theoretically meaningful combination of actors, relationships, functions, mechanisms, instruments and relational attributes that jointly organizes a particular part of governance.</w:t>
      </w:r>
    </w:p>
    <w:p w14:paraId="16EAE88F"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Consider licensing. Licensing should not be identified merely because the word “</w:t>
      </w:r>
      <w:proofErr w:type="spellStart"/>
      <w:r w:rsidRPr="007142B2">
        <w:rPr>
          <w:rFonts w:asciiTheme="majorBidi" w:eastAsia="Times New Roman" w:hAnsiTheme="majorBidi" w:cstheme="majorBidi"/>
          <w:sz w:val="24"/>
          <w:szCs w:val="24"/>
        </w:rPr>
        <w:t>licence</w:t>
      </w:r>
      <w:proofErr w:type="spellEnd"/>
      <w:r w:rsidRPr="007142B2">
        <w:rPr>
          <w:rFonts w:asciiTheme="majorBidi" w:eastAsia="Times New Roman" w:hAnsiTheme="majorBidi" w:cstheme="majorBidi"/>
          <w:sz w:val="24"/>
          <w:szCs w:val="24"/>
        </w:rPr>
        <w:t>” occurs in the legislation. A developed licensing configuration may include an application by a target, provision of information to an authority, assessment of eligibility, authorization by that authority, continuing monitoring and powers of suspension or withdrawal. These relationships jointly constitute the institutional organization of licensing.</w:t>
      </w:r>
    </w:p>
    <w:p w14:paraId="4CE8709E"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third-party assurance configuration may similarly include public recognition or accreditation of a verifier, assessment of a regulated organization by that verifier, information obligations owed by the regulatee, reporting by the verifier and supervisory powers retained by a public authority.</w:t>
      </w:r>
    </w:p>
    <w:p w14:paraId="0C353FD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Governance configurations can therefore be expressed conceptually as:</w:t>
      </w:r>
    </w:p>
    <w:p w14:paraId="71DF81F5" w14:textId="77777777" w:rsidR="0034786B" w:rsidRPr="007142B2" w:rsidRDefault="0034786B" w:rsidP="0034786B">
      <w:pPr>
        <w:spacing w:line="276" w:lineRule="auto"/>
        <w:jc w:val="center"/>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 = f(Relationships,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Functions,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Mechanisms,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Instruments,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Relational</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Attributes)</w:t>
      </w:r>
    </w:p>
    <w:p w14:paraId="2689863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precise composition will vary across regulatory domains. The methodological requirement is not that all configurations contain identical elements, but that the criteria used to identify a configuration are theoretically specified and empirically recoverable.</w:t>
      </w:r>
    </w:p>
    <w:p w14:paraId="04EDFF1D"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approach also clarifies the distinction developed earlier between function, mechanism and instrument. An audit, for example, may constitute an instrument; verification may describe a mechanism through which credibility is established; and assurance may constitute the governance function performed. The architectural significance of these elements depends ultimately upon the relational configuration within which they operate.</w:t>
      </w:r>
    </w:p>
    <w:p w14:paraId="3960B1EF"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p>
    <w:p w14:paraId="4D96F2B8"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p>
    <w:p w14:paraId="32EA4EF7"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6.6 Aggregation and architectural significance</w:t>
      </w:r>
    </w:p>
    <w:p w14:paraId="61E4369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Movement from relationships and configurations to architecture is the most demanding inferential transition. The simplest approach would be to aggregate by frequency: count the number of obligations, actors, intermediary relationships, audits, reporting provisions or enforcement mechanisms. Such counts are useful descriptions of legal composition, but they do not necessarily reveal how governance is organized.</w:t>
      </w:r>
    </w:p>
    <w:p w14:paraId="0B0E348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Frequency should therefore be distinguished from architectural significance. A relationship or provision may occur rarely and nevertheless occupy a crucial structural position. A single rule requiring </w:t>
      </w:r>
      <w:r w:rsidRPr="007142B2">
        <w:rPr>
          <w:rFonts w:asciiTheme="majorBidi" w:eastAsia="Times New Roman" w:hAnsiTheme="majorBidi" w:cstheme="majorBidi"/>
          <w:sz w:val="24"/>
          <w:szCs w:val="24"/>
        </w:rPr>
        <w:lastRenderedPageBreak/>
        <w:t>certification before a product can enter the market, for example, may make a private verifier indispensable to the operation of the regulatory regime. Conversely, repeated reporting requirements may generate large numbers of observations without conferring substantial authority upon the receiving institution.</w:t>
      </w:r>
    </w:p>
    <w:p w14:paraId="3B02602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Architectural significance may depend upon several properties:</w:t>
      </w:r>
    </w:p>
    <w:p w14:paraId="652ED58F" w14:textId="77777777" w:rsidR="0034786B" w:rsidRPr="007142B2" w:rsidRDefault="0034786B" w:rsidP="0034786B">
      <w:pPr>
        <w:spacing w:line="276" w:lineRule="auto"/>
        <w:jc w:val="center"/>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Architectural</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Significance = f(Frequency,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Authority,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Centrality,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Exclusivity,</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Sequence, Consequence,</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Substitutability)</w:t>
      </w:r>
    </w:p>
    <w:p w14:paraId="50C3CDA7" w14:textId="77777777" w:rsidR="0034786B" w:rsidRPr="007142B2"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b/>
          <w:bCs/>
          <w:sz w:val="24"/>
          <w:szCs w:val="24"/>
        </w:rPr>
        <w:t>Frequency</w:t>
      </w:r>
      <w:r w:rsidRPr="007142B2">
        <w:rPr>
          <w:rFonts w:asciiTheme="majorBidi" w:eastAsia="Times New Roman" w:hAnsiTheme="majorBidi" w:cstheme="majorBidi"/>
          <w:sz w:val="24"/>
          <w:szCs w:val="24"/>
        </w:rPr>
        <w:t xml:space="preserve"> concerns how often an element appears.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Authority</w:t>
      </w:r>
      <w:r w:rsidRPr="007142B2">
        <w:rPr>
          <w:rFonts w:asciiTheme="majorBidi" w:eastAsia="Times New Roman" w:hAnsiTheme="majorBidi" w:cstheme="majorBidi"/>
          <w:sz w:val="24"/>
          <w:szCs w:val="24"/>
        </w:rPr>
        <w:t xml:space="preserve"> concerns the legally consequential capacity attached to it.</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Centrality</w:t>
      </w:r>
      <w:r w:rsidRPr="007142B2">
        <w:rPr>
          <w:rFonts w:asciiTheme="majorBidi" w:eastAsia="Times New Roman" w:hAnsiTheme="majorBidi" w:cstheme="majorBidi"/>
          <w:sz w:val="24"/>
          <w:szCs w:val="24"/>
        </w:rPr>
        <w:t xml:space="preserve"> concerns its position within the network of governance relationships.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Exclusivity</w:t>
      </w:r>
      <w:r w:rsidRPr="007142B2">
        <w:rPr>
          <w:rFonts w:asciiTheme="majorBidi" w:eastAsia="Times New Roman" w:hAnsiTheme="majorBidi" w:cstheme="majorBidi"/>
          <w:sz w:val="24"/>
          <w:szCs w:val="24"/>
        </w:rPr>
        <w:t xml:space="preserve"> concerns whether the function can be performed by alternative actors.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Sequence</w:t>
      </w:r>
      <w:r w:rsidRPr="007142B2">
        <w:rPr>
          <w:rFonts w:asciiTheme="majorBidi" w:eastAsia="Times New Roman" w:hAnsiTheme="majorBidi" w:cstheme="majorBidi"/>
          <w:sz w:val="24"/>
          <w:szCs w:val="24"/>
        </w:rPr>
        <w:t xml:space="preserve"> concerns whether the relationship occupies a necessary stage within a process.</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Consequence</w:t>
      </w:r>
      <w:r w:rsidRPr="007142B2">
        <w:rPr>
          <w:rFonts w:asciiTheme="majorBidi" w:eastAsia="Times New Roman" w:hAnsiTheme="majorBidi" w:cstheme="majorBidi"/>
          <w:sz w:val="24"/>
          <w:szCs w:val="24"/>
        </w:rPr>
        <w:t xml:space="preserve"> concerns the effects of the relevant decision or relationship.</w:t>
      </w:r>
      <w:r w:rsidRPr="007142B2">
        <w:rPr>
          <w:rFonts w:asciiTheme="majorBidi" w:eastAsia="Times New Roman" w:hAnsiTheme="majorBidi" w:cstheme="majorBidi"/>
          <w:sz w:val="24"/>
          <w:szCs w:val="24"/>
        </w:rPr>
        <w:br/>
      </w:r>
      <w:r w:rsidRPr="007142B2">
        <w:rPr>
          <w:rFonts w:asciiTheme="majorBidi" w:eastAsia="Times New Roman" w:hAnsiTheme="majorBidi" w:cstheme="majorBidi"/>
          <w:b/>
          <w:bCs/>
          <w:sz w:val="24"/>
          <w:szCs w:val="24"/>
        </w:rPr>
        <w:t>Substitutability</w:t>
      </w:r>
      <w:r w:rsidRPr="007142B2">
        <w:rPr>
          <w:rFonts w:asciiTheme="majorBidi" w:eastAsia="Times New Roman" w:hAnsiTheme="majorBidi" w:cstheme="majorBidi"/>
          <w:sz w:val="24"/>
          <w:szCs w:val="24"/>
        </w:rPr>
        <w:t xml:space="preserve"> concerns whether the regulatory process could continue in its absence.</w:t>
      </w:r>
    </w:p>
    <w:p w14:paraId="02B55F6E"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purpose of these dimensions is not necessarily to generate a single numerical score. Rather, they discipline judgments concerning which relationships or configurations are architecturally consequential.</w:t>
      </w:r>
    </w:p>
    <w:p w14:paraId="031AB7B0"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Four broad aggregation strategies can consequently be distinguished. Simple counting aggregates frequencies and is transparent but structurally insensitive. Weighted counting recognizes unequal importance but introduces contestable weighting decisions. Network aggregation captures structural position but risks abstracting from the substantive legal meaning of different relationships. Configurational aggregation preserves institutional meaning but requires greater theoretical specification.</w:t>
      </w:r>
    </w:p>
    <w:p w14:paraId="33057B4F"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Relational leximetrics therefore </w:t>
      </w:r>
      <w:proofErr w:type="spellStart"/>
      <w:r w:rsidRPr="007142B2">
        <w:rPr>
          <w:rFonts w:asciiTheme="majorBidi" w:eastAsia="Times New Roman" w:hAnsiTheme="majorBidi" w:cstheme="majorBidi"/>
          <w:sz w:val="24"/>
          <w:szCs w:val="24"/>
        </w:rPr>
        <w:t>favours</w:t>
      </w:r>
      <w:proofErr w:type="spellEnd"/>
      <w:r w:rsidRPr="007142B2">
        <w:rPr>
          <w:rFonts w:asciiTheme="majorBidi" w:eastAsia="Times New Roman" w:hAnsiTheme="majorBidi" w:cstheme="majorBidi"/>
          <w:sz w:val="24"/>
          <w:szCs w:val="24"/>
        </w:rPr>
        <w:t xml:space="preserve"> a </w:t>
      </w:r>
      <w:r w:rsidRPr="007142B2">
        <w:rPr>
          <w:rFonts w:asciiTheme="majorBidi" w:eastAsia="Times New Roman" w:hAnsiTheme="majorBidi" w:cstheme="majorBidi"/>
          <w:b/>
          <w:bCs/>
          <w:sz w:val="24"/>
          <w:szCs w:val="24"/>
        </w:rPr>
        <w:t>relational-configurational approach</w:t>
      </w:r>
      <w:r w:rsidRPr="007142B2">
        <w:rPr>
          <w:rFonts w:asciiTheme="majorBidi" w:eastAsia="Times New Roman" w:hAnsiTheme="majorBidi" w:cstheme="majorBidi"/>
          <w:sz w:val="24"/>
          <w:szCs w:val="24"/>
        </w:rPr>
        <w:t>. Structural analysis identifies patterns and positions; substantive legal interpretation identifies the character and significance of the relationships involved.</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The general methodological proposition is:</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Counts identify composition; configurations identify organization.</w:t>
      </w:r>
    </w:p>
    <w:p w14:paraId="74586227"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p>
    <w:p w14:paraId="7DBA7045"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p>
    <w:p w14:paraId="7471FBE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6.7 Explicit rules of cross-level inference</w:t>
      </w:r>
    </w:p>
    <w:p w14:paraId="53D8C778" w14:textId="77777777" w:rsidR="0034786B" w:rsidRDefault="0034786B" w:rsidP="0034786B">
      <w:pPr>
        <w:spacing w:before="100" w:beforeAutospacing="1" w:afterAutospacing="1" w:line="276" w:lineRule="auto"/>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Higher-order claims should be based on explicit rules specifying when evidence at one level warrants an inference at the next.</w:t>
      </w:r>
      <w:r>
        <w:rPr>
          <w:rFonts w:asciiTheme="majorBidi" w:eastAsia="Times New Roman" w:hAnsiTheme="majorBidi" w:cstheme="majorBidi"/>
          <w:sz w:val="24"/>
          <w:szCs w:val="24"/>
        </w:rPr>
        <w:t xml:space="preserve">  </w:t>
      </w:r>
    </w:p>
    <w:p w14:paraId="3E69339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First, movement from legal text to institutional statements requires identifying separable institutional prescriptions. A textual passage should be decomposed when it contains different actors, legal modalities, actions, objects, conditions or consequences that warrant separate observations.</w:t>
      </w:r>
    </w:p>
    <w:p w14:paraId="64EDF2E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Second, movement from institutional statements to governance relationships requires evidence that identifiable actors or actor categories are legally connected through a governance-relevant action, obligation, power, resource or dependency.</w:t>
      </w:r>
    </w:p>
    <w:p w14:paraId="178BDB0A"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Third, movement from relationships to configurations requires the presence of a theoretically specified combination of relationships and other governance elements. A single reporting duty, for example, does not establish a reporting system if no receiving, assessment or follow-up structure is constituted.</w:t>
      </w:r>
    </w:p>
    <w:p w14:paraId="6B5EC9A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Fourth, movement from configurations to architecture requires evidence that the configuration is sufficiently recurrent, consequential, necessary or structurally positioned to characterize how governance is organized within the relevant legal domain.</w:t>
      </w:r>
    </w:p>
    <w:p w14:paraId="2E6BD0C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Finally, movement from an individual law to a governance regime requires explicit definition of the regime boundary. The existence of related rules in several statutes does not by itself establish that they constitute one coherent governance system.</w:t>
      </w:r>
    </w:p>
    <w:p w14:paraId="793567E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Different architectural concepts will therefore require different inference rules. Delegated governance requires evidence of legally constituted transfer or authorization of governing capacity. Enhanced self-regulation requires both meaningful self-regulatory capacity and institutionalized enhancement through relatively autonomous third parties. Polycentric governance requires multiple </w:t>
      </w:r>
      <w:proofErr w:type="spellStart"/>
      <w:r w:rsidRPr="007142B2">
        <w:rPr>
          <w:rFonts w:asciiTheme="majorBidi" w:eastAsia="Times New Roman" w:hAnsiTheme="majorBidi" w:cstheme="majorBidi"/>
          <w:sz w:val="24"/>
          <w:szCs w:val="24"/>
        </w:rPr>
        <w:t>centres</w:t>
      </w:r>
      <w:proofErr w:type="spellEnd"/>
      <w:r w:rsidRPr="007142B2">
        <w:rPr>
          <w:rFonts w:asciiTheme="majorBidi" w:eastAsia="Times New Roman" w:hAnsiTheme="majorBidi" w:cstheme="majorBidi"/>
          <w:sz w:val="24"/>
          <w:szCs w:val="24"/>
        </w:rPr>
        <w:t xml:space="preserve"> possessing meaningful and partly autonomous decision-making capacities, rather than merely the presence of multiple actors. The methodological principle is not uniformity of criteria but transparency concerning the criteria applied.</w:t>
      </w:r>
    </w:p>
    <w:p w14:paraId="10DF6A8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6.8 Cross-level inferential errors</w:t>
      </w:r>
    </w:p>
    <w:p w14:paraId="66056DD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Explicit inference rules are important because legal-architecture research is vulnerable to several recurrent errors.</w:t>
      </w:r>
    </w:p>
    <w:p w14:paraId="7954AE6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first is the </w:t>
      </w:r>
      <w:r w:rsidRPr="007142B2">
        <w:rPr>
          <w:rFonts w:asciiTheme="majorBidi" w:eastAsia="Times New Roman" w:hAnsiTheme="majorBidi" w:cstheme="majorBidi"/>
          <w:b/>
          <w:bCs/>
          <w:sz w:val="24"/>
          <w:szCs w:val="24"/>
        </w:rPr>
        <w:t>legal atomistic fallacy</w:t>
      </w:r>
      <w:r w:rsidRPr="007142B2">
        <w:rPr>
          <w:rFonts w:asciiTheme="majorBidi" w:eastAsia="Times New Roman" w:hAnsiTheme="majorBidi" w:cstheme="majorBidi"/>
          <w:sz w:val="24"/>
          <w:szCs w:val="24"/>
        </w:rPr>
        <w:t>: inferring a high-level architectural property from an isolated lower-level observation. A requirement that a firm undertake self-assessment does not demonstrate that the statute establishes a self-regulatory architecture. Similarly, the presence of one intermediary does not demonstrate that the regime is intermediated.</w:t>
      </w:r>
    </w:p>
    <w:p w14:paraId="40B437B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second is the </w:t>
      </w:r>
      <w:r w:rsidRPr="007142B2">
        <w:rPr>
          <w:rFonts w:asciiTheme="majorBidi" w:eastAsia="Times New Roman" w:hAnsiTheme="majorBidi" w:cstheme="majorBidi"/>
          <w:b/>
          <w:bCs/>
          <w:sz w:val="24"/>
          <w:szCs w:val="24"/>
        </w:rPr>
        <w:t>ecological fallacy</w:t>
      </w:r>
      <w:r w:rsidRPr="007142B2">
        <w:rPr>
          <w:rFonts w:asciiTheme="majorBidi" w:eastAsia="Times New Roman" w:hAnsiTheme="majorBidi" w:cstheme="majorBidi"/>
          <w:sz w:val="24"/>
          <w:szCs w:val="24"/>
        </w:rPr>
        <w:t>: projecting the characteristics of an aggregated architecture onto every constituent part. Classifying a regime as highly intermediated does not imply that every governance function within that regime is performed through intermediaries.</w:t>
      </w:r>
    </w:p>
    <w:p w14:paraId="5CCADA5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third is the </w:t>
      </w:r>
      <w:r w:rsidRPr="007142B2">
        <w:rPr>
          <w:rFonts w:asciiTheme="majorBidi" w:eastAsia="Times New Roman" w:hAnsiTheme="majorBidi" w:cstheme="majorBidi"/>
          <w:b/>
          <w:bCs/>
          <w:sz w:val="24"/>
          <w:szCs w:val="24"/>
        </w:rPr>
        <w:t>functional fallacy</w:t>
      </w:r>
      <w:r w:rsidRPr="007142B2">
        <w:rPr>
          <w:rFonts w:asciiTheme="majorBidi" w:eastAsia="Times New Roman" w:hAnsiTheme="majorBidi" w:cstheme="majorBidi"/>
          <w:sz w:val="24"/>
          <w:szCs w:val="24"/>
        </w:rPr>
        <w:t>: treating a formally assigned function as evidence that the function is performed effectively. A legal obligation requiring an auditor to monitor an organization establishes a formal governance function; it does not demonstrate effective monitoring in practice.</w:t>
      </w:r>
    </w:p>
    <w:p w14:paraId="6D267060"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 xml:space="preserve">The fourth is the </w:t>
      </w:r>
      <w:r w:rsidRPr="007142B2">
        <w:rPr>
          <w:rFonts w:asciiTheme="majorBidi" w:eastAsia="Times New Roman" w:hAnsiTheme="majorBidi" w:cstheme="majorBidi"/>
          <w:b/>
          <w:bCs/>
          <w:sz w:val="24"/>
          <w:szCs w:val="24"/>
        </w:rPr>
        <w:t>implementation fallacy</w:t>
      </w:r>
      <w:r w:rsidRPr="007142B2">
        <w:rPr>
          <w:rFonts w:asciiTheme="majorBidi" w:eastAsia="Times New Roman" w:hAnsiTheme="majorBidi" w:cstheme="majorBidi"/>
          <w:sz w:val="24"/>
          <w:szCs w:val="24"/>
        </w:rPr>
        <w:t>: treating formal legal architecture as equivalent to implemented or operational governance. Formal reporting relationships, for example, do not demonstrate that information actually flows or affects decision-making.</w:t>
      </w:r>
    </w:p>
    <w:p w14:paraId="76B204F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fifth is the </w:t>
      </w:r>
      <w:r w:rsidRPr="007142B2">
        <w:rPr>
          <w:rFonts w:asciiTheme="majorBidi" w:eastAsia="Times New Roman" w:hAnsiTheme="majorBidi" w:cstheme="majorBidi"/>
          <w:b/>
          <w:bCs/>
          <w:sz w:val="24"/>
          <w:szCs w:val="24"/>
        </w:rPr>
        <w:t>frequency fallacy</w:t>
      </w:r>
      <w:r w:rsidRPr="007142B2">
        <w:rPr>
          <w:rFonts w:asciiTheme="majorBidi" w:eastAsia="Times New Roman" w:hAnsiTheme="majorBidi" w:cstheme="majorBidi"/>
          <w:sz w:val="24"/>
          <w:szCs w:val="24"/>
        </w:rPr>
        <w:t>: assuming that the most numerous relationships or provisions are necessarily the most architecturally significant.</w:t>
      </w:r>
    </w:p>
    <w:p w14:paraId="2676505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The sixth is the </w:t>
      </w:r>
      <w:r w:rsidRPr="007142B2">
        <w:rPr>
          <w:rFonts w:asciiTheme="majorBidi" w:eastAsia="Times New Roman" w:hAnsiTheme="majorBidi" w:cstheme="majorBidi"/>
          <w:b/>
          <w:bCs/>
          <w:sz w:val="24"/>
          <w:szCs w:val="24"/>
        </w:rPr>
        <w:t>container fallacy</w:t>
      </w:r>
      <w:r w:rsidRPr="007142B2">
        <w:rPr>
          <w:rFonts w:asciiTheme="majorBidi" w:eastAsia="Times New Roman" w:hAnsiTheme="majorBidi" w:cstheme="majorBidi"/>
          <w:sz w:val="24"/>
          <w:szCs w:val="24"/>
        </w:rPr>
        <w:t>: assuming that provisions located within the same legal act necessarily constitute a single coherent governance architecture. Large contemporary statutes may contain several partially distinct architectures organized around different actors, policy problems, procedures or regulatory stages.</w:t>
      </w:r>
    </w:p>
    <w:p w14:paraId="23F4681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These fallacies do not imply that higher-level inference is impossible. They imply that such inference requires evidence about configuration, institutional consequence and scope.</w:t>
      </w:r>
    </w:p>
    <w:p w14:paraId="72499EA1"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6.9 Vertical traceability</w:t>
      </w:r>
    </w:p>
    <w:p w14:paraId="0D577EC0"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 central quality criterion of relational leximetrics is </w:t>
      </w:r>
      <w:r w:rsidRPr="007142B2">
        <w:rPr>
          <w:rFonts w:asciiTheme="majorBidi" w:eastAsia="Times New Roman" w:hAnsiTheme="majorBidi" w:cstheme="majorBidi"/>
          <w:b/>
          <w:bCs/>
          <w:sz w:val="24"/>
          <w:szCs w:val="24"/>
        </w:rPr>
        <w:t>vertical traceability</w:t>
      </w:r>
      <w:r w:rsidRPr="007142B2">
        <w:rPr>
          <w:rFonts w:asciiTheme="majorBidi" w:eastAsia="Times New Roman" w:hAnsiTheme="majorBidi" w:cstheme="majorBidi"/>
          <w:sz w:val="24"/>
          <w:szCs w:val="24"/>
        </w:rPr>
        <w:t>. Every high-level classification should remain recoverable from the lower-level observations that support it.</w:t>
      </w:r>
    </w:p>
    <w:p w14:paraId="70A653C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Vertical traceability requires preservation of a chain connecting:</w:t>
      </w:r>
    </w:p>
    <w:p w14:paraId="37E8024F" w14:textId="77777777" w:rsidR="0034786B" w:rsidRPr="007142B2" w:rsidRDefault="0034786B" w:rsidP="0034786B">
      <w:pPr>
        <w:spacing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 \text{legal architecture;} \quad \text{governance configurations;} \quad \text{relationships;} \quad \text{institutional statements;} \quad \text{original legal text.}</w:t>
      </w:r>
    </w:p>
    <w:p w14:paraId="5AAD5974"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classification of a law as strongly intermediated, for example, should be traceable to the particular configurations in which intermediaries participate, the relationships that constitute those configurations, the legal statements establishing those relationships and the provisions in which the statements occur.</w:t>
      </w:r>
    </w:p>
    <w:p w14:paraId="474D9F4A"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principle has practical as well as methodological value. It makes coding decisions auditable, facilitates adjudication, permits theoretical classifications to be revised without reconstructing the entire dataset, and makes machine-assisted coding more transparent. It also permits reviewers or subsequent researchers to move from a macro-level result back to the original legal evidence.</w:t>
      </w:r>
    </w:p>
    <w:p w14:paraId="07E4C628"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Vertical traceability therefore operates as a safeguard against the detachment of quantitative legal indicators from their textual foundation.</w:t>
      </w:r>
    </w:p>
    <w:p w14:paraId="6E92B210"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6.10 The stopping rule</w:t>
      </w:r>
    </w:p>
    <w:p w14:paraId="0CC5FF3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 complementary safeguard is the </w:t>
      </w:r>
      <w:r w:rsidRPr="007142B2">
        <w:rPr>
          <w:rFonts w:asciiTheme="majorBidi" w:eastAsia="Times New Roman" w:hAnsiTheme="majorBidi" w:cstheme="majorBidi"/>
          <w:b/>
          <w:bCs/>
          <w:sz w:val="24"/>
          <w:szCs w:val="24"/>
        </w:rPr>
        <w:t>stopping rule</w:t>
      </w:r>
      <w:r w:rsidRPr="007142B2">
        <w:rPr>
          <w:rFonts w:asciiTheme="majorBidi" w:eastAsia="Times New Roman" w:hAnsiTheme="majorBidi" w:cstheme="majorBidi"/>
          <w:sz w:val="24"/>
          <w:szCs w:val="24"/>
        </w:rPr>
        <w:t>. At every stage researchers should ask what is the highest-level claim that the available evidence presently warrants.</w:t>
      </w:r>
    </w:p>
    <w:p w14:paraId="22DD582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Suppose a law assigns several monitoring functions to private intermediaries. The evidence may justify the conclusion that intermediary-based monitoring forms part of the regulatory design. It does not </w:t>
      </w:r>
      <w:r w:rsidRPr="007142B2">
        <w:rPr>
          <w:rFonts w:asciiTheme="majorBidi" w:eastAsia="Times New Roman" w:hAnsiTheme="majorBidi" w:cstheme="majorBidi"/>
          <w:sz w:val="24"/>
          <w:szCs w:val="24"/>
        </w:rPr>
        <w:lastRenderedPageBreak/>
        <w:t>necessarily justify the stronger conclusion that the overall architecture is intermediated. Such a conclusion requires evidence about whether intermediaries occupy necessary or consequential positions across the relevant regulatory pathways.</w:t>
      </w:r>
    </w:p>
    <w:p w14:paraId="208C4C6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stopping rule encourages graded rather than categorical inference. Where evidence warrants only a relationship-level or configuration-level claim, analysis should stop at that level rather than force an architectural classification.</w:t>
      </w:r>
    </w:p>
    <w:p w14:paraId="415AE82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principle also provides a basis for expressing uncertainty. Architectural classifications may vary in confidence depending upon the completeness of the evidence, coder agreement, the clarity of the inference rule and the robustness of the classification to alternative aggregation decisions.</w:t>
      </w:r>
    </w:p>
    <w:p w14:paraId="5788DB83" w14:textId="77777777"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6.11 Multidimensional comparison of governance architectures</w:t>
      </w:r>
    </w:p>
    <w:p w14:paraId="385A050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Governance architectures should not necessarily be represented as mutually exclusive types. Categories such as hierarchical, delegated, self-regulatory, intermediated, polycentric and multilevel capture different properties and may coexist within the same legal system.</w:t>
      </w:r>
    </w:p>
    <w:p w14:paraId="707FF8F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It is therefore useful to supplement ideal-type classifications with dimensional measures. Candidate dimensions include:</w:t>
      </w:r>
    </w:p>
    <w:p w14:paraId="787E2B1C"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centralization of governing authority;</w:t>
      </w:r>
    </w:p>
    <w:p w14:paraId="1B48D13A"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degree of intermediation;</w:t>
      </w:r>
    </w:p>
    <w:p w14:paraId="538F61E1"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hierarchical depth;</w:t>
      </w:r>
    </w:p>
    <w:p w14:paraId="3EAADD57"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intensity of delegation;</w:t>
      </w:r>
    </w:p>
    <w:p w14:paraId="3BFA1BF6"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public-private hybridity;</w:t>
      </w:r>
    </w:p>
    <w:p w14:paraId="050F7F8B"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distribution of discretion;</w:t>
      </w:r>
    </w:p>
    <w:p w14:paraId="3E9C9C70"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monitoring density;</w:t>
      </w:r>
    </w:p>
    <w:p w14:paraId="192A3D39"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accountability closure;</w:t>
      </w:r>
    </w:p>
    <w:p w14:paraId="047B6098"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vertical dispersion;</w:t>
      </w:r>
    </w:p>
    <w:p w14:paraId="0C355321"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enforcement concentration;</w:t>
      </w:r>
    </w:p>
    <w:p w14:paraId="74C2DD65"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redundancy;</w:t>
      </w:r>
    </w:p>
    <w:p w14:paraId="72B465AC" w14:textId="77777777" w:rsidR="0034786B" w:rsidRPr="007142B2" w:rsidRDefault="0034786B" w:rsidP="0034786B">
      <w:pPr>
        <w:numPr>
          <w:ilvl w:val="0"/>
          <w:numId w:val="17"/>
        </w:num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reciprocity.</w:t>
      </w:r>
    </w:p>
    <w:p w14:paraId="0DAD6C9A" w14:textId="5A97C59E" w:rsidR="0034786B"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This permits a law to be characterized, for example, as highly intermediated in monitoring and verification while remaining strongly centralized in rule-making and enforcement. Another law may be vertically multilevel but weakly polycentric because ultimate authority remains concentrated in one institutional cent</w:t>
      </w:r>
      <w:r>
        <w:rPr>
          <w:rFonts w:asciiTheme="majorBidi" w:eastAsia="Times New Roman" w:hAnsiTheme="majorBidi" w:cstheme="majorBidi"/>
          <w:sz w:val="24"/>
          <w:szCs w:val="24"/>
        </w:rPr>
        <w:t>er</w:t>
      </w:r>
      <w:r w:rsidRPr="007142B2">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Pr="007142B2">
        <w:rPr>
          <w:rFonts w:asciiTheme="majorBidi" w:eastAsia="Times New Roman" w:hAnsiTheme="majorBidi" w:cstheme="majorBidi"/>
          <w:sz w:val="24"/>
          <w:szCs w:val="24"/>
        </w:rPr>
        <w:t>Dimensional measurement thus provides a way of retaining complex architectural combinations without forcing laws prematurely into exclusive theoretical categories.</w:t>
      </w:r>
    </w:p>
    <w:p w14:paraId="3345F933" w14:textId="77777777" w:rsidR="004E6D01" w:rsidRPr="004E15FC" w:rsidRDefault="004E6D01" w:rsidP="004E6D01">
      <w:pPr>
        <w:spacing w:before="100" w:beforeAutospacing="1" w:afterAutospacing="1"/>
        <w:jc w:val="both"/>
        <w:outlineLvl w:val="1"/>
        <w:rPr>
          <w:rFonts w:ascii="Times New Roman" w:eastAsia="Times New Roman" w:hAnsi="Times New Roman" w:cs="Times New Roman"/>
          <w:b/>
          <w:bCs/>
          <w:sz w:val="24"/>
          <w:szCs w:val="24"/>
        </w:rPr>
      </w:pPr>
      <w:r w:rsidRPr="004E15FC">
        <w:rPr>
          <w:rFonts w:ascii="Times New Roman" w:eastAsia="Times New Roman" w:hAnsi="Times New Roman" w:cs="Times New Roman"/>
          <w:b/>
          <w:bCs/>
          <w:sz w:val="24"/>
          <w:szCs w:val="24"/>
        </w:rPr>
        <w:t>6.12 Intermediation Centrality as an Architectural Property</w:t>
      </w:r>
    </w:p>
    <w:p w14:paraId="1E75E150"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The presence of intermediaries within a law should be distinguished from the architectural centrality of intermediation. A legal instrument may recognize numerous third parties without making them </w:t>
      </w:r>
      <w:r w:rsidRPr="004E15FC">
        <w:rPr>
          <w:rFonts w:ascii="Times New Roman" w:eastAsia="Times New Roman" w:hAnsi="Times New Roman" w:cs="Times New Roman"/>
          <w:sz w:val="24"/>
          <w:szCs w:val="24"/>
        </w:rPr>
        <w:lastRenderedPageBreak/>
        <w:t>consequential to the operation of the regulatory system. Conversely, an intermediary may appear in only a small number of provisions while occupying a legally indispensable position—for example, where certification, verification, accreditation or approval by that actor is a necessary condition for market access or continued operation. The number of intermediary actors or provisions therefore provides evidence of the prevalence of intermediation but does not by itself establish its structural importance.</w:t>
      </w:r>
    </w:p>
    <w:p w14:paraId="2B516DFD"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This distinction follows directly from the broader argument that architectural significance cannot be inferred from frequency alone. The current framework treats architecture as a configuration of actors, relationships, functions, instruments and relational attributes, and distinguishes frequency from authority, centrality, exclusivity, sequence, consequence and substitutability when assessing architectural importance. Intermediation centrality applies this general principle to a particular question: to what extent does a law organize governing through actors situated between, alongside or across conventional rule-maker–target relationships?</w:t>
      </w:r>
    </w:p>
    <w:p w14:paraId="6DF55807"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Intermediation centrality should therefore be conceptualized as a multidimensional property rather than a binary characteristic or single count. At least six dimensions are analytically useful: prevalence, functional breadth, authority, dependency or indispensability, structural position, and regulatory embeddedness. These dimensions capture different ways in which intermediaries may become consequential to a governance architecture.  </w:t>
      </w:r>
    </w:p>
    <w:p w14:paraId="783EEB91"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b/>
          <w:bCs/>
          <w:sz w:val="24"/>
          <w:szCs w:val="24"/>
        </w:rPr>
        <w:t>Prevalence</w:t>
      </w:r>
      <w:r w:rsidRPr="004E15FC">
        <w:rPr>
          <w:rFonts w:ascii="Times New Roman" w:eastAsia="Times New Roman" w:hAnsi="Times New Roman" w:cs="Times New Roman"/>
          <w:sz w:val="24"/>
          <w:szCs w:val="24"/>
        </w:rPr>
        <w:t xml:space="preserve"> concerns the extent to which intermediary actors and relationships occur within the law. Possible measures include the proportion of substantive regulatory provisions involving intermediaries, the number of distinct intermediary actors or actor categories, the proportion of governance relationships involving intermediaries, and the share of regulatory functions allocated to intermediary actors. Prevalence provides the most direct measure of how extensively intermediation appears within the legal design. It should nevertheless be interpreted as a measure of presence rather than importance. A large number of peripheral intermediary relationships may be less architecturally consequential than a small number of indispensable ones.</w:t>
      </w:r>
    </w:p>
    <w:p w14:paraId="20E01097"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b/>
          <w:bCs/>
          <w:sz w:val="24"/>
          <w:szCs w:val="24"/>
        </w:rPr>
        <w:t>Functional breadth</w:t>
      </w:r>
      <w:r w:rsidRPr="004E15FC">
        <w:rPr>
          <w:rFonts w:ascii="Times New Roman" w:eastAsia="Times New Roman" w:hAnsi="Times New Roman" w:cs="Times New Roman"/>
          <w:sz w:val="24"/>
          <w:szCs w:val="24"/>
        </w:rPr>
        <w:t xml:space="preserve"> concerns the range of governance work assigned to intermediaries. Intermediation may be narrowly confined to information provision or technical assistance, or it may extend across several stages of the regulatory process, including rule or standard formation, authorization, implementation, information collection, monitoring, verification, enforcement and redress.   Functional breadth therefore captures the division of regulatory </w:t>
      </w:r>
      <w:proofErr w:type="spellStart"/>
      <w:r w:rsidRPr="004E15FC">
        <w:rPr>
          <w:rFonts w:ascii="Times New Roman" w:eastAsia="Times New Roman" w:hAnsi="Times New Roman" w:cs="Times New Roman"/>
          <w:sz w:val="24"/>
          <w:szCs w:val="24"/>
        </w:rPr>
        <w:t>labour</w:t>
      </w:r>
      <w:proofErr w:type="spellEnd"/>
      <w:r w:rsidRPr="004E15FC">
        <w:rPr>
          <w:rFonts w:ascii="Times New Roman" w:eastAsia="Times New Roman" w:hAnsi="Times New Roman" w:cs="Times New Roman"/>
          <w:sz w:val="24"/>
          <w:szCs w:val="24"/>
        </w:rPr>
        <w:t xml:space="preserve"> more effectively than intermediary counts alone. A law in which intermediaries perform several distinct governance functions has a different architecture from one in which they appear frequently but perform only a single auxiliary task.</w:t>
      </w:r>
    </w:p>
    <w:p w14:paraId="4EE92E85"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Functional breadth should also be distinguished from </w:t>
      </w:r>
      <w:r w:rsidRPr="004E15FC">
        <w:rPr>
          <w:rFonts w:ascii="Times New Roman" w:eastAsia="Times New Roman" w:hAnsi="Times New Roman" w:cs="Times New Roman"/>
          <w:b/>
          <w:bCs/>
          <w:sz w:val="24"/>
          <w:szCs w:val="24"/>
        </w:rPr>
        <w:t>functional concentration</w:t>
      </w:r>
      <w:r w:rsidRPr="004E15FC">
        <w:rPr>
          <w:rFonts w:ascii="Times New Roman" w:eastAsia="Times New Roman" w:hAnsi="Times New Roman" w:cs="Times New Roman"/>
          <w:sz w:val="24"/>
          <w:szCs w:val="24"/>
        </w:rPr>
        <w:t>. A law may allocate many minor functions to intermediaries while retaining the most consequential functions—such as binding rule-making, authorization and enforcement—in public bodies. Alternatively, intermediaries may perform only one or two functions but control critical gateways in the regulatory process. Comparison should therefore consider not only how many functions intermediaries perform, but which functions they perform and where those functions are situated within the regulatory sequence.</w:t>
      </w:r>
    </w:p>
    <w:p w14:paraId="62AA90F6"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b/>
          <w:bCs/>
          <w:sz w:val="24"/>
          <w:szCs w:val="24"/>
        </w:rPr>
        <w:t>Authority centrality</w:t>
      </w:r>
      <w:r w:rsidRPr="004E15FC">
        <w:rPr>
          <w:rFonts w:ascii="Times New Roman" w:eastAsia="Times New Roman" w:hAnsi="Times New Roman" w:cs="Times New Roman"/>
          <w:sz w:val="24"/>
          <w:szCs w:val="24"/>
        </w:rPr>
        <w:t xml:space="preserve"> concerns the legally consequential capacities assigned to intermediary actors. Intermediaries may merely collect information, provide advice or facilitate compliance; alternatively, they may assess conformity, certify eligibility, determine access to markets, formulate standards or </w:t>
      </w:r>
      <w:r w:rsidRPr="004E15FC">
        <w:rPr>
          <w:rFonts w:ascii="Times New Roman" w:eastAsia="Times New Roman" w:hAnsi="Times New Roman" w:cs="Times New Roman"/>
          <w:sz w:val="24"/>
          <w:szCs w:val="24"/>
        </w:rPr>
        <w:lastRenderedPageBreak/>
        <w:t>exercise enforcement-related powers. The current framework's analysis of authority is particularly important here because two actors performing formally similar functions may possess very different capacities to affect legal status or regulatory outcomes. Intermediation becomes more architecturally consequential where third parties exercise powers whose decisions materially condition the rights, obligations or opportunities of other actors.</w:t>
      </w:r>
    </w:p>
    <w:p w14:paraId="448815BE"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Authority centrality should not be reduced to average authority. A governance system containing one highly consequential gatekeeper and numerous low-authority intermediaries differs from one in which moderate authority is broadly distributed among third parties. Maximum authority, average authority and the distribution of authority across intermediary actors may therefore provide complementary measures.</w:t>
      </w:r>
    </w:p>
    <w:p w14:paraId="33B6F4D6"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fourth dimension is </w:t>
      </w:r>
      <w:r w:rsidRPr="004E15FC">
        <w:rPr>
          <w:rFonts w:ascii="Times New Roman" w:eastAsia="Times New Roman" w:hAnsi="Times New Roman" w:cs="Times New Roman"/>
          <w:b/>
          <w:bCs/>
          <w:sz w:val="24"/>
          <w:szCs w:val="24"/>
        </w:rPr>
        <w:t>dependency or indispensability</w:t>
      </w:r>
      <w:r w:rsidRPr="004E15FC">
        <w:rPr>
          <w:rFonts w:ascii="Times New Roman" w:eastAsia="Times New Roman" w:hAnsi="Times New Roman" w:cs="Times New Roman"/>
          <w:sz w:val="24"/>
          <w:szCs w:val="24"/>
        </w:rPr>
        <w:t>. This asks whether the regulatory process could legally proceed as designed in the absence of the intermediary or its function. The distinction is crucial because a supplementary adviser and a mandatory certifier may both qualify as intermediaries, yet their structural significance is fundamentally different. The attached measurement note proposes distinguishing optional or incidental roles from supportive, important but substitutable, and legally necessary or gatekeeping roles.   Dependency thus captures the extent to which the legal architecture requires rather than merely permits intermediation.</w:t>
      </w:r>
    </w:p>
    <w:p w14:paraId="0CDB9547"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This dimension is closely related to exclusivity and substitutability. An intermediary becomes particularly central where no alternative pathway exists for fulfilling a legally necessary function. Where several actors can perform the same task or direct regulation remains available as an alternative, intermediary dependency is lower even if intermediation is common. Indispensability therefore identifies structural bottlenecks that frequency measures may miss.</w:t>
      </w:r>
    </w:p>
    <w:p w14:paraId="5EFA8EF8"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fifth dimension concerns </w:t>
      </w:r>
      <w:r w:rsidRPr="004E15FC">
        <w:rPr>
          <w:rFonts w:ascii="Times New Roman" w:eastAsia="Times New Roman" w:hAnsi="Times New Roman" w:cs="Times New Roman"/>
          <w:b/>
          <w:bCs/>
          <w:sz w:val="24"/>
          <w:szCs w:val="24"/>
        </w:rPr>
        <w:t>structural centrality</w:t>
      </w:r>
      <w:r w:rsidRPr="004E15FC">
        <w:rPr>
          <w:rFonts w:ascii="Times New Roman" w:eastAsia="Times New Roman" w:hAnsi="Times New Roman" w:cs="Times New Roman"/>
          <w:sz w:val="24"/>
          <w:szCs w:val="24"/>
        </w:rPr>
        <w:t xml:space="preserve"> within the network of legally constituted relationships. Once laws are represented as typed relational systems, network measures may help identify whether intermediary actors occupy connecting or brokerage positions among regulators, targets, beneficiaries and other actors. Degree measures identify the number of relationships in which intermediary actors participate; betweenness can identify actors situated on important relational pathways; brokerage measures can identify actors connecting otherwise weakly connected groups.  </w:t>
      </w:r>
    </w:p>
    <w:p w14:paraId="4D4BB98D"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Network centrality should nevertheless be interpreted cautiously. Structural position does not itself establish legal authority or indispensability. An actor may have a large number of informational connections while possessing little capacity to affect decisions. Conversely, a gatekeeper may possess relatively few ties yet exercise decisive authority. Network measures are therefore most informative when combined with substantive information concerning function, authority, consequence and substitutability.</w:t>
      </w:r>
    </w:p>
    <w:p w14:paraId="6D1A40EB"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sixth dimension is </w:t>
      </w:r>
      <w:r w:rsidRPr="004E15FC">
        <w:rPr>
          <w:rFonts w:ascii="Times New Roman" w:eastAsia="Times New Roman" w:hAnsi="Times New Roman" w:cs="Times New Roman"/>
          <w:b/>
          <w:bCs/>
          <w:sz w:val="24"/>
          <w:szCs w:val="24"/>
        </w:rPr>
        <w:t>regulatory embeddedness</w:t>
      </w:r>
      <w:r w:rsidRPr="004E15FC">
        <w:rPr>
          <w:rFonts w:ascii="Times New Roman" w:eastAsia="Times New Roman" w:hAnsi="Times New Roman" w:cs="Times New Roman"/>
          <w:sz w:val="24"/>
          <w:szCs w:val="24"/>
        </w:rPr>
        <w:t>, understood as the extent to which law regulates the intermediaries through whom governance is exercised. Intermediation frequently creates a second-order regulatory problem: actors entrusted with monitoring, verification, assurance or other governance functions may themselves require selection, supervision and control. Relevant legal requirements may concern entry and designation, competence, independence, conflicts of interest, organizational procedures, reporting, transparency, supervision, remedial obligations and withdrawal of authorization.   Regulatory embeddedness therefore captures not only the extent to which law governs through intermediaries, but also the extent to which it governs the intermediaries themselves.</w:t>
      </w:r>
    </w:p>
    <w:p w14:paraId="23396A63"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lastRenderedPageBreak/>
        <w:t xml:space="preserve">These dimensions should initially be retained separately rather than collapsed into a single index. A law can display high intermediary prevalence but low authority, low prevalence but very high dependency, or extensive intermediary functions combined with strong public oversight. Such profiles contain theoretically important information that would be lost in a single composite score. The dimensional approach is also consistent with the broader methodological commitment of relational leximetrics to reconstruct higher-order properties from transparent lower-level observations rather than assign summary labels prematurely.  </w:t>
      </w:r>
    </w:p>
    <w:p w14:paraId="6CB32AE8"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Intermediation centrality can therefore be represented conceptually as a profile:</w:t>
      </w:r>
    </w:p>
    <w:p w14:paraId="30820968" w14:textId="77777777" w:rsidR="004E6D01" w:rsidRPr="004E15FC" w:rsidRDefault="004E6D01" w:rsidP="004E6D01">
      <w:pPr>
        <w:jc w:val="center"/>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IC = f(P,\ F,\ A,\ D,\ S,\ E) \</w:t>
      </w:r>
    </w:p>
    <w:p w14:paraId="07AFAFD4"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where \(P\) denotes prevalence, \(F\) functional breadth, \(A\) intermediary authority, \(D\) dependency or indispensability, \(S\) structural centrality, and \(E\) regulatory embeddedness. This notation should not be interpreted as requiring an additive index or predetermined weighting scheme. Its purpose is to identify analytically distinct dimensions through which intermediation can become central to legal architecture.</w:t>
      </w:r>
    </w:p>
    <w:p w14:paraId="79F911B5" w14:textId="77777777" w:rsidR="004E6D01" w:rsidRPr="004E15FC" w:rsidRDefault="004E6D01" w:rsidP="004E6D01">
      <w:pPr>
        <w:spacing w:before="100" w:beforeAutospacing="1" w:afterAutospacing="1"/>
        <w:jc w:val="both"/>
        <w:outlineLvl w:val="2"/>
        <w:rPr>
          <w:rFonts w:ascii="Times New Roman" w:eastAsia="Times New Roman" w:hAnsi="Times New Roman" w:cs="Times New Roman"/>
          <w:b/>
          <w:bCs/>
          <w:sz w:val="24"/>
          <w:szCs w:val="24"/>
        </w:rPr>
      </w:pPr>
      <w:r w:rsidRPr="004E15FC">
        <w:rPr>
          <w:rFonts w:ascii="Times New Roman" w:eastAsia="Times New Roman" w:hAnsi="Times New Roman" w:cs="Times New Roman"/>
          <w:b/>
          <w:bCs/>
          <w:sz w:val="24"/>
          <w:szCs w:val="24"/>
        </w:rPr>
        <w:t>Intermediation centrality and enhanced self-regulation</w:t>
      </w:r>
    </w:p>
    <w:p w14:paraId="632947B6"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Intermediation centrality should also be distinguished from enhanced self-regulation. The two concepts overlap empirically but capture different architectural properties. A law may rely heavily on intermediaries while leaving little meaningful self-regulatory discretion to regulated actors—for example, where independent private inspectors perform tightly prescribed functions on behalf of public authorities. Conversely, a law may allocate substantial responsibility to regulated firms for designing and administering internal compliance systems while making limited use of external intermediaries. </w:t>
      </w:r>
    </w:p>
    <w:p w14:paraId="41B0EDCE"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Enhanced self-regulation therefore requires separate attention to the allocation of self-regulatory discretion. The relevant questions are whether regulated actors formulate, interpret, implement or administer important components of their own regulatory obligations and how public law structures, supervises or reinforces those activities. Intermediation becomes relevant to enhanced self-regulation when relatively autonomous third parties monitor, certify, verify, discipline, advise or otherwise enhance the credibility and capacity of self-regulatory arrangements. The architecture of enhanced self-regulation therefore depends upon the joint distribution of self-regulatory discretion, intermediary enhancement and public oversight rather than upon intermediary presence alone.  This distinction suggests that three related but analytically separable properties should be measured: the extent to which governance is conducted through intermediaries; the authority and indispensability of those intermediaries; and the extent to which substantive regulatory discretion is allocated to regulated actors themselves. The first concerns intermediation centrality, the second concerns intermediary power and dependency, and the third concerns the self-regulatory component of the architecture.</w:t>
      </w:r>
    </w:p>
    <w:p w14:paraId="3B9FC5C3"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 xml:space="preserve">A particularly useful complementary measure is therefore </w:t>
      </w:r>
      <w:r w:rsidRPr="004E15FC">
        <w:rPr>
          <w:rFonts w:ascii="Times New Roman" w:eastAsia="Times New Roman" w:hAnsi="Times New Roman" w:cs="Times New Roman"/>
          <w:b/>
          <w:bCs/>
          <w:sz w:val="24"/>
          <w:szCs w:val="24"/>
        </w:rPr>
        <w:t>regulatory function allocation</w:t>
      </w:r>
      <w:r w:rsidRPr="004E15FC">
        <w:rPr>
          <w:rFonts w:ascii="Times New Roman" w:eastAsia="Times New Roman" w:hAnsi="Times New Roman" w:cs="Times New Roman"/>
          <w:sz w:val="24"/>
          <w:szCs w:val="24"/>
        </w:rPr>
        <w:t xml:space="preserve">: the distribution of governance functions among public regulators, intermediaries, regulated targets or self-regulators, and beneficiaries or affected publics.   Such a measure directly addresses one of the central questions of the architectural approach: where does law locate the work of governing? Two laws may contain comparable numbers of intermediary actors yet differ fundamentally because one assigns verification and monitoring to intermediaries while retaining rule-making and enforcement in public </w:t>
      </w:r>
      <w:r w:rsidRPr="004E15FC">
        <w:rPr>
          <w:rFonts w:ascii="Times New Roman" w:eastAsia="Times New Roman" w:hAnsi="Times New Roman" w:cs="Times New Roman"/>
          <w:sz w:val="24"/>
          <w:szCs w:val="24"/>
        </w:rPr>
        <w:lastRenderedPageBreak/>
        <w:t>authorities, whereas another distributes standard-setting, interpretation, monitoring and certification among private and hybrid actors.</w:t>
      </w:r>
    </w:p>
    <w:p w14:paraId="7B72A014" w14:textId="77777777" w:rsidR="004E6D01" w:rsidRPr="004E15FC" w:rsidRDefault="004E6D01" w:rsidP="004E6D01">
      <w:pPr>
        <w:spacing w:before="100" w:beforeAutospacing="1" w:afterAutospacing="1"/>
        <w:jc w:val="both"/>
        <w:rPr>
          <w:rFonts w:ascii="Times New Roman" w:eastAsia="Times New Roman" w:hAnsi="Times New Roman" w:cs="Times New Roman"/>
          <w:sz w:val="24"/>
          <w:szCs w:val="24"/>
        </w:rPr>
      </w:pPr>
      <w:r w:rsidRPr="004E15FC">
        <w:rPr>
          <w:rFonts w:ascii="Times New Roman" w:eastAsia="Times New Roman" w:hAnsi="Times New Roman" w:cs="Times New Roman"/>
          <w:sz w:val="24"/>
          <w:szCs w:val="24"/>
        </w:rPr>
        <w:t>Intermediation centrality is therefore best treated not as a separate type of governance architecture but as one of its measurable properties. Its value lies precisely in moving analysis beyond the binary question of whether intermediaries are present. By examining prevalence, functional allocation, authority, dependency, structural position and regulatory embeddedness, relational leximetrics can identify the extent to which governing is actually organized through intermediaries and distinguish incidental third-party participation from architectures in which intermediation is constitutive of the regulatory process.</w:t>
      </w:r>
    </w:p>
    <w:p w14:paraId="40F933D3" w14:textId="77777777" w:rsidR="004E6D01" w:rsidRPr="007142B2" w:rsidRDefault="004E6D01" w:rsidP="0034786B">
      <w:pPr>
        <w:spacing w:before="100" w:beforeAutospacing="1" w:afterAutospacing="1" w:line="276" w:lineRule="auto"/>
        <w:jc w:val="both"/>
        <w:rPr>
          <w:rFonts w:asciiTheme="majorBidi" w:eastAsia="Times New Roman" w:hAnsiTheme="majorBidi" w:cstheme="majorBidi"/>
          <w:sz w:val="24"/>
          <w:szCs w:val="24"/>
        </w:rPr>
      </w:pPr>
    </w:p>
    <w:p w14:paraId="512BFFD3" w14:textId="43EE43B1"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w:t>
      </w:r>
      <w:r w:rsidR="004E6D01">
        <w:rPr>
          <w:rFonts w:asciiTheme="majorBidi" w:eastAsia="Times New Roman" w:hAnsiTheme="majorBidi" w:cstheme="majorBidi"/>
          <w:b/>
          <w:bCs/>
          <w:sz w:val="24"/>
          <w:szCs w:val="24"/>
        </w:rPr>
        <w:t>3</w:t>
      </w:r>
      <w:r w:rsidRPr="007142B2">
        <w:rPr>
          <w:rFonts w:asciiTheme="majorBidi" w:eastAsia="Times New Roman" w:hAnsiTheme="majorBidi" w:cstheme="majorBidi"/>
          <w:b/>
          <w:bCs/>
          <w:sz w:val="24"/>
          <w:szCs w:val="24"/>
        </w:rPr>
        <w:t xml:space="preserve"> Validation and reliability across levels</w:t>
      </w:r>
    </w:p>
    <w:p w14:paraId="20021E1E"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multilevel nature of relational leximetrics requires validation at corresponding levels. High agreement at the textual level does not establish the validity of higher-level architectural classifications.</w:t>
      </w:r>
    </w:p>
    <w:p w14:paraId="0C4A1DE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textual level</w:t>
      </w:r>
      <w:r w:rsidRPr="007142B2">
        <w:rPr>
          <w:rFonts w:asciiTheme="majorBidi" w:eastAsia="Times New Roman" w:hAnsiTheme="majorBidi" w:cstheme="majorBidi"/>
          <w:sz w:val="24"/>
          <w:szCs w:val="24"/>
        </w:rPr>
        <w:t>, validation concerns whether coders identify the same relevant legal provisions.</w:t>
      </w:r>
    </w:p>
    <w:p w14:paraId="126AA2F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institutional-statement level</w:t>
      </w:r>
      <w:r w:rsidRPr="007142B2">
        <w:rPr>
          <w:rFonts w:asciiTheme="majorBidi" w:eastAsia="Times New Roman" w:hAnsiTheme="majorBidi" w:cstheme="majorBidi"/>
          <w:sz w:val="24"/>
          <w:szCs w:val="24"/>
        </w:rPr>
        <w:t>, it concerns whether actors, modalities, actions, objects and conditions are parsed consistently.</w:t>
      </w:r>
    </w:p>
    <w:p w14:paraId="1FFB2C2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relational level</w:t>
      </w:r>
      <w:r w:rsidRPr="007142B2">
        <w:rPr>
          <w:rFonts w:asciiTheme="majorBidi" w:eastAsia="Times New Roman" w:hAnsiTheme="majorBidi" w:cstheme="majorBidi"/>
          <w:sz w:val="24"/>
          <w:szCs w:val="24"/>
        </w:rPr>
        <w:t>, validation asks whether a coded relationship accurately represents the legal connection among the actors.</w:t>
      </w:r>
    </w:p>
    <w:p w14:paraId="01D9E47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configurational level</w:t>
      </w:r>
      <w:r w:rsidRPr="007142B2">
        <w:rPr>
          <w:rFonts w:asciiTheme="majorBidi" w:eastAsia="Times New Roman" w:hAnsiTheme="majorBidi" w:cstheme="majorBidi"/>
          <w:sz w:val="24"/>
          <w:szCs w:val="24"/>
        </w:rPr>
        <w:t>, the question is whether the specified bundle of relationships and governance elements justifies identifying the claimed configuration.</w:t>
      </w:r>
    </w:p>
    <w:p w14:paraId="1F1F1661"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At the </w:t>
      </w:r>
      <w:r w:rsidRPr="007142B2">
        <w:rPr>
          <w:rFonts w:asciiTheme="majorBidi" w:eastAsia="Times New Roman" w:hAnsiTheme="majorBidi" w:cstheme="majorBidi"/>
          <w:b/>
          <w:bCs/>
          <w:sz w:val="24"/>
          <w:szCs w:val="24"/>
        </w:rPr>
        <w:t>architectural level</w:t>
      </w:r>
      <w:r w:rsidRPr="007142B2">
        <w:rPr>
          <w:rFonts w:asciiTheme="majorBidi" w:eastAsia="Times New Roman" w:hAnsiTheme="majorBidi" w:cstheme="majorBidi"/>
          <w:sz w:val="24"/>
          <w:szCs w:val="24"/>
        </w:rPr>
        <w:t>, validation concerns whether the aggregated representation adequately captures the organization of the relevant law or subsystem.</w:t>
      </w:r>
    </w:p>
    <w:p w14:paraId="06AA5CF6"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Finally, </w:t>
      </w:r>
      <w:r w:rsidRPr="007142B2">
        <w:rPr>
          <w:rFonts w:asciiTheme="majorBidi" w:eastAsia="Times New Roman" w:hAnsiTheme="majorBidi" w:cstheme="majorBidi"/>
          <w:b/>
          <w:bCs/>
          <w:sz w:val="24"/>
          <w:szCs w:val="24"/>
        </w:rPr>
        <w:t>external validation</w:t>
      </w:r>
      <w:r w:rsidRPr="007142B2">
        <w:rPr>
          <w:rFonts w:asciiTheme="majorBidi" w:eastAsia="Times New Roman" w:hAnsiTheme="majorBidi" w:cstheme="majorBidi"/>
          <w:sz w:val="24"/>
          <w:szCs w:val="24"/>
        </w:rPr>
        <w:t xml:space="preserve"> concerns the relationship between the formal architecture reconstructed from law and the arrangements observed in implementation and practice.</w:t>
      </w:r>
    </w:p>
    <w:p w14:paraId="50BD0C0D"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These forms of validity should not be collapsed into one intercoder-reliability statistic. A coding project may achieve very high agreement in identifying actors while producing much less reliable judgments concerning discretion, indispensability or architectural significance.</w:t>
      </w:r>
    </w:p>
    <w:p w14:paraId="7F8441E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Machine-assisted coding should be evaluated in the same manner. Automated methods may perform well in identifying provisions, actors and explicit relational expressions while remaining less reliable for interpretive judgments concerning discretion, accountability or architectural significance. Model performance should consequently be evaluated separately for different coding and inference tasks.</w:t>
      </w:r>
    </w:p>
    <w:p w14:paraId="0FE08247" w14:textId="0D125BC5"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6.13 Formal, implemented and operational architectures</w:t>
      </w:r>
    </w:p>
    <w:p w14:paraId="32F284FB"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lastRenderedPageBreak/>
        <w:t xml:space="preserve">Relational leximetrics reconstructs primarily </w:t>
      </w:r>
      <w:r w:rsidRPr="007142B2">
        <w:rPr>
          <w:rFonts w:asciiTheme="majorBidi" w:eastAsia="Times New Roman" w:hAnsiTheme="majorBidi" w:cstheme="majorBidi"/>
          <w:b/>
          <w:bCs/>
          <w:sz w:val="24"/>
          <w:szCs w:val="24"/>
        </w:rPr>
        <w:t>formal legal architecture</w:t>
      </w:r>
      <w:r w:rsidRPr="007142B2">
        <w:rPr>
          <w:rFonts w:asciiTheme="majorBidi" w:eastAsia="Times New Roman" w:hAnsiTheme="majorBidi" w:cstheme="majorBidi"/>
          <w:sz w:val="24"/>
          <w:szCs w:val="24"/>
        </w:rPr>
        <w:t>: the governance relationships, capacities and institutional arrangements constituted or recognized by law. It does not by itself establish how those arrangements are implemented or how governance operates in practice.</w:t>
      </w:r>
    </w:p>
    <w:p w14:paraId="1CE46AF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least three levels should therefore be distinguished: formal legal architecture, implementation architecture and operational architecture. Formal architecture concerns the structure designed through law. Implementation architecture concerns the organizational arrangements through which legal requirements are put into effect. Operational architecture concerns the relationships and practices through which governance actually occurs.</w:t>
      </w:r>
    </w:p>
    <w:p w14:paraId="01E7B6F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three may diverge substantially. An actor may possess extensive statutory powers that are rarely exercised. A reporting obligation may generate little meaningful information. Private standards may acquire practical significance beyond that anticipated in the formal design. Administrative practice may also create relationships and routines that are only weakly specified in legislation.</w:t>
      </w:r>
    </w:p>
    <w:p w14:paraId="316398B2"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These differences should not be treated merely as measurement error. They constitute an important empirical field in their own right. Relational leximetrics establishes the formal baseline against which implementation and operational governance can subsequently be compared.</w:t>
      </w:r>
    </w:p>
    <w:p w14:paraId="54E5B284" w14:textId="037F5F82" w:rsidR="0034786B" w:rsidRPr="007142B2" w:rsidRDefault="0034786B" w:rsidP="0034786B">
      <w:pPr>
        <w:spacing w:before="100" w:beforeAutospacing="1" w:afterAutospacing="1" w:line="276" w:lineRule="auto"/>
        <w:jc w:val="both"/>
        <w:outlineLvl w:val="1"/>
        <w:rPr>
          <w:rFonts w:asciiTheme="majorBidi" w:eastAsia="Times New Roman" w:hAnsiTheme="majorBidi" w:cstheme="majorBidi"/>
          <w:b/>
          <w:bCs/>
          <w:sz w:val="24"/>
          <w:szCs w:val="24"/>
        </w:rPr>
      </w:pPr>
      <w:r w:rsidRPr="007142B2">
        <w:rPr>
          <w:rFonts w:asciiTheme="majorBidi" w:eastAsia="Times New Roman" w:hAnsiTheme="majorBidi" w:cstheme="majorBidi"/>
          <w:b/>
          <w:bCs/>
          <w:sz w:val="24"/>
          <w:szCs w:val="24"/>
        </w:rPr>
        <w:t>6.1</w:t>
      </w:r>
      <w:r w:rsidR="004E6D01">
        <w:rPr>
          <w:rFonts w:asciiTheme="majorBidi" w:eastAsia="Times New Roman" w:hAnsiTheme="majorBidi" w:cstheme="majorBidi"/>
          <w:b/>
          <w:bCs/>
          <w:sz w:val="24"/>
          <w:szCs w:val="24"/>
        </w:rPr>
        <w:t>5</w:t>
      </w:r>
      <w:r w:rsidRPr="007142B2">
        <w:rPr>
          <w:rFonts w:asciiTheme="majorBidi" w:eastAsia="Times New Roman" w:hAnsiTheme="majorBidi" w:cstheme="majorBidi"/>
          <w:b/>
          <w:bCs/>
          <w:sz w:val="24"/>
          <w:szCs w:val="24"/>
        </w:rPr>
        <w:t xml:space="preserve"> Illustration: moving from provisions to an architectural claim</w:t>
      </w:r>
    </w:p>
    <w:p w14:paraId="0AFE583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 stylized example illustrates the methodological sequence. Suppose a legal regime contains four provisions. The first requires providers to undertake periodic risk assessments. The second requires those assessments to be verified by an accredited auditor. The third requires auditors to notify a supervisory authority of material deficiencies. The fourth gives the supervisory authority power to suspend a provider's authorization where deficiencies remain unresolved.</w:t>
      </w:r>
    </w:p>
    <w:p w14:paraId="5A8BA6F3"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the textual level, these provisions constitute separate legal observations. At the institutional level, they establish obligations concerning assessment, verification and reporting, together with a public enforcement power.</w:t>
      </w:r>
    </w:p>
    <w:p w14:paraId="3A90981C"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the relational level, they establish relationships between providers and auditors, auditors and the supervisory authority, and the supervisory authority and providers. Those relationships perform different functions and possess different attributes. Verification is assigned to the auditor, while ultimate sanctioning authority remains with the public supervisory body.</w:t>
      </w:r>
    </w:p>
    <w:p w14:paraId="58285039"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At the configurational level, the provisions jointly establish third-party assurance combined with public supervisory enforcement. Accreditation connects the verifier to a wider system of public control, while mandatory verification makes the intermediary consequential to the operation of the regulatory process.</w:t>
      </w:r>
    </w:p>
    <w:p w14:paraId="1D9A83AF"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 xml:space="preserve">Only after establishing the necessity and structural position of these relationships would it be appropriate to formulate an architectural claim. The warranted conclusion might be that the legal arrangement combines intermediated verification with hierarchical public enforcement. Whether this is sufficient to </w:t>
      </w:r>
      <w:r w:rsidRPr="007142B2">
        <w:rPr>
          <w:rFonts w:asciiTheme="majorBidi" w:eastAsia="Times New Roman" w:hAnsiTheme="majorBidi" w:cstheme="majorBidi"/>
          <w:sz w:val="24"/>
          <w:szCs w:val="24"/>
        </w:rPr>
        <w:lastRenderedPageBreak/>
        <w:t>characterize the entire statute as an intermediated architecture depends upon the position of this configuration relative to other governance arrangements within the law.</w:t>
      </w:r>
    </w:p>
    <w:p w14:paraId="4BBA9668" w14:textId="77777777" w:rsidR="0034786B" w:rsidRPr="007142B2" w:rsidRDefault="0034786B" w:rsidP="0034786B">
      <w:pPr>
        <w:spacing w:before="100" w:beforeAutospacing="1" w:afterAutospacing="1" w:line="276" w:lineRule="auto"/>
        <w:jc w:val="both"/>
        <w:rPr>
          <w:rFonts w:asciiTheme="majorBidi" w:eastAsia="Times New Roman" w:hAnsiTheme="majorBidi" w:cstheme="majorBidi"/>
          <w:sz w:val="24"/>
          <w:szCs w:val="24"/>
        </w:rPr>
      </w:pPr>
      <w:r w:rsidRPr="007142B2">
        <w:rPr>
          <w:rFonts w:asciiTheme="majorBidi" w:eastAsia="Times New Roman" w:hAnsiTheme="majorBidi" w:cstheme="majorBidi"/>
          <w:sz w:val="24"/>
          <w:szCs w:val="24"/>
        </w:rPr>
        <w:t>The example illustrates the central principle of relational leximetrics: low-level coding and high-level theoretical inference are compatible only when the intermediate transformations remain explicit and recoverable.</w:t>
      </w:r>
    </w:p>
    <w:p w14:paraId="15937500" w14:textId="54FC42CA" w:rsidR="00B746D2" w:rsidRDefault="00B746D2" w:rsidP="00BB24A5">
      <w:pPr>
        <w:jc w:val="both"/>
        <w:rPr>
          <w:rFonts w:asciiTheme="majorBidi" w:hAnsiTheme="majorBidi" w:cstheme="majorBidi"/>
          <w:sz w:val="24"/>
          <w:szCs w:val="24"/>
        </w:rPr>
      </w:pPr>
    </w:p>
    <w:p w14:paraId="5933270A" w14:textId="64C191C3" w:rsidR="006C4FF1" w:rsidRDefault="005D4593" w:rsidP="006C4FF1">
      <w:r>
        <w:rPr>
          <w:rFonts w:asciiTheme="majorBidi" w:hAnsiTheme="majorBidi" w:cstheme="majorBidi"/>
          <w:b/>
          <w:bCs/>
          <w:sz w:val="24"/>
          <w:szCs w:val="24"/>
        </w:rPr>
        <w:t>7</w:t>
      </w:r>
      <w:r w:rsidR="00A71381" w:rsidRPr="00A71381">
        <w:rPr>
          <w:rFonts w:asciiTheme="majorBidi" w:hAnsiTheme="majorBidi" w:cstheme="majorBidi"/>
          <w:b/>
          <w:bCs/>
          <w:sz w:val="24"/>
          <w:szCs w:val="24"/>
        </w:rPr>
        <w:t>. Conclusions: From Legal Text to Relational Data</w:t>
      </w:r>
    </w:p>
    <w:p w14:paraId="6A500478"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This paper has argued for a shift in how law is conceptualized and compared. Law does not merely prescribe, prohibit, authorize and sanction conduct. It also organizes the capacity to govern. It defines objects of intervention, constitutes and recognizes actors, distributes governance functions, establishes instruments and mechanisms, constructs relationships, and allocates authority, discretion and accountability. Laws that impose similar substantive obligations can therefore construct very different systems for producing, monitoring, verifying and enforcing compliance. Conversely, similar institutional arrangements may recur across regulatory domains with otherwise very different substantive purposes. Governance architecture is consequently a distinct dimension of legal variation that cannot be adequately captured by conventional measures of legal content, coverage or stringency.</w:t>
      </w:r>
    </w:p>
    <w:p w14:paraId="1AC86F6D"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 framework developed here seeks to make that dimension analytically visible. It distinguishes three levels. Directly observable governance elements include objects, actors, functions, mechanisms, instruments and relationships. Relational attributes—authority, discretion and accountability—qualify those relationships by identifying where consequential governing capacity, judgment and answerability are located. Higher-order constructs—regulatory strategies, governance architectures and governance logics—are reconstructed from configurations of the lower-level observations rather than coded independently at the outset. This distinction is central to the methodological argument because it separates what can be identified relatively directly in legal texts from what must be inferred through aggregation and theoretical interpretation.</w:t>
      </w:r>
    </w:p>
    <w:p w14:paraId="1667576E"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The analysis of architecture adds a configurational dimension to the study of law. Architecture should not be reduced to the presence of particular actors or instruments or treated simply as a list of mutually exclusive governance types. It concerns how governance work and governing capacity are distributed and connected. Hierarchy, delegation, self-regulation, meta-regulation, enhanced self-regulation, multilevel governance and polycentricity identify recurrent configurations, but several may coexist within the same legal system. The comparative task is therefore to examine architectural dimensions such </w:t>
      </w:r>
      <w:r w:rsidRPr="00544663">
        <w:rPr>
          <w:rFonts w:ascii="Times New Roman" w:eastAsia="Times New Roman" w:hAnsi="Times New Roman" w:cs="Times New Roman"/>
          <w:sz w:val="24"/>
          <w:szCs w:val="24"/>
          <w:lang w:bidi="he-IL"/>
        </w:rPr>
        <w:lastRenderedPageBreak/>
        <w:t>as centralization, intermediation, public-private allocation, self-regulatory autonomy, relational depth, functional distribution, discretion and accountability. This makes it possible to compare legal systems without forcing complex governance arrangements into a single categorical label.</w:t>
      </w:r>
    </w:p>
    <w:p w14:paraId="1591DE98"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Intermediation provides an especially useful illustration. The simple presence of intermediary actors reveals relatively little about their importance. Some intermediaries are supplementary; others perform multiple regulatory functions, exercise consequential authority or occupy indispensable positions within legally required processes. Intermediation centrality therefore depends upon prevalence, functional breadth, authority, dependency, structural position and regulatory embeddedness rather than actor counts alone. This distinction also helps separate intermediation from self-regulation: governance may be strongly intermediated but weakly self-regulatory, or highly self-regulatory without extensive use of external intermediaries. More generally, the analysis directs attention to the allocation of regulatory functions among public authorities, intermediaries, regulated actors and beneficiaries—the question of where law locates the work of governing.</w:t>
      </w:r>
    </w:p>
    <w:p w14:paraId="18153993"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 methodological contribution is relational leximetrics. Its distinctive feature is not simply greater textual granularity. Provision- and statement-level coding substantially improve the precision of legal measurement, but granularity alone does not reconstruct governance architecture. Relational leximetrics treats legally constituted relationships as a pivotal empirical object and explicitly distinguishes units of coding, analysis and inference. Legal provisions provide evidentiary anchors; relationships and governance elements provide analytical observations; configurations, architectures and regimes constitute progressively higher units of inference.</w:t>
      </w:r>
    </w:p>
    <w:p w14:paraId="014E7367"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This requires greater attention to the logic of aggregation. Higher-order properties cannot be inferred mechanically from the presence or frequency of lower-level elements. Architectural significance may depend upon authority, centrality, exclusivity, sequence, consequence and substitutability as well as frequency. A rarely mentioned actor may exercise decisive gatekeeping authority, while a frequently repeated reporting relationship may have little structural consequence. The approach therefore </w:t>
      </w:r>
      <w:proofErr w:type="spellStart"/>
      <w:r w:rsidRPr="00544663">
        <w:rPr>
          <w:rFonts w:ascii="Times New Roman" w:eastAsia="Times New Roman" w:hAnsi="Times New Roman" w:cs="Times New Roman"/>
          <w:sz w:val="24"/>
          <w:szCs w:val="24"/>
          <w:lang w:bidi="he-IL"/>
        </w:rPr>
        <w:t>favours</w:t>
      </w:r>
      <w:proofErr w:type="spellEnd"/>
      <w:r w:rsidRPr="00544663">
        <w:rPr>
          <w:rFonts w:ascii="Times New Roman" w:eastAsia="Times New Roman" w:hAnsi="Times New Roman" w:cs="Times New Roman"/>
          <w:sz w:val="24"/>
          <w:szCs w:val="24"/>
          <w:lang w:bidi="he-IL"/>
        </w:rPr>
        <w:t xml:space="preserve"> relational-configurational analysis over simple counting. Counts remain useful for describing composition; configurations reveal organization.</w:t>
      </w:r>
    </w:p>
    <w:p w14:paraId="39ADF655"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 xml:space="preserve">The requirement of vertical traceability strengthens this approach. Architectural claims should remain recoverable from the governance configurations, relationships, institutional statements and legal provisions upon which they are based. This makes higher-order classifications transparent, facilitates </w:t>
      </w:r>
      <w:r w:rsidRPr="00544663">
        <w:rPr>
          <w:rFonts w:ascii="Times New Roman" w:eastAsia="Times New Roman" w:hAnsi="Times New Roman" w:cs="Times New Roman"/>
          <w:sz w:val="24"/>
          <w:szCs w:val="24"/>
          <w:lang w:bidi="he-IL"/>
        </w:rPr>
        <w:lastRenderedPageBreak/>
        <w:t>adjudication, allows alternative theoretical interpretations to be tested against the same underlying evidence and provides an important safeguard for machine-assisted coding. The associated stopping rule requires researchers to make only the highest-level claim warranted by the available evidence rather than forcing every legal observation into an architectural classification.</w:t>
      </w:r>
    </w:p>
    <w:p w14:paraId="61CFF265"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 resulting research agenda is broad. Relational leximetrics makes it possible to investigate whether jurisdictions build different architectures for similar regulatory problems; whether particular configurations recur across sectors; whether regulatory functions migrate over time among states, firms, intermediaries and beneficiaries; and whether architectures differ systematically in how they distribute authority, discretion and accountability. It can also make questions of hybridity more tractable by showing precisely which functions are public, private, self-regulatory or intermediated and how these allocations combine within individual laws.</w:t>
      </w:r>
    </w:p>
    <w:p w14:paraId="0192F7FE"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 framework also creates a basis for studying relationships between formal design and governance performance. Legal architecture specifies the system constituted by law, but implementation and operational architectures may reproduce, transform or circumvent it. Comparing these levels could illuminate when delegation operates as intended, when intermediary relationships become more or less consequential than their formal legal status suggests, when self-regulatory systems acquire autonomy, and when formally polycentric arrangements become effectively centralized. Relational leximetrics therefore does not substitute legal text for governance practice; it establishes a systematic formal baseline against which practice can be studied.</w:t>
      </w:r>
    </w:p>
    <w:p w14:paraId="7E4082F1" w14:textId="77777777" w:rsidR="00544663" w:rsidRPr="00544663" w:rsidRDefault="00544663" w:rsidP="00544663">
      <w:pPr>
        <w:spacing w:before="100" w:beforeAutospacing="1" w:afterAutospacing="1" w:line="360" w:lineRule="auto"/>
        <w:jc w:val="both"/>
        <w:rPr>
          <w:rFonts w:ascii="Times New Roman" w:eastAsia="Times New Roman" w:hAnsi="Times New Roman" w:cs="Times New Roman"/>
          <w:sz w:val="24"/>
          <w:szCs w:val="24"/>
          <w:lang w:bidi="he-IL"/>
        </w:rPr>
      </w:pPr>
      <w:r w:rsidRPr="00544663">
        <w:rPr>
          <w:rFonts w:ascii="Times New Roman" w:eastAsia="Times New Roman" w:hAnsi="Times New Roman" w:cs="Times New Roman"/>
          <w:sz w:val="24"/>
          <w:szCs w:val="24"/>
          <w:lang w:bidi="he-IL"/>
        </w:rPr>
        <w:t>The larger theoretical claim is straightforward. Law is not only a body of rules and rights. It is also an institutional technology for allocating the capacity to govern. It determines not only who must comply, but who interprets, implements, monitors, verifies, certifies, authorizes, reviews and enforces; who exercises judgment; who must account for that judgment; and who governs those who themselves govern. Making these relationships observable allows comparative legal analysis to move beyond questions of how much societies regulate and what they regulate toward a complementary and more institutional question: how does law organize the work, authority and accountability of governing?</w:t>
      </w:r>
    </w:p>
    <w:p w14:paraId="02F5A119" w14:textId="6FDD6E5E" w:rsidR="00CB41FD" w:rsidRDefault="00CB41FD" w:rsidP="00CB41FD">
      <w:pPr>
        <w:pStyle w:val="NormalWeb"/>
      </w:pPr>
    </w:p>
    <w:p w14:paraId="5156292C" w14:textId="71764C55" w:rsidR="00A71381" w:rsidRDefault="00A71381" w:rsidP="00A71381">
      <w:pPr>
        <w:spacing w:line="276" w:lineRule="auto"/>
        <w:jc w:val="both"/>
        <w:rPr>
          <w:rFonts w:asciiTheme="majorBidi" w:hAnsiTheme="majorBidi" w:cstheme="majorBidi"/>
          <w:sz w:val="24"/>
          <w:szCs w:val="24"/>
        </w:rPr>
      </w:pPr>
    </w:p>
    <w:p w14:paraId="0E331633" w14:textId="6A65FA8C" w:rsidR="00A71381" w:rsidRPr="006C4FF1" w:rsidRDefault="00094FA3" w:rsidP="00A71381">
      <w:pPr>
        <w:rPr>
          <w:rFonts w:asciiTheme="majorBidi" w:hAnsiTheme="majorBidi" w:cstheme="majorBidi"/>
          <w:b/>
          <w:bCs/>
          <w:sz w:val="24"/>
          <w:szCs w:val="24"/>
        </w:rPr>
      </w:pPr>
      <w:r w:rsidRPr="006C4FF1">
        <w:rPr>
          <w:rFonts w:asciiTheme="majorBidi" w:hAnsiTheme="majorBidi" w:cstheme="majorBidi"/>
          <w:b/>
          <w:bCs/>
          <w:sz w:val="24"/>
          <w:szCs w:val="24"/>
        </w:rPr>
        <w:t xml:space="preserve">Bibliography </w:t>
      </w:r>
    </w:p>
    <w:p w14:paraId="58E75600" w14:textId="77777777" w:rsidR="00A71381" w:rsidRPr="00A71381" w:rsidRDefault="00A71381" w:rsidP="00A71381">
      <w:pPr>
        <w:pStyle w:val="NormalWeb"/>
        <w:rPr>
          <w:sz w:val="20"/>
          <w:szCs w:val="20"/>
        </w:rPr>
      </w:pPr>
      <w:r w:rsidRPr="00A71381">
        <w:rPr>
          <w:sz w:val="20"/>
          <w:szCs w:val="20"/>
        </w:rPr>
        <w:lastRenderedPageBreak/>
        <w:t xml:space="preserve">Abbott, K.W., </w:t>
      </w:r>
      <w:proofErr w:type="spellStart"/>
      <w:r w:rsidRPr="00A71381">
        <w:rPr>
          <w:sz w:val="20"/>
          <w:szCs w:val="20"/>
        </w:rPr>
        <w:t>Genschel</w:t>
      </w:r>
      <w:proofErr w:type="spellEnd"/>
      <w:r w:rsidRPr="00A71381">
        <w:rPr>
          <w:sz w:val="20"/>
          <w:szCs w:val="20"/>
        </w:rPr>
        <w:t xml:space="preserve">, P., Snidal, D. and </w:t>
      </w:r>
      <w:proofErr w:type="spellStart"/>
      <w:r w:rsidRPr="00A71381">
        <w:rPr>
          <w:sz w:val="20"/>
          <w:szCs w:val="20"/>
        </w:rPr>
        <w:t>Zangl</w:t>
      </w:r>
      <w:proofErr w:type="spellEnd"/>
      <w:r w:rsidRPr="00A71381">
        <w:rPr>
          <w:sz w:val="20"/>
          <w:szCs w:val="20"/>
        </w:rPr>
        <w:t xml:space="preserve">, B. (2015) ‘Two logics of indirect governance: delegation and orchestration’, </w:t>
      </w:r>
      <w:r w:rsidRPr="00A71381">
        <w:rPr>
          <w:rStyle w:val="Emphasis"/>
          <w:sz w:val="20"/>
          <w:szCs w:val="20"/>
        </w:rPr>
        <w:t>British Journal of Political Science</w:t>
      </w:r>
      <w:r w:rsidRPr="00A71381">
        <w:rPr>
          <w:sz w:val="20"/>
          <w:szCs w:val="20"/>
        </w:rPr>
        <w:t>, 46(4), pp. 719–729.</w:t>
      </w:r>
    </w:p>
    <w:p w14:paraId="3DDB3609" w14:textId="77777777" w:rsidR="00A71381" w:rsidRPr="00A71381" w:rsidRDefault="00A71381" w:rsidP="00A71381">
      <w:pPr>
        <w:pStyle w:val="NormalWeb"/>
        <w:rPr>
          <w:sz w:val="20"/>
          <w:szCs w:val="20"/>
        </w:rPr>
      </w:pPr>
      <w:r w:rsidRPr="00A71381">
        <w:rPr>
          <w:sz w:val="20"/>
          <w:szCs w:val="20"/>
        </w:rPr>
        <w:t xml:space="preserve">Abbott, K.W., </w:t>
      </w:r>
      <w:proofErr w:type="spellStart"/>
      <w:r w:rsidRPr="00A71381">
        <w:rPr>
          <w:sz w:val="20"/>
          <w:szCs w:val="20"/>
        </w:rPr>
        <w:t>Genschel</w:t>
      </w:r>
      <w:proofErr w:type="spellEnd"/>
      <w:r w:rsidRPr="00A71381">
        <w:rPr>
          <w:sz w:val="20"/>
          <w:szCs w:val="20"/>
        </w:rPr>
        <w:t xml:space="preserve">, P., Snidal, D. and </w:t>
      </w:r>
      <w:proofErr w:type="spellStart"/>
      <w:r w:rsidRPr="00A71381">
        <w:rPr>
          <w:sz w:val="20"/>
          <w:szCs w:val="20"/>
        </w:rPr>
        <w:t>Zangl</w:t>
      </w:r>
      <w:proofErr w:type="spellEnd"/>
      <w:r w:rsidRPr="00A71381">
        <w:rPr>
          <w:sz w:val="20"/>
          <w:szCs w:val="20"/>
        </w:rPr>
        <w:t xml:space="preserve">, B. (2020) </w:t>
      </w:r>
      <w:r w:rsidRPr="00A71381">
        <w:rPr>
          <w:rStyle w:val="Emphasis"/>
          <w:sz w:val="20"/>
          <w:szCs w:val="20"/>
        </w:rPr>
        <w:t>The Governor’s Dilemma: Indirect Governance Beyond Principals and Agents</w:t>
      </w:r>
      <w:r w:rsidRPr="00A71381">
        <w:rPr>
          <w:sz w:val="20"/>
          <w:szCs w:val="20"/>
        </w:rPr>
        <w:t>. Oxford: Oxford University Press.</w:t>
      </w:r>
    </w:p>
    <w:p w14:paraId="1DB4D0A9" w14:textId="77777777" w:rsidR="00A71381" w:rsidRPr="00A71381" w:rsidRDefault="00A71381" w:rsidP="00A71381">
      <w:pPr>
        <w:pStyle w:val="NormalWeb"/>
        <w:rPr>
          <w:sz w:val="20"/>
          <w:szCs w:val="20"/>
        </w:rPr>
      </w:pPr>
      <w:r w:rsidRPr="00A71381">
        <w:rPr>
          <w:sz w:val="20"/>
          <w:szCs w:val="20"/>
        </w:rPr>
        <w:t xml:space="preserve">Abbott, K.W., Levi-Faur, D. and Snidal, D. (2017) ‘Theorizing regulatory intermediaries: the RIT model’, </w:t>
      </w:r>
      <w:r w:rsidRPr="00A71381">
        <w:rPr>
          <w:rStyle w:val="Emphasis"/>
          <w:sz w:val="20"/>
          <w:szCs w:val="20"/>
        </w:rPr>
        <w:t>The ANNALS of the American Academy of Political and Social Science</w:t>
      </w:r>
      <w:r w:rsidRPr="00A71381">
        <w:rPr>
          <w:sz w:val="20"/>
          <w:szCs w:val="20"/>
        </w:rPr>
        <w:t>, 670(1), pp. 14–35.</w:t>
      </w:r>
    </w:p>
    <w:p w14:paraId="3CB5B19F" w14:textId="77777777" w:rsidR="00A71381" w:rsidRPr="00A71381" w:rsidRDefault="00A71381" w:rsidP="00A71381">
      <w:pPr>
        <w:pStyle w:val="NormalWeb"/>
        <w:rPr>
          <w:sz w:val="20"/>
          <w:szCs w:val="20"/>
        </w:rPr>
      </w:pPr>
      <w:r w:rsidRPr="00A71381">
        <w:rPr>
          <w:sz w:val="20"/>
          <w:szCs w:val="20"/>
        </w:rPr>
        <w:t xml:space="preserve">Adcock, R. and Collier, D. (2001) ‘Measurement validity: A shared standard for qualitative and quantitative research’, </w:t>
      </w:r>
      <w:r w:rsidRPr="00A71381">
        <w:rPr>
          <w:rStyle w:val="Emphasis"/>
          <w:sz w:val="20"/>
          <w:szCs w:val="20"/>
        </w:rPr>
        <w:t>American Political Science Review</w:t>
      </w:r>
      <w:r w:rsidRPr="00A71381">
        <w:rPr>
          <w:sz w:val="20"/>
          <w:szCs w:val="20"/>
        </w:rPr>
        <w:t>, 95(3), pp. 529–546.</w:t>
      </w:r>
    </w:p>
    <w:p w14:paraId="216BEC84" w14:textId="77777777" w:rsidR="00A71381" w:rsidRPr="00A71381" w:rsidRDefault="00A71381" w:rsidP="00A71381">
      <w:pPr>
        <w:pStyle w:val="NormalWeb"/>
        <w:rPr>
          <w:sz w:val="20"/>
          <w:szCs w:val="20"/>
        </w:rPr>
      </w:pPr>
      <w:r w:rsidRPr="00A71381">
        <w:rPr>
          <w:sz w:val="20"/>
          <w:szCs w:val="20"/>
        </w:rPr>
        <w:t>Al-</w:t>
      </w:r>
      <w:proofErr w:type="spellStart"/>
      <w:r w:rsidRPr="00A71381">
        <w:rPr>
          <w:sz w:val="20"/>
          <w:szCs w:val="20"/>
        </w:rPr>
        <w:t>Ubaydli</w:t>
      </w:r>
      <w:proofErr w:type="spellEnd"/>
      <w:r w:rsidRPr="00A71381">
        <w:rPr>
          <w:sz w:val="20"/>
          <w:szCs w:val="20"/>
        </w:rPr>
        <w:t>, O. and McLaughlin, P.A. (2017) ‘</w:t>
      </w:r>
      <w:proofErr w:type="spellStart"/>
      <w:r w:rsidRPr="00A71381">
        <w:rPr>
          <w:sz w:val="20"/>
          <w:szCs w:val="20"/>
        </w:rPr>
        <w:t>RegData</w:t>
      </w:r>
      <w:proofErr w:type="spellEnd"/>
      <w:r w:rsidRPr="00A71381">
        <w:rPr>
          <w:sz w:val="20"/>
          <w:szCs w:val="20"/>
        </w:rPr>
        <w:t xml:space="preserve">: A numerical database on industry-specific regulations for all United States industries, 1997–2012’, </w:t>
      </w:r>
      <w:r w:rsidRPr="00A71381">
        <w:rPr>
          <w:rStyle w:val="Emphasis"/>
          <w:sz w:val="20"/>
          <w:szCs w:val="20"/>
        </w:rPr>
        <w:t>Regulation &amp; Governance</w:t>
      </w:r>
      <w:r w:rsidRPr="00A71381">
        <w:rPr>
          <w:sz w:val="20"/>
          <w:szCs w:val="20"/>
        </w:rPr>
        <w:t>, 11(1), pp. 109–123.</w:t>
      </w:r>
    </w:p>
    <w:p w14:paraId="445D4FEE" w14:textId="77777777" w:rsidR="00A71381" w:rsidRPr="00A71381" w:rsidRDefault="00A71381" w:rsidP="00A71381">
      <w:pPr>
        <w:pStyle w:val="NormalWeb"/>
        <w:rPr>
          <w:sz w:val="20"/>
          <w:szCs w:val="20"/>
        </w:rPr>
      </w:pPr>
      <w:proofErr w:type="spellStart"/>
      <w:r w:rsidRPr="00A71381">
        <w:rPr>
          <w:sz w:val="20"/>
          <w:szCs w:val="20"/>
        </w:rPr>
        <w:t>Armour</w:t>
      </w:r>
      <w:proofErr w:type="spellEnd"/>
      <w:r w:rsidRPr="00A71381">
        <w:rPr>
          <w:sz w:val="20"/>
          <w:szCs w:val="20"/>
        </w:rPr>
        <w:t xml:space="preserve">, J., Deakin, S. and </w:t>
      </w:r>
      <w:proofErr w:type="spellStart"/>
      <w:r w:rsidRPr="00A71381">
        <w:rPr>
          <w:sz w:val="20"/>
          <w:szCs w:val="20"/>
        </w:rPr>
        <w:t>Siems</w:t>
      </w:r>
      <w:proofErr w:type="spellEnd"/>
      <w:r w:rsidRPr="00A71381">
        <w:rPr>
          <w:sz w:val="20"/>
          <w:szCs w:val="20"/>
        </w:rPr>
        <w:t xml:space="preserve">, M. (2016) </w:t>
      </w:r>
      <w:r w:rsidRPr="00A71381">
        <w:rPr>
          <w:rStyle w:val="Emphasis"/>
          <w:sz w:val="20"/>
          <w:szCs w:val="20"/>
        </w:rPr>
        <w:t xml:space="preserve">CBR </w:t>
      </w:r>
      <w:proofErr w:type="spellStart"/>
      <w:r w:rsidRPr="00A71381">
        <w:rPr>
          <w:rStyle w:val="Emphasis"/>
          <w:sz w:val="20"/>
          <w:szCs w:val="20"/>
        </w:rPr>
        <w:t>Leximetric</w:t>
      </w:r>
      <w:proofErr w:type="spellEnd"/>
      <w:r w:rsidRPr="00A71381">
        <w:rPr>
          <w:rStyle w:val="Emphasis"/>
          <w:sz w:val="20"/>
          <w:szCs w:val="20"/>
        </w:rPr>
        <w:t xml:space="preserve"> Datasets</w:t>
      </w:r>
      <w:r w:rsidRPr="00A71381">
        <w:rPr>
          <w:sz w:val="20"/>
          <w:szCs w:val="20"/>
        </w:rPr>
        <w:t>. Cambridge: Centre for Business Research, University of Cambridge.</w:t>
      </w:r>
    </w:p>
    <w:p w14:paraId="4AD03E58" w14:textId="77777777" w:rsidR="00A71381" w:rsidRPr="00A71381" w:rsidRDefault="00A71381" w:rsidP="00A71381">
      <w:pPr>
        <w:pStyle w:val="NormalWeb"/>
        <w:rPr>
          <w:sz w:val="20"/>
          <w:szCs w:val="20"/>
        </w:rPr>
      </w:pPr>
      <w:r w:rsidRPr="00A71381">
        <w:rPr>
          <w:sz w:val="20"/>
          <w:szCs w:val="20"/>
        </w:rPr>
        <w:t xml:space="preserve">Ayres, I. and Braithwaite, J. (1992) </w:t>
      </w:r>
      <w:r w:rsidRPr="00A71381">
        <w:rPr>
          <w:rStyle w:val="Emphasis"/>
          <w:sz w:val="20"/>
          <w:szCs w:val="20"/>
        </w:rPr>
        <w:t>Responsive Regulation: Transcending the Deregulation Debate</w:t>
      </w:r>
      <w:r w:rsidRPr="00A71381">
        <w:rPr>
          <w:sz w:val="20"/>
          <w:szCs w:val="20"/>
        </w:rPr>
        <w:t>. New York: Oxford University Press.</w:t>
      </w:r>
    </w:p>
    <w:p w14:paraId="31F48A7D" w14:textId="77777777" w:rsidR="00A71381" w:rsidRPr="00A71381" w:rsidRDefault="00A71381" w:rsidP="00A71381">
      <w:pPr>
        <w:pStyle w:val="NormalWeb"/>
        <w:rPr>
          <w:sz w:val="20"/>
          <w:szCs w:val="20"/>
        </w:rPr>
      </w:pPr>
      <w:r w:rsidRPr="00A71381">
        <w:rPr>
          <w:sz w:val="20"/>
          <w:szCs w:val="20"/>
        </w:rPr>
        <w:t>Black, J. (2001) ‘</w:t>
      </w:r>
      <w:proofErr w:type="spellStart"/>
      <w:r w:rsidRPr="00A71381">
        <w:rPr>
          <w:sz w:val="20"/>
          <w:szCs w:val="20"/>
        </w:rPr>
        <w:t>Decentring</w:t>
      </w:r>
      <w:proofErr w:type="spellEnd"/>
      <w:r w:rsidRPr="00A71381">
        <w:rPr>
          <w:sz w:val="20"/>
          <w:szCs w:val="20"/>
        </w:rPr>
        <w:t xml:space="preserve"> regulation: understanding the role of regulation and self-regulation in a post-regulatory world’, </w:t>
      </w:r>
      <w:r w:rsidRPr="00A71381">
        <w:rPr>
          <w:rStyle w:val="Emphasis"/>
          <w:sz w:val="20"/>
          <w:szCs w:val="20"/>
        </w:rPr>
        <w:t>Current Legal Problems</w:t>
      </w:r>
      <w:r w:rsidRPr="00A71381">
        <w:rPr>
          <w:sz w:val="20"/>
          <w:szCs w:val="20"/>
        </w:rPr>
        <w:t>, 54(1), pp. 103–146.</w:t>
      </w:r>
    </w:p>
    <w:p w14:paraId="0D71B30E" w14:textId="77777777" w:rsidR="00A71381" w:rsidRPr="00A71381" w:rsidRDefault="00A71381" w:rsidP="00A71381">
      <w:pPr>
        <w:pStyle w:val="NormalWeb"/>
        <w:rPr>
          <w:sz w:val="20"/>
          <w:szCs w:val="20"/>
        </w:rPr>
      </w:pPr>
      <w:r w:rsidRPr="00A71381">
        <w:rPr>
          <w:sz w:val="20"/>
          <w:szCs w:val="20"/>
        </w:rPr>
        <w:t xml:space="preserve">Black, J. (2002) ‘Critical reflections on regulation’, </w:t>
      </w:r>
      <w:r w:rsidRPr="00A71381">
        <w:rPr>
          <w:rStyle w:val="Emphasis"/>
          <w:sz w:val="20"/>
          <w:szCs w:val="20"/>
        </w:rPr>
        <w:t>Australian Journal of Legal Philosophy</w:t>
      </w:r>
      <w:r w:rsidRPr="00A71381">
        <w:rPr>
          <w:sz w:val="20"/>
          <w:szCs w:val="20"/>
        </w:rPr>
        <w:t>, 27, pp. 1–35.</w:t>
      </w:r>
    </w:p>
    <w:p w14:paraId="5DEEEB2A" w14:textId="77777777" w:rsidR="00A71381" w:rsidRPr="00A71381" w:rsidRDefault="00A71381" w:rsidP="00A71381">
      <w:pPr>
        <w:pStyle w:val="NormalWeb"/>
        <w:rPr>
          <w:sz w:val="20"/>
          <w:szCs w:val="20"/>
        </w:rPr>
      </w:pPr>
      <w:r w:rsidRPr="00A71381">
        <w:rPr>
          <w:sz w:val="20"/>
          <w:szCs w:val="20"/>
        </w:rPr>
        <w:t xml:space="preserve">Crawford, S.E.S. and Ostrom, E. (1995) ‘A grammar of institutions’, </w:t>
      </w:r>
      <w:r w:rsidRPr="00A71381">
        <w:rPr>
          <w:rStyle w:val="Emphasis"/>
          <w:sz w:val="20"/>
          <w:szCs w:val="20"/>
        </w:rPr>
        <w:t>American Political Science Review</w:t>
      </w:r>
      <w:r w:rsidRPr="00A71381">
        <w:rPr>
          <w:sz w:val="20"/>
          <w:szCs w:val="20"/>
        </w:rPr>
        <w:t>, 89(3), pp. 582–600.</w:t>
      </w:r>
    </w:p>
    <w:p w14:paraId="31C0843F" w14:textId="77777777" w:rsidR="00A71381" w:rsidRPr="00A71381" w:rsidRDefault="00A71381" w:rsidP="00A71381">
      <w:pPr>
        <w:pStyle w:val="NormalWeb"/>
        <w:rPr>
          <w:sz w:val="20"/>
          <w:szCs w:val="20"/>
        </w:rPr>
      </w:pPr>
      <w:r w:rsidRPr="00A71381">
        <w:rPr>
          <w:sz w:val="20"/>
          <w:szCs w:val="20"/>
        </w:rPr>
        <w:t xml:space="preserve">Edelman, L.B., </w:t>
      </w:r>
      <w:proofErr w:type="spellStart"/>
      <w:r w:rsidRPr="00A71381">
        <w:rPr>
          <w:sz w:val="20"/>
          <w:szCs w:val="20"/>
        </w:rPr>
        <w:t>Uggen</w:t>
      </w:r>
      <w:proofErr w:type="spellEnd"/>
      <w:r w:rsidRPr="00A71381">
        <w:rPr>
          <w:sz w:val="20"/>
          <w:szCs w:val="20"/>
        </w:rPr>
        <w:t xml:space="preserve">, C. and Erlanger, H.S. (1999) ‘The endogeneity of legal regulation: grievance procedures as rational myth’, </w:t>
      </w:r>
      <w:r w:rsidRPr="00A71381">
        <w:rPr>
          <w:rStyle w:val="Emphasis"/>
          <w:sz w:val="20"/>
          <w:szCs w:val="20"/>
        </w:rPr>
        <w:t>American Journal of Sociology</w:t>
      </w:r>
      <w:r w:rsidRPr="00A71381">
        <w:rPr>
          <w:sz w:val="20"/>
          <w:szCs w:val="20"/>
        </w:rPr>
        <w:t>, 105(2), pp. 406–454.</w:t>
      </w:r>
    </w:p>
    <w:p w14:paraId="419E447F" w14:textId="77777777" w:rsidR="00A71381" w:rsidRPr="00A71381" w:rsidRDefault="00A71381" w:rsidP="00A71381">
      <w:pPr>
        <w:pStyle w:val="NormalWeb"/>
        <w:rPr>
          <w:sz w:val="20"/>
          <w:szCs w:val="20"/>
        </w:rPr>
      </w:pPr>
      <w:r w:rsidRPr="00A71381">
        <w:rPr>
          <w:sz w:val="20"/>
          <w:szCs w:val="20"/>
        </w:rPr>
        <w:t xml:space="preserve">Elkins, Z., Ginsburg, T. and Melton, J. (2009) </w:t>
      </w:r>
      <w:r w:rsidRPr="00A71381">
        <w:rPr>
          <w:rStyle w:val="Emphasis"/>
          <w:sz w:val="20"/>
          <w:szCs w:val="20"/>
        </w:rPr>
        <w:t>The Endurance of National Constitutions</w:t>
      </w:r>
      <w:r w:rsidRPr="00A71381">
        <w:rPr>
          <w:sz w:val="20"/>
          <w:szCs w:val="20"/>
        </w:rPr>
        <w:t>. Cambridge: Cambridge University Press.</w:t>
      </w:r>
    </w:p>
    <w:p w14:paraId="6FB68D48" w14:textId="77777777" w:rsidR="00A71381" w:rsidRPr="00A71381" w:rsidRDefault="00A71381" w:rsidP="00A71381">
      <w:pPr>
        <w:pStyle w:val="NormalWeb"/>
        <w:rPr>
          <w:sz w:val="20"/>
          <w:szCs w:val="20"/>
        </w:rPr>
      </w:pPr>
      <w:r w:rsidRPr="00A71381">
        <w:rPr>
          <w:sz w:val="20"/>
          <w:szCs w:val="20"/>
        </w:rPr>
        <w:t xml:space="preserve">Frantz, C.K. and </w:t>
      </w:r>
      <w:proofErr w:type="spellStart"/>
      <w:r w:rsidRPr="00A71381">
        <w:rPr>
          <w:sz w:val="20"/>
          <w:szCs w:val="20"/>
        </w:rPr>
        <w:t>Siddiki</w:t>
      </w:r>
      <w:proofErr w:type="spellEnd"/>
      <w:r w:rsidRPr="00A71381">
        <w:rPr>
          <w:sz w:val="20"/>
          <w:szCs w:val="20"/>
        </w:rPr>
        <w:t xml:space="preserve">, S.N. (2021) ‘Institutional Grammar 2.0: A specification for encoding and analyzing institutional design’, </w:t>
      </w:r>
      <w:r w:rsidRPr="00A71381">
        <w:rPr>
          <w:rStyle w:val="Emphasis"/>
          <w:sz w:val="20"/>
          <w:szCs w:val="20"/>
        </w:rPr>
        <w:t>Public Administration</w:t>
      </w:r>
      <w:r w:rsidRPr="00A71381">
        <w:rPr>
          <w:sz w:val="20"/>
          <w:szCs w:val="20"/>
        </w:rPr>
        <w:t>, 99(2), pp. 222–247.</w:t>
      </w:r>
    </w:p>
    <w:p w14:paraId="4956F87E" w14:textId="77777777" w:rsidR="00A71381" w:rsidRPr="00A71381" w:rsidRDefault="00A71381" w:rsidP="00A71381">
      <w:pPr>
        <w:pStyle w:val="NormalWeb"/>
        <w:rPr>
          <w:sz w:val="20"/>
          <w:szCs w:val="20"/>
        </w:rPr>
      </w:pPr>
      <w:r w:rsidRPr="00A71381">
        <w:rPr>
          <w:sz w:val="20"/>
          <w:szCs w:val="20"/>
        </w:rPr>
        <w:t xml:space="preserve">Frantz, C.K. and </w:t>
      </w:r>
      <w:proofErr w:type="spellStart"/>
      <w:r w:rsidRPr="00A71381">
        <w:rPr>
          <w:sz w:val="20"/>
          <w:szCs w:val="20"/>
        </w:rPr>
        <w:t>Siddiki</w:t>
      </w:r>
      <w:proofErr w:type="spellEnd"/>
      <w:r w:rsidRPr="00A71381">
        <w:rPr>
          <w:sz w:val="20"/>
          <w:szCs w:val="20"/>
        </w:rPr>
        <w:t xml:space="preserve">, S.N. (2022) </w:t>
      </w:r>
      <w:r w:rsidRPr="00A71381">
        <w:rPr>
          <w:rStyle w:val="Emphasis"/>
          <w:sz w:val="20"/>
          <w:szCs w:val="20"/>
        </w:rPr>
        <w:t>Institutional Grammar: Foundations and Applications for Institutional Analysis</w:t>
      </w:r>
      <w:r w:rsidRPr="00A71381">
        <w:rPr>
          <w:sz w:val="20"/>
          <w:szCs w:val="20"/>
        </w:rPr>
        <w:t>. Cham: Palgrave Macmillan.</w:t>
      </w:r>
    </w:p>
    <w:p w14:paraId="2887E4FF" w14:textId="77777777" w:rsidR="00A71381" w:rsidRPr="00A71381" w:rsidRDefault="00A71381" w:rsidP="00A71381">
      <w:pPr>
        <w:pStyle w:val="NormalWeb"/>
        <w:rPr>
          <w:sz w:val="20"/>
          <w:szCs w:val="20"/>
        </w:rPr>
      </w:pPr>
      <w:r w:rsidRPr="00A71381">
        <w:rPr>
          <w:sz w:val="20"/>
          <w:szCs w:val="20"/>
        </w:rPr>
        <w:t xml:space="preserve">Gunningham, N., </w:t>
      </w:r>
      <w:proofErr w:type="spellStart"/>
      <w:r w:rsidRPr="00A71381">
        <w:rPr>
          <w:sz w:val="20"/>
          <w:szCs w:val="20"/>
        </w:rPr>
        <w:t>Grabosky</w:t>
      </w:r>
      <w:proofErr w:type="spellEnd"/>
      <w:r w:rsidRPr="00A71381">
        <w:rPr>
          <w:sz w:val="20"/>
          <w:szCs w:val="20"/>
        </w:rPr>
        <w:t xml:space="preserve">, P. and Sinclair, D. (1998) </w:t>
      </w:r>
      <w:r w:rsidRPr="00A71381">
        <w:rPr>
          <w:rStyle w:val="Emphasis"/>
          <w:sz w:val="20"/>
          <w:szCs w:val="20"/>
        </w:rPr>
        <w:t>Smart Regulation: Designing Environmental Policy</w:t>
      </w:r>
      <w:r w:rsidRPr="00A71381">
        <w:rPr>
          <w:sz w:val="20"/>
          <w:szCs w:val="20"/>
        </w:rPr>
        <w:t>. Oxford: Clarendon Press.</w:t>
      </w:r>
    </w:p>
    <w:p w14:paraId="0068E1B5" w14:textId="77777777" w:rsidR="00A71381" w:rsidRPr="00A71381" w:rsidRDefault="00A71381" w:rsidP="00A71381">
      <w:pPr>
        <w:pStyle w:val="NormalWeb"/>
        <w:rPr>
          <w:sz w:val="20"/>
          <w:szCs w:val="20"/>
        </w:rPr>
      </w:pPr>
      <w:r w:rsidRPr="00A71381">
        <w:rPr>
          <w:sz w:val="20"/>
          <w:szCs w:val="20"/>
        </w:rPr>
        <w:t xml:space="preserve">Hall, P.A. and Soskice, D. (eds) (2001) </w:t>
      </w:r>
      <w:r w:rsidRPr="00A71381">
        <w:rPr>
          <w:rStyle w:val="Emphasis"/>
          <w:sz w:val="20"/>
          <w:szCs w:val="20"/>
        </w:rPr>
        <w:t>Varieties of Capitalism: The Institutional Foundations of Comparative Advantage</w:t>
      </w:r>
      <w:r w:rsidRPr="00A71381">
        <w:rPr>
          <w:sz w:val="20"/>
          <w:szCs w:val="20"/>
        </w:rPr>
        <w:t>. Oxford: Oxford University Press.</w:t>
      </w:r>
    </w:p>
    <w:p w14:paraId="52A792C7" w14:textId="77777777" w:rsidR="00A71381" w:rsidRPr="00A71381" w:rsidRDefault="00A71381" w:rsidP="00A71381">
      <w:pPr>
        <w:pStyle w:val="NormalWeb"/>
        <w:rPr>
          <w:sz w:val="20"/>
          <w:szCs w:val="20"/>
        </w:rPr>
      </w:pPr>
      <w:r w:rsidRPr="00A71381">
        <w:rPr>
          <w:sz w:val="20"/>
          <w:szCs w:val="20"/>
        </w:rPr>
        <w:t xml:space="preserve">Hood, C., James, O., Jones, G., Scott, C. and Travers, T. (1999) </w:t>
      </w:r>
      <w:r w:rsidRPr="00A71381">
        <w:rPr>
          <w:rStyle w:val="Emphasis"/>
          <w:sz w:val="20"/>
          <w:szCs w:val="20"/>
        </w:rPr>
        <w:t xml:space="preserve">Regulation Inside Government: Waste-Watchers, Quality Police, and </w:t>
      </w:r>
      <w:proofErr w:type="spellStart"/>
      <w:r w:rsidRPr="00A71381">
        <w:rPr>
          <w:rStyle w:val="Emphasis"/>
          <w:sz w:val="20"/>
          <w:szCs w:val="20"/>
        </w:rPr>
        <w:t>Sleazebusters</w:t>
      </w:r>
      <w:proofErr w:type="spellEnd"/>
      <w:r w:rsidRPr="00A71381">
        <w:rPr>
          <w:sz w:val="20"/>
          <w:szCs w:val="20"/>
        </w:rPr>
        <w:t>. Oxford: Oxford University Press.</w:t>
      </w:r>
    </w:p>
    <w:p w14:paraId="6A45FD83" w14:textId="1F027B8C" w:rsidR="00ED1D0E" w:rsidRPr="00ED1D0E" w:rsidRDefault="00ED1D0E" w:rsidP="00A71381">
      <w:pPr>
        <w:pStyle w:val="NormalWeb"/>
        <w:rPr>
          <w:rFonts w:asciiTheme="majorBidi" w:hAnsiTheme="majorBidi" w:cstheme="majorBidi"/>
          <w:sz w:val="20"/>
          <w:szCs w:val="20"/>
        </w:rPr>
      </w:pPr>
      <w:r w:rsidRPr="00ED1D0E">
        <w:rPr>
          <w:rFonts w:asciiTheme="majorBidi" w:hAnsiTheme="majorBidi" w:cstheme="majorBidi"/>
          <w:color w:val="222222"/>
          <w:sz w:val="20"/>
          <w:szCs w:val="20"/>
          <w:shd w:val="clear" w:color="auto" w:fill="FFFFFF"/>
        </w:rPr>
        <w:t xml:space="preserve">Howlett, M. (2010). </w:t>
      </w:r>
      <w:r w:rsidRPr="00ED1D0E">
        <w:rPr>
          <w:rFonts w:asciiTheme="majorBidi" w:hAnsiTheme="majorBidi" w:cstheme="majorBidi"/>
          <w:i/>
          <w:iCs/>
          <w:color w:val="222222"/>
          <w:sz w:val="20"/>
          <w:szCs w:val="20"/>
          <w:shd w:val="clear" w:color="auto" w:fill="FFFFFF"/>
        </w:rPr>
        <w:t>Designing public policies: Principles and instruments</w:t>
      </w:r>
      <w:r w:rsidRPr="00ED1D0E">
        <w:rPr>
          <w:rFonts w:asciiTheme="majorBidi" w:hAnsiTheme="majorBidi" w:cstheme="majorBidi"/>
          <w:color w:val="222222"/>
          <w:sz w:val="20"/>
          <w:szCs w:val="20"/>
          <w:shd w:val="clear" w:color="auto" w:fill="FFFFFF"/>
        </w:rPr>
        <w:t xml:space="preserve">. </w:t>
      </w:r>
      <w:proofErr w:type="spellStart"/>
      <w:r w:rsidRPr="00ED1D0E">
        <w:rPr>
          <w:rFonts w:asciiTheme="majorBidi" w:hAnsiTheme="majorBidi" w:cstheme="majorBidi"/>
          <w:color w:val="222222"/>
          <w:sz w:val="20"/>
          <w:szCs w:val="20"/>
          <w:shd w:val="clear" w:color="auto" w:fill="FFFFFF"/>
        </w:rPr>
        <w:t>routledge</w:t>
      </w:r>
      <w:proofErr w:type="spellEnd"/>
      <w:r w:rsidRPr="00ED1D0E">
        <w:rPr>
          <w:rFonts w:asciiTheme="majorBidi" w:hAnsiTheme="majorBidi" w:cstheme="majorBidi"/>
          <w:color w:val="222222"/>
          <w:sz w:val="20"/>
          <w:szCs w:val="20"/>
          <w:shd w:val="clear" w:color="auto" w:fill="FFFFFF"/>
        </w:rPr>
        <w:t>.</w:t>
      </w:r>
    </w:p>
    <w:p w14:paraId="01B6B4B7" w14:textId="6D517D6F" w:rsidR="00A71381" w:rsidRPr="00A71381" w:rsidRDefault="00A71381" w:rsidP="00A71381">
      <w:pPr>
        <w:pStyle w:val="NormalWeb"/>
        <w:rPr>
          <w:sz w:val="20"/>
          <w:szCs w:val="20"/>
        </w:rPr>
      </w:pPr>
      <w:proofErr w:type="spellStart"/>
      <w:r w:rsidRPr="00A71381">
        <w:rPr>
          <w:sz w:val="20"/>
          <w:szCs w:val="20"/>
        </w:rPr>
        <w:t>Lascoumes</w:t>
      </w:r>
      <w:proofErr w:type="spellEnd"/>
      <w:r w:rsidRPr="00A71381">
        <w:rPr>
          <w:sz w:val="20"/>
          <w:szCs w:val="20"/>
        </w:rPr>
        <w:t xml:space="preserve">, P. and Le </w:t>
      </w:r>
      <w:proofErr w:type="spellStart"/>
      <w:r w:rsidRPr="00A71381">
        <w:rPr>
          <w:sz w:val="20"/>
          <w:szCs w:val="20"/>
        </w:rPr>
        <w:t>Galès</w:t>
      </w:r>
      <w:proofErr w:type="spellEnd"/>
      <w:r w:rsidRPr="00A71381">
        <w:rPr>
          <w:sz w:val="20"/>
          <w:szCs w:val="20"/>
        </w:rPr>
        <w:t xml:space="preserve">, P. (2007) ‘Introduction: understanding public policy through its instruments’, </w:t>
      </w:r>
      <w:r w:rsidRPr="00A71381">
        <w:rPr>
          <w:rStyle w:val="Emphasis"/>
          <w:sz w:val="20"/>
          <w:szCs w:val="20"/>
        </w:rPr>
        <w:t>Governance</w:t>
      </w:r>
      <w:r w:rsidRPr="00A71381">
        <w:rPr>
          <w:sz w:val="20"/>
          <w:szCs w:val="20"/>
        </w:rPr>
        <w:t>, 20(1), pp. 1–21.</w:t>
      </w:r>
    </w:p>
    <w:p w14:paraId="593F78DE" w14:textId="77777777" w:rsidR="00A71381" w:rsidRPr="00A71381" w:rsidRDefault="00A71381" w:rsidP="00A71381">
      <w:pPr>
        <w:pStyle w:val="NormalWeb"/>
        <w:rPr>
          <w:sz w:val="20"/>
          <w:szCs w:val="20"/>
        </w:rPr>
      </w:pPr>
      <w:r w:rsidRPr="00A71381">
        <w:rPr>
          <w:sz w:val="20"/>
          <w:szCs w:val="20"/>
        </w:rPr>
        <w:lastRenderedPageBreak/>
        <w:t xml:space="preserve">Levi-Faur, D. (2005) ‘The global diffusion of regulatory capitalism’, </w:t>
      </w:r>
      <w:r w:rsidRPr="00A71381">
        <w:rPr>
          <w:rStyle w:val="Emphasis"/>
          <w:sz w:val="20"/>
          <w:szCs w:val="20"/>
        </w:rPr>
        <w:t>The ANNALS of the American Academy of Political and Social Science</w:t>
      </w:r>
      <w:r w:rsidRPr="00A71381">
        <w:rPr>
          <w:sz w:val="20"/>
          <w:szCs w:val="20"/>
        </w:rPr>
        <w:t>, 598(1), pp. 12–32.</w:t>
      </w:r>
    </w:p>
    <w:p w14:paraId="730CB2D1" w14:textId="77777777" w:rsidR="00A71381" w:rsidRPr="00A71381" w:rsidRDefault="00A71381" w:rsidP="00A71381">
      <w:pPr>
        <w:pStyle w:val="NormalWeb"/>
        <w:rPr>
          <w:sz w:val="20"/>
          <w:szCs w:val="20"/>
        </w:rPr>
      </w:pPr>
      <w:r w:rsidRPr="00A71381">
        <w:rPr>
          <w:sz w:val="20"/>
          <w:szCs w:val="20"/>
        </w:rPr>
        <w:t xml:space="preserve">Levi-Faur, D. (2009) ‘Regulatory capitalism and the reassertion of the public interest’, </w:t>
      </w:r>
      <w:r w:rsidRPr="00A71381">
        <w:rPr>
          <w:rStyle w:val="Emphasis"/>
          <w:sz w:val="20"/>
          <w:szCs w:val="20"/>
        </w:rPr>
        <w:t>Policy and Society</w:t>
      </w:r>
      <w:r w:rsidRPr="00A71381">
        <w:rPr>
          <w:sz w:val="20"/>
          <w:szCs w:val="20"/>
        </w:rPr>
        <w:t>, 27(3), pp. 181–191.</w:t>
      </w:r>
    </w:p>
    <w:p w14:paraId="4934E86C" w14:textId="77777777" w:rsidR="00A71381" w:rsidRPr="00A71381" w:rsidRDefault="00A71381" w:rsidP="00A71381">
      <w:pPr>
        <w:pStyle w:val="NormalWeb"/>
        <w:rPr>
          <w:sz w:val="20"/>
          <w:szCs w:val="20"/>
        </w:rPr>
      </w:pPr>
      <w:r w:rsidRPr="00A71381">
        <w:rPr>
          <w:sz w:val="20"/>
          <w:szCs w:val="20"/>
        </w:rPr>
        <w:t xml:space="preserve">Levi-Faur, D. (ed.) (2012) </w:t>
      </w:r>
      <w:r w:rsidRPr="00A71381">
        <w:rPr>
          <w:rStyle w:val="Emphasis"/>
          <w:sz w:val="20"/>
          <w:szCs w:val="20"/>
        </w:rPr>
        <w:t>The Oxford Handbook of Governance</w:t>
      </w:r>
      <w:r w:rsidRPr="00A71381">
        <w:rPr>
          <w:sz w:val="20"/>
          <w:szCs w:val="20"/>
        </w:rPr>
        <w:t>. Oxford: Oxford University Press.</w:t>
      </w:r>
    </w:p>
    <w:p w14:paraId="0DC551AD" w14:textId="77777777" w:rsidR="00A71381" w:rsidRPr="00A71381" w:rsidRDefault="00A71381" w:rsidP="00A71381">
      <w:pPr>
        <w:pStyle w:val="NormalWeb"/>
        <w:rPr>
          <w:sz w:val="20"/>
          <w:szCs w:val="20"/>
        </w:rPr>
      </w:pPr>
      <w:proofErr w:type="spellStart"/>
      <w:r w:rsidRPr="00A71381">
        <w:rPr>
          <w:sz w:val="20"/>
          <w:szCs w:val="20"/>
        </w:rPr>
        <w:t>Majone</w:t>
      </w:r>
      <w:proofErr w:type="spellEnd"/>
      <w:r w:rsidRPr="00A71381">
        <w:rPr>
          <w:sz w:val="20"/>
          <w:szCs w:val="20"/>
        </w:rPr>
        <w:t xml:space="preserve">, G. (1994) ‘The rise of the regulatory state in Europe’, </w:t>
      </w:r>
      <w:r w:rsidRPr="00A71381">
        <w:rPr>
          <w:rStyle w:val="Emphasis"/>
          <w:sz w:val="20"/>
          <w:szCs w:val="20"/>
        </w:rPr>
        <w:t>West European Politics</w:t>
      </w:r>
      <w:r w:rsidRPr="00A71381">
        <w:rPr>
          <w:sz w:val="20"/>
          <w:szCs w:val="20"/>
        </w:rPr>
        <w:t>, 17(3), pp. 77–101.</w:t>
      </w:r>
    </w:p>
    <w:p w14:paraId="65DB168A" w14:textId="77777777" w:rsidR="00A71381" w:rsidRPr="00A71381" w:rsidRDefault="00A71381" w:rsidP="00A71381">
      <w:pPr>
        <w:pStyle w:val="NormalWeb"/>
        <w:rPr>
          <w:sz w:val="20"/>
          <w:szCs w:val="20"/>
        </w:rPr>
      </w:pPr>
      <w:r w:rsidRPr="00A71381">
        <w:rPr>
          <w:sz w:val="20"/>
          <w:szCs w:val="20"/>
        </w:rPr>
        <w:t xml:space="preserve">Ostrom, E. (2005) </w:t>
      </w:r>
      <w:r w:rsidRPr="00A71381">
        <w:rPr>
          <w:rStyle w:val="Emphasis"/>
          <w:sz w:val="20"/>
          <w:szCs w:val="20"/>
        </w:rPr>
        <w:t>Understanding Institutional Diversity</w:t>
      </w:r>
      <w:r w:rsidRPr="00A71381">
        <w:rPr>
          <w:sz w:val="20"/>
          <w:szCs w:val="20"/>
        </w:rPr>
        <w:t>. Princeton, NJ: Princeton University Press.</w:t>
      </w:r>
    </w:p>
    <w:p w14:paraId="20FC8AEB" w14:textId="77777777" w:rsidR="00A71381" w:rsidRPr="00A71381" w:rsidRDefault="00A71381" w:rsidP="00A71381">
      <w:pPr>
        <w:pStyle w:val="NormalWeb"/>
        <w:rPr>
          <w:sz w:val="20"/>
          <w:szCs w:val="20"/>
        </w:rPr>
      </w:pPr>
      <w:r w:rsidRPr="00A71381">
        <w:rPr>
          <w:sz w:val="20"/>
          <w:szCs w:val="20"/>
        </w:rPr>
        <w:t xml:space="preserve">Rhodes, R.A.W. (1996) ‘The new governance: governing without government’, </w:t>
      </w:r>
      <w:r w:rsidRPr="00A71381">
        <w:rPr>
          <w:rStyle w:val="Emphasis"/>
          <w:sz w:val="20"/>
          <w:szCs w:val="20"/>
        </w:rPr>
        <w:t>Political Studies</w:t>
      </w:r>
      <w:r w:rsidRPr="00A71381">
        <w:rPr>
          <w:sz w:val="20"/>
          <w:szCs w:val="20"/>
        </w:rPr>
        <w:t>, 44(4), pp. 652–667.</w:t>
      </w:r>
    </w:p>
    <w:p w14:paraId="136A2A99" w14:textId="77777777" w:rsidR="00A71381" w:rsidRPr="00A71381" w:rsidRDefault="00A71381" w:rsidP="00A71381">
      <w:pPr>
        <w:pStyle w:val="NormalWeb"/>
        <w:rPr>
          <w:sz w:val="20"/>
          <w:szCs w:val="20"/>
        </w:rPr>
      </w:pPr>
      <w:proofErr w:type="spellStart"/>
      <w:r w:rsidRPr="00A71381">
        <w:rPr>
          <w:sz w:val="20"/>
          <w:szCs w:val="20"/>
        </w:rPr>
        <w:t>Sabel</w:t>
      </w:r>
      <w:proofErr w:type="spellEnd"/>
      <w:r w:rsidRPr="00A71381">
        <w:rPr>
          <w:sz w:val="20"/>
          <w:szCs w:val="20"/>
        </w:rPr>
        <w:t xml:space="preserve">, C.F. and Zeitlin, J. (2008) ‘Learning from difference: the new architecture of experimentalist governance in the EU’, </w:t>
      </w:r>
      <w:r w:rsidRPr="00A71381">
        <w:rPr>
          <w:rStyle w:val="Emphasis"/>
          <w:sz w:val="20"/>
          <w:szCs w:val="20"/>
        </w:rPr>
        <w:t>European Law Journal</w:t>
      </w:r>
      <w:r w:rsidRPr="00A71381">
        <w:rPr>
          <w:sz w:val="20"/>
          <w:szCs w:val="20"/>
        </w:rPr>
        <w:t>, 14(3), pp. 271–327.</w:t>
      </w:r>
    </w:p>
    <w:p w14:paraId="6AF0DF29" w14:textId="77777777" w:rsidR="00A71381" w:rsidRPr="00A71381" w:rsidRDefault="00A71381" w:rsidP="00A71381">
      <w:pPr>
        <w:pStyle w:val="NormalWeb"/>
        <w:rPr>
          <w:sz w:val="20"/>
          <w:szCs w:val="20"/>
        </w:rPr>
      </w:pPr>
      <w:proofErr w:type="spellStart"/>
      <w:r w:rsidRPr="00A71381">
        <w:rPr>
          <w:sz w:val="20"/>
          <w:szCs w:val="20"/>
        </w:rPr>
        <w:t>Sabel</w:t>
      </w:r>
      <w:proofErr w:type="spellEnd"/>
      <w:r w:rsidRPr="00A71381">
        <w:rPr>
          <w:sz w:val="20"/>
          <w:szCs w:val="20"/>
        </w:rPr>
        <w:t xml:space="preserve">, C.F. and Zeitlin, J. (2012) ‘Experimentalist governance’, in Levi-Faur, D. (ed.) </w:t>
      </w:r>
      <w:r w:rsidRPr="00A71381">
        <w:rPr>
          <w:rStyle w:val="Emphasis"/>
          <w:sz w:val="20"/>
          <w:szCs w:val="20"/>
        </w:rPr>
        <w:t>The Oxford Handbook of Governance</w:t>
      </w:r>
      <w:r w:rsidRPr="00A71381">
        <w:rPr>
          <w:sz w:val="20"/>
          <w:szCs w:val="20"/>
        </w:rPr>
        <w:t>. Oxford: Oxford University Press, pp. 169–184.</w:t>
      </w:r>
    </w:p>
    <w:p w14:paraId="35AE0ED9" w14:textId="77777777" w:rsidR="00A71381" w:rsidRPr="00A71381" w:rsidRDefault="00A71381" w:rsidP="00A71381">
      <w:pPr>
        <w:pStyle w:val="NormalWeb"/>
        <w:rPr>
          <w:sz w:val="20"/>
          <w:szCs w:val="20"/>
        </w:rPr>
      </w:pPr>
      <w:r w:rsidRPr="00A71381">
        <w:rPr>
          <w:sz w:val="20"/>
          <w:szCs w:val="20"/>
        </w:rPr>
        <w:t xml:space="preserve">Scott, C. (2004) ‘Regulation in the age of governance: the rise of the post-regulatory state’, in Jordana, J. and Levi-Faur, D. (eds) </w:t>
      </w:r>
      <w:r w:rsidRPr="00A71381">
        <w:rPr>
          <w:rStyle w:val="Emphasis"/>
          <w:sz w:val="20"/>
          <w:szCs w:val="20"/>
        </w:rPr>
        <w:t>The Politics of Regulation</w:t>
      </w:r>
      <w:r w:rsidRPr="00A71381">
        <w:rPr>
          <w:sz w:val="20"/>
          <w:szCs w:val="20"/>
        </w:rPr>
        <w:t>. Cheltenham: Edward Elgar.</w:t>
      </w:r>
    </w:p>
    <w:p w14:paraId="717C647C" w14:textId="77777777" w:rsidR="00A71381" w:rsidRPr="00A71381" w:rsidRDefault="00A71381" w:rsidP="00A71381">
      <w:pPr>
        <w:pStyle w:val="NormalWeb"/>
        <w:rPr>
          <w:sz w:val="20"/>
          <w:szCs w:val="20"/>
        </w:rPr>
      </w:pPr>
      <w:proofErr w:type="spellStart"/>
      <w:r w:rsidRPr="00A71381">
        <w:rPr>
          <w:sz w:val="20"/>
          <w:szCs w:val="20"/>
        </w:rPr>
        <w:t>Seidl</w:t>
      </w:r>
      <w:proofErr w:type="spellEnd"/>
      <w:r w:rsidRPr="00A71381">
        <w:rPr>
          <w:sz w:val="20"/>
          <w:szCs w:val="20"/>
        </w:rPr>
        <w:t>, T. and Kosti, N. (2026) ‘Mapping Europe’s Digital Acquis: A Granular History of EU Digital Policymaking’, unpublished manuscript, 21 September 2026.</w:t>
      </w:r>
    </w:p>
    <w:p w14:paraId="4C27D817" w14:textId="77777777" w:rsidR="00A71381" w:rsidRPr="00A71381" w:rsidRDefault="00A71381" w:rsidP="00A71381">
      <w:pPr>
        <w:pStyle w:val="NormalWeb"/>
        <w:rPr>
          <w:sz w:val="20"/>
          <w:szCs w:val="20"/>
        </w:rPr>
      </w:pPr>
      <w:proofErr w:type="spellStart"/>
      <w:r w:rsidRPr="00A71381">
        <w:rPr>
          <w:sz w:val="20"/>
          <w:szCs w:val="20"/>
        </w:rPr>
        <w:t>Siddiki</w:t>
      </w:r>
      <w:proofErr w:type="spellEnd"/>
      <w:r w:rsidRPr="00A71381">
        <w:rPr>
          <w:sz w:val="20"/>
          <w:szCs w:val="20"/>
        </w:rPr>
        <w:t xml:space="preserve">, S. and Frantz, C.K. (2024) ‘Understanding regulation using the Institutional Grammar 2.0’, </w:t>
      </w:r>
      <w:r w:rsidRPr="00A71381">
        <w:rPr>
          <w:rStyle w:val="Emphasis"/>
          <w:sz w:val="20"/>
          <w:szCs w:val="20"/>
        </w:rPr>
        <w:t>Regulation &amp; Governance</w:t>
      </w:r>
      <w:r w:rsidRPr="00A71381">
        <w:rPr>
          <w:sz w:val="20"/>
          <w:szCs w:val="20"/>
        </w:rPr>
        <w:t>, 18(3), pp. 674–687.</w:t>
      </w:r>
    </w:p>
    <w:p w14:paraId="2F99CBB0" w14:textId="77777777" w:rsidR="00A71381" w:rsidRPr="00A71381" w:rsidRDefault="00A71381" w:rsidP="00A71381">
      <w:pPr>
        <w:pStyle w:val="NormalWeb"/>
        <w:rPr>
          <w:sz w:val="20"/>
          <w:szCs w:val="20"/>
        </w:rPr>
      </w:pPr>
      <w:proofErr w:type="spellStart"/>
      <w:r w:rsidRPr="00A71381">
        <w:rPr>
          <w:sz w:val="20"/>
          <w:szCs w:val="20"/>
        </w:rPr>
        <w:t>Treib</w:t>
      </w:r>
      <w:proofErr w:type="spellEnd"/>
      <w:r w:rsidRPr="00A71381">
        <w:rPr>
          <w:sz w:val="20"/>
          <w:szCs w:val="20"/>
        </w:rPr>
        <w:t xml:space="preserve">, O., </w:t>
      </w:r>
      <w:proofErr w:type="spellStart"/>
      <w:r w:rsidRPr="00A71381">
        <w:rPr>
          <w:sz w:val="20"/>
          <w:szCs w:val="20"/>
        </w:rPr>
        <w:t>Bähr</w:t>
      </w:r>
      <w:proofErr w:type="spellEnd"/>
      <w:r w:rsidRPr="00A71381">
        <w:rPr>
          <w:sz w:val="20"/>
          <w:szCs w:val="20"/>
        </w:rPr>
        <w:t xml:space="preserve">, H. and Falkner, G. (2007) ‘Modes of governance: towards a conceptual clarification’, </w:t>
      </w:r>
      <w:r w:rsidRPr="00A71381">
        <w:rPr>
          <w:rStyle w:val="Emphasis"/>
          <w:sz w:val="20"/>
          <w:szCs w:val="20"/>
        </w:rPr>
        <w:t>Journal of European Public Policy</w:t>
      </w:r>
      <w:r w:rsidRPr="00A71381">
        <w:rPr>
          <w:sz w:val="20"/>
          <w:szCs w:val="20"/>
        </w:rPr>
        <w:t>, 14(1), pp. 1–20.</w:t>
      </w:r>
    </w:p>
    <w:p w14:paraId="7262E99D"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Hood, C. (1983) </w:t>
      </w:r>
      <w:r w:rsidRPr="00A46BBD">
        <w:rPr>
          <w:rFonts w:ascii="Times New Roman" w:eastAsia="Times New Roman" w:hAnsi="Times New Roman" w:cs="Times New Roman"/>
          <w:i/>
          <w:iCs/>
          <w:sz w:val="24"/>
          <w:szCs w:val="24"/>
        </w:rPr>
        <w:t>The Tools of Government</w:t>
      </w:r>
      <w:r w:rsidRPr="00A46BBD">
        <w:rPr>
          <w:rFonts w:ascii="Times New Roman" w:eastAsia="Times New Roman" w:hAnsi="Times New Roman" w:cs="Times New Roman"/>
          <w:sz w:val="24"/>
          <w:szCs w:val="24"/>
        </w:rPr>
        <w:t>. London: Macmillan.</w:t>
      </w:r>
    </w:p>
    <w:p w14:paraId="57A9171C"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Howlett, M. and Rayner, J. (2007) ‘Design principles for policy mixes: cohesion and coherence in “new governance arrangements”’, </w:t>
      </w:r>
      <w:r w:rsidRPr="00A46BBD">
        <w:rPr>
          <w:rFonts w:ascii="Times New Roman" w:eastAsia="Times New Roman" w:hAnsi="Times New Roman" w:cs="Times New Roman"/>
          <w:i/>
          <w:iCs/>
          <w:sz w:val="24"/>
          <w:szCs w:val="24"/>
        </w:rPr>
        <w:t>Policy and Society</w:t>
      </w:r>
      <w:r w:rsidRPr="00A46BBD">
        <w:rPr>
          <w:rFonts w:ascii="Times New Roman" w:eastAsia="Times New Roman" w:hAnsi="Times New Roman" w:cs="Times New Roman"/>
          <w:sz w:val="24"/>
          <w:szCs w:val="24"/>
        </w:rPr>
        <w:t>, 26(4), pp. 1–18.</w:t>
      </w:r>
    </w:p>
    <w:p w14:paraId="0CE861EB"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proofErr w:type="spellStart"/>
      <w:r w:rsidRPr="00A46BBD">
        <w:rPr>
          <w:rFonts w:ascii="Times New Roman" w:eastAsia="Times New Roman" w:hAnsi="Times New Roman" w:cs="Times New Roman"/>
          <w:sz w:val="24"/>
          <w:szCs w:val="24"/>
        </w:rPr>
        <w:t>Salamon</w:t>
      </w:r>
      <w:proofErr w:type="spellEnd"/>
      <w:r w:rsidRPr="00A46BBD">
        <w:rPr>
          <w:rFonts w:ascii="Times New Roman" w:eastAsia="Times New Roman" w:hAnsi="Times New Roman" w:cs="Times New Roman"/>
          <w:sz w:val="24"/>
          <w:szCs w:val="24"/>
        </w:rPr>
        <w:t xml:space="preserve">, L.M. (ed.) (2002) </w:t>
      </w:r>
      <w:r w:rsidRPr="00A46BBD">
        <w:rPr>
          <w:rFonts w:ascii="Times New Roman" w:eastAsia="Times New Roman" w:hAnsi="Times New Roman" w:cs="Times New Roman"/>
          <w:i/>
          <w:iCs/>
          <w:sz w:val="24"/>
          <w:szCs w:val="24"/>
        </w:rPr>
        <w:t>The Tools of Government: A Guide to the New Governance</w:t>
      </w:r>
      <w:r w:rsidRPr="00A46BBD">
        <w:rPr>
          <w:rFonts w:ascii="Times New Roman" w:eastAsia="Times New Roman" w:hAnsi="Times New Roman" w:cs="Times New Roman"/>
          <w:sz w:val="24"/>
          <w:szCs w:val="24"/>
        </w:rPr>
        <w:t>. Oxford: Oxford University Press.</w:t>
      </w:r>
    </w:p>
    <w:p w14:paraId="4A01388E" w14:textId="77777777" w:rsidR="0053775A" w:rsidRPr="00A46BBD" w:rsidRDefault="0053775A" w:rsidP="0053775A">
      <w:pPr>
        <w:spacing w:before="100" w:beforeAutospacing="1" w:afterAutospacing="1"/>
        <w:rPr>
          <w:rFonts w:ascii="Times New Roman" w:eastAsia="Times New Roman" w:hAnsi="Times New Roman" w:cs="Times New Roman"/>
          <w:sz w:val="24"/>
          <w:szCs w:val="24"/>
        </w:rPr>
      </w:pPr>
      <w:r w:rsidRPr="00A46BBD">
        <w:rPr>
          <w:rFonts w:ascii="Times New Roman" w:eastAsia="Times New Roman" w:hAnsi="Times New Roman" w:cs="Times New Roman"/>
          <w:sz w:val="24"/>
          <w:szCs w:val="24"/>
        </w:rPr>
        <w:t xml:space="preserve">Schneider, A. and Ingram, H. (1990) ‘Behavioral assumptions of policy tools’, </w:t>
      </w:r>
      <w:r w:rsidRPr="00A46BBD">
        <w:rPr>
          <w:rFonts w:ascii="Times New Roman" w:eastAsia="Times New Roman" w:hAnsi="Times New Roman" w:cs="Times New Roman"/>
          <w:i/>
          <w:iCs/>
          <w:sz w:val="24"/>
          <w:szCs w:val="24"/>
        </w:rPr>
        <w:t>Journal of Politics</w:t>
      </w:r>
      <w:r w:rsidRPr="00A46BBD">
        <w:rPr>
          <w:rFonts w:ascii="Times New Roman" w:eastAsia="Times New Roman" w:hAnsi="Times New Roman" w:cs="Times New Roman"/>
          <w:sz w:val="24"/>
          <w:szCs w:val="24"/>
        </w:rPr>
        <w:t>, 52(2), pp. 510–529.</w:t>
      </w:r>
    </w:p>
    <w:p w14:paraId="2BE384AA" w14:textId="357944C4" w:rsidR="0053775A" w:rsidRDefault="0053775A" w:rsidP="0053775A">
      <w:pPr>
        <w:spacing w:before="100" w:beforeAutospacing="1" w:afterAutospacing="1"/>
        <w:rPr>
          <w:rFonts w:ascii="Times New Roman" w:eastAsia="Times New Roman" w:hAnsi="Times New Roman" w:cs="Times New Roman"/>
          <w:sz w:val="24"/>
          <w:szCs w:val="24"/>
        </w:rPr>
      </w:pPr>
      <w:proofErr w:type="spellStart"/>
      <w:r w:rsidRPr="00A46BBD">
        <w:rPr>
          <w:rFonts w:ascii="Times New Roman" w:eastAsia="Times New Roman" w:hAnsi="Times New Roman" w:cs="Times New Roman"/>
          <w:sz w:val="24"/>
          <w:szCs w:val="24"/>
        </w:rPr>
        <w:t>Vedung</w:t>
      </w:r>
      <w:proofErr w:type="spellEnd"/>
      <w:r w:rsidRPr="00A46BBD">
        <w:rPr>
          <w:rFonts w:ascii="Times New Roman" w:eastAsia="Times New Roman" w:hAnsi="Times New Roman" w:cs="Times New Roman"/>
          <w:sz w:val="24"/>
          <w:szCs w:val="24"/>
        </w:rPr>
        <w:t>, E. (1998) ‘Policy instruments: typologies and theories’, in Bemelmans-</w:t>
      </w:r>
      <w:proofErr w:type="spellStart"/>
      <w:r w:rsidRPr="00A46BBD">
        <w:rPr>
          <w:rFonts w:ascii="Times New Roman" w:eastAsia="Times New Roman" w:hAnsi="Times New Roman" w:cs="Times New Roman"/>
          <w:sz w:val="24"/>
          <w:szCs w:val="24"/>
        </w:rPr>
        <w:t>Videc</w:t>
      </w:r>
      <w:proofErr w:type="spellEnd"/>
      <w:r w:rsidRPr="00A46BBD">
        <w:rPr>
          <w:rFonts w:ascii="Times New Roman" w:eastAsia="Times New Roman" w:hAnsi="Times New Roman" w:cs="Times New Roman"/>
          <w:sz w:val="24"/>
          <w:szCs w:val="24"/>
        </w:rPr>
        <w:t xml:space="preserve">, M.-L., </w:t>
      </w:r>
      <w:proofErr w:type="spellStart"/>
      <w:r w:rsidRPr="00A46BBD">
        <w:rPr>
          <w:rFonts w:ascii="Times New Roman" w:eastAsia="Times New Roman" w:hAnsi="Times New Roman" w:cs="Times New Roman"/>
          <w:sz w:val="24"/>
          <w:szCs w:val="24"/>
        </w:rPr>
        <w:t>Rist</w:t>
      </w:r>
      <w:proofErr w:type="spellEnd"/>
      <w:r w:rsidRPr="00A46BBD">
        <w:rPr>
          <w:rFonts w:ascii="Times New Roman" w:eastAsia="Times New Roman" w:hAnsi="Times New Roman" w:cs="Times New Roman"/>
          <w:sz w:val="24"/>
          <w:szCs w:val="24"/>
        </w:rPr>
        <w:t xml:space="preserve">, R.C. and </w:t>
      </w:r>
      <w:proofErr w:type="spellStart"/>
      <w:r w:rsidRPr="00A46BBD">
        <w:rPr>
          <w:rFonts w:ascii="Times New Roman" w:eastAsia="Times New Roman" w:hAnsi="Times New Roman" w:cs="Times New Roman"/>
          <w:sz w:val="24"/>
          <w:szCs w:val="24"/>
        </w:rPr>
        <w:t>Vedung</w:t>
      </w:r>
      <w:proofErr w:type="spellEnd"/>
      <w:r w:rsidRPr="00A46BBD">
        <w:rPr>
          <w:rFonts w:ascii="Times New Roman" w:eastAsia="Times New Roman" w:hAnsi="Times New Roman" w:cs="Times New Roman"/>
          <w:sz w:val="24"/>
          <w:szCs w:val="24"/>
        </w:rPr>
        <w:t xml:space="preserve">, E. (eds) </w:t>
      </w:r>
      <w:r w:rsidRPr="00A46BBD">
        <w:rPr>
          <w:rFonts w:ascii="Times New Roman" w:eastAsia="Times New Roman" w:hAnsi="Times New Roman" w:cs="Times New Roman"/>
          <w:i/>
          <w:iCs/>
          <w:sz w:val="24"/>
          <w:szCs w:val="24"/>
        </w:rPr>
        <w:t>Carrots, Sticks and Sermons: Policy Instruments and Their Evaluation</w:t>
      </w:r>
      <w:r w:rsidRPr="00A46BBD">
        <w:rPr>
          <w:rFonts w:ascii="Times New Roman" w:eastAsia="Times New Roman" w:hAnsi="Times New Roman" w:cs="Times New Roman"/>
          <w:sz w:val="24"/>
          <w:szCs w:val="24"/>
        </w:rPr>
        <w:t>. New Brunswick, NJ: Transaction Publishers, pp. 21–58.</w:t>
      </w:r>
    </w:p>
    <w:p w14:paraId="084FDAD7" w14:textId="7A8B1017" w:rsidR="00671550" w:rsidRDefault="00671550" w:rsidP="0053775A">
      <w:pPr>
        <w:spacing w:before="100" w:beforeAutospacing="1" w:afterAutospacing="1"/>
        <w:rPr>
          <w:rFonts w:ascii="Times New Roman" w:eastAsia="Times New Roman" w:hAnsi="Times New Roman" w:cs="Times New Roman"/>
          <w:sz w:val="24"/>
          <w:szCs w:val="24"/>
        </w:rPr>
      </w:pPr>
    </w:p>
    <w:p w14:paraId="3D8B04E2" w14:textId="77777777" w:rsidR="00671550" w:rsidRPr="00671550" w:rsidRDefault="00671550" w:rsidP="00671550">
      <w:pPr>
        <w:spacing w:before="100" w:beforeAutospacing="1" w:afterAutospacing="1" w:line="240" w:lineRule="auto"/>
        <w:rPr>
          <w:rFonts w:ascii="Times New Roman" w:eastAsia="Times New Roman" w:hAnsi="Times New Roman" w:cs="Times New Roman"/>
          <w:sz w:val="24"/>
          <w:szCs w:val="24"/>
          <w:lang w:bidi="he-IL"/>
        </w:rPr>
      </w:pPr>
      <w:r w:rsidRPr="00671550">
        <w:rPr>
          <w:rFonts w:ascii="Times New Roman" w:eastAsia="Times New Roman" w:hAnsi="Times New Roman" w:cs="Times New Roman"/>
          <w:sz w:val="24"/>
          <w:szCs w:val="24"/>
          <w:lang w:bidi="he-IL"/>
        </w:rPr>
        <w:t xml:space="preserve">Davis, K.C. (1969) </w:t>
      </w:r>
      <w:r w:rsidRPr="00671550">
        <w:rPr>
          <w:rFonts w:ascii="Times New Roman" w:eastAsia="Times New Roman" w:hAnsi="Times New Roman" w:cs="Times New Roman"/>
          <w:i/>
          <w:iCs/>
          <w:sz w:val="24"/>
          <w:szCs w:val="24"/>
          <w:lang w:bidi="he-IL"/>
        </w:rPr>
        <w:t>Discretionary Justice: A Preliminary Inquiry</w:t>
      </w:r>
      <w:r w:rsidRPr="00671550">
        <w:rPr>
          <w:rFonts w:ascii="Times New Roman" w:eastAsia="Times New Roman" w:hAnsi="Times New Roman" w:cs="Times New Roman"/>
          <w:sz w:val="24"/>
          <w:szCs w:val="24"/>
          <w:lang w:bidi="he-IL"/>
        </w:rPr>
        <w:t>. Baton Rouge: Louisiana State University Press.</w:t>
      </w:r>
    </w:p>
    <w:p w14:paraId="19472BDE" w14:textId="77777777" w:rsidR="00671550" w:rsidRPr="00671550" w:rsidRDefault="00671550" w:rsidP="00671550">
      <w:pPr>
        <w:spacing w:before="100" w:beforeAutospacing="1" w:afterAutospacing="1" w:line="240" w:lineRule="auto"/>
        <w:rPr>
          <w:rFonts w:ascii="Times New Roman" w:eastAsia="Times New Roman" w:hAnsi="Times New Roman" w:cs="Times New Roman"/>
          <w:sz w:val="24"/>
          <w:szCs w:val="24"/>
          <w:lang w:bidi="he-IL"/>
        </w:rPr>
      </w:pPr>
      <w:r w:rsidRPr="00671550">
        <w:rPr>
          <w:rFonts w:ascii="Times New Roman" w:eastAsia="Times New Roman" w:hAnsi="Times New Roman" w:cs="Times New Roman"/>
          <w:sz w:val="24"/>
          <w:szCs w:val="24"/>
          <w:lang w:bidi="he-IL"/>
        </w:rPr>
        <w:lastRenderedPageBreak/>
        <w:t xml:space="preserve">Galligan, D.J. (1986) </w:t>
      </w:r>
      <w:r w:rsidRPr="00671550">
        <w:rPr>
          <w:rFonts w:ascii="Times New Roman" w:eastAsia="Times New Roman" w:hAnsi="Times New Roman" w:cs="Times New Roman"/>
          <w:i/>
          <w:iCs/>
          <w:sz w:val="24"/>
          <w:szCs w:val="24"/>
          <w:lang w:bidi="he-IL"/>
        </w:rPr>
        <w:t>Discretionary Powers: A Legal Study of Official Discretion</w:t>
      </w:r>
      <w:r w:rsidRPr="00671550">
        <w:rPr>
          <w:rFonts w:ascii="Times New Roman" w:eastAsia="Times New Roman" w:hAnsi="Times New Roman" w:cs="Times New Roman"/>
          <w:sz w:val="24"/>
          <w:szCs w:val="24"/>
          <w:lang w:bidi="he-IL"/>
        </w:rPr>
        <w:t>. Oxford: Clarendon Press.</w:t>
      </w:r>
    </w:p>
    <w:p w14:paraId="5A6AAE5A" w14:textId="77777777" w:rsidR="00671550" w:rsidRPr="00671550" w:rsidRDefault="00671550" w:rsidP="00671550">
      <w:pPr>
        <w:spacing w:before="100" w:beforeAutospacing="1" w:afterAutospacing="1" w:line="240" w:lineRule="auto"/>
        <w:rPr>
          <w:rFonts w:ascii="Times New Roman" w:eastAsia="Times New Roman" w:hAnsi="Times New Roman" w:cs="Times New Roman"/>
          <w:sz w:val="24"/>
          <w:szCs w:val="24"/>
          <w:lang w:bidi="he-IL"/>
        </w:rPr>
      </w:pPr>
      <w:r w:rsidRPr="00671550">
        <w:rPr>
          <w:rFonts w:ascii="Times New Roman" w:eastAsia="Times New Roman" w:hAnsi="Times New Roman" w:cs="Times New Roman"/>
          <w:sz w:val="24"/>
          <w:szCs w:val="24"/>
          <w:lang w:bidi="he-IL"/>
        </w:rPr>
        <w:t xml:space="preserve">Hawkins, K. (ed.) (1992) </w:t>
      </w:r>
      <w:r w:rsidRPr="00671550">
        <w:rPr>
          <w:rFonts w:ascii="Times New Roman" w:eastAsia="Times New Roman" w:hAnsi="Times New Roman" w:cs="Times New Roman"/>
          <w:i/>
          <w:iCs/>
          <w:sz w:val="24"/>
          <w:szCs w:val="24"/>
          <w:lang w:bidi="he-IL"/>
        </w:rPr>
        <w:t>The Uses of Discretion</w:t>
      </w:r>
      <w:r w:rsidRPr="00671550">
        <w:rPr>
          <w:rFonts w:ascii="Times New Roman" w:eastAsia="Times New Roman" w:hAnsi="Times New Roman" w:cs="Times New Roman"/>
          <w:sz w:val="24"/>
          <w:szCs w:val="24"/>
          <w:lang w:bidi="he-IL"/>
        </w:rPr>
        <w:t>. Oxford: Clarendon Press.</w:t>
      </w:r>
    </w:p>
    <w:p w14:paraId="6F3C0F1A" w14:textId="363CCB89" w:rsidR="00671550" w:rsidRDefault="00671550" w:rsidP="00671550">
      <w:pPr>
        <w:spacing w:before="100" w:beforeAutospacing="1" w:afterAutospacing="1" w:line="240" w:lineRule="auto"/>
        <w:rPr>
          <w:rFonts w:ascii="Times New Roman" w:eastAsia="Times New Roman" w:hAnsi="Times New Roman" w:cs="Times New Roman"/>
          <w:sz w:val="24"/>
          <w:szCs w:val="24"/>
          <w:lang w:bidi="he-IL"/>
        </w:rPr>
      </w:pPr>
      <w:r w:rsidRPr="00671550">
        <w:rPr>
          <w:rFonts w:ascii="Times New Roman" w:eastAsia="Times New Roman" w:hAnsi="Times New Roman" w:cs="Times New Roman"/>
          <w:sz w:val="24"/>
          <w:szCs w:val="24"/>
          <w:lang w:bidi="he-IL"/>
        </w:rPr>
        <w:t xml:space="preserve">Huber, J.D. and </w:t>
      </w:r>
      <w:proofErr w:type="spellStart"/>
      <w:r w:rsidRPr="00671550">
        <w:rPr>
          <w:rFonts w:ascii="Times New Roman" w:eastAsia="Times New Roman" w:hAnsi="Times New Roman" w:cs="Times New Roman"/>
          <w:sz w:val="24"/>
          <w:szCs w:val="24"/>
          <w:lang w:bidi="he-IL"/>
        </w:rPr>
        <w:t>Shipan</w:t>
      </w:r>
      <w:proofErr w:type="spellEnd"/>
      <w:r w:rsidRPr="00671550">
        <w:rPr>
          <w:rFonts w:ascii="Times New Roman" w:eastAsia="Times New Roman" w:hAnsi="Times New Roman" w:cs="Times New Roman"/>
          <w:sz w:val="24"/>
          <w:szCs w:val="24"/>
          <w:lang w:bidi="he-IL"/>
        </w:rPr>
        <w:t xml:space="preserve">, C.R. (2002) </w:t>
      </w:r>
      <w:r w:rsidRPr="00671550">
        <w:rPr>
          <w:rFonts w:ascii="Times New Roman" w:eastAsia="Times New Roman" w:hAnsi="Times New Roman" w:cs="Times New Roman"/>
          <w:i/>
          <w:iCs/>
          <w:sz w:val="24"/>
          <w:szCs w:val="24"/>
          <w:lang w:bidi="he-IL"/>
        </w:rPr>
        <w:t>Deliberate Discretion? The Institutional Foundations of Bureaucratic Autonomy</w:t>
      </w:r>
      <w:r w:rsidRPr="00671550">
        <w:rPr>
          <w:rFonts w:ascii="Times New Roman" w:eastAsia="Times New Roman" w:hAnsi="Times New Roman" w:cs="Times New Roman"/>
          <w:sz w:val="24"/>
          <w:szCs w:val="24"/>
          <w:lang w:bidi="he-IL"/>
        </w:rPr>
        <w:t>. Cambridge: Cambridge University Press.</w:t>
      </w:r>
    </w:p>
    <w:p w14:paraId="4A8CDCBB" w14:textId="77777777" w:rsidR="0040748E" w:rsidRPr="0040748E" w:rsidRDefault="0040748E" w:rsidP="0040748E">
      <w:pPr>
        <w:spacing w:before="100" w:beforeAutospacing="1" w:afterAutospacing="1" w:line="240" w:lineRule="auto"/>
        <w:rPr>
          <w:rFonts w:ascii="Times New Roman" w:eastAsia="Times New Roman" w:hAnsi="Times New Roman" w:cs="Times New Roman"/>
          <w:sz w:val="24"/>
          <w:szCs w:val="24"/>
          <w:lang w:bidi="he-IL"/>
        </w:rPr>
      </w:pPr>
      <w:r w:rsidRPr="0040748E">
        <w:rPr>
          <w:rFonts w:ascii="Times New Roman" w:eastAsia="Times New Roman" w:hAnsi="Times New Roman" w:cs="Times New Roman"/>
          <w:sz w:val="24"/>
          <w:szCs w:val="24"/>
          <w:lang w:bidi="he-IL"/>
        </w:rPr>
        <w:t>These items would be new relative to the bibliography in the current draft:</w:t>
      </w:r>
    </w:p>
    <w:p w14:paraId="18FCDC69" w14:textId="77777777" w:rsidR="0040748E" w:rsidRPr="0040748E" w:rsidRDefault="0040748E" w:rsidP="0040748E">
      <w:pPr>
        <w:spacing w:before="100" w:beforeAutospacing="1" w:afterAutospacing="1" w:line="240" w:lineRule="auto"/>
        <w:rPr>
          <w:rFonts w:ascii="Times New Roman" w:eastAsia="Times New Roman" w:hAnsi="Times New Roman" w:cs="Times New Roman"/>
          <w:sz w:val="24"/>
          <w:szCs w:val="24"/>
          <w:lang w:bidi="he-IL"/>
        </w:rPr>
      </w:pPr>
      <w:proofErr w:type="spellStart"/>
      <w:r w:rsidRPr="0040748E">
        <w:rPr>
          <w:rFonts w:ascii="Times New Roman" w:eastAsia="Times New Roman" w:hAnsi="Times New Roman" w:cs="Times New Roman"/>
          <w:sz w:val="24"/>
          <w:szCs w:val="24"/>
          <w:lang w:bidi="he-IL"/>
        </w:rPr>
        <w:t>Bovens</w:t>
      </w:r>
      <w:proofErr w:type="spellEnd"/>
      <w:r w:rsidRPr="0040748E">
        <w:rPr>
          <w:rFonts w:ascii="Times New Roman" w:eastAsia="Times New Roman" w:hAnsi="Times New Roman" w:cs="Times New Roman"/>
          <w:sz w:val="24"/>
          <w:szCs w:val="24"/>
          <w:lang w:bidi="he-IL"/>
        </w:rPr>
        <w:t>, M. (2007) ‘</w:t>
      </w:r>
      <w:proofErr w:type="spellStart"/>
      <w:r w:rsidRPr="0040748E">
        <w:rPr>
          <w:rFonts w:ascii="Times New Roman" w:eastAsia="Times New Roman" w:hAnsi="Times New Roman" w:cs="Times New Roman"/>
          <w:sz w:val="24"/>
          <w:szCs w:val="24"/>
          <w:lang w:bidi="he-IL"/>
        </w:rPr>
        <w:t>Analysing</w:t>
      </w:r>
      <w:proofErr w:type="spellEnd"/>
      <w:r w:rsidRPr="0040748E">
        <w:rPr>
          <w:rFonts w:ascii="Times New Roman" w:eastAsia="Times New Roman" w:hAnsi="Times New Roman" w:cs="Times New Roman"/>
          <w:sz w:val="24"/>
          <w:szCs w:val="24"/>
          <w:lang w:bidi="he-IL"/>
        </w:rPr>
        <w:t xml:space="preserve"> and assessing accountability: A conceptual framework’, </w:t>
      </w:r>
      <w:r w:rsidRPr="0040748E">
        <w:rPr>
          <w:rFonts w:ascii="Times New Roman" w:eastAsia="Times New Roman" w:hAnsi="Times New Roman" w:cs="Times New Roman"/>
          <w:i/>
          <w:iCs/>
          <w:sz w:val="24"/>
          <w:szCs w:val="24"/>
          <w:lang w:bidi="he-IL"/>
        </w:rPr>
        <w:t>European Law Journal</w:t>
      </w:r>
      <w:r w:rsidRPr="0040748E">
        <w:rPr>
          <w:rFonts w:ascii="Times New Roman" w:eastAsia="Times New Roman" w:hAnsi="Times New Roman" w:cs="Times New Roman"/>
          <w:sz w:val="24"/>
          <w:szCs w:val="24"/>
          <w:lang w:bidi="he-IL"/>
        </w:rPr>
        <w:t>, 13(4), pp. 447–468.</w:t>
      </w:r>
    </w:p>
    <w:p w14:paraId="37A05FE4" w14:textId="77777777" w:rsidR="0040748E" w:rsidRPr="0040748E" w:rsidRDefault="0040748E" w:rsidP="0040748E">
      <w:pPr>
        <w:spacing w:before="100" w:beforeAutospacing="1" w:afterAutospacing="1" w:line="240" w:lineRule="auto"/>
        <w:rPr>
          <w:rFonts w:ascii="Times New Roman" w:eastAsia="Times New Roman" w:hAnsi="Times New Roman" w:cs="Times New Roman"/>
          <w:sz w:val="24"/>
          <w:szCs w:val="24"/>
          <w:lang w:bidi="he-IL"/>
        </w:rPr>
      </w:pPr>
      <w:r w:rsidRPr="0040748E">
        <w:rPr>
          <w:rFonts w:ascii="Times New Roman" w:eastAsia="Times New Roman" w:hAnsi="Times New Roman" w:cs="Times New Roman"/>
          <w:sz w:val="24"/>
          <w:szCs w:val="24"/>
          <w:lang w:bidi="he-IL"/>
        </w:rPr>
        <w:t xml:space="preserve">Lindberg, S.I. (2013) ‘Mapping accountability: Core concept and subtypes’, </w:t>
      </w:r>
      <w:r w:rsidRPr="0040748E">
        <w:rPr>
          <w:rFonts w:ascii="Times New Roman" w:eastAsia="Times New Roman" w:hAnsi="Times New Roman" w:cs="Times New Roman"/>
          <w:i/>
          <w:iCs/>
          <w:sz w:val="24"/>
          <w:szCs w:val="24"/>
          <w:lang w:bidi="he-IL"/>
        </w:rPr>
        <w:t>International Review of Administrative Sciences</w:t>
      </w:r>
      <w:r w:rsidRPr="0040748E">
        <w:rPr>
          <w:rFonts w:ascii="Times New Roman" w:eastAsia="Times New Roman" w:hAnsi="Times New Roman" w:cs="Times New Roman"/>
          <w:sz w:val="24"/>
          <w:szCs w:val="24"/>
          <w:lang w:bidi="he-IL"/>
        </w:rPr>
        <w:t>, 79(2), pp. 202–226.</w:t>
      </w:r>
    </w:p>
    <w:p w14:paraId="1E8B8D10" w14:textId="77777777" w:rsidR="0040748E" w:rsidRPr="0040748E" w:rsidRDefault="0040748E" w:rsidP="0040748E">
      <w:pPr>
        <w:spacing w:before="100" w:beforeAutospacing="1" w:afterAutospacing="1" w:line="240" w:lineRule="auto"/>
        <w:rPr>
          <w:rFonts w:ascii="Times New Roman" w:eastAsia="Times New Roman" w:hAnsi="Times New Roman" w:cs="Times New Roman"/>
          <w:sz w:val="24"/>
          <w:szCs w:val="24"/>
          <w:lang w:bidi="he-IL"/>
        </w:rPr>
      </w:pPr>
      <w:r w:rsidRPr="0040748E">
        <w:rPr>
          <w:rFonts w:ascii="Times New Roman" w:eastAsia="Times New Roman" w:hAnsi="Times New Roman" w:cs="Times New Roman"/>
          <w:sz w:val="24"/>
          <w:szCs w:val="24"/>
          <w:lang w:bidi="he-IL"/>
        </w:rPr>
        <w:t xml:space="preserve">Mashaw, J.L. (2006) ‘Accountability and institutional design: Some thoughts on the grammar of governance’, in </w:t>
      </w:r>
      <w:proofErr w:type="spellStart"/>
      <w:r w:rsidRPr="0040748E">
        <w:rPr>
          <w:rFonts w:ascii="Times New Roman" w:eastAsia="Times New Roman" w:hAnsi="Times New Roman" w:cs="Times New Roman"/>
          <w:sz w:val="24"/>
          <w:szCs w:val="24"/>
          <w:lang w:bidi="he-IL"/>
        </w:rPr>
        <w:t>Dowdle</w:t>
      </w:r>
      <w:proofErr w:type="spellEnd"/>
      <w:r w:rsidRPr="0040748E">
        <w:rPr>
          <w:rFonts w:ascii="Times New Roman" w:eastAsia="Times New Roman" w:hAnsi="Times New Roman" w:cs="Times New Roman"/>
          <w:sz w:val="24"/>
          <w:szCs w:val="24"/>
          <w:lang w:bidi="he-IL"/>
        </w:rPr>
        <w:t xml:space="preserve">, M.W. (ed.) </w:t>
      </w:r>
      <w:r w:rsidRPr="0040748E">
        <w:rPr>
          <w:rFonts w:ascii="Times New Roman" w:eastAsia="Times New Roman" w:hAnsi="Times New Roman" w:cs="Times New Roman"/>
          <w:i/>
          <w:iCs/>
          <w:sz w:val="24"/>
          <w:szCs w:val="24"/>
          <w:lang w:bidi="he-IL"/>
        </w:rPr>
        <w:t>Public Accountability: Designs, Dilemmas and Experiences</w:t>
      </w:r>
      <w:r w:rsidRPr="0040748E">
        <w:rPr>
          <w:rFonts w:ascii="Times New Roman" w:eastAsia="Times New Roman" w:hAnsi="Times New Roman" w:cs="Times New Roman"/>
          <w:sz w:val="24"/>
          <w:szCs w:val="24"/>
          <w:lang w:bidi="he-IL"/>
        </w:rPr>
        <w:t>. Cambridge: Cambridge University Press, pp. 115–156.</w:t>
      </w:r>
    </w:p>
    <w:p w14:paraId="6AAF737B" w14:textId="77777777" w:rsidR="0040748E" w:rsidRPr="0040748E" w:rsidRDefault="0040748E" w:rsidP="0040748E">
      <w:pPr>
        <w:spacing w:before="100" w:beforeAutospacing="1" w:afterAutospacing="1" w:line="240" w:lineRule="auto"/>
        <w:rPr>
          <w:rFonts w:ascii="Times New Roman" w:eastAsia="Times New Roman" w:hAnsi="Times New Roman" w:cs="Times New Roman"/>
          <w:sz w:val="24"/>
          <w:szCs w:val="24"/>
          <w:lang w:bidi="he-IL"/>
        </w:rPr>
      </w:pPr>
      <w:proofErr w:type="spellStart"/>
      <w:r w:rsidRPr="0040748E">
        <w:rPr>
          <w:rFonts w:ascii="Times New Roman" w:eastAsia="Times New Roman" w:hAnsi="Times New Roman" w:cs="Times New Roman"/>
          <w:sz w:val="24"/>
          <w:szCs w:val="24"/>
          <w:lang w:bidi="he-IL"/>
        </w:rPr>
        <w:t>Mulgan</w:t>
      </w:r>
      <w:proofErr w:type="spellEnd"/>
      <w:r w:rsidRPr="0040748E">
        <w:rPr>
          <w:rFonts w:ascii="Times New Roman" w:eastAsia="Times New Roman" w:hAnsi="Times New Roman" w:cs="Times New Roman"/>
          <w:sz w:val="24"/>
          <w:szCs w:val="24"/>
          <w:lang w:bidi="he-IL"/>
        </w:rPr>
        <w:t xml:space="preserve">, R. (2000) ‘“Accountability”: An ever-expanding concept?’, </w:t>
      </w:r>
      <w:r w:rsidRPr="0040748E">
        <w:rPr>
          <w:rFonts w:ascii="Times New Roman" w:eastAsia="Times New Roman" w:hAnsi="Times New Roman" w:cs="Times New Roman"/>
          <w:i/>
          <w:iCs/>
          <w:sz w:val="24"/>
          <w:szCs w:val="24"/>
          <w:lang w:bidi="he-IL"/>
        </w:rPr>
        <w:t>Public Administration</w:t>
      </w:r>
      <w:r w:rsidRPr="0040748E">
        <w:rPr>
          <w:rFonts w:ascii="Times New Roman" w:eastAsia="Times New Roman" w:hAnsi="Times New Roman" w:cs="Times New Roman"/>
          <w:sz w:val="24"/>
          <w:szCs w:val="24"/>
          <w:lang w:bidi="he-IL"/>
        </w:rPr>
        <w:t>, 78(3), pp. 555–573.</w:t>
      </w:r>
    </w:p>
    <w:p w14:paraId="67EE1943" w14:textId="77777777" w:rsidR="0040748E" w:rsidRPr="0040748E" w:rsidRDefault="0040748E" w:rsidP="0040748E">
      <w:pPr>
        <w:spacing w:before="100" w:beforeAutospacing="1" w:afterAutospacing="1" w:line="240" w:lineRule="auto"/>
        <w:rPr>
          <w:rFonts w:ascii="Times New Roman" w:eastAsia="Times New Roman" w:hAnsi="Times New Roman" w:cs="Times New Roman"/>
          <w:sz w:val="24"/>
          <w:szCs w:val="24"/>
          <w:lang w:bidi="he-IL"/>
        </w:rPr>
      </w:pPr>
      <w:proofErr w:type="spellStart"/>
      <w:r w:rsidRPr="0040748E">
        <w:rPr>
          <w:rFonts w:ascii="Times New Roman" w:eastAsia="Times New Roman" w:hAnsi="Times New Roman" w:cs="Times New Roman"/>
          <w:sz w:val="24"/>
          <w:szCs w:val="24"/>
          <w:lang w:bidi="he-IL"/>
        </w:rPr>
        <w:t>Mulgan</w:t>
      </w:r>
      <w:proofErr w:type="spellEnd"/>
      <w:r w:rsidRPr="0040748E">
        <w:rPr>
          <w:rFonts w:ascii="Times New Roman" w:eastAsia="Times New Roman" w:hAnsi="Times New Roman" w:cs="Times New Roman"/>
          <w:sz w:val="24"/>
          <w:szCs w:val="24"/>
          <w:lang w:bidi="he-IL"/>
        </w:rPr>
        <w:t xml:space="preserve">, R. (2003) </w:t>
      </w:r>
      <w:r w:rsidRPr="0040748E">
        <w:rPr>
          <w:rFonts w:ascii="Times New Roman" w:eastAsia="Times New Roman" w:hAnsi="Times New Roman" w:cs="Times New Roman"/>
          <w:i/>
          <w:iCs/>
          <w:sz w:val="24"/>
          <w:szCs w:val="24"/>
          <w:lang w:bidi="he-IL"/>
        </w:rPr>
        <w:t>Holding Power to Account: Accountability in Modern Democracies</w:t>
      </w:r>
      <w:r w:rsidRPr="0040748E">
        <w:rPr>
          <w:rFonts w:ascii="Times New Roman" w:eastAsia="Times New Roman" w:hAnsi="Times New Roman" w:cs="Times New Roman"/>
          <w:sz w:val="24"/>
          <w:szCs w:val="24"/>
          <w:lang w:bidi="he-IL"/>
        </w:rPr>
        <w:t>. Basingstoke: Palgrave Macmillan.</w:t>
      </w:r>
    </w:p>
    <w:p w14:paraId="7081F8FF" w14:textId="41876794" w:rsidR="00FC6A57" w:rsidRDefault="0040748E" w:rsidP="005D22D4">
      <w:pPr>
        <w:spacing w:before="100" w:beforeAutospacing="1" w:afterAutospacing="1" w:line="240" w:lineRule="auto"/>
        <w:rPr>
          <w:rFonts w:asciiTheme="majorBidi" w:eastAsiaTheme="majorEastAsia" w:hAnsiTheme="majorBidi" w:cstheme="majorBidi"/>
          <w:b/>
          <w:bCs/>
          <w:color w:val="365F91" w:themeColor="accent1" w:themeShade="BF"/>
          <w:sz w:val="24"/>
          <w:szCs w:val="24"/>
        </w:rPr>
      </w:pPr>
      <w:proofErr w:type="spellStart"/>
      <w:r w:rsidRPr="0040748E">
        <w:rPr>
          <w:rFonts w:ascii="Times New Roman" w:eastAsia="Times New Roman" w:hAnsi="Times New Roman" w:cs="Times New Roman"/>
          <w:sz w:val="24"/>
          <w:szCs w:val="24"/>
          <w:lang w:bidi="he-IL"/>
        </w:rPr>
        <w:t>Romzek</w:t>
      </w:r>
      <w:proofErr w:type="spellEnd"/>
      <w:r w:rsidRPr="0040748E">
        <w:rPr>
          <w:rFonts w:ascii="Times New Roman" w:eastAsia="Times New Roman" w:hAnsi="Times New Roman" w:cs="Times New Roman"/>
          <w:sz w:val="24"/>
          <w:szCs w:val="24"/>
          <w:lang w:bidi="he-IL"/>
        </w:rPr>
        <w:t xml:space="preserve">, B.S. and </w:t>
      </w:r>
      <w:proofErr w:type="spellStart"/>
      <w:r w:rsidRPr="0040748E">
        <w:rPr>
          <w:rFonts w:ascii="Times New Roman" w:eastAsia="Times New Roman" w:hAnsi="Times New Roman" w:cs="Times New Roman"/>
          <w:sz w:val="24"/>
          <w:szCs w:val="24"/>
          <w:lang w:bidi="he-IL"/>
        </w:rPr>
        <w:t>Dubnick</w:t>
      </w:r>
      <w:proofErr w:type="spellEnd"/>
      <w:r w:rsidRPr="0040748E">
        <w:rPr>
          <w:rFonts w:ascii="Times New Roman" w:eastAsia="Times New Roman" w:hAnsi="Times New Roman" w:cs="Times New Roman"/>
          <w:sz w:val="24"/>
          <w:szCs w:val="24"/>
          <w:lang w:bidi="he-IL"/>
        </w:rPr>
        <w:t xml:space="preserve">, M.J. (1987) ‘Accountability in the public sector: Lessons from the </w:t>
      </w:r>
    </w:p>
    <w:sectPr w:rsidR="00FC6A57" w:rsidSect="003D4F54">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A6537" w14:textId="77777777" w:rsidR="00205B76" w:rsidRDefault="00205B76" w:rsidP="00FC6A57">
      <w:pPr>
        <w:spacing w:after="0" w:line="240" w:lineRule="auto"/>
      </w:pPr>
      <w:r>
        <w:separator/>
      </w:r>
    </w:p>
  </w:endnote>
  <w:endnote w:type="continuationSeparator" w:id="0">
    <w:p w14:paraId="36096507" w14:textId="77777777" w:rsidR="00205B76" w:rsidRDefault="00205B76" w:rsidP="00FC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A7A2" w14:textId="77777777" w:rsidR="007D3006" w:rsidRDefault="007D3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019035"/>
      <w:docPartObj>
        <w:docPartGallery w:val="Page Numbers (Bottom of Page)"/>
        <w:docPartUnique/>
      </w:docPartObj>
    </w:sdtPr>
    <w:sdtEndPr/>
    <w:sdtContent>
      <w:p w14:paraId="0BFE4DF9" w14:textId="03E41EED" w:rsidR="00FC6A57" w:rsidRDefault="00FC6A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2EC924" w14:textId="77777777" w:rsidR="00FC6A57" w:rsidRDefault="00FC6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6EAB" w14:textId="77777777" w:rsidR="007D3006" w:rsidRDefault="007D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2DE80" w14:textId="77777777" w:rsidR="00205B76" w:rsidRDefault="00205B76" w:rsidP="00FC6A57">
      <w:pPr>
        <w:spacing w:after="0" w:line="240" w:lineRule="auto"/>
      </w:pPr>
      <w:r>
        <w:separator/>
      </w:r>
    </w:p>
  </w:footnote>
  <w:footnote w:type="continuationSeparator" w:id="0">
    <w:p w14:paraId="5AD35DE5" w14:textId="77777777" w:rsidR="00205B76" w:rsidRDefault="00205B76" w:rsidP="00FC6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BBAD" w14:textId="77777777" w:rsidR="007D3006" w:rsidRDefault="007D3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EDBBB" w14:textId="7812B1E3" w:rsidR="007D3006" w:rsidRDefault="007D3006">
    <w:pPr>
      <w:pStyle w:val="Header"/>
    </w:pPr>
    <w:r>
      <w:t>October 2</w:t>
    </w:r>
    <w:r w:rsidRPr="007D3006">
      <w:rPr>
        <w:vertAlign w:val="superscript"/>
      </w:rPr>
      <w:t>nd</w:t>
    </w:r>
    <w:r>
      <w:t xml:space="preserve"> version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B696" w14:textId="77777777" w:rsidR="007D3006" w:rsidRDefault="007D3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E5B9E"/>
    <w:multiLevelType w:val="hybridMultilevel"/>
    <w:tmpl w:val="E86C30A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6929C9"/>
    <w:multiLevelType w:val="multilevel"/>
    <w:tmpl w:val="9C80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405994"/>
    <w:multiLevelType w:val="hybridMultilevel"/>
    <w:tmpl w:val="8FE0FF5E"/>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271929"/>
    <w:multiLevelType w:val="multilevel"/>
    <w:tmpl w:val="F4C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310AA"/>
    <w:multiLevelType w:val="hybridMultilevel"/>
    <w:tmpl w:val="F768DA3C"/>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77A14"/>
    <w:multiLevelType w:val="multilevel"/>
    <w:tmpl w:val="524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B181B"/>
    <w:multiLevelType w:val="hybridMultilevel"/>
    <w:tmpl w:val="D1E03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9167A"/>
    <w:multiLevelType w:val="hybridMultilevel"/>
    <w:tmpl w:val="DA46433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27CDB"/>
    <w:multiLevelType w:val="hybridMultilevel"/>
    <w:tmpl w:val="4B0EAE30"/>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5"/>
  </w:num>
  <w:num w:numId="12">
    <w:abstractNumId w:val="11"/>
  </w:num>
  <w:num w:numId="13">
    <w:abstractNumId w:val="13"/>
  </w:num>
  <w:num w:numId="14">
    <w:abstractNumId w:val="16"/>
  </w:num>
  <w:num w:numId="15">
    <w:abstractNumId w:val="17"/>
  </w:num>
  <w:num w:numId="16">
    <w:abstractNumId w:val="14"/>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AB"/>
    <w:rsid w:val="00034616"/>
    <w:rsid w:val="0003620F"/>
    <w:rsid w:val="0006063C"/>
    <w:rsid w:val="00071058"/>
    <w:rsid w:val="00094FA3"/>
    <w:rsid w:val="000B6BFF"/>
    <w:rsid w:val="000D3435"/>
    <w:rsid w:val="00131948"/>
    <w:rsid w:val="0015074B"/>
    <w:rsid w:val="00205B76"/>
    <w:rsid w:val="0023621F"/>
    <w:rsid w:val="00281531"/>
    <w:rsid w:val="002835F4"/>
    <w:rsid w:val="0029639D"/>
    <w:rsid w:val="00326F90"/>
    <w:rsid w:val="0033094E"/>
    <w:rsid w:val="003343B5"/>
    <w:rsid w:val="0034786B"/>
    <w:rsid w:val="00356192"/>
    <w:rsid w:val="0036629B"/>
    <w:rsid w:val="00384178"/>
    <w:rsid w:val="003902C2"/>
    <w:rsid w:val="003D4F54"/>
    <w:rsid w:val="0040748E"/>
    <w:rsid w:val="00430001"/>
    <w:rsid w:val="00444355"/>
    <w:rsid w:val="00466E69"/>
    <w:rsid w:val="004A0F24"/>
    <w:rsid w:val="004E6D01"/>
    <w:rsid w:val="005219AB"/>
    <w:rsid w:val="00524B8E"/>
    <w:rsid w:val="0053775A"/>
    <w:rsid w:val="00544663"/>
    <w:rsid w:val="00560726"/>
    <w:rsid w:val="005D22D4"/>
    <w:rsid w:val="005D4593"/>
    <w:rsid w:val="00656BE6"/>
    <w:rsid w:val="00671550"/>
    <w:rsid w:val="006B6F73"/>
    <w:rsid w:val="006C37ED"/>
    <w:rsid w:val="006C4393"/>
    <w:rsid w:val="006C4FF1"/>
    <w:rsid w:val="006E130A"/>
    <w:rsid w:val="00733B42"/>
    <w:rsid w:val="00751C8F"/>
    <w:rsid w:val="007B18C5"/>
    <w:rsid w:val="007D3006"/>
    <w:rsid w:val="00854980"/>
    <w:rsid w:val="009A22BF"/>
    <w:rsid w:val="009E7F04"/>
    <w:rsid w:val="009F52E6"/>
    <w:rsid w:val="00A655F9"/>
    <w:rsid w:val="00A71381"/>
    <w:rsid w:val="00AA057C"/>
    <w:rsid w:val="00AA1D8D"/>
    <w:rsid w:val="00B47730"/>
    <w:rsid w:val="00B746D2"/>
    <w:rsid w:val="00BB24A5"/>
    <w:rsid w:val="00CB0664"/>
    <w:rsid w:val="00CB41FD"/>
    <w:rsid w:val="00DD3637"/>
    <w:rsid w:val="00DF0FF2"/>
    <w:rsid w:val="00E23373"/>
    <w:rsid w:val="00E56F0F"/>
    <w:rsid w:val="00E60B76"/>
    <w:rsid w:val="00E67CF1"/>
    <w:rsid w:val="00ED1D0E"/>
    <w:rsid w:val="00EF25EF"/>
    <w:rsid w:val="00FC693F"/>
    <w:rsid w:val="00FC6A5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5E816"/>
  <w14:defaultImageDpi w14:val="300"/>
  <w15:docId w15:val="{7BA25E11-3640-43A1-BA11-F7E11B3E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3B5"/>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C6A57"/>
    <w:pPr>
      <w:spacing w:before="100" w:beforeAutospacing="1" w:afterAutospacing="1" w:line="240" w:lineRule="auto"/>
    </w:pPr>
    <w:rPr>
      <w:rFonts w:ascii="Times New Roman" w:eastAsia="Times New Roman" w:hAnsi="Times New Roman" w:cs="Times New Roman"/>
      <w:sz w:val="24"/>
      <w:szCs w:val="24"/>
      <w:lang w:bidi="he-IL"/>
    </w:rPr>
  </w:style>
  <w:style w:type="character" w:styleId="EndnoteReference">
    <w:name w:val="endnote reference"/>
    <w:basedOn w:val="DefaultParagraphFont"/>
    <w:uiPriority w:val="99"/>
    <w:semiHidden/>
    <w:unhideWhenUsed/>
    <w:rsid w:val="003D4F54"/>
    <w:rPr>
      <w:vertAlign w:val="superscript"/>
    </w:rPr>
  </w:style>
  <w:style w:type="character" w:styleId="CommentReference">
    <w:name w:val="annotation reference"/>
    <w:basedOn w:val="DefaultParagraphFont"/>
    <w:uiPriority w:val="99"/>
    <w:semiHidden/>
    <w:unhideWhenUsed/>
    <w:rsid w:val="0033094E"/>
    <w:rPr>
      <w:sz w:val="16"/>
      <w:szCs w:val="16"/>
    </w:rPr>
  </w:style>
  <w:style w:type="paragraph" w:styleId="CommentText">
    <w:name w:val="annotation text"/>
    <w:basedOn w:val="Normal"/>
    <w:link w:val="CommentTextChar"/>
    <w:uiPriority w:val="99"/>
    <w:semiHidden/>
    <w:unhideWhenUsed/>
    <w:rsid w:val="0033094E"/>
    <w:pPr>
      <w:spacing w:line="240" w:lineRule="auto"/>
    </w:pPr>
    <w:rPr>
      <w:sz w:val="20"/>
      <w:szCs w:val="20"/>
    </w:rPr>
  </w:style>
  <w:style w:type="character" w:customStyle="1" w:styleId="CommentTextChar">
    <w:name w:val="Comment Text Char"/>
    <w:basedOn w:val="DefaultParagraphFont"/>
    <w:link w:val="CommentText"/>
    <w:uiPriority w:val="99"/>
    <w:semiHidden/>
    <w:rsid w:val="0033094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3094E"/>
    <w:rPr>
      <w:b/>
      <w:bCs/>
    </w:rPr>
  </w:style>
  <w:style w:type="character" w:customStyle="1" w:styleId="CommentSubjectChar">
    <w:name w:val="Comment Subject Char"/>
    <w:basedOn w:val="CommentTextChar"/>
    <w:link w:val="CommentSubject"/>
    <w:uiPriority w:val="99"/>
    <w:semiHidden/>
    <w:rsid w:val="0033094E"/>
    <w:rPr>
      <w:rFonts w:ascii="Aptos" w:hAnsi="Aptos"/>
      <w:b/>
      <w:bCs/>
      <w:sz w:val="20"/>
      <w:szCs w:val="20"/>
    </w:rPr>
  </w:style>
  <w:style w:type="character" w:styleId="Hyperlink">
    <w:name w:val="Hyperlink"/>
    <w:basedOn w:val="DefaultParagraphFont"/>
    <w:uiPriority w:val="99"/>
    <w:semiHidden/>
    <w:unhideWhenUsed/>
    <w:rsid w:val="0033094E"/>
    <w:rPr>
      <w:color w:val="0000FF"/>
      <w:u w:val="single"/>
    </w:rPr>
  </w:style>
  <w:style w:type="paragraph" w:customStyle="1" w:styleId="FirstParagraph">
    <w:name w:val="First Paragraph"/>
    <w:basedOn w:val="BodyText"/>
    <w:next w:val="BodyText"/>
    <w:uiPriority w:val="99"/>
    <w:rsid w:val="00356192"/>
    <w:pPr>
      <w:widowControl w:val="0"/>
      <w:autoSpaceDE w:val="0"/>
      <w:autoSpaceDN w:val="0"/>
      <w:adjustRightInd w:val="0"/>
      <w:spacing w:after="0" w:line="240" w:lineRule="auto"/>
    </w:pPr>
    <w:rPr>
      <w:rFonts w:ascii="Cambria" w:hAnsi="Cambria"/>
      <w:sz w:val="24"/>
      <w:szCs w:val="24"/>
    </w:rPr>
  </w:style>
  <w:style w:type="paragraph" w:styleId="EndnoteText">
    <w:name w:val="endnote text"/>
    <w:basedOn w:val="Normal"/>
    <w:link w:val="EndnoteTextChar"/>
    <w:uiPriority w:val="99"/>
    <w:semiHidden/>
    <w:unhideWhenUsed/>
    <w:rsid w:val="00DD36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3637"/>
    <w:rPr>
      <w:rFonts w:ascii="Aptos"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2554">
      <w:bodyDiv w:val="1"/>
      <w:marLeft w:val="0"/>
      <w:marRight w:val="0"/>
      <w:marTop w:val="0"/>
      <w:marBottom w:val="0"/>
      <w:divBdr>
        <w:top w:val="none" w:sz="0" w:space="0" w:color="auto"/>
        <w:left w:val="none" w:sz="0" w:space="0" w:color="auto"/>
        <w:bottom w:val="none" w:sz="0" w:space="0" w:color="auto"/>
        <w:right w:val="none" w:sz="0" w:space="0" w:color="auto"/>
      </w:divBdr>
    </w:div>
    <w:div w:id="100301748">
      <w:bodyDiv w:val="1"/>
      <w:marLeft w:val="0"/>
      <w:marRight w:val="0"/>
      <w:marTop w:val="0"/>
      <w:marBottom w:val="0"/>
      <w:divBdr>
        <w:top w:val="none" w:sz="0" w:space="0" w:color="auto"/>
        <w:left w:val="none" w:sz="0" w:space="0" w:color="auto"/>
        <w:bottom w:val="none" w:sz="0" w:space="0" w:color="auto"/>
        <w:right w:val="none" w:sz="0" w:space="0" w:color="auto"/>
      </w:divBdr>
    </w:div>
    <w:div w:id="344862541">
      <w:bodyDiv w:val="1"/>
      <w:marLeft w:val="0"/>
      <w:marRight w:val="0"/>
      <w:marTop w:val="0"/>
      <w:marBottom w:val="0"/>
      <w:divBdr>
        <w:top w:val="none" w:sz="0" w:space="0" w:color="auto"/>
        <w:left w:val="none" w:sz="0" w:space="0" w:color="auto"/>
        <w:bottom w:val="none" w:sz="0" w:space="0" w:color="auto"/>
        <w:right w:val="none" w:sz="0" w:space="0" w:color="auto"/>
      </w:divBdr>
    </w:div>
    <w:div w:id="597953340">
      <w:bodyDiv w:val="1"/>
      <w:marLeft w:val="0"/>
      <w:marRight w:val="0"/>
      <w:marTop w:val="0"/>
      <w:marBottom w:val="0"/>
      <w:divBdr>
        <w:top w:val="none" w:sz="0" w:space="0" w:color="auto"/>
        <w:left w:val="none" w:sz="0" w:space="0" w:color="auto"/>
        <w:bottom w:val="none" w:sz="0" w:space="0" w:color="auto"/>
        <w:right w:val="none" w:sz="0" w:space="0" w:color="auto"/>
      </w:divBdr>
    </w:div>
    <w:div w:id="622544783">
      <w:bodyDiv w:val="1"/>
      <w:marLeft w:val="0"/>
      <w:marRight w:val="0"/>
      <w:marTop w:val="0"/>
      <w:marBottom w:val="0"/>
      <w:divBdr>
        <w:top w:val="none" w:sz="0" w:space="0" w:color="auto"/>
        <w:left w:val="none" w:sz="0" w:space="0" w:color="auto"/>
        <w:bottom w:val="none" w:sz="0" w:space="0" w:color="auto"/>
        <w:right w:val="none" w:sz="0" w:space="0" w:color="auto"/>
      </w:divBdr>
    </w:div>
    <w:div w:id="659969219">
      <w:bodyDiv w:val="1"/>
      <w:marLeft w:val="0"/>
      <w:marRight w:val="0"/>
      <w:marTop w:val="0"/>
      <w:marBottom w:val="0"/>
      <w:divBdr>
        <w:top w:val="none" w:sz="0" w:space="0" w:color="auto"/>
        <w:left w:val="none" w:sz="0" w:space="0" w:color="auto"/>
        <w:bottom w:val="none" w:sz="0" w:space="0" w:color="auto"/>
        <w:right w:val="none" w:sz="0" w:space="0" w:color="auto"/>
      </w:divBdr>
    </w:div>
    <w:div w:id="663751675">
      <w:bodyDiv w:val="1"/>
      <w:marLeft w:val="0"/>
      <w:marRight w:val="0"/>
      <w:marTop w:val="0"/>
      <w:marBottom w:val="0"/>
      <w:divBdr>
        <w:top w:val="none" w:sz="0" w:space="0" w:color="auto"/>
        <w:left w:val="none" w:sz="0" w:space="0" w:color="auto"/>
        <w:bottom w:val="none" w:sz="0" w:space="0" w:color="auto"/>
        <w:right w:val="none" w:sz="0" w:space="0" w:color="auto"/>
      </w:divBdr>
      <w:divsChild>
        <w:div w:id="820997569">
          <w:marLeft w:val="0"/>
          <w:marRight w:val="0"/>
          <w:marTop w:val="0"/>
          <w:marBottom w:val="0"/>
          <w:divBdr>
            <w:top w:val="none" w:sz="0" w:space="0" w:color="auto"/>
            <w:left w:val="none" w:sz="0" w:space="0" w:color="auto"/>
            <w:bottom w:val="none" w:sz="0" w:space="0" w:color="auto"/>
            <w:right w:val="none" w:sz="0" w:space="0" w:color="auto"/>
          </w:divBdr>
          <w:divsChild>
            <w:div w:id="178013740">
              <w:marLeft w:val="0"/>
              <w:marRight w:val="0"/>
              <w:marTop w:val="0"/>
              <w:marBottom w:val="0"/>
              <w:divBdr>
                <w:top w:val="none" w:sz="0" w:space="0" w:color="auto"/>
                <w:left w:val="none" w:sz="0" w:space="0" w:color="auto"/>
                <w:bottom w:val="none" w:sz="0" w:space="0" w:color="auto"/>
                <w:right w:val="none" w:sz="0" w:space="0" w:color="auto"/>
              </w:divBdr>
              <w:divsChild>
                <w:div w:id="668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868422">
      <w:bodyDiv w:val="1"/>
      <w:marLeft w:val="0"/>
      <w:marRight w:val="0"/>
      <w:marTop w:val="0"/>
      <w:marBottom w:val="0"/>
      <w:divBdr>
        <w:top w:val="none" w:sz="0" w:space="0" w:color="auto"/>
        <w:left w:val="none" w:sz="0" w:space="0" w:color="auto"/>
        <w:bottom w:val="none" w:sz="0" w:space="0" w:color="auto"/>
        <w:right w:val="none" w:sz="0" w:space="0" w:color="auto"/>
      </w:divBdr>
    </w:div>
    <w:div w:id="829445564">
      <w:bodyDiv w:val="1"/>
      <w:marLeft w:val="0"/>
      <w:marRight w:val="0"/>
      <w:marTop w:val="0"/>
      <w:marBottom w:val="0"/>
      <w:divBdr>
        <w:top w:val="none" w:sz="0" w:space="0" w:color="auto"/>
        <w:left w:val="none" w:sz="0" w:space="0" w:color="auto"/>
        <w:bottom w:val="none" w:sz="0" w:space="0" w:color="auto"/>
        <w:right w:val="none" w:sz="0" w:space="0" w:color="auto"/>
      </w:divBdr>
    </w:div>
    <w:div w:id="882181700">
      <w:bodyDiv w:val="1"/>
      <w:marLeft w:val="0"/>
      <w:marRight w:val="0"/>
      <w:marTop w:val="0"/>
      <w:marBottom w:val="0"/>
      <w:divBdr>
        <w:top w:val="none" w:sz="0" w:space="0" w:color="auto"/>
        <w:left w:val="none" w:sz="0" w:space="0" w:color="auto"/>
        <w:bottom w:val="none" w:sz="0" w:space="0" w:color="auto"/>
        <w:right w:val="none" w:sz="0" w:space="0" w:color="auto"/>
      </w:divBdr>
    </w:div>
    <w:div w:id="933395928">
      <w:bodyDiv w:val="1"/>
      <w:marLeft w:val="0"/>
      <w:marRight w:val="0"/>
      <w:marTop w:val="0"/>
      <w:marBottom w:val="0"/>
      <w:divBdr>
        <w:top w:val="none" w:sz="0" w:space="0" w:color="auto"/>
        <w:left w:val="none" w:sz="0" w:space="0" w:color="auto"/>
        <w:bottom w:val="none" w:sz="0" w:space="0" w:color="auto"/>
        <w:right w:val="none" w:sz="0" w:space="0" w:color="auto"/>
      </w:divBdr>
    </w:div>
    <w:div w:id="993995167">
      <w:bodyDiv w:val="1"/>
      <w:marLeft w:val="0"/>
      <w:marRight w:val="0"/>
      <w:marTop w:val="0"/>
      <w:marBottom w:val="0"/>
      <w:divBdr>
        <w:top w:val="none" w:sz="0" w:space="0" w:color="auto"/>
        <w:left w:val="none" w:sz="0" w:space="0" w:color="auto"/>
        <w:bottom w:val="none" w:sz="0" w:space="0" w:color="auto"/>
        <w:right w:val="none" w:sz="0" w:space="0" w:color="auto"/>
      </w:divBdr>
    </w:div>
    <w:div w:id="1086925789">
      <w:bodyDiv w:val="1"/>
      <w:marLeft w:val="0"/>
      <w:marRight w:val="0"/>
      <w:marTop w:val="0"/>
      <w:marBottom w:val="0"/>
      <w:divBdr>
        <w:top w:val="none" w:sz="0" w:space="0" w:color="auto"/>
        <w:left w:val="none" w:sz="0" w:space="0" w:color="auto"/>
        <w:bottom w:val="none" w:sz="0" w:space="0" w:color="auto"/>
        <w:right w:val="none" w:sz="0" w:space="0" w:color="auto"/>
      </w:divBdr>
    </w:div>
    <w:div w:id="1175069322">
      <w:bodyDiv w:val="1"/>
      <w:marLeft w:val="0"/>
      <w:marRight w:val="0"/>
      <w:marTop w:val="0"/>
      <w:marBottom w:val="0"/>
      <w:divBdr>
        <w:top w:val="none" w:sz="0" w:space="0" w:color="auto"/>
        <w:left w:val="none" w:sz="0" w:space="0" w:color="auto"/>
        <w:bottom w:val="none" w:sz="0" w:space="0" w:color="auto"/>
        <w:right w:val="none" w:sz="0" w:space="0" w:color="auto"/>
      </w:divBdr>
      <w:divsChild>
        <w:div w:id="296304280">
          <w:marLeft w:val="0"/>
          <w:marRight w:val="0"/>
          <w:marTop w:val="0"/>
          <w:marBottom w:val="0"/>
          <w:divBdr>
            <w:top w:val="none" w:sz="0" w:space="0" w:color="auto"/>
            <w:left w:val="none" w:sz="0" w:space="0" w:color="auto"/>
            <w:bottom w:val="none" w:sz="0" w:space="0" w:color="auto"/>
            <w:right w:val="none" w:sz="0" w:space="0" w:color="auto"/>
          </w:divBdr>
          <w:divsChild>
            <w:div w:id="98138464">
              <w:marLeft w:val="0"/>
              <w:marRight w:val="0"/>
              <w:marTop w:val="0"/>
              <w:marBottom w:val="0"/>
              <w:divBdr>
                <w:top w:val="none" w:sz="0" w:space="0" w:color="auto"/>
                <w:left w:val="none" w:sz="0" w:space="0" w:color="auto"/>
                <w:bottom w:val="none" w:sz="0" w:space="0" w:color="auto"/>
                <w:right w:val="none" w:sz="0" w:space="0" w:color="auto"/>
              </w:divBdr>
              <w:divsChild>
                <w:div w:id="21016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3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335960">
      <w:bodyDiv w:val="1"/>
      <w:marLeft w:val="0"/>
      <w:marRight w:val="0"/>
      <w:marTop w:val="0"/>
      <w:marBottom w:val="0"/>
      <w:divBdr>
        <w:top w:val="none" w:sz="0" w:space="0" w:color="auto"/>
        <w:left w:val="none" w:sz="0" w:space="0" w:color="auto"/>
        <w:bottom w:val="none" w:sz="0" w:space="0" w:color="auto"/>
        <w:right w:val="none" w:sz="0" w:space="0" w:color="auto"/>
      </w:divBdr>
    </w:div>
    <w:div w:id="1306012079">
      <w:bodyDiv w:val="1"/>
      <w:marLeft w:val="0"/>
      <w:marRight w:val="0"/>
      <w:marTop w:val="0"/>
      <w:marBottom w:val="0"/>
      <w:divBdr>
        <w:top w:val="none" w:sz="0" w:space="0" w:color="auto"/>
        <w:left w:val="none" w:sz="0" w:space="0" w:color="auto"/>
        <w:bottom w:val="none" w:sz="0" w:space="0" w:color="auto"/>
        <w:right w:val="none" w:sz="0" w:space="0" w:color="auto"/>
      </w:divBdr>
    </w:div>
    <w:div w:id="1325281985">
      <w:bodyDiv w:val="1"/>
      <w:marLeft w:val="0"/>
      <w:marRight w:val="0"/>
      <w:marTop w:val="0"/>
      <w:marBottom w:val="0"/>
      <w:divBdr>
        <w:top w:val="none" w:sz="0" w:space="0" w:color="auto"/>
        <w:left w:val="none" w:sz="0" w:space="0" w:color="auto"/>
        <w:bottom w:val="none" w:sz="0" w:space="0" w:color="auto"/>
        <w:right w:val="none" w:sz="0" w:space="0" w:color="auto"/>
      </w:divBdr>
    </w:div>
    <w:div w:id="1343311735">
      <w:bodyDiv w:val="1"/>
      <w:marLeft w:val="0"/>
      <w:marRight w:val="0"/>
      <w:marTop w:val="0"/>
      <w:marBottom w:val="0"/>
      <w:divBdr>
        <w:top w:val="none" w:sz="0" w:space="0" w:color="auto"/>
        <w:left w:val="none" w:sz="0" w:space="0" w:color="auto"/>
        <w:bottom w:val="none" w:sz="0" w:space="0" w:color="auto"/>
        <w:right w:val="none" w:sz="0" w:space="0" w:color="auto"/>
      </w:divBdr>
      <w:divsChild>
        <w:div w:id="2127658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219766">
      <w:bodyDiv w:val="1"/>
      <w:marLeft w:val="0"/>
      <w:marRight w:val="0"/>
      <w:marTop w:val="0"/>
      <w:marBottom w:val="0"/>
      <w:divBdr>
        <w:top w:val="none" w:sz="0" w:space="0" w:color="auto"/>
        <w:left w:val="none" w:sz="0" w:space="0" w:color="auto"/>
        <w:bottom w:val="none" w:sz="0" w:space="0" w:color="auto"/>
        <w:right w:val="none" w:sz="0" w:space="0" w:color="auto"/>
      </w:divBdr>
    </w:div>
    <w:div w:id="1447887590">
      <w:bodyDiv w:val="1"/>
      <w:marLeft w:val="0"/>
      <w:marRight w:val="0"/>
      <w:marTop w:val="0"/>
      <w:marBottom w:val="0"/>
      <w:divBdr>
        <w:top w:val="none" w:sz="0" w:space="0" w:color="auto"/>
        <w:left w:val="none" w:sz="0" w:space="0" w:color="auto"/>
        <w:bottom w:val="none" w:sz="0" w:space="0" w:color="auto"/>
        <w:right w:val="none" w:sz="0" w:space="0" w:color="auto"/>
      </w:divBdr>
      <w:divsChild>
        <w:div w:id="186990175">
          <w:marLeft w:val="0"/>
          <w:marRight w:val="0"/>
          <w:marTop w:val="0"/>
          <w:marBottom w:val="0"/>
          <w:divBdr>
            <w:top w:val="none" w:sz="0" w:space="0" w:color="auto"/>
            <w:left w:val="none" w:sz="0" w:space="0" w:color="auto"/>
            <w:bottom w:val="none" w:sz="0" w:space="0" w:color="auto"/>
            <w:right w:val="none" w:sz="0" w:space="0" w:color="auto"/>
          </w:divBdr>
          <w:divsChild>
            <w:div w:id="85424614">
              <w:marLeft w:val="0"/>
              <w:marRight w:val="0"/>
              <w:marTop w:val="0"/>
              <w:marBottom w:val="0"/>
              <w:divBdr>
                <w:top w:val="none" w:sz="0" w:space="0" w:color="auto"/>
                <w:left w:val="none" w:sz="0" w:space="0" w:color="auto"/>
                <w:bottom w:val="none" w:sz="0" w:space="0" w:color="auto"/>
                <w:right w:val="none" w:sz="0" w:space="0" w:color="auto"/>
              </w:divBdr>
              <w:divsChild>
                <w:div w:id="12575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6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328170">
      <w:bodyDiv w:val="1"/>
      <w:marLeft w:val="0"/>
      <w:marRight w:val="0"/>
      <w:marTop w:val="0"/>
      <w:marBottom w:val="0"/>
      <w:divBdr>
        <w:top w:val="none" w:sz="0" w:space="0" w:color="auto"/>
        <w:left w:val="none" w:sz="0" w:space="0" w:color="auto"/>
        <w:bottom w:val="none" w:sz="0" w:space="0" w:color="auto"/>
        <w:right w:val="none" w:sz="0" w:space="0" w:color="auto"/>
      </w:divBdr>
    </w:div>
    <w:div w:id="2037923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56</Pages>
  <Words>27491</Words>
  <Characters>137457</Characters>
  <Application>Microsoft Office Word</Application>
  <DocSecurity>0</DocSecurity>
  <Lines>1145</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Levi Faur</cp:lastModifiedBy>
  <cp:revision>3</cp:revision>
  <cp:lastPrinted>2026-09-30T09:17:00Z</cp:lastPrinted>
  <dcterms:created xsi:type="dcterms:W3CDTF">2026-10-02T13:47:00Z</dcterms:created>
  <dcterms:modified xsi:type="dcterms:W3CDTF">2026-10-02T13:51:00Z</dcterms:modified>
  <cp:category/>
</cp:coreProperties>
</file>