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Label"/>
      </w:pPr>
      <w:r>
        <w:t>DOCUMENTO DE GOVERNANÇA CIENTÍFICA</w:t>
      </w:r>
    </w:p>
    <w:p>
      <w:pPr>
        <w:pStyle w:val="Title"/>
      </w:pPr>
      <w:r>
        <w:t>Registro de decisões e reenquadramento metodológico</w:t>
      </w:r>
    </w:p>
    <w:p>
      <w:pPr>
        <w:pStyle w:val="Subtitle"/>
      </w:pPr>
      <w:r>
        <w:t>EU Regulatory Data Scoping  •  Fundamentação da escolha da base legislativa para o RGAM/V8</w:t>
      </w:r>
    </w:p>
    <w:p>
      <w:r>
        <w:t>9 de outubro de 2026   |   Versão 1.1 — registro interno, sujeito à revisão científica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rPr>
          <w:tblHeader w:val="true"/>
        </w:trPr>
        <w:tc>
          <w:tcPr>
            <w:tcW w:type="dxa" w:w="9749"/>
            <w:shd w:fill="EDF5F5"/>
          </w:tcPr>
          <w:p>
            <w:pPr>
              <w:spacing w:after="80"/>
            </w:pPr>
            <w:r/>
            <w:r>
              <w:rPr>
                <w:b/>
                <w:color w:val="0B6670"/>
                <w:sz w:val="20"/>
              </w:rPr>
              <w:t>DECISÃO ESTRATÉGICA CENTRAL</w:t>
            </w:r>
          </w:p>
          <w:p>
            <w:pPr>
              <w:spacing w:after="60"/>
            </w:pPr>
            <w:r>
              <w:t>A finalidade prioritária desta linha de pesquisa é justificar, por avaliação sistemática, auditável e comparativa, a seleção da infraestrutura legislativa da União Europeia utilizada na construção do dataset de arquiteturas de governança regulatória do projeto RGAM/V8. A eventual publicação independente é uma possibilidade secundária, condicionada aos resultados.</w:t>
            </w:r>
          </w:p>
        </w:tc>
      </w:tr>
    </w:tbl>
    <w:p>
      <w:pPr>
        <w:spacing w:after="0"/>
      </w:pPr>
    </w:p>
    <w:p>
      <w:pPr>
        <w:pStyle w:val="Heading1"/>
      </w:pPr>
      <w:r>
        <w:t>Ficha de 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416"/>
      </w:tblGrid>
      <w:tr>
        <w:trPr>
          <w:tblHeader w:val="true"/>
        </w:trPr>
        <w:tc>
          <w:tcPr>
            <w:tcW w:type="dxa" w:w="487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87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Registro</w:t>
            </w:r>
          </w:p>
        </w:tc>
      </w:tr>
      <w:tr>
        <w:tc>
          <w:tcPr>
            <w:tcW w:type="dxa" w:w="208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Projeto guarda-chuva</w:t>
            </w:r>
          </w:p>
        </w:tc>
        <w:tc>
          <w:tcPr>
            <w:tcW w:type="dxa" w:w="741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PRJ-David / Law as Governance Architecture / pesquisa com David Levi-Faur</w:t>
            </w:r>
          </w:p>
        </w:tc>
      </w:tr>
      <w:tr>
        <w:tc>
          <w:tcPr>
            <w:tcW w:type="dxa" w:w="208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Linha de trabalho</w:t>
            </w:r>
          </w:p>
        </w:tc>
        <w:tc>
          <w:tcPr>
            <w:tcW w:type="dxa" w:w="741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08_EU_REGULATORY_DATA_SCOPING (denominação operacional; “R8” não é marco validado da pesquisa)</w:t>
            </w:r>
          </w:p>
        </w:tc>
      </w:tr>
      <w:tr>
        <w:tc>
          <w:tcPr>
            <w:tcW w:type="dxa" w:w="208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Local planejado</w:t>
            </w:r>
          </w:p>
        </w:tc>
        <w:tc>
          <w:tcPr>
            <w:tcW w:type="dxa" w:w="741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G:\Meu Drive\PRJ-David\Prf-David\08_EU_REGULATORY_DATA_SCOPING</w:t>
            </w:r>
          </w:p>
        </w:tc>
      </w:tr>
      <w:tr>
        <w:tc>
          <w:tcPr>
            <w:tcW w:type="dxa" w:w="208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Pasta no Google Drive</w:t>
            </w:r>
          </w:p>
        </w:tc>
        <w:tc>
          <w:tcPr>
            <w:tcW w:type="dxa" w:w="741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https://drive.google.com/drive/folders/1W9o149D-e-bqzuUeIlZM-3iZcd3EjlN7</w:t>
            </w:r>
          </w:p>
        </w:tc>
      </w:tr>
      <w:tr>
        <w:tc>
          <w:tcPr>
            <w:tcW w:type="dxa" w:w="208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Documentos antecedentes</w:t>
            </w:r>
          </w:p>
        </w:tc>
        <w:tc>
          <w:tcPr>
            <w:tcW w:type="dxa" w:w="741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PROTOCOL_v1_0_DRAFT.md; PROMPT_MESTRE_VSCODE.md; inventário exploratório v0.1; prompt G0 enviado ao Claude</w:t>
            </w:r>
          </w:p>
        </w:tc>
      </w:tr>
      <w:tr>
        <w:tc>
          <w:tcPr>
            <w:tcW w:type="dxa" w:w="208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Situação de aprovação</w:t>
            </w:r>
          </w:p>
        </w:tc>
        <w:tc>
          <w:tcPr>
            <w:tcW w:type="dxa" w:w="741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Diretrizes registradas pelo proponente; dependem de análise G0/G0.1 e, quando cabível, concordância de David e da equipe.</w:t>
            </w:r>
          </w:p>
        </w:tc>
      </w:tr>
    </w:tbl>
    <w:p>
      <w:pPr>
        <w:spacing w:after="20"/>
      </w:pPr>
    </w:p>
    <w:p>
      <w:pPr>
        <w:pStyle w:val="Heading1"/>
      </w:pPr>
      <w:r>
        <w:t>1. Fundamentação da decisão</w:t>
      </w:r>
    </w:p>
    <w:p>
      <w:r>
        <w:t>O levantamento inicial foi concebido como uma scoping review potencialmente autônoma de dados legislativos e regulatórios europeus. A decisão ora registrada redefine a hierarquia de objetivos: o mapeamento de recursos serve, prioritariamente, para selecionar e fundamentar a fonte de legislação do dataset RGAM/V8. A revisão ampla permanece útil como método de identificação e caracterização das alternativas, mas não constitui um fim obrigatório em si mesma.</w:t>
      </w:r>
    </w:p>
    <w:p>
      <w:r>
        <w:t>Essa reorientação fortalece a rastreabilidade da procedência normativa e a reprodutibilidade da seleção documental. A qualidade técnica de uma fonte não substitui a delimitação do universo jurídico nem a amostragem dos casos.</w:t>
      </w:r>
    </w:p>
    <w:p>
      <w:pPr>
        <w:pStyle w:val="Heading1"/>
      </w:pPr>
      <w:r>
        <w:t>2. Decisões registradas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7128"/>
        <w:gridCol w:w="1656"/>
      </w:tblGrid>
      <w:tr>
        <w:trPr>
          <w:tblHeader w:val="true"/>
        </w:trPr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D01</w:t>
            </w:r>
          </w:p>
        </w:tc>
        <w:tc>
          <w:tcPr>
            <w:tcW w:type="dxa" w:w="71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Priorizar fundamentação da seleção da fonte legislativa do RGAM/V8.</w:t>
            </w:r>
          </w:p>
        </w:tc>
        <w:tc>
          <w:tcPr>
            <w:tcW w:type="dxa" w:w="165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Adotada como orientação do proponente</w:t>
            </w:r>
          </w:p>
        </w:tc>
      </w:tr>
      <w:tr>
        <w:tc>
          <w:tcPr>
            <w:tcW w:type="dxa" w:w="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D02</w:t>
            </w:r>
          </w:p>
        </w:tc>
        <w:tc>
          <w:tcPr>
            <w:tcW w:type="dxa" w:w="71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Manter o levantamento de escopo e a auditoria técnica como métodos complementares.</w:t>
            </w:r>
          </w:p>
        </w:tc>
        <w:tc>
          <w:tcPr>
            <w:tcW w:type="dxa" w:w="165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Adotada; detalhes revisáveis</w:t>
            </w:r>
          </w:p>
        </w:tc>
      </w:tr>
      <w:tr>
        <w:tc>
          <w:tcPr>
            <w:tcW w:type="dxa" w:w="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D03</w:t>
            </w:r>
          </w:p>
        </w:tc>
        <w:tc>
          <w:tcPr>
            <w:tcW w:type="dxa" w:w="71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Preservar distinção entre fonte de dados, universo jurídico e amostra de casos.</w:t>
            </w:r>
          </w:p>
        </w:tc>
        <w:tc>
          <w:tcPr>
            <w:tcW w:type="dxa" w:w="165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Princípio obrigatório</w:t>
            </w:r>
          </w:p>
        </w:tc>
      </w:tr>
      <w:tr>
        <w:tc>
          <w:tcPr>
            <w:tcW w:type="dxa" w:w="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D04</w:t>
            </w:r>
          </w:p>
        </w:tc>
        <w:tc>
          <w:tcPr>
            <w:tcW w:type="dxa" w:w="71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Tratar os 41 recursos identificados apenas como seed set, não como amostra final.</w:t>
            </w:r>
          </w:p>
        </w:tc>
        <w:tc>
          <w:tcPr>
            <w:tcW w:type="dxa" w:w="165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Princípio obrigatório</w:t>
            </w:r>
          </w:p>
        </w:tc>
      </w:tr>
      <w:tr>
        <w:tc>
          <w:tcPr>
            <w:tcW w:type="dxa" w:w="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D05</w:t>
            </w:r>
          </w:p>
        </w:tc>
        <w:tc>
          <w:tcPr>
            <w:tcW w:type="dxa" w:w="71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Manter EUR-Lex/CELLAR como hipótese principal, não como escolha já validada.</w:t>
            </w:r>
          </w:p>
        </w:tc>
        <w:tc>
          <w:tcPr>
            <w:tcW w:type="dxa" w:w="165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Hipótese aberta</w:t>
            </w:r>
          </w:p>
        </w:tc>
      </w:tr>
      <w:tr>
        <w:tc>
          <w:tcPr>
            <w:tcW w:type="dxa" w:w="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D06</w:t>
            </w:r>
          </w:p>
        </w:tc>
        <w:tc>
          <w:tcPr>
            <w:tcW w:type="dxa" w:w="71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Concluir o G0 previamente enviado, sem cancelá-lo nem antecipar G1.</w:t>
            </w:r>
          </w:p>
        </w:tc>
        <w:tc>
          <w:tcPr>
            <w:tcW w:type="dxa" w:w="165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Orientação vigente; execução não auditada</w:t>
            </w:r>
          </w:p>
        </w:tc>
      </w:tr>
      <w:tr>
        <w:tc>
          <w:tcPr>
            <w:tcW w:type="dxa" w:w="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D07</w:t>
            </w:r>
          </w:p>
        </w:tc>
        <w:tc>
          <w:tcPr>
            <w:tcW w:type="dxa" w:w="71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Introduzir G0.1 — Strategic Research Alignment após leitura crítica do G0.</w:t>
            </w:r>
          </w:p>
        </w:tc>
        <w:tc>
          <w:tcPr>
            <w:tcW w:type="dxa" w:w="165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Próximo marco proposto</w:t>
            </w:r>
          </w:p>
        </w:tc>
      </w:tr>
      <w:tr>
        <w:tc>
          <w:tcPr>
            <w:tcW w:type="dxa" w:w="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D08</w:t>
            </w:r>
          </w:p>
        </w:tc>
        <w:tc>
          <w:tcPr>
            <w:tcW w:type="dxa" w:w="71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Utilizar julgamento humano independente, adjudicação documentada e trilhas de evidências.</w:t>
            </w:r>
          </w:p>
        </w:tc>
        <w:tc>
          <w:tcPr>
            <w:tcW w:type="dxa" w:w="165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Salvaguarda metodológica</w:t>
            </w:r>
          </w:p>
        </w:tc>
      </w:tr>
      <w:tr>
        <w:tc>
          <w:tcPr>
            <w:tcW w:type="dxa" w:w="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D09</w:t>
            </w:r>
          </w:p>
        </w:tc>
        <w:tc>
          <w:tcPr>
            <w:tcW w:type="dxa" w:w="71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Manter registros setoriais de intermediários como enriquecimento, não equivalentes às fontes-mãe das normas.</w:t>
            </w:r>
          </w:p>
        </w:tc>
        <w:tc>
          <w:tcPr>
            <w:tcW w:type="dxa" w:w="165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Regra analítica proposta</w:t>
            </w:r>
          </w:p>
        </w:tc>
      </w:tr>
      <w:tr>
        <w:tc>
          <w:tcPr>
            <w:tcW w:type="dxa" w:w="72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D10</w:t>
            </w:r>
          </w:p>
        </w:tc>
        <w:tc>
          <w:tcPr>
            <w:tcW w:type="dxa" w:w="71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Avaliar manuscrito autônomo somente se houver contribuição empírica/metodológica independente.</w:t>
            </w:r>
          </w:p>
        </w:tc>
        <w:tc>
          <w:tcPr>
            <w:tcW w:type="dxa" w:w="165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Possibilidade, não compromisso</w:t>
            </w:r>
          </w:p>
        </w:tc>
      </w:tr>
    </w:tbl>
    <w:p>
      <w:pPr>
        <w:spacing w:after="20"/>
      </w:pPr>
    </w:p>
    <w:p>
      <w:pPr>
        <w:pStyle w:val="Heading1"/>
      </w:pPr>
      <w:r>
        <w:t>3. Objetivo e perguntas de pesquisa revisadas</w:t>
      </w:r>
    </w:p>
    <w:p>
      <w:r>
        <w:rPr>
          <w:b/>
          <w:color w:val="0B6670"/>
        </w:rPr>
        <w:t xml:space="preserve">Objetivo geral.  </w:t>
      </w:r>
      <w:r>
        <w:t>Identificar, caracterizar, comparar e selecionar, com base em critérios pré-especificados e testes reprodutíveis, as fontes jurídicas e infraestruturas de dados mais adequadas à constituição do universo legislativo da UE para um dataset comparativo de arquiteturas de governança regulatória.</w:t>
      </w:r>
    </w:p>
    <w:p>
      <w:r>
        <w:t>Perguntas orientadoras (redação proposta para G0.1):</w:t>
      </w:r>
    </w:p>
    <w:p>
      <w:pPr>
        <w:pStyle w:val="ListBullet"/>
        <w:spacing w:after="60"/>
      </w:pPr>
      <w:r>
        <w:t>RQ1. Quais fontes de atos jurídicos da União Europeia disponibilizam coleções, metadados e serviços computacionalmente acessíveis e documentados?</w:t>
      </w:r>
    </w:p>
    <w:p>
      <w:pPr>
        <w:pStyle w:val="ListBullet"/>
        <w:spacing w:after="60"/>
      </w:pPr>
      <w:r>
        <w:t>RQ2. Como diferem em cobertura normativa e temporal, proveniência, versionamento, identificadores, estrutura textual, interoperabilidade e direitos de reutilização?</w:t>
      </w:r>
    </w:p>
    <w:p>
      <w:pPr>
        <w:pStyle w:val="ListBullet"/>
        <w:spacing w:after="60"/>
      </w:pPr>
      <w:r>
        <w:t>RQ3. Quais fontes satisfazem os requisitos mínimos para constituir um universo jurídico adequado à codificação de arquiteturas regulatórias?</w:t>
      </w:r>
    </w:p>
    <w:p>
      <w:pPr>
        <w:pStyle w:val="ListBullet"/>
        <w:spacing w:after="60"/>
      </w:pPr>
      <w:r>
        <w:t>RQ4. Em testes comparativos com atos pré-selecionados, quais perdas, inconsistências, restrições e custos de extração são observáveis?</w:t>
      </w:r>
    </w:p>
    <w:p>
      <w:pPr>
        <w:pStyle w:val="ListBullet"/>
        <w:spacing w:after="60"/>
      </w:pPr>
      <w:r>
        <w:t>RQ5. Que configuração de fonte principal e recursos complementares oferece melhor fundamentação para integrar legislação, metadados e evidências de relações regulatórias?</w:t>
      </w:r>
    </w:p>
    <w:p>
      <w:pPr>
        <w:pStyle w:val="Heading1"/>
      </w:pPr>
      <w:r>
        <w:t>4. Desenho metodológico</w:t>
      </w:r>
    </w:p>
    <w:p>
      <w:pPr>
        <w:pStyle w:val="Heading2"/>
      </w:pPr>
      <w:r>
        <w:t>4.1. Duas camadas, dois objetos de avaliação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032"/>
        <w:gridCol w:w="3024"/>
      </w:tblGrid>
      <w:tr>
        <w:trPr>
          <w:tblHeader w:val="true"/>
        </w:trPr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Objeto</w:t>
            </w:r>
          </w:p>
        </w:tc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Produto</w:t>
            </w:r>
          </w:p>
        </w:tc>
      </w:tr>
      <w:tr>
        <w:tc>
          <w:tcPr>
            <w:tcW w:type="dxa" w:w="158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A — Mapeamento</w:t>
            </w:r>
          </w:p>
        </w:tc>
        <w:tc>
          <w:tcPr>
            <w:tcW w:type="dxa" w:w="403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Datasets, serviços, corpora, registros e infraestruturas com pertinência à legislação/governança da UE.</w:t>
            </w:r>
          </w:p>
        </w:tc>
        <w:tc>
          <w:tcPr>
            <w:tcW w:type="dxa" w:w="302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Inventário canônico e documentação da busca/seleção.</w:t>
            </w:r>
          </w:p>
        </w:tc>
      </w:tr>
      <w:tr>
        <w:tc>
          <w:tcPr>
            <w:tcW w:type="dxa" w:w="158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B — Seleção da fonte</w:t>
            </w:r>
          </w:p>
        </w:tc>
        <w:tc>
          <w:tcPr>
            <w:tcW w:type="dxa" w:w="403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Infraestruturas candidatas a fornecer textos e metadados de atos jurídicos para o RGAM/V8.</w:t>
            </w:r>
          </w:p>
        </w:tc>
        <w:tc>
          <w:tcPr>
            <w:tcW w:type="dxa" w:w="302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Matriz de aptidão, testes de extração e parecer de escolha.</w:t>
            </w:r>
          </w:p>
        </w:tc>
      </w:tr>
    </w:tbl>
    <w:p>
      <w:pPr>
        <w:spacing w:after="20"/>
      </w:pPr>
    </w:p>
    <w:p>
      <w:r>
        <w:t>Bases como NANDO, DSA Trusted Flaggers e registros de fiscalização podem compor a camada A e futuramente enriquecer relações RIT, mas não devem concorrer como fonte legislativa principal quando não fornecem o corpus de atos jurídicos exigido.</w:t>
      </w:r>
    </w:p>
    <w:p>
      <w:pPr>
        <w:pStyle w:val="Heading2"/>
      </w:pPr>
      <w:r>
        <w:t>4.2. Elegibilidade e unidade de análise</w:t>
      </w:r>
    </w:p>
    <w:p>
      <w:r>
        <w:t>Conservar a arquitetura de dados do protocolo v1.0: (i) ocorrência de busca, (ii) dataset canônico, (iii) recurso/distribuição e (iv) ato jurídico ou entidade. A avaliação comparativa deve ocorrer na camada adequada, evitando contar portal e endpoint como datasets distintos.</w:t>
      </w:r>
    </w:p>
    <w:p>
      <w:r>
        <w:t>A elegibilidade geral seguirá o protocolo original, com possível emenda em G0.1 para identificar uma subclasse explícita “fonte legislativa candidata”. A ausência de confirmação será registrada como UNVERIFIED; acesso restrito não implica exclusão automática do mapa, embora possa impedir a adoção como fonte operacional.</w:t>
      </w:r>
    </w:p>
    <w:p>
      <w:pPr>
        <w:pStyle w:val="Heading2"/>
      </w:pPr>
      <w:r>
        <w:t>4.3. Requisitos mínimos (proposta sujeita a calibração)</w:t>
      </w:r>
    </w:p>
    <w:p>
      <w:pPr>
        <w:pStyle w:val="ListBullet"/>
        <w:spacing w:after="60"/>
      </w:pPr>
      <w:r>
        <w:t>M1 — Proveniência documental verificável e autoridade da fonte para o universo que se pretende estudar.</w:t>
      </w:r>
    </w:p>
    <w:p>
      <w:pPr>
        <w:pStyle w:val="ListBullet"/>
        <w:spacing w:after="60"/>
      </w:pPr>
      <w:r>
        <w:t>M2 — Identificadores persistentes dos atos e vínculos consistentes entre versões (CELEX, ELI ou solução demonstravelmente equivalente).</w:t>
      </w:r>
    </w:p>
    <w:p>
      <w:pPr>
        <w:pStyle w:val="ListBullet"/>
        <w:spacing w:after="60"/>
      </w:pPr>
      <w:r>
        <w:t>M3 — Acesso documentado, licitamente reutilizável e tecnicamente repetível aos textos e metadados necessários.</w:t>
      </w:r>
    </w:p>
    <w:p>
      <w:pPr>
        <w:pStyle w:val="ListBullet"/>
        <w:spacing w:after="60"/>
      </w:pPr>
      <w:r>
        <w:t>M4 — Cobertura suficiente dos tipos de atos e períodos definidos pelo desenho teórico; lacunas explicitadas.</w:t>
      </w:r>
    </w:p>
    <w:p>
      <w:pPr>
        <w:pStyle w:val="ListBullet"/>
        <w:spacing w:after="60"/>
      </w:pPr>
      <w:r>
        <w:t>M5 — Preservação da temporalidade jurídica: ato original, alterações, revogações e consolidações distinguíveis.</w:t>
      </w:r>
    </w:p>
    <w:p>
      <w:pPr>
        <w:pStyle w:val="ListBullet"/>
        <w:spacing w:after="60"/>
      </w:pPr>
      <w:r>
        <w:t>M6 — Integridade mínima do texto e da estrutura jurídica (artigos, anexos, referências) comprovada em teste.</w:t>
      </w:r>
    </w:p>
    <w:p>
      <w:r>
        <w:t>Regra de decisão: requisito não verificado fica PENDENTE, nunca automaticamente aprovado. Eventuais critérios eliminatórios, limiares e exceções devem ser formalizados antes de comparar os candidatos.</w:t>
      </w:r>
    </w:p>
    <w:p>
      <w:pPr>
        <w:pStyle w:val="Heading2"/>
      </w:pPr>
      <w:r>
        <w:t>4.4. Matriz comparativa e benchmark</w:t>
      </w:r>
    </w:p>
    <w:p>
      <w:r>
        <w:t>Para candidatos elegíveis, comparar: cobertura por tipo de ato, período e área; completude; metadados; acesso programático; formatos estruturados; versionamento; CELEX/ELI; preservação de hierarquia normativa; condições de reutilização; documentação; estabilidade dos endpoints; reprodutibilidade; capacidade de vinculação a dados sobre reguladores e intermediários.</w:t>
      </w:r>
    </w:p>
    <w:p>
      <w:r>
        <w:t>O benchmark deverá utilizar um mesmo conjunto de atos de referência, selecionado antes da coleta, com diversidade temporal, temática e de tipo normativo. Registrar por fonte: versão e data, endpoint, parâmetros, idioma, formato, ID do ato, integridade do texto, sucesso/falha, tempo operacional observável quando medido e hash dos arquivos obtidos. Não adotar ranking agregado ou pesos ex post. Preferir matriz multicritério transparente e análise de sensibilidade.</w:t>
      </w:r>
    </w:p>
    <w:p>
      <w:pPr>
        <w:pStyle w:val="Heading1"/>
      </w:pPr>
      <w:r>
        <w:t>5. Hierarquia das fontes candidatas (não deliberada)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824"/>
        <w:gridCol w:w="1872"/>
      </w:tblGrid>
      <w:tr>
        <w:trPr>
          <w:tblHeader w:val="true"/>
        </w:trPr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Papel a testar</w:t>
            </w:r>
          </w:p>
        </w:tc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Posição atual</w:t>
            </w:r>
          </w:p>
        </w:tc>
      </w:tr>
      <w:tr>
        <w:tc>
          <w:tcPr>
            <w:tcW w:type="dxa" w:w="208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EUR-Lex / CELLAR</w:t>
            </w:r>
          </w:p>
        </w:tc>
        <w:tc>
          <w:tcPr>
            <w:tcW w:type="dxa" w:w="482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Fonte oficial e infraestrutura primária para atos e metadados; testar extração, cobertura e versionamento.</w:t>
            </w:r>
          </w:p>
        </w:tc>
        <w:tc>
          <w:tcPr>
            <w:tcW w:type="dxa" w:w="187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Candidato prioritário, não escolhido</w:t>
            </w:r>
          </w:p>
        </w:tc>
      </w:tr>
      <w:tr>
        <w:tc>
          <w:tcPr>
            <w:tcW w:type="dxa" w:w="208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EuroVoc</w:t>
            </w:r>
          </w:p>
        </w:tc>
        <w:tc>
          <w:tcPr>
            <w:tcW w:type="dxa" w:w="482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Tesauro para classificação temática e estruturação de domínios.</w:t>
            </w:r>
          </w:p>
        </w:tc>
        <w:tc>
          <w:tcPr>
            <w:tcW w:type="dxa" w:w="187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Enriquecimento</w:t>
            </w:r>
          </w:p>
        </w:tc>
      </w:tr>
      <w:tr>
        <w:tc>
          <w:tcPr>
            <w:tcW w:type="dxa" w:w="208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MultiEURLEX / corpora acadêmicos</w:t>
            </w:r>
          </w:p>
        </w:tc>
        <w:tc>
          <w:tcPr>
            <w:tcW w:type="dxa" w:w="482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Referência secundária para comparação, processamento e experimentos computacionais.</w:t>
            </w:r>
          </w:p>
        </w:tc>
        <w:tc>
          <w:tcPr>
            <w:tcW w:type="dxa" w:w="187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Candidatos auxiliares</w:t>
            </w:r>
          </w:p>
        </w:tc>
      </w:tr>
      <w:tr>
        <w:tc>
          <w:tcPr>
            <w:tcW w:type="dxa" w:w="208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NANDO / DSA / demais registros setoriais</w:t>
            </w:r>
          </w:p>
        </w:tc>
        <w:tc>
          <w:tcPr>
            <w:tcW w:type="dxa" w:w="482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Identificação ou contextualização de entidades e funções intermediárias.</w:t>
            </w:r>
          </w:p>
        </w:tc>
        <w:tc>
          <w:tcPr>
            <w:tcW w:type="dxa" w:w="187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Fontes suplementares RIT</w:t>
            </w:r>
          </w:p>
        </w:tc>
      </w:tr>
    </w:tbl>
    <w:p>
      <w:pPr>
        <w:spacing w:after="20"/>
      </w:pPr>
    </w:p>
    <w:p>
      <w:r>
        <w:t>A seleção final pode admitir mais de uma distribuição de uma mesma fonte oficial ou uma arquitetura híbrida, desde que se identifique claramente o sistema de registro, a precedência em conflitos e a origem de cada campo.</w:t>
      </w:r>
    </w:p>
    <w:p>
      <w:pPr>
        <w:pStyle w:val="Heading1"/>
      </w:pPr>
      <w:r>
        <w:t>6. Sequência de execução 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3168"/>
      </w:tblGrid>
      <w:tr>
        <w:trPr>
          <w:tblHeader w:val="true"/>
        </w:trPr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Marco</w:t>
            </w:r>
          </w:p>
        </w:tc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Atividade</w:t>
            </w:r>
          </w:p>
        </w:tc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Condição de saída</w:t>
            </w:r>
          </w:p>
        </w:tc>
      </w:tr>
      <w:tr>
        <w:tc>
          <w:tcPr>
            <w:tcW w:type="dxa" w:w="187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G0 — Em curso segundo relato</w:t>
            </w:r>
          </w:p>
        </w:tc>
        <w:tc>
          <w:tcPr>
            <w:tcW w:type="dxa" w:w="4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Diagnóstico do repositório, integridade, 18 seeds de calibração e revisão do protocolo.</w:t>
            </w:r>
          </w:p>
        </w:tc>
        <w:tc>
          <w:tcPr>
            <w:tcW w:type="dxa" w:w="31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Recebimento e leitura crítica do G0_REVIEW_NOTE.md; sem coleta massiva.</w:t>
            </w:r>
          </w:p>
        </w:tc>
      </w:tr>
      <w:tr>
        <w:tc>
          <w:tcPr>
            <w:tcW w:type="dxa" w:w="187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G0.1 — Próximo</w:t>
            </w:r>
          </w:p>
        </w:tc>
        <w:tc>
          <w:tcPr>
            <w:tcW w:type="dxa" w:w="4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Reenquadramento estratégico, emenda à finalidade, matriz de requisitos e plano de benchmark.</w:t>
            </w:r>
          </w:p>
        </w:tc>
        <w:tc>
          <w:tcPr>
            <w:tcW w:type="dxa" w:w="31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Aprovação humana do protocolo emendado e registro de versão.</w:t>
            </w:r>
          </w:p>
        </w:tc>
      </w:tr>
      <w:tr>
        <w:tc>
          <w:tcPr>
            <w:tcW w:type="dxa" w:w="187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G1 — Calibração</w:t>
            </w:r>
          </w:p>
        </w:tc>
        <w:tc>
          <w:tcPr>
            <w:tcW w:type="dxa" w:w="4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Dupla avaliação piloto, revisão do codebook e ajustes de critérios.</w:t>
            </w:r>
          </w:p>
        </w:tc>
        <w:tc>
          <w:tcPr>
            <w:tcW w:type="dxa" w:w="31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Definições operacionais estáveis e divergências documentadas.</w:t>
            </w:r>
          </w:p>
        </w:tc>
      </w:tr>
      <w:tr>
        <w:tc>
          <w:tcPr>
            <w:tcW w:type="dxa" w:w="187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G2/G3 — Descoberta e triagem</w:t>
            </w:r>
          </w:p>
        </w:tc>
        <w:tc>
          <w:tcPr>
            <w:tcW w:type="dxa" w:w="4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Buscas reproduzíveis, preservação das ocorrências, deduplicação e adjudicação.</w:t>
            </w:r>
          </w:p>
        </w:tc>
        <w:tc>
          <w:tcPr>
            <w:tcW w:type="dxa" w:w="31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Inventário de fontes candidatas rastreável.</w:t>
            </w:r>
          </w:p>
        </w:tc>
      </w:tr>
      <w:tr>
        <w:tc>
          <w:tcPr>
            <w:tcW w:type="dxa" w:w="187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G4 — Auditoria e benchmark</w:t>
            </w:r>
          </w:p>
        </w:tc>
        <w:tc>
          <w:tcPr>
            <w:tcW w:type="dxa" w:w="4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Verificação técnica e jurídico-documental em fontes candidatas.</w:t>
            </w:r>
          </w:p>
        </w:tc>
        <w:tc>
          <w:tcPr>
            <w:tcW w:type="dxa" w:w="31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Matriz de evidências e limitações comparáveis.</w:t>
            </w:r>
          </w:p>
        </w:tc>
      </w:tr>
      <w:tr>
        <w:tc>
          <w:tcPr>
            <w:tcW w:type="dxa" w:w="187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G5 — Decisão de fonte</w:t>
            </w:r>
          </w:p>
        </w:tc>
        <w:tc>
          <w:tcPr>
            <w:tcW w:type="dxa" w:w="4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Parecer estruturado: fonte-mãe, suplementos, exclusões e trade-offs.</w:t>
            </w:r>
          </w:p>
        </w:tc>
        <w:tc>
          <w:tcPr>
            <w:tcW w:type="dxa" w:w="31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Source Selection Decision Memo validado.</w:t>
            </w:r>
          </w:p>
        </w:tc>
      </w:tr>
      <w:tr>
        <w:tc>
          <w:tcPr>
            <w:tcW w:type="dxa" w:w="187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G6 — Integração e publicação</w:t>
            </w:r>
          </w:p>
        </w:tc>
        <w:tc>
          <w:tcPr>
            <w:tcW w:type="dxa" w:w="44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Constituição do universo jurídico, regras amostrais e ligação posterior ao RGAM/V8.</w:t>
            </w:r>
          </w:p>
        </w:tc>
        <w:tc>
          <w:tcPr>
            <w:tcW w:type="dxa" w:w="31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Corpus documentado, pacote de replicação e métodos para manuscrito.</w:t>
            </w:r>
          </w:p>
        </w:tc>
      </w:tr>
    </w:tbl>
    <w:p>
      <w:pPr>
        <w:spacing w:after="20"/>
      </w:pPr>
    </w:p>
    <w:p>
      <w:r>
        <w:t>Os nomes de fases acima representam a adaptação proposta; antes de execução, devem ser reconciliados ao cronograma e aos gates já presentes no repositório, sem apagamento de histórico.</w:t>
      </w:r>
    </w:p>
    <w:p>
      <w:pPr>
        <w:pStyle w:val="Heading1"/>
      </w:pPr>
      <w:r>
        <w:t>7. O que fazer com o G0 já encaminhado ao Claude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9"/>
      </w:tblGrid>
      <w:tr>
        <w:trPr>
          <w:tblHeader w:val="true"/>
        </w:trPr>
        <w:tc>
          <w:tcPr>
            <w:tcW w:type="dxa" w:w="9749"/>
            <w:shd w:fill="EDF5F5"/>
          </w:tcPr>
          <w:p>
            <w:pPr>
              <w:spacing w:after="80"/>
            </w:pPr>
            <w:r/>
            <w:r>
              <w:rPr>
                <w:b/>
                <w:color w:val="0B6670"/>
                <w:sz w:val="20"/>
              </w:rPr>
              <w:t>INSTRUÇÃO VIGENTE</w:t>
            </w:r>
          </w:p>
          <w:p>
            <w:pPr>
              <w:spacing w:after="60"/>
            </w:pPr>
            <w:r>
              <w:t>Não interromper o G0 por causa desta redefinição. O diagnóstico continua válido e deve terminar no gate previsto. Não enviar uma segunda instrução conflitante durante sua execução. A revisão G0.1 será conduzida após examinar seus arquivos de saída.</w:t>
            </w:r>
          </w:p>
        </w:tc>
      </w:tr>
    </w:tbl>
    <w:p>
      <w:pPr>
        <w:spacing w:after="0"/>
      </w:pPr>
    </w:p>
    <w:p>
      <w:r>
        <w:rPr>
          <w:b/>
          <w:color w:val="0B6670"/>
        </w:rPr>
        <w:t xml:space="preserve">Estado factual.  </w:t>
      </w:r>
      <w:r>
        <w:t>O proponente informou que encaminhou o prompt G0 ao Claude. Este registro não dispõe dos logs de execução nem confirma geração dos relatórios; portanto, não declara o G0 concluído.</w:t>
      </w:r>
    </w:p>
    <w:p>
      <w:r>
        <w:rPr>
          <w:b/>
          <w:color w:val="0B6670"/>
        </w:rPr>
        <w:t xml:space="preserve">Documentos esperados do G0.  </w:t>
      </w:r>
      <w:r>
        <w:t>outputs/G0_REVIEW_NOTE.md; outputs/PILOT_CALIBRATION_PLAN.md; outputs/EXECUTION_PLAN.md; outputs/BASELINE_RUN.md; protocol/PROPOSED_AMENDMENTS.md (se necessário).</w:t>
      </w:r>
    </w:p>
    <w:p>
      <w:r>
        <w:rPr>
          <w:b/>
          <w:color w:val="0B6670"/>
        </w:rPr>
        <w:t xml:space="preserve">Orientação para G0.1.  </w:t>
      </w:r>
      <w:r>
        <w:t>Aproveitar a auditoria do G0 sem substituir retroativamente seu objetivo; criar emenda datada e novos artefatos: SOURCE_SELECTION_FRAMEWORK.md, BENCHMARK_PLAN.md e STRATEGIC_ALIGNMENT_DECISION.md.</w:t>
      </w:r>
    </w:p>
    <w:p>
      <w:pPr>
        <w:pStyle w:val="Heading1"/>
      </w:pPr>
      <w:r>
        <w:t>8. Separação de decisões sobre o dataset RGAM/V8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752"/>
        <w:gridCol w:w="3024"/>
      </w:tblGrid>
      <w:tr>
        <w:trPr>
          <w:tblHeader w:val="true"/>
        </w:trPr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Questão</w:t>
            </w:r>
          </w:p>
        </w:tc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Critério de decisão</w:t>
            </w:r>
          </w:p>
        </w:tc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Artefato documental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Escolha da fonte</w:t>
            </w:r>
          </w:p>
        </w:tc>
        <w:tc>
          <w:tcPr>
            <w:tcW w:type="dxa" w:w="47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Adequação técnica, jurídica e científica da infraestrutura.</w:t>
            </w:r>
          </w:p>
        </w:tc>
        <w:tc>
          <w:tcPr>
            <w:tcW w:type="dxa" w:w="302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Source Selection Decision Memo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Definição do universo</w:t>
            </w:r>
          </w:p>
        </w:tc>
        <w:tc>
          <w:tcPr>
            <w:tcW w:type="dxa" w:w="47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Tipos de normas, território, período, idioma e status jurídico.</w:t>
            </w:r>
          </w:p>
        </w:tc>
        <w:tc>
          <w:tcPr>
            <w:tcW w:type="dxa" w:w="302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Legal Universe Definition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Seleção de casos</w:t>
            </w:r>
          </w:p>
        </w:tc>
        <w:tc>
          <w:tcPr>
            <w:tcW w:type="dxa" w:w="47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Estratégia amostral alinhada a hipóteses e contraste teórico.</w:t>
            </w:r>
          </w:p>
        </w:tc>
        <w:tc>
          <w:tcPr>
            <w:tcW w:type="dxa" w:w="302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Sampling and Case Selection Protocol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Codificação RGAM/V8</w:t>
            </w:r>
          </w:p>
        </w:tc>
        <w:tc>
          <w:tcPr>
            <w:tcW w:type="dxa" w:w="4752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Regras ontológicas, extração de relações e adjudicação.</w:t>
            </w:r>
          </w:p>
        </w:tc>
        <w:tc>
          <w:tcPr>
            <w:tcW w:type="dxa" w:w="302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Codebook + validation records</w:t>
            </w:r>
          </w:p>
        </w:tc>
      </w:tr>
    </w:tbl>
    <w:p>
      <w:pPr>
        <w:spacing w:after="20"/>
      </w:pPr>
    </w:p>
    <w:p>
      <w:r>
        <w:t>A escolha da melhor fonte não determina quais atos integrarão o universo elegível. E a composição do universo tampouco define, por si, a amostragem para codificação intensiva. Cada decisão requer justificativa separada e validade própria.</w:t>
      </w:r>
    </w:p>
    <w:p>
      <w:pPr>
        <w:pStyle w:val="Heading1"/>
      </w:pPr>
      <w:r>
        <w:t>9. Produtos, comunicação e publicação</w:t>
      </w:r>
    </w:p>
    <w:p>
      <w:pPr>
        <w:pStyle w:val="ListBullet"/>
        <w:spacing w:after="60"/>
      </w:pPr>
      <w:r>
        <w:t>Produto principal de curto prazo: decisão documentada, defensável e reproduzível sobre a fonte ou combinação de fontes da legislação da UE para o dataset RGAM/V8.</w:t>
      </w:r>
    </w:p>
    <w:p>
      <w:pPr>
        <w:pStyle w:val="ListBullet"/>
        <w:spacing w:after="60"/>
      </w:pPr>
      <w:r>
        <w:t>Produtos técnicos: inventário rastreável; protocolo emendado; testes de cobertura, extração e versionamento; parecer de seleção; corpus de referência e código de replicação.</w:t>
      </w:r>
    </w:p>
    <w:p>
      <w:pPr>
        <w:pStyle w:val="ListBullet"/>
        <w:spacing w:after="60"/>
      </w:pPr>
      <w:r>
        <w:t>Produto científico integrado: seção “Data Sources, Legal Universe and Sampling” no manuscrito de arquitetura regulatória, com transparência sobre limitações.</w:t>
      </w:r>
    </w:p>
    <w:p>
      <w:pPr>
        <w:pStyle w:val="ListBullet"/>
        <w:spacing w:after="60"/>
      </w:pPr>
      <w:r>
        <w:t>Publicação autônoma: possível artigo de scoping review / comparação de infraestruturas de dados, condicionado a critérios de originalidade, cobertura e validade atendidos.</w:t>
      </w:r>
    </w:p>
    <w:p>
      <w:pPr>
        <w:pStyle w:val="ListBullet"/>
        <w:spacing w:after="60"/>
      </w:pPr>
      <w:r>
        <w:t>Compartilhamento: documento presente é registro interno; não equivale à aprovação formal de David, Rotem ou demais colaboradores.</w:t>
      </w:r>
    </w:p>
    <w:p>
      <w:pPr>
        <w:pStyle w:val="Heading1"/>
      </w:pPr>
      <w:r>
        <w:t>10. Riscos científicos e controles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tblHeader w:val="true"/>
        </w:trPr>
        <w:tc>
          <w:tcPr>
            <w:tcW w:type="dxa" w:w="487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Risco</w:t>
            </w:r>
          </w:p>
        </w:tc>
        <w:tc>
          <w:tcPr>
            <w:tcW w:type="dxa" w:w="487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Controle acordado/proposto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Viés de confirmação em favor do EUR-Lex/CELLAR</w:t>
            </w:r>
          </w:p>
        </w:tc>
        <w:tc>
          <w:tcPr>
            <w:tcW w:type="dxa" w:w="63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Pré-especificar critérios e testar alternativas com os mesmos atos.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“41 datasets” sem deduplicação real</w:t>
            </w:r>
          </w:p>
        </w:tc>
        <w:tc>
          <w:tcPr>
            <w:tcW w:type="dxa" w:w="63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Tratar 41 como recursos iniciais, separar hits, coleções e distribuições.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Confusão entre capacidade técnica e observação RIT</w:t>
            </w:r>
          </w:p>
        </w:tc>
        <w:tc>
          <w:tcPr>
            <w:tcW w:type="dxa" w:w="63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Auditar capacidades, nunca inferir relações sem norma e evidência.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Corpus apenas de normas em vigor distorcer séries históricas</w:t>
            </w:r>
          </w:p>
        </w:tc>
        <w:tc>
          <w:tcPr>
            <w:tcW w:type="dxa" w:w="63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Distinguir atos originais, consolidados, revogados e suas datas.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Pseudoindependência de revisores artificiais</w:t>
            </w:r>
          </w:p>
        </w:tc>
        <w:tc>
          <w:tcPr>
            <w:tcW w:type="dxa" w:w="63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Triagem, adjudicação e decisões finais com participação humana real.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Alterações metodológicas sem trilha de auditoria</w:t>
            </w:r>
          </w:p>
        </w:tc>
        <w:tc>
          <w:tcPr>
            <w:tcW w:type="dxa" w:w="63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Manter G0 intacto e registrar emendas datadas após análise.</w:t>
            </w:r>
          </w:p>
        </w:tc>
      </w:tr>
      <w:tr>
        <w:tc>
          <w:tcPr>
            <w:tcW w:type="dxa" w:w="3168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Promessa de publicação antes dos resultados</w:t>
            </w:r>
          </w:p>
        </w:tc>
        <w:tc>
          <w:tcPr>
            <w:tcW w:type="dxa" w:w="633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Fixar produto técnico principal; condicionar artigo autônomo aos achados.</w:t>
            </w:r>
          </w:p>
        </w:tc>
      </w:tr>
    </w:tbl>
    <w:p>
      <w:pPr>
        <w:spacing w:after="20"/>
      </w:pPr>
    </w:p>
    <w:p>
      <w:pPr>
        <w:pStyle w:val="Heading1"/>
      </w:pPr>
      <w:r>
        <w:t>11. Encaminhamento e pontos pendentes</w:t>
      </w:r>
    </w:p>
    <w:p>
      <w:r>
        <w:rPr>
          <w:b/>
          <w:color w:val="0B6670"/>
        </w:rPr>
        <w:t xml:space="preserve">Decisão já tomada pelo proponente.  </w:t>
      </w:r>
      <w:r>
        <w:t>Priorizar a seleção fundamentada da base legislativa para o RGAM/V8; manter a execução do G0.</w:t>
      </w:r>
    </w:p>
    <w:p>
      <w:r>
        <w:rPr>
          <w:b/>
          <w:color w:val="0B6670"/>
        </w:rPr>
        <w:t xml:space="preserve">Pendente de parecer G0/G0.1.  </w:t>
      </w:r>
      <w:r>
        <w:t>Revisão dos objetivos formais, protocolo operacional da comparação, universo de concorrentes, critérios eliminatórios, plano da amostra comum e governança de aprovação.</w:t>
      </w:r>
    </w:p>
    <w:p>
      <w:r>
        <w:rPr>
          <w:b/>
          <w:color w:val="0B6670"/>
        </w:rPr>
        <w:t xml:space="preserve">Pendente de discussão científica com David e equipe.  </w:t>
      </w:r>
      <w:r>
        <w:t>Delimitação de normas e recorte temporal do universo RGAM/V8, plano de amostragem, vínculo com a agenda de Law as Governance Architecture e prioridades de publicação.</w:t>
      </w:r>
    </w:p>
    <w:p>
      <w:r>
        <w:rPr>
          <w:b/>
          <w:color w:val="0B6670"/>
        </w:rPr>
        <w:t xml:space="preserve">Próxima ação recomendada.  </w:t>
      </w:r>
      <w:r>
        <w:t>Receber e auditar G0_REVIEW_NOTE.md; elaborar emenda G0.1 sem iniciar coleta massiva ou alterar o RGAM/V8.</w:t>
      </w:r>
    </w:p>
    <w:p>
      <w:pPr>
        <w:pStyle w:val="Heading1"/>
      </w:pPr>
      <w:r>
        <w:t>12. Controle de versões e referências internas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656"/>
        <w:gridCol w:w="6264"/>
      </w:tblGrid>
      <w:tr>
        <w:trPr>
          <w:tblHeader w:val="true"/>
        </w:trPr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325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183E5E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58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v1.0-DRAFT</w:t>
            </w:r>
          </w:p>
        </w:tc>
        <w:tc>
          <w:tcPr>
            <w:tcW w:type="dxa" w:w="165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09.10.2026</w:t>
            </w:r>
          </w:p>
        </w:tc>
        <w:tc>
          <w:tcPr>
            <w:tcW w:type="dxa" w:w="62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F3F7F9"/>
          </w:tcPr>
          <w:p>
            <w:pPr>
              <w:keepNext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Protocolo inicial de scoping review e auditoria de dados da UE.</w:t>
            </w:r>
          </w:p>
        </w:tc>
      </w:tr>
      <w:tr>
        <w:tc>
          <w:tcPr>
            <w:tcW w:type="dxa" w:w="158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v1.1 — este registro</w:t>
            </w:r>
          </w:p>
        </w:tc>
        <w:tc>
          <w:tcPr>
            <w:tcW w:type="dxa" w:w="1656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09.10.2026</w:t>
            </w:r>
          </w:p>
        </w:tc>
        <w:tc>
          <w:tcPr>
            <w:tcW w:type="dxa" w:w="6264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keepNext w:val="0"/>
              <w:spacing w:after="40" w:before="40"/>
            </w:pPr>
            <w:r/>
            <w:r>
              <w:rPr>
                <w:rFonts w:ascii="Carlito" w:hAnsi="Carlito"/>
                <w:b w:val="0"/>
                <w:color w:val="182F49"/>
                <w:sz w:val="17"/>
              </w:rPr>
              <w:t>Orientação do estudo para fundamentar a escolha da fonte legislativa, preservando G0 e propondo G0.1.</w:t>
            </w:r>
          </w:p>
        </w:tc>
      </w:tr>
    </w:tbl>
    <w:p>
      <w:pPr>
        <w:spacing w:after="20"/>
      </w:pPr>
    </w:p>
    <w:p>
      <w:pPr>
        <w:pStyle w:val="SourceNote"/>
      </w:pPr>
      <w:r>
        <w:t>Referências documentais internas: PROTOCOL_v1_0_DRAFT.md; PROMPT_MESTRE_VSCODE.md; seed_inventory_v0_1.csv; EU_Legislation_Datasets_Scoping_Inventory_v0_1_2026-10-09.xlsx; arquivos de saída esperados do G0. Métodos de referência mencionados no protocolo: JBI, PRISMA-ScR e FAIR. Essas referências demandam normalização bibliográfica antes de divulgação externa.</w:t>
      </w:r>
    </w:p>
    <w:p>
      <w:pPr>
        <w:pStyle w:val="SourceNote"/>
      </w:pPr>
      <w:r>
        <w:t>Nota de status: documento de registro de escolhas e plano de trabalho. Não atesta coleta, testes técnicos, concordância interavaliadores, aprovação institucional ou seleção definitiva de fonte.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195" w:bottom="893" w:left="1296" w:header="475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697A"/>
        <w:sz w:val="16"/>
      </w:rPr>
      <w:t xml:space="preserve">Registro interno de decisões  •  v1.1  |  09.10.2026  •  pág.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  <w:jc w:val="right"/>
    </w:pPr>
    <w:r>
      <w:t>PRJ-DAVID  /  EU REGULATORY DATA SCOPING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rlito" w:hAnsi="Carlito"/>
      <w:color w:val="182F4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rlito" w:hAnsi="Carlito"/>
      <w:b/>
      <w:bCs/>
      <w:color w:val="182F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rlito" w:hAnsi="Carlito"/>
      <w:b/>
      <w:bCs/>
      <w:color w:val="0B66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rlito" w:hAnsi="Carlito"/>
      <w:b/>
      <w:bCs/>
      <w:color w:val="182F4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rlito" w:hAnsi="Carlito"/>
      <w:b/>
      <w:color w:val="182F4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Carlito" w:hAnsi="Carlito"/>
      <w:b w:val="0"/>
      <w:i/>
      <w:iCs/>
      <w:color w:val="0B66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basedOn w:val="Normal"/>
    <w:pPr>
      <w:spacing w:after="100"/>
    </w:pPr>
    <w:rPr>
      <w:rFonts w:ascii="Carlito" w:hAnsi="Carlito"/>
      <w:b/>
      <w:color w:val="0B6670"/>
      <w:sz w:val="16"/>
    </w:rPr>
  </w:style>
  <w:style w:type="paragraph" w:customStyle="1" w:styleId="SourceNote">
    <w:name w:val="Source Note"/>
    <w:basedOn w:val="Normal"/>
    <w:rPr>
      <w:rFonts w:ascii="Carlito" w:hAnsi="Carlito"/>
      <w:color w:val="55697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decisões — EU Regulatory Data Scoping | v1.1</dc:title>
  <dc:subject>Fundamentação científica da seleção da fonte legislativa para o RGAM/V8</dc:subject>
  <dc:creator>PRJ-David — documento interno de trabalho</dc:creator>
  <cp:keywords>Regulatory governance; EU legislation; source selection; RGAM; RIT; scoping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