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0C6F7F"/>
          <w:sz w:val="20"/>
        </w:rPr>
        <w:t>PROJETO CIENTÍFICO  /  PLANO DE IMPLEMENTAÇÃO</w:t>
      </w:r>
    </w:p>
    <w:p>
      <w:pPr>
        <w:pStyle w:val="Title"/>
      </w:pPr>
      <w:r>
        <w:t>Regulatory Intermediaries</w:t>
        <w:br/>
        <w:t>Observatory</w:t>
      </w:r>
    </w:p>
    <w:p>
      <w:pPr>
        <w:pStyle w:val="Subtitle"/>
      </w:pPr>
      <w:r>
        <w:t>Um dataset relacional, um protocolo reproduzível de pesquisa e um blog científico — executados pelo VS Code</w:t>
      </w:r>
    </w:p>
    <w:p>
      <w:pPr>
        <w:spacing w:before="300"/>
      </w:pPr>
      <w:r>
        <w:rPr>
          <w:b/>
          <w:color w:val="1C3146"/>
          <w:sz w:val="20"/>
        </w:rPr>
        <w:t>DOCUMENTO DE CONCEPÇÃO • VERSÃO 0.1</w:t>
      </w:r>
    </w:p>
    <w:p>
      <w:r>
        <w:t>9 de outubro de 2026  |  Proposta preliminar para discussão e avaliação com a equipe de pesquisa</w:t>
      </w:r>
    </w:p>
    <w:tbl>
      <w:tblPr>
        <w:tblW w:type="auto" w:w="0"/>
        <w:tblLayout w:type="fixed"/>
        <w:tblLook w:firstColumn="1" w:firstRow="1" w:lastColumn="0" w:lastRow="0" w:noHBand="0" w:noVBand="1" w:val="04A0"/>
      </w:tblPr>
      <w:tblGrid>
        <w:gridCol w:w="9326"/>
      </w:tblGrid>
      <w:tr>
        <w:trPr>
          <w:cantSplit/>
        </w:trPr>
        <w:tc>
          <w:tcPr>
            <w:tcW w:type="dxa" w:w="9717"/>
            <w:shd w:fill="E6F1F3"/>
          </w:tcPr>
          <w:p>
            <w:pPr>
              <w:keepLines/>
              <w:spacing w:before="80" w:after="80"/>
            </w:pPr>
            <w:r>
              <w:rPr>
                <w:b/>
                <w:color w:val="0C6F7F"/>
                <w:sz w:val="17"/>
              </w:rPr>
              <w:t xml:space="preserve">TESE DE IMPLEMENTAÇÃO  </w:t>
            </w:r>
            <w:r>
              <w:rPr>
                <w:color w:val="1C3146"/>
                <w:sz w:val="18"/>
              </w:rPr>
              <w:t>A pesquisa vem antes da interface: mapear bases, definir conceitos, desenvolver e validar um piloto; só então publicar um site e posts sustentados por evidências.</w:t>
            </w:r>
          </w:p>
        </w:tc>
      </w:tr>
    </w:tbl>
    <w:p>
      <w:pPr>
        <w:spacing w:line="60" w:lineRule="exact" w:after="20"/>
      </w:pPr>
      <w:r>
        <w:rPr>
          <w:sz w:val="4"/>
        </w:rPr>
        <w:t xml:space="preserve"> </w:t>
      </w:r>
    </w:p>
    <w:p>
      <w:pPr>
        <w:pStyle w:val="Heading1"/>
        <w:keepNext/>
      </w:pPr>
      <w:r>
        <w:t>Decisão executiva</w:t>
      </w:r>
    </w:p>
    <w:p>
      <w:r>
        <w:t>É tecnicamente viável desenvolver a infraestrutura central no Visual Studio Code. Recomenda-se combinar Python, banco SQLite, arquivos CSV, Quarto, Git/GitHub e depósito científico no Zenodo. A validação teórica, a adjudicação da codificação e a autorização para divulgação permanecem sob responsabilidade humana.</w:t>
      </w:r>
    </w:p>
    <w:p>
      <w:pPr>
        <w:pStyle w:val="Heading2"/>
        <w:keepNext/>
      </w:pPr>
      <w:r>
        <w:t>Três produtos, uma arquitetura</w:t>
      </w:r>
    </w:p>
    <w:tbl>
      <w:tblPr>
        <w:tblW w:type="auto" w:w="0"/>
        <w:jc w:val="center"/>
        <w:tblLayout w:type="fixed"/>
        <w:tblLook w:firstColumn="1" w:firstRow="1" w:lastColumn="0" w:lastRow="0" w:noHBand="0" w:noVBand="1" w:val="04A0"/>
      </w:tblPr>
      <w:tblGrid>
        <w:gridCol w:w="2211"/>
        <w:gridCol w:w="4535"/>
        <w:gridCol w:w="2551"/>
      </w:tblGrid>
      <w:tr>
        <w:trPr>
          <w:cantSplit/>
          <w:tblHeader w:val="true"/>
        </w:trPr>
        <w:tc>
          <w:tcPr>
            <w:tcW w:type="dxa" w:w="3239"/>
            <w:shd w:fill="1C3146"/>
          </w:tcPr>
          <w:p>
            <w:pPr>
              <w:pStyle w:val="TableText"/>
              <w:keepLines/>
            </w:pPr>
            <w:r>
              <w:rPr>
                <w:b/>
                <w:color w:val="FFFFFF"/>
                <w:sz w:val="16"/>
              </w:rPr>
              <w:t>Produto</w:t>
            </w:r>
          </w:p>
        </w:tc>
        <w:tc>
          <w:tcPr>
            <w:tcW w:type="dxa" w:w="3239"/>
            <w:shd w:fill="1C3146"/>
          </w:tcPr>
          <w:p>
            <w:pPr>
              <w:pStyle w:val="TableText"/>
              <w:keepLines/>
            </w:pPr>
            <w:r>
              <w:rPr>
                <w:b/>
                <w:color w:val="FFFFFF"/>
                <w:sz w:val="16"/>
              </w:rPr>
              <w:t>Objetivo</w:t>
            </w:r>
          </w:p>
        </w:tc>
        <w:tc>
          <w:tcPr>
            <w:tcW w:type="dxa" w:w="3239"/>
            <w:shd w:fill="1C3146"/>
          </w:tcPr>
          <w:p>
            <w:pPr>
              <w:pStyle w:val="TableText"/>
              <w:keepLines/>
            </w:pPr>
            <w:r>
              <w:rPr>
                <w:b/>
                <w:color w:val="FFFFFF"/>
                <w:sz w:val="16"/>
              </w:rPr>
              <w:t>Momento de divulgação</w:t>
            </w:r>
          </w:p>
        </w:tc>
      </w:tr>
      <w:tr>
        <w:trPr>
          <w:cantSplit/>
        </w:trPr>
        <w:tc>
          <w:tcPr>
            <w:tcW w:type="dxa" w:w="2211"/>
            <w:vAlign w:val="center"/>
            <w:shd w:fill="F6F9FB"/>
            <w:tcBorders>
              <w:bottom w:val="single" w:sz="4" w:color="DDE7EA"/>
            </w:tcBorders>
          </w:tcPr>
          <w:p>
            <w:pPr>
              <w:pStyle w:val="TableText"/>
              <w:keepLines/>
            </w:pPr>
            <w:r>
              <w:t>I. Inventário de datasets</w:t>
            </w:r>
          </w:p>
        </w:tc>
        <w:tc>
          <w:tcPr>
            <w:tcW w:type="dxa" w:w="4535"/>
            <w:vAlign w:val="center"/>
            <w:shd w:fill="F6F9FB"/>
            <w:tcBorders>
              <w:bottom w:val="single" w:sz="4" w:color="DDE7EA"/>
            </w:tcBorders>
          </w:tcPr>
          <w:p>
            <w:pPr>
              <w:pStyle w:val="TableText"/>
              <w:keepLines/>
            </w:pPr>
            <w:r>
              <w:t>Mapear bases existentes e sua utilidade para identificar relações RIT.</w:t>
            </w:r>
          </w:p>
        </w:tc>
        <w:tc>
          <w:tcPr>
            <w:tcW w:type="dxa" w:w="2551"/>
            <w:vAlign w:val="center"/>
            <w:shd w:fill="F6F9FB"/>
            <w:tcBorders>
              <w:bottom w:val="single" w:sz="4" w:color="DDE7EA"/>
            </w:tcBorders>
          </w:tcPr>
          <w:p>
            <w:pPr>
              <w:pStyle w:val="TableText"/>
              <w:keepLines/>
            </w:pPr>
            <w:r>
              <w:t>Após revisão do protocolo e checagem das fontes.</w:t>
            </w:r>
          </w:p>
        </w:tc>
      </w:tr>
      <w:tr>
        <w:trPr>
          <w:cantSplit/>
        </w:trPr>
        <w:tc>
          <w:tcPr>
            <w:tcW w:type="dxa" w:w="2211"/>
            <w:vAlign w:val="center"/>
            <w:tcBorders>
              <w:bottom w:val="single" w:sz="4" w:color="DDE7EA"/>
            </w:tcBorders>
          </w:tcPr>
          <w:p>
            <w:pPr>
              <w:pStyle w:val="TableText"/>
              <w:keepLines/>
            </w:pPr>
            <w:r>
              <w:t>II. Dataset relacional piloto</w:t>
            </w:r>
          </w:p>
        </w:tc>
        <w:tc>
          <w:tcPr>
            <w:tcW w:type="dxa" w:w="4535"/>
            <w:vAlign w:val="center"/>
            <w:tcBorders>
              <w:bottom w:val="single" w:sz="4" w:color="DDE7EA"/>
            </w:tcBorders>
          </w:tcPr>
          <w:p>
            <w:pPr>
              <w:pStyle w:val="TableText"/>
              <w:keepLines/>
            </w:pPr>
            <w:r>
              <w:t>Representar episódios, atores, papéis, vínculos e evidências.</w:t>
            </w:r>
          </w:p>
        </w:tc>
        <w:tc>
          <w:tcPr>
            <w:tcW w:type="dxa" w:w="2551"/>
            <w:vAlign w:val="center"/>
            <w:tcBorders>
              <w:bottom w:val="single" w:sz="4" w:color="DDE7EA"/>
            </w:tcBorders>
          </w:tcPr>
          <w:p>
            <w:pPr>
              <w:pStyle w:val="TableText"/>
              <w:keepLines/>
            </w:pPr>
            <w:r>
              <w:t>Após verificação e adjudicação.</w:t>
            </w:r>
          </w:p>
        </w:tc>
      </w:tr>
      <w:tr>
        <w:trPr>
          <w:cantSplit/>
        </w:trPr>
        <w:tc>
          <w:tcPr>
            <w:tcW w:type="dxa" w:w="2211"/>
            <w:vAlign w:val="center"/>
            <w:shd w:fill="F6F9FB"/>
            <w:tcBorders>
              <w:bottom w:val="single" w:sz="4" w:color="DDE7EA"/>
            </w:tcBorders>
          </w:tcPr>
          <w:p>
            <w:pPr>
              <w:pStyle w:val="TableText"/>
              <w:keepLines/>
            </w:pPr>
            <w:r>
              <w:t>III. Website + blog</w:t>
            </w:r>
          </w:p>
        </w:tc>
        <w:tc>
          <w:tcPr>
            <w:tcW w:type="dxa" w:w="4535"/>
            <w:vAlign w:val="center"/>
            <w:shd w:fill="F6F9FB"/>
            <w:tcBorders>
              <w:bottom w:val="single" w:sz="4" w:color="DDE7EA"/>
            </w:tcBorders>
          </w:tcPr>
          <w:p>
            <w:pPr>
              <w:pStyle w:val="TableText"/>
              <w:keepLines/>
            </w:pPr>
            <w:r>
              <w:t>Documentar método, distribuir dados aprovados e publicar análises.</w:t>
            </w:r>
          </w:p>
        </w:tc>
        <w:tc>
          <w:tcPr>
            <w:tcW w:type="dxa" w:w="2551"/>
            <w:vAlign w:val="center"/>
            <w:shd w:fill="F6F9FB"/>
            <w:tcBorders>
              <w:bottom w:val="single" w:sz="4" w:color="DDE7EA"/>
            </w:tcBorders>
          </w:tcPr>
          <w:p>
            <w:pPr>
              <w:pStyle w:val="TableText"/>
              <w:keepLines/>
            </w:pPr>
            <w:r>
              <w:t>Após aprovação editorial e de autoria.</w:t>
            </w:r>
          </w:p>
        </w:tc>
      </w:tr>
    </w:tbl>
    <w:p>
      <w:pPr>
        <w:spacing w:line="60" w:lineRule="exact" w:after="20"/>
      </w:pPr>
      <w:r>
        <w:rPr>
          <w:sz w:val="4"/>
        </w:rPr>
        <w:t xml:space="preserve"> </w:t>
      </w:r>
    </w:p>
    <w:p>
      <w:pPr>
        <w:pStyle w:val="SmallNote"/>
      </w:pPr>
      <w:r>
        <w:t>Status: projeto proposto. O documento não representa aprovação institucional, designação de autoria ou decisão coletiva de publicação.</w:t>
      </w:r>
    </w:p>
    <w:p>
      <w:r>
        <w:br w:type="page"/>
      </w:r>
    </w:p>
    <w:p>
      <w:pPr>
        <w:pStyle w:val="Heading1"/>
        <w:keepNext/>
      </w:pPr>
      <w:r>
        <w:t>1. Fundamentação e problema de pesquisa</w:t>
      </w:r>
    </w:p>
    <w:p>
      <w:r>
        <w:t>O modelo Regulator–Intermediary–Target (RIT) desloca a atenção de uma relação exclusivamente bilateral, entre regulador e regulado, para configurações que incluem atores intermediários. A literatura destaca funções heterogêneas, tais como produção de conhecimento, implementação, monitoramento, avaliação e construção de confiança (Abbott, Levi-Faur &amp; Snidal, 2017).</w:t>
      </w:r>
    </w:p>
    <w:p>
      <w:r>
        <w:t>A proposta é desenvolver uma infraestrutura que permita observar essas funções empiricamente, sem pressupor que toda organização profissional, associação ou certificadora seja intermediária em qualquer contexto. A condição de intermediário deve ser demonstrada para um episódio ou relação específica.</w:t>
      </w:r>
    </w:p>
    <w:tbl>
      <w:tblPr>
        <w:tblW w:type="auto" w:w="0"/>
        <w:tblLayout w:type="fixed"/>
        <w:tblLook w:firstColumn="1" w:firstRow="1" w:lastColumn="0" w:lastRow="0" w:noHBand="0" w:noVBand="1" w:val="04A0"/>
      </w:tblPr>
      <w:tblGrid>
        <w:gridCol w:w="9326"/>
      </w:tblGrid>
      <w:tr>
        <w:trPr>
          <w:cantSplit/>
        </w:trPr>
        <w:tc>
          <w:tcPr>
            <w:tcW w:type="dxa" w:w="9717"/>
            <w:shd w:fill="E6F1F3"/>
          </w:tcPr>
          <w:p>
            <w:pPr>
              <w:keepLines/>
              <w:spacing w:before="80" w:after="80"/>
            </w:pPr>
            <w:r>
              <w:rPr>
                <w:b/>
                <w:color w:val="0C6F7F"/>
                <w:sz w:val="17"/>
              </w:rPr>
              <w:t xml:space="preserve">PROBLEMA CENTRAL  </w:t>
            </w:r>
            <w:r>
              <w:rPr>
                <w:color w:val="1C3146"/>
                <w:sz w:val="18"/>
              </w:rPr>
              <w:t>Como identificar, classificar, verificar e comparar relações de intermediação regulatória, preservando contexto, temporalidade, evidência e incerteza?</w:t>
            </w:r>
          </w:p>
        </w:tc>
      </w:tr>
    </w:tbl>
    <w:p>
      <w:pPr>
        <w:spacing w:line="60" w:lineRule="exact" w:after="20"/>
      </w:pPr>
      <w:r>
        <w:rPr>
          <w:sz w:val="4"/>
        </w:rPr>
        <w:t xml:space="preserve"> </w:t>
      </w:r>
    </w:p>
    <w:p>
      <w:pPr>
        <w:pStyle w:val="Heading2"/>
        <w:keepNext/>
      </w:pPr>
      <w:r>
        <w:t>1.1. Objetivo geral</w:t>
      </w:r>
    </w:p>
    <w:p>
      <w:r>
        <w:t>Conceber e implementar um observatório científico de intermediação regulatória com dois ativos de pesquisa — inventário de datasets e base relacional de episódios — e uma camada editorial de divulgação e documentação metodológica.</w:t>
      </w:r>
    </w:p>
    <w:p>
      <w:pPr>
        <w:pStyle w:val="Heading2"/>
        <w:keepNext/>
      </w:pPr>
      <w:r>
        <w:t>1.2. Objetivos específicos</w:t>
      </w:r>
    </w:p>
    <w:p>
      <w:pPr>
        <w:pStyle w:val="ListBullet"/>
        <w:spacing w:after="60"/>
        <w:ind w:left="312"/>
      </w:pPr>
      <w:r>
        <w:t>Localizar e caracterizar bases que cobrem legislação, instrumentos, atores ou relações regulatórias, com atenção inicial às fontes da União Europeia.</w:t>
      </w:r>
    </w:p>
    <w:p>
      <w:pPr>
        <w:pStyle w:val="ListBullet"/>
        <w:spacing w:after="60"/>
        <w:ind w:left="312"/>
      </w:pPr>
      <w:r>
        <w:t>Estabelecer protocolo de inclusão, unidade de observação, ontologia mínima e regras de decisão para identificação de intermediação.</w:t>
      </w:r>
    </w:p>
    <w:p>
      <w:pPr>
        <w:pStyle w:val="ListBullet"/>
        <w:spacing w:after="60"/>
        <w:ind w:left="312"/>
      </w:pPr>
      <w:r>
        <w:t>Desenvolver um dataset piloto com identificadores persistentes internamente, fontes rastreáveis e controle de versão.</w:t>
      </w:r>
    </w:p>
    <w:p>
      <w:pPr>
        <w:pStyle w:val="ListBullet"/>
        <w:spacing w:after="60"/>
        <w:ind w:left="312"/>
      </w:pPr>
      <w:r>
        <w:t>Testar a consistência de codificação, documentar discordâncias e aprimorar o codebook.</w:t>
      </w:r>
    </w:p>
    <w:p>
      <w:pPr>
        <w:pStyle w:val="ListBullet"/>
        <w:spacing w:after="60"/>
        <w:ind w:left="312"/>
      </w:pPr>
      <w:r>
        <w:t>Publicar um site estático e textos científicos que distingam hipóteses, resultados preliminares e achados validados.</w:t>
      </w:r>
    </w:p>
    <w:p>
      <w:pPr>
        <w:pStyle w:val="Heading2"/>
        <w:keepNext/>
      </w:pPr>
      <w:r>
        <w:t>1.3. Perguntas orientadoras</w:t>
      </w:r>
    </w:p>
    <w:p>
      <w:pPr>
        <w:pStyle w:val="ListBullet"/>
        <w:spacing w:after="60"/>
        <w:ind w:left="312"/>
      </w:pPr>
      <w:r>
        <w:t>Quais datasets permitem localizar intermediários e relações RIT, direta ou indiretamente?</w:t>
      </w:r>
    </w:p>
    <w:p>
      <w:pPr>
        <w:pStyle w:val="ListBullet"/>
        <w:spacing w:after="60"/>
        <w:ind w:left="312"/>
      </w:pPr>
      <w:r>
        <w:t>Que tipos de papel, instrumento e relação podem ser recuperados das fontes documentais?</w:t>
      </w:r>
    </w:p>
    <w:p>
      <w:pPr>
        <w:pStyle w:val="ListBullet"/>
        <w:spacing w:after="60"/>
        <w:ind w:left="312"/>
      </w:pPr>
      <w:r>
        <w:t>O que se perde quando o registro é centrado apenas na organização, e não em episódios e relações?</w:t>
      </w:r>
    </w:p>
    <w:p>
      <w:pPr>
        <w:pStyle w:val="ListBullet"/>
        <w:spacing w:after="60"/>
        <w:ind w:left="312"/>
      </w:pPr>
      <w:r>
        <w:t>Quais condições de transparência e qualidade são necessárias para disponibilizar uma base pública reutilizável?</w:t>
      </w:r>
    </w:p>
    <w:p>
      <w:pPr>
        <w:pStyle w:val="Heading1"/>
        <w:keepNext/>
      </w:pPr>
      <w:r>
        <w:t>2. Escopo, produtos e delimitações</w:t>
      </w:r>
    </w:p>
    <w:p>
      <w:r>
        <w:t>O observatório terá duas trilhas distintas e articuladas. A trilha A consiste em mapear datasets existentes; a trilha B consiste em construir dados analíticos originais sobre episódios de intermediação. O mapeamento das fontes não equivale, por si só, a demonstrar a presença de intermediários nessas fontes.</w:t>
      </w:r>
    </w:p>
    <w:tbl>
      <w:tblPr>
        <w:tblW w:type="auto" w:w="0"/>
        <w:jc w:val="center"/>
        <w:tblLayout w:type="fixed"/>
        <w:tblLook w:firstColumn="1" w:firstRow="1" w:lastColumn="0" w:lastRow="0" w:noHBand="0" w:noVBand="1" w:val="04A0"/>
      </w:tblPr>
      <w:tblGrid>
        <w:gridCol w:w="1871"/>
        <w:gridCol w:w="3288"/>
        <w:gridCol w:w="4139"/>
      </w:tblGrid>
      <w:tr>
        <w:trPr>
          <w:cantSplit/>
          <w:tblHeader w:val="true"/>
        </w:trPr>
        <w:tc>
          <w:tcPr>
            <w:tcW w:type="dxa" w:w="3239"/>
            <w:shd w:fill="1C3146"/>
          </w:tcPr>
          <w:p>
            <w:pPr>
              <w:pStyle w:val="TableText"/>
              <w:keepLines/>
            </w:pPr>
            <w:r>
              <w:rPr>
                <w:b/>
                <w:color w:val="FFFFFF"/>
                <w:sz w:val="16"/>
              </w:rPr>
              <w:t>Trilha</w:t>
            </w:r>
          </w:p>
        </w:tc>
        <w:tc>
          <w:tcPr>
            <w:tcW w:type="dxa" w:w="3239"/>
            <w:shd w:fill="1C3146"/>
          </w:tcPr>
          <w:p>
            <w:pPr>
              <w:pStyle w:val="TableText"/>
              <w:keepLines/>
            </w:pPr>
            <w:r>
              <w:rPr>
                <w:b/>
                <w:color w:val="FFFFFF"/>
                <w:sz w:val="16"/>
              </w:rPr>
              <w:t>Unidade de observação</w:t>
            </w:r>
          </w:p>
        </w:tc>
        <w:tc>
          <w:tcPr>
            <w:tcW w:type="dxa" w:w="3239"/>
            <w:shd w:fill="1C3146"/>
          </w:tcPr>
          <w:p>
            <w:pPr>
              <w:pStyle w:val="TableText"/>
              <w:keepLines/>
            </w:pPr>
            <w:r>
              <w:rPr>
                <w:b/>
                <w:color w:val="FFFFFF"/>
                <w:sz w:val="16"/>
              </w:rPr>
              <w:t>Saída mínima</w:t>
            </w:r>
          </w:p>
        </w:tc>
      </w:tr>
      <w:tr>
        <w:trPr>
          <w:cantSplit/>
        </w:trPr>
        <w:tc>
          <w:tcPr>
            <w:tcW w:type="dxa" w:w="1871"/>
            <w:vAlign w:val="center"/>
            <w:shd w:fill="F6F9FB"/>
            <w:tcBorders>
              <w:bottom w:val="single" w:sz="4" w:color="DDE7EA"/>
            </w:tcBorders>
          </w:tcPr>
          <w:p>
            <w:pPr>
              <w:pStyle w:val="TableText"/>
              <w:keepLines/>
            </w:pPr>
            <w:r>
              <w:t>A — Landscape de dados</w:t>
            </w:r>
          </w:p>
        </w:tc>
        <w:tc>
          <w:tcPr>
            <w:tcW w:type="dxa" w:w="3288"/>
            <w:vAlign w:val="center"/>
            <w:shd w:fill="F6F9FB"/>
            <w:tcBorders>
              <w:bottom w:val="single" w:sz="4" w:color="DDE7EA"/>
            </w:tcBorders>
          </w:tcPr>
          <w:p>
            <w:pPr>
              <w:pStyle w:val="TableText"/>
              <w:keepLines/>
            </w:pPr>
            <w:r>
              <w:t>Dataset, portal, API ou coleção documental.</w:t>
            </w:r>
          </w:p>
        </w:tc>
        <w:tc>
          <w:tcPr>
            <w:tcW w:type="dxa" w:w="4139"/>
            <w:vAlign w:val="center"/>
            <w:shd w:fill="F6F9FB"/>
            <w:tcBorders>
              <w:bottom w:val="single" w:sz="4" w:color="DDE7EA"/>
            </w:tcBorders>
          </w:tcPr>
          <w:p>
            <w:pPr>
              <w:pStyle w:val="TableText"/>
              <w:keepLines/>
            </w:pPr>
            <w:r>
              <w:t>Catálogo com origem, cobertura, licença, acesso, variáveis, temporalidade e potencial RIT.</w:t>
            </w:r>
          </w:p>
        </w:tc>
      </w:tr>
      <w:tr>
        <w:trPr>
          <w:cantSplit/>
        </w:trPr>
        <w:tc>
          <w:tcPr>
            <w:tcW w:type="dxa" w:w="1871"/>
            <w:vAlign w:val="center"/>
            <w:tcBorders>
              <w:bottom w:val="single" w:sz="4" w:color="DDE7EA"/>
            </w:tcBorders>
          </w:tcPr>
          <w:p>
            <w:pPr>
              <w:pStyle w:val="TableText"/>
              <w:keepLines/>
            </w:pPr>
            <w:r>
              <w:t>B — Episódios RIT</w:t>
            </w:r>
          </w:p>
        </w:tc>
        <w:tc>
          <w:tcPr>
            <w:tcW w:type="dxa" w:w="3288"/>
            <w:vAlign w:val="center"/>
            <w:tcBorders>
              <w:bottom w:val="single" w:sz="4" w:color="DDE7EA"/>
            </w:tcBorders>
          </w:tcPr>
          <w:p>
            <w:pPr>
              <w:pStyle w:val="TableText"/>
              <w:keepLines/>
            </w:pPr>
            <w:r>
              <w:t>Episódio regulatório definido em contexto e tempo.</w:t>
            </w:r>
          </w:p>
        </w:tc>
        <w:tc>
          <w:tcPr>
            <w:tcW w:type="dxa" w:w="4139"/>
            <w:vAlign w:val="center"/>
            <w:tcBorders>
              <w:bottom w:val="single" w:sz="4" w:color="DDE7EA"/>
            </w:tcBorders>
          </w:tcPr>
          <w:p>
            <w:pPr>
              <w:pStyle w:val="TableText"/>
              <w:keepLines/>
            </w:pPr>
            <w:r>
              <w:t>Tabelas relacionadas de episódios, atores, papéis, relações, instrumentos, fontes e decisões.</w:t>
            </w:r>
          </w:p>
        </w:tc>
      </w:tr>
    </w:tbl>
    <w:p>
      <w:pPr>
        <w:spacing w:line="60" w:lineRule="exact" w:after="20"/>
      </w:pPr>
      <w:r>
        <w:rPr>
          <w:sz w:val="4"/>
        </w:rPr>
        <w:t xml:space="preserve"> </w:t>
      </w:r>
    </w:p>
    <w:p>
      <w:r>
        <w:t>Recorte inicial recomendado: privilegiar o ecossistema regulatório da União Europeia como campo de prospecção de fontes, sem afirmar que o observatório seja exclusivamente europeu. A extensão geográfica e o período histórico deverão constar explicitamente do protocolo antes da coleta.</w:t>
      </w:r>
    </w:p>
    <w:p>
      <w:r>
        <w:t>Piloto sugerido: 12 episódios distribuídos por três domínios regulatórios contrastantes (quatro por domínio), selecionados intencionalmente após inventário dos casos candidatos. Esse número é apenas uma hipótese operacional para exercitar regras e adjudicação; não constitui amostra representativa nem cálculo de poder estatístico.</w:t>
      </w:r>
    </w:p>
    <w:p>
      <w:pPr>
        <w:pStyle w:val="Heading1"/>
        <w:keepNext/>
      </w:pPr>
      <w:r>
        <w:t>3. Metodologia de pesquisa</w:t>
      </w:r>
    </w:p>
    <w:p>
      <w:pPr>
        <w:pStyle w:val="Heading2"/>
        <w:keepNext/>
      </w:pPr>
      <w:r>
        <w:t>3.1. Revisão de escopo dos datasets existentes</w:t>
      </w:r>
    </w:p>
    <w:p>
      <w:pPr>
        <w:spacing w:after="60"/>
        <w:ind w:left="312" w:hanging="227"/>
      </w:pPr>
      <w:r>
        <w:rPr>
          <w:b/>
        </w:rPr>
        <w:t xml:space="preserve">1. </w:t>
      </w:r>
      <w:r>
        <w:t>Registrar um protocolo prévio: objetivo, fontes consultadas, strings de busca, idiomas, período, data das consultas e definição operacional de “dataset”.</w:t>
      </w:r>
    </w:p>
    <w:p>
      <w:pPr>
        <w:spacing w:after="60"/>
        <w:ind w:left="312" w:hanging="227"/>
      </w:pPr>
      <w:r>
        <w:rPr>
          <w:b/>
        </w:rPr>
        <w:t xml:space="preserve">2. </w:t>
      </w:r>
      <w:r>
        <w:t>Executar buscas reproduzíveis em portais de dados, catálogos institucionais, documentação de APIs e literatura pertinente; separar descoberta de bases e elegibilidade.</w:t>
      </w:r>
    </w:p>
    <w:p>
      <w:pPr>
        <w:spacing w:after="60"/>
        <w:ind w:left="312" w:hanging="227"/>
      </w:pPr>
      <w:r>
        <w:rPr>
          <w:b/>
        </w:rPr>
        <w:t xml:space="preserve">3. </w:t>
      </w:r>
      <w:r>
        <w:t>Triar títulos e descrições segundo critérios predefinidos; documentar inclusões, exclusões e justificativas.</w:t>
      </w:r>
    </w:p>
    <w:p>
      <w:pPr>
        <w:spacing w:after="60"/>
        <w:ind w:left="312" w:hanging="227"/>
      </w:pPr>
      <w:r>
        <w:rPr>
          <w:b/>
        </w:rPr>
        <w:t xml:space="preserve">4. </w:t>
      </w:r>
      <w:r>
        <w:t>Extrair metadados e verificar manualmente a existência, acessibilidade, licença, versão e cobertura das fontes.</w:t>
      </w:r>
    </w:p>
    <w:p>
      <w:pPr>
        <w:spacing w:after="60"/>
        <w:ind w:left="312" w:hanging="227"/>
      </w:pPr>
      <w:r>
        <w:rPr>
          <w:b/>
        </w:rPr>
        <w:t xml:space="preserve">5. </w:t>
      </w:r>
      <w:r>
        <w:t>Classificar potencial de recuperação de intermediação como “explícito”, “inferível sob validação” ou “não demonstrável com os dados disponíveis”.</w:t>
      </w:r>
    </w:p>
    <w:p>
      <w:pPr>
        <w:spacing w:after="60"/>
        <w:ind w:left="312" w:hanging="227"/>
      </w:pPr>
      <w:r>
        <w:rPr>
          <w:b/>
        </w:rPr>
        <w:t xml:space="preserve">6. </w:t>
      </w:r>
      <w:r>
        <w:t>Produzir mapa de evidências, lista de lacunas e relatório de limitações. Se a abordagem for apresentada como scoping review formal, adequar relato às diretrizes pertinentes (p.ex., PRISMA-ScR).</w:t>
      </w:r>
    </w:p>
    <w:p>
      <w:pPr>
        <w:pStyle w:val="Heading2"/>
        <w:keepNext/>
      </w:pPr>
      <w:r>
        <w:t>3.2. Elegibilidade do piloto empírico</w:t>
      </w:r>
    </w:p>
    <w:p>
      <w:r>
        <w:t>Um candidato só será incluído como episódio RIT quando houver: (a) um contexto de governança regulatória delimitado; (b) atores identificáveis; (c) ao menos uma função intermediária proposta e justificável; (d) evidência documental rastreável; e (e) indicação temporal mínima ou justificativa da ausência do dado. Registros insuficientes permanecem no conjunto de candidatos, com status pendente, e não no conjunto validado.</w:t>
      </w:r>
    </w:p>
    <w:p>
      <w:pPr>
        <w:pStyle w:val="Heading2"/>
        <w:keepNext/>
      </w:pPr>
      <w:r>
        <w:t>3.3. Cadeia de evidência e análise</w:t>
      </w:r>
    </w:p>
    <w:p>
      <w:r>
        <w:t>Cada atribuição de papel ou relação deve apontar para trecho, dispositivo, documento ou fonte verificável; registrar se a conclusão é explícita, inferida ou contestada. A automação poderá sugerir candidatos, nunca converter sugestões em afirmações empíricas sem revisão humana.</w:t>
      </w:r>
    </w:p>
    <w:p>
      <w:r>
        <w:t>Validação recomendada: duas codificações independentes em uma subamostra deliberada, registro das divergências, reunião de adjudicação, revisão do codebook e recodificação quando necessário. Medidas de concordância podem ser relatadas quando a estrutura dos dados e o tamanho da subamostra as justificarem; números isolados não substituem exame qualitativo das discordâncias.</w:t>
      </w:r>
    </w:p>
    <w:p>
      <w:pPr>
        <w:pStyle w:val="Heading1"/>
        <w:keepNext/>
      </w:pPr>
      <w:r>
        <w:t>4. Modelo conceitual e estrutura do dataset</w:t>
      </w:r>
    </w:p>
    <w:p>
      <w:r>
        <w:t>A unidade analítica principal proposta é o episódio regulatório. Entidades de atores, papéis, relações e evidências devem permanecer separadas para representar múltiplos intermediários, temporalidade e papéis variáveis conforme o contexto.</w:t>
      </w:r>
    </w:p>
    <w:tbl>
      <w:tblPr>
        <w:tblW w:type="auto" w:w="0"/>
        <w:jc w:val="center"/>
        <w:tblLayout w:type="fixed"/>
        <w:tblLook w:firstColumn="1" w:firstRow="1" w:lastColumn="0" w:lastRow="0" w:noHBand="0" w:noVBand="1" w:val="04A0"/>
      </w:tblPr>
      <w:tblGrid>
        <w:gridCol w:w="1729"/>
        <w:gridCol w:w="4252"/>
        <w:gridCol w:w="3288"/>
      </w:tblGrid>
      <w:tr>
        <w:trPr>
          <w:cantSplit/>
          <w:tblHeader w:val="true"/>
        </w:trPr>
        <w:tc>
          <w:tcPr>
            <w:tcW w:type="dxa" w:w="3239"/>
            <w:shd w:fill="1C3146"/>
          </w:tcPr>
          <w:p>
            <w:pPr>
              <w:pStyle w:val="TableText"/>
              <w:keepLines/>
            </w:pPr>
            <w:r>
              <w:rPr>
                <w:b/>
                <w:color w:val="FFFFFF"/>
                <w:sz w:val="16"/>
              </w:rPr>
              <w:t>Tabela</w:t>
            </w:r>
          </w:p>
        </w:tc>
        <w:tc>
          <w:tcPr>
            <w:tcW w:type="dxa" w:w="3239"/>
            <w:shd w:fill="1C3146"/>
          </w:tcPr>
          <w:p>
            <w:pPr>
              <w:pStyle w:val="TableText"/>
              <w:keepLines/>
            </w:pPr>
            <w:r>
              <w:rPr>
                <w:b/>
                <w:color w:val="FFFFFF"/>
                <w:sz w:val="16"/>
              </w:rPr>
              <w:t>Identificador / campos mínimos</w:t>
            </w:r>
          </w:p>
        </w:tc>
        <w:tc>
          <w:tcPr>
            <w:tcW w:type="dxa" w:w="3239"/>
            <w:shd w:fill="1C3146"/>
          </w:tcPr>
          <w:p>
            <w:pPr>
              <w:pStyle w:val="TableText"/>
              <w:keepLines/>
            </w:pPr>
            <w:r>
              <w:rPr>
                <w:b/>
                <w:color w:val="FFFFFF"/>
                <w:sz w:val="16"/>
              </w:rPr>
              <w:t>Papel analítico</w:t>
            </w:r>
          </w:p>
        </w:tc>
      </w:tr>
      <w:tr>
        <w:trPr>
          <w:cantSplit/>
        </w:trPr>
        <w:tc>
          <w:tcPr>
            <w:tcW w:type="dxa" w:w="1729"/>
            <w:vAlign w:val="center"/>
            <w:shd w:fill="F6F9FB"/>
            <w:tcBorders>
              <w:bottom w:val="single" w:sz="4" w:color="DDE7EA"/>
            </w:tcBorders>
          </w:tcPr>
          <w:p>
            <w:pPr>
              <w:pStyle w:val="TableText"/>
              <w:keepLines/>
            </w:pPr>
            <w:r>
              <w:t>datasets_catalog</w:t>
            </w:r>
          </w:p>
        </w:tc>
        <w:tc>
          <w:tcPr>
            <w:tcW w:type="dxa" w:w="4252"/>
            <w:vAlign w:val="center"/>
            <w:shd w:fill="F6F9FB"/>
            <w:tcBorders>
              <w:bottom w:val="single" w:sz="4" w:color="DDE7EA"/>
            </w:tcBorders>
          </w:tcPr>
          <w:p>
            <w:pPr>
              <w:pStyle w:val="TableText"/>
              <w:keepLines/>
            </w:pPr>
            <w:r>
              <w:t>dataset_id; título; provedor; URL; licença; cobertura; acesso; revisão_em</w:t>
            </w:r>
          </w:p>
        </w:tc>
        <w:tc>
          <w:tcPr>
            <w:tcW w:type="dxa" w:w="3288"/>
            <w:vAlign w:val="center"/>
            <w:shd w:fill="F6F9FB"/>
            <w:tcBorders>
              <w:bottom w:val="single" w:sz="4" w:color="DDE7EA"/>
            </w:tcBorders>
          </w:tcPr>
          <w:p>
            <w:pPr>
              <w:pStyle w:val="TableText"/>
              <w:keepLines/>
            </w:pPr>
            <w:r>
              <w:t>Inventário de bases existentes (trilha A).</w:t>
            </w:r>
          </w:p>
        </w:tc>
      </w:tr>
      <w:tr>
        <w:trPr>
          <w:cantSplit/>
        </w:trPr>
        <w:tc>
          <w:tcPr>
            <w:tcW w:type="dxa" w:w="1729"/>
            <w:vAlign w:val="center"/>
            <w:tcBorders>
              <w:bottom w:val="single" w:sz="4" w:color="DDE7EA"/>
            </w:tcBorders>
          </w:tcPr>
          <w:p>
            <w:pPr>
              <w:pStyle w:val="TableText"/>
              <w:keepLines/>
            </w:pPr>
            <w:r>
              <w:t>actors</w:t>
            </w:r>
          </w:p>
        </w:tc>
        <w:tc>
          <w:tcPr>
            <w:tcW w:type="dxa" w:w="4252"/>
            <w:vAlign w:val="center"/>
            <w:tcBorders>
              <w:bottom w:val="single" w:sz="4" w:color="DDE7EA"/>
            </w:tcBorders>
          </w:tcPr>
          <w:p>
            <w:pPr>
              <w:pStyle w:val="TableText"/>
              <w:keepLines/>
            </w:pPr>
            <w:r>
              <w:t>actor_id; nome; tipo; jurisdição; identificador_externo</w:t>
            </w:r>
          </w:p>
        </w:tc>
        <w:tc>
          <w:tcPr>
            <w:tcW w:type="dxa" w:w="3288"/>
            <w:vAlign w:val="center"/>
            <w:tcBorders>
              <w:bottom w:val="single" w:sz="4" w:color="DDE7EA"/>
            </w:tcBorders>
          </w:tcPr>
          <w:p>
            <w:pPr>
              <w:pStyle w:val="TableText"/>
              <w:keepLines/>
            </w:pPr>
            <w:r>
              <w:t>Cadastro normalizado; não determina papel automaticamente.</w:t>
            </w:r>
          </w:p>
        </w:tc>
      </w:tr>
      <w:tr>
        <w:trPr>
          <w:cantSplit/>
        </w:trPr>
        <w:tc>
          <w:tcPr>
            <w:tcW w:type="dxa" w:w="1729"/>
            <w:vAlign w:val="center"/>
            <w:shd w:fill="F6F9FB"/>
            <w:tcBorders>
              <w:bottom w:val="single" w:sz="4" w:color="DDE7EA"/>
            </w:tcBorders>
          </w:tcPr>
          <w:p>
            <w:pPr>
              <w:pStyle w:val="TableText"/>
              <w:keepLines/>
            </w:pPr>
            <w:r>
              <w:t>episodes</w:t>
            </w:r>
          </w:p>
        </w:tc>
        <w:tc>
          <w:tcPr>
            <w:tcW w:type="dxa" w:w="4252"/>
            <w:vAlign w:val="center"/>
            <w:shd w:fill="F6F9FB"/>
            <w:tcBorders>
              <w:bottom w:val="single" w:sz="4" w:color="DDE7EA"/>
            </w:tcBorders>
          </w:tcPr>
          <w:p>
            <w:pPr>
              <w:pStyle w:val="TableText"/>
              <w:keepLines/>
            </w:pPr>
            <w:r>
              <w:t>episode_id; domínio; jurisdição; período; descrição; status</w:t>
            </w:r>
          </w:p>
        </w:tc>
        <w:tc>
          <w:tcPr>
            <w:tcW w:type="dxa" w:w="3288"/>
            <w:vAlign w:val="center"/>
            <w:shd w:fill="F6F9FB"/>
            <w:tcBorders>
              <w:bottom w:val="single" w:sz="4" w:color="DDE7EA"/>
            </w:tcBorders>
          </w:tcPr>
          <w:p>
            <w:pPr>
              <w:pStyle w:val="TableText"/>
              <w:keepLines/>
            </w:pPr>
            <w:r>
              <w:t>Unidade de observação da trilha B.</w:t>
            </w:r>
          </w:p>
        </w:tc>
      </w:tr>
      <w:tr>
        <w:trPr>
          <w:cantSplit/>
        </w:trPr>
        <w:tc>
          <w:tcPr>
            <w:tcW w:type="dxa" w:w="1729"/>
            <w:vAlign w:val="center"/>
            <w:tcBorders>
              <w:bottom w:val="single" w:sz="4" w:color="DDE7EA"/>
            </w:tcBorders>
          </w:tcPr>
          <w:p>
            <w:pPr>
              <w:pStyle w:val="TableText"/>
              <w:keepLines/>
            </w:pPr>
            <w:r>
              <w:t>episode_roles</w:t>
            </w:r>
          </w:p>
        </w:tc>
        <w:tc>
          <w:tcPr>
            <w:tcW w:type="dxa" w:w="4252"/>
            <w:vAlign w:val="center"/>
            <w:tcBorders>
              <w:bottom w:val="single" w:sz="4" w:color="DDE7EA"/>
            </w:tcBorders>
          </w:tcPr>
          <w:p>
            <w:pPr>
              <w:pStyle w:val="TableText"/>
              <w:keepLines/>
            </w:pPr>
            <w:r>
              <w:t>episode_id; actor_id; role [R/I/T]; base_evidência</w:t>
            </w:r>
          </w:p>
        </w:tc>
        <w:tc>
          <w:tcPr>
            <w:tcW w:type="dxa" w:w="3288"/>
            <w:vAlign w:val="center"/>
            <w:tcBorders>
              <w:bottom w:val="single" w:sz="4" w:color="DDE7EA"/>
            </w:tcBorders>
          </w:tcPr>
          <w:p>
            <w:pPr>
              <w:pStyle w:val="TableText"/>
              <w:keepLines/>
            </w:pPr>
            <w:r>
              <w:t>Permite papéis múltiplos e contextuais.</w:t>
            </w:r>
          </w:p>
        </w:tc>
      </w:tr>
      <w:tr>
        <w:trPr>
          <w:cantSplit/>
        </w:trPr>
        <w:tc>
          <w:tcPr>
            <w:tcW w:type="dxa" w:w="1729"/>
            <w:vAlign w:val="center"/>
            <w:shd w:fill="F6F9FB"/>
            <w:tcBorders>
              <w:bottom w:val="single" w:sz="4" w:color="DDE7EA"/>
            </w:tcBorders>
          </w:tcPr>
          <w:p>
            <w:pPr>
              <w:pStyle w:val="TableText"/>
              <w:keepLines/>
            </w:pPr>
            <w:r>
              <w:t>relations</w:t>
            </w:r>
          </w:p>
        </w:tc>
        <w:tc>
          <w:tcPr>
            <w:tcW w:type="dxa" w:w="4252"/>
            <w:vAlign w:val="center"/>
            <w:shd w:fill="F6F9FB"/>
            <w:tcBorders>
              <w:bottom w:val="single" w:sz="4" w:color="DDE7EA"/>
            </w:tcBorders>
          </w:tcPr>
          <w:p>
            <w:pPr>
              <w:pStyle w:val="TableText"/>
              <w:keepLines/>
            </w:pPr>
            <w:r>
              <w:t>relation_id; episode_id; actor_from; actor_to; função; status</w:t>
            </w:r>
          </w:p>
        </w:tc>
        <w:tc>
          <w:tcPr>
            <w:tcW w:type="dxa" w:w="3288"/>
            <w:vAlign w:val="center"/>
            <w:shd w:fill="F6F9FB"/>
            <w:tcBorders>
              <w:bottom w:val="single" w:sz="4" w:color="DDE7EA"/>
            </w:tcBorders>
          </w:tcPr>
          <w:p>
            <w:pPr>
              <w:pStyle w:val="TableText"/>
              <w:keepLines/>
            </w:pPr>
            <w:r>
              <w:t>Relações direcionais entre atores no episódio.</w:t>
            </w:r>
          </w:p>
        </w:tc>
      </w:tr>
      <w:tr>
        <w:trPr>
          <w:cantSplit/>
        </w:trPr>
        <w:tc>
          <w:tcPr>
            <w:tcW w:type="dxa" w:w="1729"/>
            <w:vAlign w:val="center"/>
            <w:tcBorders>
              <w:bottom w:val="single" w:sz="4" w:color="DDE7EA"/>
            </w:tcBorders>
          </w:tcPr>
          <w:p>
            <w:pPr>
              <w:pStyle w:val="TableText"/>
              <w:keepLines/>
            </w:pPr>
            <w:r>
              <w:t>instruments</w:t>
            </w:r>
          </w:p>
        </w:tc>
        <w:tc>
          <w:tcPr>
            <w:tcW w:type="dxa" w:w="4252"/>
            <w:vAlign w:val="center"/>
            <w:tcBorders>
              <w:bottom w:val="single" w:sz="4" w:color="DDE7EA"/>
            </w:tcBorders>
          </w:tcPr>
          <w:p>
            <w:pPr>
              <w:pStyle w:val="TableText"/>
              <w:keepLines/>
            </w:pPr>
            <w:r>
              <w:t>instrument_id; episode_id; tipo; título; link</w:t>
            </w:r>
          </w:p>
        </w:tc>
        <w:tc>
          <w:tcPr>
            <w:tcW w:type="dxa" w:w="3288"/>
            <w:vAlign w:val="center"/>
            <w:tcBorders>
              <w:bottom w:val="single" w:sz="4" w:color="DDE7EA"/>
            </w:tcBorders>
          </w:tcPr>
          <w:p>
            <w:pPr>
              <w:pStyle w:val="TableText"/>
              <w:keepLines/>
            </w:pPr>
            <w:r>
              <w:t>Normas, padrões, auditorias, certificações etc.</w:t>
            </w:r>
          </w:p>
        </w:tc>
      </w:tr>
      <w:tr>
        <w:trPr>
          <w:cantSplit/>
        </w:trPr>
        <w:tc>
          <w:tcPr>
            <w:tcW w:type="dxa" w:w="1729"/>
            <w:vAlign w:val="center"/>
            <w:shd w:fill="F6F9FB"/>
            <w:tcBorders>
              <w:bottom w:val="single" w:sz="4" w:color="DDE7EA"/>
            </w:tcBorders>
          </w:tcPr>
          <w:p>
            <w:pPr>
              <w:pStyle w:val="TableText"/>
              <w:keepLines/>
            </w:pPr>
            <w:r>
              <w:t>evidence</w:t>
            </w:r>
          </w:p>
        </w:tc>
        <w:tc>
          <w:tcPr>
            <w:tcW w:type="dxa" w:w="4252"/>
            <w:vAlign w:val="center"/>
            <w:shd w:fill="F6F9FB"/>
            <w:tcBorders>
              <w:bottom w:val="single" w:sz="4" w:color="DDE7EA"/>
            </w:tcBorders>
          </w:tcPr>
          <w:p>
            <w:pPr>
              <w:pStyle w:val="TableText"/>
              <w:keepLines/>
            </w:pPr>
            <w:r>
              <w:t>evidence_id; source_id; item_referência; excerto; data_acesso</w:t>
            </w:r>
          </w:p>
        </w:tc>
        <w:tc>
          <w:tcPr>
            <w:tcW w:type="dxa" w:w="3288"/>
            <w:vAlign w:val="center"/>
            <w:shd w:fill="F6F9FB"/>
            <w:tcBorders>
              <w:bottom w:val="single" w:sz="4" w:color="DDE7EA"/>
            </w:tcBorders>
          </w:tcPr>
          <w:p>
            <w:pPr>
              <w:pStyle w:val="TableText"/>
              <w:keepLines/>
            </w:pPr>
            <w:r>
              <w:t>Suporte observável, distinguindo fonte e interpretação.</w:t>
            </w:r>
          </w:p>
        </w:tc>
      </w:tr>
      <w:tr>
        <w:trPr>
          <w:cantSplit/>
        </w:trPr>
        <w:tc>
          <w:tcPr>
            <w:tcW w:type="dxa" w:w="1729"/>
            <w:vAlign w:val="center"/>
            <w:tcBorders>
              <w:bottom w:val="single" w:sz="4" w:color="DDE7EA"/>
            </w:tcBorders>
          </w:tcPr>
          <w:p>
            <w:pPr>
              <w:pStyle w:val="TableText"/>
              <w:keepLines/>
            </w:pPr>
            <w:r>
              <w:t>coding_decisions</w:t>
            </w:r>
          </w:p>
        </w:tc>
        <w:tc>
          <w:tcPr>
            <w:tcW w:type="dxa" w:w="4252"/>
            <w:vAlign w:val="center"/>
            <w:tcBorders>
              <w:bottom w:val="single" w:sz="4" w:color="DDE7EA"/>
            </w:tcBorders>
          </w:tcPr>
          <w:p>
            <w:pPr>
              <w:pStyle w:val="TableText"/>
              <w:keepLines/>
            </w:pPr>
            <w:r>
              <w:t>decision_id; objeto_id; variável; valor; codificador; revisão; justificativa</w:t>
            </w:r>
          </w:p>
        </w:tc>
        <w:tc>
          <w:tcPr>
            <w:tcW w:type="dxa" w:w="3288"/>
            <w:vAlign w:val="center"/>
            <w:tcBorders>
              <w:bottom w:val="single" w:sz="4" w:color="DDE7EA"/>
            </w:tcBorders>
          </w:tcPr>
          <w:p>
            <w:pPr>
              <w:pStyle w:val="TableText"/>
              <w:keepLines/>
            </w:pPr>
            <w:r>
              <w:t>Trilha de auditoria, conflito e adjudicação.</w:t>
            </w:r>
          </w:p>
        </w:tc>
      </w:tr>
    </w:tbl>
    <w:p>
      <w:pPr>
        <w:spacing w:line="60" w:lineRule="exact" w:after="20"/>
      </w:pPr>
      <w:r>
        <w:rPr>
          <w:sz w:val="4"/>
        </w:rPr>
        <w:t xml:space="preserve"> </w:t>
      </w:r>
    </w:p>
    <w:p>
      <w:pPr>
        <w:pStyle w:val="SmallNote"/>
      </w:pPr>
      <w:r>
        <w:t>Nota de modelagem: relações e papéis devem referenciar evidências por tabelas de ligação quando houver múltiplas evidências por afirmação; as chaves e restrições finais serão definidas no esquema SQL após o piloto.</w:t>
      </w:r>
    </w:p>
    <w:p>
      <w:pPr>
        <w:pStyle w:val="Heading2"/>
        <w:keepNext/>
      </w:pPr>
      <w:r>
        <w:t>4.1. Valores obrigatórios de rastreabilidade</w:t>
      </w:r>
    </w:p>
    <w:p>
      <w:pPr>
        <w:pStyle w:val="ListBullet"/>
        <w:spacing w:after="60"/>
        <w:ind w:left="312"/>
      </w:pPr>
      <w:r>
        <w:t>status: candidato / em_codificação / revisão / adjudicado / validado / rejeitado;</w:t>
      </w:r>
    </w:p>
    <w:p>
      <w:pPr>
        <w:pStyle w:val="ListBullet"/>
        <w:spacing w:after="60"/>
        <w:ind w:left="312"/>
      </w:pPr>
      <w:r>
        <w:t>evidence_mode: explícito / inferência sustentada / contestado;</w:t>
      </w:r>
    </w:p>
    <w:p>
      <w:pPr>
        <w:pStyle w:val="ListBullet"/>
        <w:spacing w:after="60"/>
        <w:ind w:left="312"/>
      </w:pPr>
      <w:r>
        <w:t>source_locator: URL, DOI, dispositivo legal, página ou identificador institucional;</w:t>
      </w:r>
    </w:p>
    <w:p>
      <w:pPr>
        <w:pStyle w:val="ListBullet"/>
        <w:spacing w:after="60"/>
        <w:ind w:left="312"/>
      </w:pPr>
      <w:r>
        <w:t>version_tag: versão do esquema, versão do codebook e data de extração;</w:t>
      </w:r>
    </w:p>
    <w:p>
      <w:pPr>
        <w:pStyle w:val="ListBullet"/>
        <w:spacing w:after="60"/>
        <w:ind w:left="312"/>
      </w:pPr>
      <w:r>
        <w:t>review_record: autoria da decisão, justificativa e eventual discordância.</w:t>
      </w:r>
    </w:p>
    <w:p>
      <w:pPr>
        <w:pStyle w:val="Heading2"/>
        <w:keepNext/>
      </w:pPr>
      <w:r>
        <w:t>4.2. Não confundir taxonomia com achado</w:t>
      </w:r>
    </w:p>
    <w:p>
      <w:r>
        <w:t>O protocolo poderá listar funções regulatórias potenciais (monitoramento, certificação, implementação, tradução normativa, auditoria, produção de expertise), mas a presença de uma função deve ser codificada apenas quando o episódio e as fontes a sustentarem. Valores ausentes não devem ser convertidos em respostas negativas.</w:t>
      </w:r>
    </w:p>
    <w:p>
      <w:pPr>
        <w:pStyle w:val="Heading1"/>
        <w:keepNext/>
      </w:pPr>
      <w:r>
        <w:t>5. Arquitetura técnica executável no VS Code</w:t>
      </w:r>
    </w:p>
    <w:p>
      <w:r>
        <w:t>Arquitetura recomendada para a primeira versão: Python para ingestão e verificações; SQLite para integridade relacional; exportação em CSV/JSON para interoperabilidade; Quarto para documentação, páginas e blog; Git para versionamento; GitHub Pages apenas para conteúdo aprovado; Zenodo para versões de dados citáveis. Não é necessário desenvolver um backend web ou contratar servidor para o MVP.</w:t>
      </w:r>
    </w:p>
    <w:tbl>
      <w:tblPr>
        <w:tblW w:type="auto" w:w="0"/>
        <w:jc w:val="center"/>
        <w:tblLayout w:type="fixed"/>
        <w:tblLook w:firstColumn="1" w:firstRow="1" w:lastColumn="0" w:lastRow="0" w:noHBand="0" w:noVBand="1" w:val="04A0"/>
      </w:tblPr>
      <w:tblGrid>
        <w:gridCol w:w="2381"/>
        <w:gridCol w:w="2835"/>
        <w:gridCol w:w="4054"/>
      </w:tblGrid>
      <w:tr>
        <w:trPr>
          <w:cantSplit/>
          <w:tblHeader w:val="true"/>
        </w:trPr>
        <w:tc>
          <w:tcPr>
            <w:tcW w:type="dxa" w:w="3239"/>
            <w:shd w:fill="1C3146"/>
          </w:tcPr>
          <w:p>
            <w:pPr>
              <w:pStyle w:val="TableText"/>
              <w:keepLines/>
            </w:pPr>
            <w:r>
              <w:rPr>
                <w:b/>
                <w:color w:val="FFFFFF"/>
                <w:sz w:val="16"/>
              </w:rPr>
              <w:t>Camada</w:t>
            </w:r>
          </w:p>
        </w:tc>
        <w:tc>
          <w:tcPr>
            <w:tcW w:type="dxa" w:w="3239"/>
            <w:shd w:fill="1C3146"/>
          </w:tcPr>
          <w:p>
            <w:pPr>
              <w:pStyle w:val="TableText"/>
              <w:keepLines/>
            </w:pPr>
            <w:r>
              <w:rPr>
                <w:b/>
                <w:color w:val="FFFFFF"/>
                <w:sz w:val="16"/>
              </w:rPr>
              <w:t>Ferramenta</w:t>
            </w:r>
          </w:p>
        </w:tc>
        <w:tc>
          <w:tcPr>
            <w:tcW w:type="dxa" w:w="3239"/>
            <w:shd w:fill="1C3146"/>
          </w:tcPr>
          <w:p>
            <w:pPr>
              <w:pStyle w:val="TableText"/>
              <w:keepLines/>
            </w:pPr>
            <w:r>
              <w:rPr>
                <w:b/>
                <w:color w:val="FFFFFF"/>
                <w:sz w:val="16"/>
              </w:rPr>
              <w:t>Entregável técnico</w:t>
            </w:r>
          </w:p>
        </w:tc>
      </w:tr>
      <w:tr>
        <w:trPr>
          <w:cantSplit/>
        </w:trPr>
        <w:tc>
          <w:tcPr>
            <w:tcW w:type="dxa" w:w="2381"/>
            <w:vAlign w:val="center"/>
            <w:shd w:fill="F6F9FB"/>
            <w:tcBorders>
              <w:bottom w:val="single" w:sz="4" w:color="DDE7EA"/>
            </w:tcBorders>
          </w:tcPr>
          <w:p>
            <w:pPr>
              <w:pStyle w:val="TableText"/>
              <w:keepLines/>
            </w:pPr>
            <w:r>
              <w:t>Desenvolvimento</w:t>
            </w:r>
          </w:p>
        </w:tc>
        <w:tc>
          <w:tcPr>
            <w:tcW w:type="dxa" w:w="2835"/>
            <w:vAlign w:val="center"/>
            <w:shd w:fill="F6F9FB"/>
            <w:tcBorders>
              <w:bottom w:val="single" w:sz="4" w:color="DDE7EA"/>
            </w:tcBorders>
          </w:tcPr>
          <w:p>
            <w:pPr>
              <w:pStyle w:val="TableText"/>
              <w:keepLines/>
            </w:pPr>
            <w:r>
              <w:t>VS Code + Git</w:t>
            </w:r>
          </w:p>
        </w:tc>
        <w:tc>
          <w:tcPr>
            <w:tcW w:type="dxa" w:w="4054"/>
            <w:vAlign w:val="center"/>
            <w:shd w:fill="F6F9FB"/>
            <w:tcBorders>
              <w:bottom w:val="single" w:sz="4" w:color="DDE7EA"/>
            </w:tcBorders>
          </w:tcPr>
          <w:p>
            <w:pPr>
              <w:pStyle w:val="TableText"/>
              <w:keepLines/>
            </w:pPr>
            <w:r>
              <w:t>Repositório com histórico e revisões.</w:t>
            </w:r>
          </w:p>
        </w:tc>
      </w:tr>
      <w:tr>
        <w:trPr>
          <w:cantSplit/>
        </w:trPr>
        <w:tc>
          <w:tcPr>
            <w:tcW w:type="dxa" w:w="2381"/>
            <w:vAlign w:val="center"/>
            <w:tcBorders>
              <w:bottom w:val="single" w:sz="4" w:color="DDE7EA"/>
            </w:tcBorders>
          </w:tcPr>
          <w:p>
            <w:pPr>
              <w:pStyle w:val="TableText"/>
              <w:keepLines/>
            </w:pPr>
            <w:r>
              <w:t>Coleta e transformação</w:t>
            </w:r>
          </w:p>
        </w:tc>
        <w:tc>
          <w:tcPr>
            <w:tcW w:type="dxa" w:w="2835"/>
            <w:vAlign w:val="center"/>
            <w:tcBorders>
              <w:bottom w:val="single" w:sz="4" w:color="DDE7EA"/>
            </w:tcBorders>
          </w:tcPr>
          <w:p>
            <w:pPr>
              <w:pStyle w:val="TableText"/>
              <w:keepLines/>
            </w:pPr>
            <w:r>
              <w:t>Python (pandas; requests quando permitido)</w:t>
            </w:r>
          </w:p>
        </w:tc>
        <w:tc>
          <w:tcPr>
            <w:tcW w:type="dxa" w:w="4054"/>
            <w:vAlign w:val="center"/>
            <w:tcBorders>
              <w:bottom w:val="single" w:sz="4" w:color="DDE7EA"/>
            </w:tcBorders>
          </w:tcPr>
          <w:p>
            <w:pPr>
              <w:pStyle w:val="TableText"/>
              <w:keepLines/>
            </w:pPr>
            <w:r>
              <w:t>Scripts replicáveis e logs de execução.</w:t>
            </w:r>
          </w:p>
        </w:tc>
      </w:tr>
      <w:tr>
        <w:trPr>
          <w:cantSplit/>
        </w:trPr>
        <w:tc>
          <w:tcPr>
            <w:tcW w:type="dxa" w:w="2381"/>
            <w:vAlign w:val="center"/>
            <w:shd w:fill="F6F9FB"/>
            <w:tcBorders>
              <w:bottom w:val="single" w:sz="4" w:color="DDE7EA"/>
            </w:tcBorders>
          </w:tcPr>
          <w:p>
            <w:pPr>
              <w:pStyle w:val="TableText"/>
              <w:keepLines/>
            </w:pPr>
            <w:r>
              <w:t>Persistência</w:t>
            </w:r>
          </w:p>
        </w:tc>
        <w:tc>
          <w:tcPr>
            <w:tcW w:type="dxa" w:w="2835"/>
            <w:vAlign w:val="center"/>
            <w:shd w:fill="F6F9FB"/>
            <w:tcBorders>
              <w:bottom w:val="single" w:sz="4" w:color="DDE7EA"/>
            </w:tcBorders>
          </w:tcPr>
          <w:p>
            <w:pPr>
              <w:pStyle w:val="TableText"/>
              <w:keepLines/>
            </w:pPr>
            <w:r>
              <w:t>SQLite (módulo sqlite3 do Python)</w:t>
            </w:r>
          </w:p>
        </w:tc>
        <w:tc>
          <w:tcPr>
            <w:tcW w:type="dxa" w:w="4054"/>
            <w:vAlign w:val="center"/>
            <w:shd w:fill="F6F9FB"/>
            <w:tcBorders>
              <w:bottom w:val="single" w:sz="4" w:color="DDE7EA"/>
            </w:tcBorders>
          </w:tcPr>
          <w:p>
            <w:pPr>
              <w:pStyle w:val="TableText"/>
              <w:keepLines/>
            </w:pPr>
            <w:r>
              <w:t>Banco local com integridade e chaves.</w:t>
            </w:r>
          </w:p>
        </w:tc>
      </w:tr>
      <w:tr>
        <w:trPr>
          <w:cantSplit/>
        </w:trPr>
        <w:tc>
          <w:tcPr>
            <w:tcW w:type="dxa" w:w="2381"/>
            <w:vAlign w:val="center"/>
            <w:tcBorders>
              <w:bottom w:val="single" w:sz="4" w:color="DDE7EA"/>
            </w:tcBorders>
          </w:tcPr>
          <w:p>
            <w:pPr>
              <w:pStyle w:val="TableText"/>
              <w:keepLines/>
            </w:pPr>
            <w:r>
              <w:t>Qualidade</w:t>
            </w:r>
          </w:p>
        </w:tc>
        <w:tc>
          <w:tcPr>
            <w:tcW w:type="dxa" w:w="2835"/>
            <w:vAlign w:val="center"/>
            <w:tcBorders>
              <w:bottom w:val="single" w:sz="4" w:color="DDE7EA"/>
            </w:tcBorders>
          </w:tcPr>
          <w:p>
            <w:pPr>
              <w:pStyle w:val="TableText"/>
              <w:keepLines/>
            </w:pPr>
            <w:r>
              <w:t>pytest + SQL + revisões humanas</w:t>
            </w:r>
          </w:p>
        </w:tc>
        <w:tc>
          <w:tcPr>
            <w:tcW w:type="dxa" w:w="4054"/>
            <w:vAlign w:val="center"/>
            <w:tcBorders>
              <w:bottom w:val="single" w:sz="4" w:color="DDE7EA"/>
            </w:tcBorders>
          </w:tcPr>
          <w:p>
            <w:pPr>
              <w:pStyle w:val="TableText"/>
              <w:keepLines/>
            </w:pPr>
            <w:r>
              <w:t>Testes, relatórios e adjudicação.</w:t>
            </w:r>
          </w:p>
        </w:tc>
      </w:tr>
      <w:tr>
        <w:trPr>
          <w:cantSplit/>
        </w:trPr>
        <w:tc>
          <w:tcPr>
            <w:tcW w:type="dxa" w:w="2381"/>
            <w:vAlign w:val="center"/>
            <w:shd w:fill="F6F9FB"/>
            <w:tcBorders>
              <w:bottom w:val="single" w:sz="4" w:color="DDE7EA"/>
            </w:tcBorders>
          </w:tcPr>
          <w:p>
            <w:pPr>
              <w:pStyle w:val="TableText"/>
              <w:keepLines/>
            </w:pPr>
            <w:r>
              <w:t>Publicação editorial</w:t>
            </w:r>
          </w:p>
        </w:tc>
        <w:tc>
          <w:tcPr>
            <w:tcW w:type="dxa" w:w="2835"/>
            <w:vAlign w:val="center"/>
            <w:shd w:fill="F6F9FB"/>
            <w:tcBorders>
              <w:bottom w:val="single" w:sz="4" w:color="DDE7EA"/>
            </w:tcBorders>
          </w:tcPr>
          <w:p>
            <w:pPr>
              <w:pStyle w:val="TableText"/>
              <w:keepLines/>
            </w:pPr>
            <w:r>
              <w:t>Quarto + GitHub Pages</w:t>
            </w:r>
          </w:p>
        </w:tc>
        <w:tc>
          <w:tcPr>
            <w:tcW w:type="dxa" w:w="4054"/>
            <w:vAlign w:val="center"/>
            <w:shd w:fill="F6F9FB"/>
            <w:tcBorders>
              <w:bottom w:val="single" w:sz="4" w:color="DDE7EA"/>
            </w:tcBorders>
          </w:tcPr>
          <w:p>
            <w:pPr>
              <w:pStyle w:val="TableText"/>
              <w:keepLines/>
            </w:pPr>
            <w:r>
              <w:t>Site estático, posts e documentação.</w:t>
            </w:r>
          </w:p>
        </w:tc>
      </w:tr>
      <w:tr>
        <w:trPr>
          <w:cantSplit/>
        </w:trPr>
        <w:tc>
          <w:tcPr>
            <w:tcW w:type="dxa" w:w="2381"/>
            <w:vAlign w:val="center"/>
            <w:tcBorders>
              <w:bottom w:val="single" w:sz="4" w:color="DDE7EA"/>
            </w:tcBorders>
          </w:tcPr>
          <w:p>
            <w:pPr>
              <w:pStyle w:val="TableText"/>
              <w:keepLines/>
            </w:pPr>
            <w:r>
              <w:t>Preservação</w:t>
            </w:r>
          </w:p>
        </w:tc>
        <w:tc>
          <w:tcPr>
            <w:tcW w:type="dxa" w:w="2835"/>
            <w:vAlign w:val="center"/>
            <w:tcBorders>
              <w:bottom w:val="single" w:sz="4" w:color="DDE7EA"/>
            </w:tcBorders>
          </w:tcPr>
          <w:p>
            <w:pPr>
              <w:pStyle w:val="TableText"/>
              <w:keepLines/>
            </w:pPr>
            <w:r>
              <w:t>Zenodo</w:t>
            </w:r>
          </w:p>
        </w:tc>
        <w:tc>
          <w:tcPr>
            <w:tcW w:type="dxa" w:w="4054"/>
            <w:vAlign w:val="center"/>
            <w:tcBorders>
              <w:bottom w:val="single" w:sz="4" w:color="DDE7EA"/>
            </w:tcBorders>
          </w:tcPr>
          <w:p>
            <w:pPr>
              <w:pStyle w:val="TableText"/>
              <w:keepLines/>
            </w:pPr>
            <w:r>
              <w:t>Versões públicas do dataset com DOI.</w:t>
            </w:r>
          </w:p>
        </w:tc>
      </w:tr>
    </w:tbl>
    <w:p>
      <w:pPr>
        <w:spacing w:line="60" w:lineRule="exact" w:after="20"/>
      </w:pPr>
      <w:r>
        <w:rPr>
          <w:sz w:val="4"/>
        </w:rPr>
        <w:t xml:space="preserve"> </w:t>
      </w:r>
    </w:p>
    <w:p>
      <w:pPr>
        <w:pStyle w:val="Heading2"/>
        <w:keepNext/>
      </w:pPr>
      <w:r>
        <w:t>5.1. Repositório recomendado</w:t>
      </w:r>
    </w:p>
    <w:tbl>
      <w:tblPr>
        <w:tblW w:type="auto" w:w="0"/>
        <w:tblLayout w:type="fixed"/>
        <w:tblLook w:firstColumn="1" w:firstRow="1" w:lastColumn="0" w:lastRow="0" w:noHBand="0" w:noVBand="1" w:val="04A0"/>
      </w:tblPr>
      <w:tblGrid>
        <w:gridCol w:w="9298"/>
      </w:tblGrid>
      <w:tr>
        <w:trPr>
          <w:cantSplit/>
        </w:trPr>
        <w:tc>
          <w:tcPr>
            <w:tcW w:type="dxa" w:w="9717"/>
            <w:shd w:fill="F6F9FB"/>
          </w:tcPr>
          <w:p>
            <w:pPr>
              <w:pStyle w:val="CodeText"/>
              <w:keepLines/>
            </w:pPr>
            <w:r>
              <w:t>regulatory-intermediaries-observatory/</w:t>
            </w:r>
          </w:p>
          <w:p>
            <w:pPr>
              <w:pStyle w:val="CodeText"/>
              <w:keepLines/>
            </w:pPr>
            <w:r>
              <w:t>├─ _quarto.yml               # configuração do website</w:t>
            </w:r>
          </w:p>
          <w:p>
            <w:pPr>
              <w:pStyle w:val="CodeText"/>
              <w:keepLines/>
            </w:pPr>
            <w:r>
              <w:t>├─ index.qmd                # apresentação do projeto</w:t>
            </w:r>
          </w:p>
          <w:p>
            <w:pPr>
              <w:pStyle w:val="CodeText"/>
              <w:keepLines/>
            </w:pPr>
            <w:r>
              <w:t>├─ research.qmd             # conceitos e método</w:t>
            </w:r>
          </w:p>
          <w:p>
            <w:pPr>
              <w:pStyle w:val="CodeText"/>
              <w:keepLines/>
            </w:pPr>
            <w:r>
              <w:t>├─ dataset.qmd              # documentação de dados aprovados</w:t>
            </w:r>
          </w:p>
          <w:p>
            <w:pPr>
              <w:pStyle w:val="CodeText"/>
              <w:keepLines/>
            </w:pPr>
            <w:r>
              <w:t>├─ posts/                   # blog e notas de pesquisa</w:t>
            </w:r>
          </w:p>
          <w:p>
            <w:pPr>
              <w:pStyle w:val="CodeText"/>
              <w:keepLines/>
            </w:pPr>
            <w:r>
              <w:t>├─ protocol/                # protocolos e critérios versionados</w:t>
            </w:r>
          </w:p>
          <w:p>
            <w:pPr>
              <w:pStyle w:val="CodeText"/>
              <w:keepLines/>
            </w:pPr>
            <w:r>
              <w:t>├─ codebook/                # variáveis e regras de decisão</w:t>
            </w:r>
          </w:p>
          <w:p>
            <w:pPr>
              <w:pStyle w:val="CodeText"/>
              <w:keepLines/>
            </w:pPr>
            <w:r>
              <w:t>├─ data/raw/                # entradas preservadas (não públicas)</w:t>
            </w:r>
          </w:p>
          <w:p>
            <w:pPr>
              <w:pStyle w:val="CodeText"/>
              <w:keepLines/>
            </w:pPr>
            <w:r>
              <w:t>├─ data/processed/          # exportações intermediárias</w:t>
            </w:r>
          </w:p>
          <w:p>
            <w:pPr>
              <w:pStyle w:val="CodeText"/>
              <w:keepLines/>
            </w:pPr>
            <w:r>
              <w:t>├─ data/public/             # somente versões aprovadas</w:t>
            </w:r>
          </w:p>
          <w:p>
            <w:pPr>
              <w:pStyle w:val="CodeText"/>
              <w:keepLines/>
            </w:pPr>
            <w:r>
              <w:t>├─ scripts/                 # ingestão, validação, exportação</w:t>
            </w:r>
          </w:p>
          <w:p>
            <w:pPr>
              <w:pStyle w:val="CodeText"/>
              <w:keepLines/>
            </w:pPr>
            <w:r>
              <w:t>├─ tests/                   # verificações automatizadas</w:t>
            </w:r>
          </w:p>
          <w:p>
            <w:pPr>
              <w:pStyle w:val="CodeText"/>
              <w:keepLines/>
            </w:pPr>
            <w:r>
              <w:t>├─ reports/                 # auditoria, logs e resultados</w:t>
            </w:r>
          </w:p>
          <w:p>
            <w:pPr>
              <w:pStyle w:val="CodeText"/>
              <w:keepLines/>
            </w:pPr>
            <w:r>
              <w:t>├─ README.md  ├─ .gitignore └─ LICENSE (a decidir)</w:t>
            </w:r>
          </w:p>
        </w:tc>
      </w:tr>
    </w:tbl>
    <w:p>
      <w:pPr>
        <w:spacing w:line="60" w:lineRule="exact" w:after="20"/>
      </w:pPr>
      <w:r>
        <w:rPr>
          <w:sz w:val="4"/>
        </w:rPr>
        <w:t xml:space="preserve"> </w:t>
      </w:r>
    </w:p>
    <w:p>
      <w:r>
        <w:t>A árvore acima é um alvo de organização e não pressupõe que as pastas já existam. Dados brutos, documentos restritos e identificadores pessoais não devem ser sincronizados inadvertidamente com repositórios públicos. O GitHub Pages publica páginas estáticas; não executa Python como servidor de consultas.</w:t>
      </w:r>
    </w:p>
    <w:p>
      <w:pPr>
        <w:pStyle w:val="Heading2"/>
        <w:keepNext/>
      </w:pPr>
      <w:r>
        <w:t>5.2. Passos concretos no Windows / PowerShell</w:t>
      </w:r>
    </w:p>
    <w:p>
      <w:r>
        <w:t>Pré-requisitos: instalar VS Code, Git, Python e Quarto; habilitar as extensões Python e Quarto. Criar o projeto em uma pasta de trabalho local controlada (ex.: C:\Research), mantendo o Drive compartilhado para materiais de equipe e entregas revisadas.</w:t>
      </w:r>
    </w:p>
    <w:tbl>
      <w:tblPr>
        <w:tblW w:type="auto" w:w="0"/>
        <w:tblLayout w:type="fixed"/>
        <w:tblLook w:firstColumn="1" w:firstRow="1" w:lastColumn="0" w:lastRow="0" w:noHBand="0" w:noVBand="1" w:val="04A0"/>
      </w:tblPr>
      <w:tblGrid>
        <w:gridCol w:w="9298"/>
      </w:tblGrid>
      <w:tr>
        <w:trPr>
          <w:cantSplit/>
        </w:trPr>
        <w:tc>
          <w:tcPr>
            <w:tcW w:type="dxa" w:w="9717"/>
            <w:shd w:fill="F6F9FB"/>
          </w:tcPr>
          <w:p>
            <w:pPr>
              <w:pStyle w:val="CodeText"/>
              <w:keepLines/>
            </w:pPr>
            <w:r>
              <w:t>cd C:\Research</w:t>
            </w:r>
          </w:p>
          <w:p>
            <w:pPr>
              <w:pStyle w:val="CodeText"/>
              <w:keepLines/>
            </w:pPr>
            <w:r>
              <w:t>quarto create project website regulatory-intermediaries-observatory</w:t>
            </w:r>
          </w:p>
          <w:p>
            <w:pPr>
              <w:pStyle w:val="CodeText"/>
              <w:keepLines/>
            </w:pPr>
            <w:r>
              <w:t>cd regulatory-intermediaries-observatory</w:t>
            </w:r>
          </w:p>
          <w:p>
            <w:pPr>
              <w:pStyle w:val="CodeText"/>
              <w:keepLines/>
            </w:pPr>
            <w:r>
              <w:t>python -m venv .venv</w:t>
            </w:r>
          </w:p>
          <w:p>
            <w:pPr>
              <w:pStyle w:val="CodeText"/>
              <w:keepLines/>
            </w:pPr>
            <w:r>
              <w:t>.\.venv\Scripts\python.exe -m pip install pandas pytest</w:t>
            </w:r>
          </w:p>
          <w:p>
            <w:pPr>
              <w:pStyle w:val="CodeText"/>
              <w:keepLines/>
            </w:pPr>
            <w:r>
              <w:t>git init</w:t>
            </w:r>
          </w:p>
          <w:p>
            <w:pPr>
              <w:pStyle w:val="CodeText"/>
              <w:keepLines/>
            </w:pPr>
            <w:r>
              <w:t>quarto preview</w:t>
            </w:r>
          </w:p>
        </w:tc>
      </w:tr>
    </w:tbl>
    <w:p>
      <w:pPr>
        <w:spacing w:line="60" w:lineRule="exact" w:after="20"/>
      </w:pPr>
      <w:r>
        <w:rPr>
          <w:sz w:val="4"/>
        </w:rPr>
        <w:t xml:space="preserve"> </w:t>
      </w:r>
    </w:p>
    <w:p>
      <w:pPr>
        <w:pStyle w:val="SmallNote"/>
      </w:pPr>
      <w:r>
        <w:t>Os comandos pressupõem que Python, Git e Quarto estejam no PATH. O exemplo evita ativar o ambiente virtual para não depender da política de execução do PowerShell. O primeiro preview é local, não publica conteúdo na internet.</w:t>
      </w:r>
    </w:p>
    <w:p>
      <w:pPr>
        <w:pStyle w:val="Heading2"/>
        <w:keepNext/>
      </w:pPr>
      <w:r>
        <w:t>5.3. Pipeline de execução</w:t>
      </w:r>
    </w:p>
    <w:p>
      <w:pPr>
        <w:spacing w:after="60"/>
        <w:ind w:left="312" w:hanging="227"/>
      </w:pPr>
      <w:r>
        <w:rPr>
          <w:b/>
        </w:rPr>
        <w:t xml:space="preserve">1. </w:t>
      </w:r>
      <w:r>
        <w:t>Descobrir fontes → salvar URLs, metadados e data de consulta.</w:t>
      </w:r>
    </w:p>
    <w:p>
      <w:pPr>
        <w:spacing w:after="60"/>
        <w:ind w:left="312" w:hanging="227"/>
      </w:pPr>
      <w:r>
        <w:rPr>
          <w:b/>
        </w:rPr>
        <w:t xml:space="preserve">2. </w:t>
      </w:r>
      <w:r>
        <w:t>Extrair dados permitidos → preservar arquivos brutos e hashes quando pertinente.</w:t>
      </w:r>
    </w:p>
    <w:p>
      <w:pPr>
        <w:spacing w:after="60"/>
        <w:ind w:left="312" w:hanging="227"/>
      </w:pPr>
      <w:r>
        <w:rPr>
          <w:b/>
        </w:rPr>
        <w:t xml:space="preserve">3. </w:t>
      </w:r>
      <w:r>
        <w:t>Normalizar campos → atribuir IDs, controlar duplicatas e preparar relações.</w:t>
      </w:r>
    </w:p>
    <w:p>
      <w:pPr>
        <w:spacing w:after="60"/>
        <w:ind w:left="312" w:hanging="227"/>
      </w:pPr>
      <w:r>
        <w:rPr>
          <w:b/>
        </w:rPr>
        <w:t xml:space="preserve">4. </w:t>
      </w:r>
      <w:r>
        <w:t>Executar validações automáticas → integridade, completude, tipos, vínculos e domínio de valores.</w:t>
      </w:r>
    </w:p>
    <w:p>
      <w:pPr>
        <w:spacing w:after="60"/>
        <w:ind w:left="312" w:hanging="227"/>
      </w:pPr>
      <w:r>
        <w:rPr>
          <w:b/>
        </w:rPr>
        <w:t xml:space="preserve">5. </w:t>
      </w:r>
      <w:r>
        <w:t>Codificação/revisão humana → conciliação das classificações e aprovação dos registros.</w:t>
      </w:r>
    </w:p>
    <w:p>
      <w:pPr>
        <w:spacing w:after="60"/>
        <w:ind w:left="312" w:hanging="227"/>
      </w:pPr>
      <w:r>
        <w:rPr>
          <w:b/>
        </w:rPr>
        <w:t xml:space="preserve">6. </w:t>
      </w:r>
      <w:r>
        <w:t>Gerar snapshots aprovados → CSV, codebook, changelog e relatórios.</w:t>
      </w:r>
    </w:p>
    <w:p>
      <w:pPr>
        <w:spacing w:after="60"/>
        <w:ind w:left="312" w:hanging="227"/>
      </w:pPr>
      <w:r>
        <w:rPr>
          <w:b/>
        </w:rPr>
        <w:t xml:space="preserve">7. </w:t>
      </w:r>
      <w:r>
        <w:t>Atualizar páginas Quarto → revisar conteúdo, construir site e só então publicar.</w:t>
      </w:r>
    </w:p>
    <w:p>
      <w:pPr>
        <w:pStyle w:val="Heading1"/>
        <w:keepNext/>
      </w:pPr>
      <w:r>
        <w:t>6. Website, blog e estratégia editorial</w:t>
      </w:r>
    </w:p>
    <w:p>
      <w:r>
        <w:t>O site deve existir como resultado editorial de um fluxo científico. A primeira versão pode ser minimalista e inteiramente estática: cinco seções e um blog, sem autenticação, painel interativo ou banco online.</w:t>
      </w:r>
    </w:p>
    <w:tbl>
      <w:tblPr>
        <w:tblW w:type="auto" w:w="0"/>
        <w:jc w:val="center"/>
        <w:tblLayout w:type="fixed"/>
        <w:tblLook w:firstColumn="1" w:firstRow="1" w:lastColumn="0" w:lastRow="0" w:noHBand="0" w:noVBand="1" w:val="04A0"/>
      </w:tblPr>
      <w:tblGrid>
        <w:gridCol w:w="2098"/>
        <w:gridCol w:w="7172"/>
      </w:tblGrid>
      <w:tr>
        <w:trPr>
          <w:cantSplit/>
          <w:tblHeader w:val="true"/>
        </w:trPr>
        <w:tc>
          <w:tcPr>
            <w:tcW w:type="dxa" w:w="4858"/>
            <w:shd w:fill="1C3146"/>
          </w:tcPr>
          <w:p>
            <w:pPr>
              <w:pStyle w:val="TableText"/>
              <w:keepLines/>
            </w:pPr>
            <w:r>
              <w:rPr>
                <w:b/>
                <w:color w:val="FFFFFF"/>
                <w:sz w:val="16"/>
              </w:rPr>
              <w:t>Página</w:t>
            </w:r>
          </w:p>
        </w:tc>
        <w:tc>
          <w:tcPr>
            <w:tcW w:type="dxa" w:w="4858"/>
            <w:shd w:fill="1C3146"/>
          </w:tcPr>
          <w:p>
            <w:pPr>
              <w:pStyle w:val="TableText"/>
              <w:keepLines/>
            </w:pPr>
            <w:r>
              <w:rPr>
                <w:b/>
                <w:color w:val="FFFFFF"/>
                <w:sz w:val="16"/>
              </w:rPr>
              <w:t>Conteúdo essencial</w:t>
            </w:r>
          </w:p>
        </w:tc>
      </w:tr>
      <w:tr>
        <w:trPr>
          <w:cantSplit/>
        </w:trPr>
        <w:tc>
          <w:tcPr>
            <w:tcW w:type="dxa" w:w="2098"/>
            <w:vAlign w:val="center"/>
            <w:shd w:fill="F6F9FB"/>
            <w:tcBorders>
              <w:bottom w:val="single" w:sz="4" w:color="DDE7EA"/>
            </w:tcBorders>
          </w:tcPr>
          <w:p>
            <w:pPr>
              <w:pStyle w:val="TableText"/>
              <w:keepLines/>
            </w:pPr>
            <w:r>
              <w:t>Home</w:t>
            </w:r>
          </w:p>
        </w:tc>
        <w:tc>
          <w:tcPr>
            <w:tcW w:type="dxa" w:w="7172"/>
            <w:vAlign w:val="center"/>
            <w:shd w:fill="F6F9FB"/>
            <w:tcBorders>
              <w:bottom w:val="single" w:sz="4" w:color="DDE7EA"/>
            </w:tcBorders>
          </w:tcPr>
          <w:p>
            <w:pPr>
              <w:pStyle w:val="TableText"/>
              <w:keepLines/>
            </w:pPr>
            <w:r>
              <w:t>Problema de pesquisa, proposta de valor, estágio e responsáveis autorizados.</w:t>
            </w:r>
          </w:p>
        </w:tc>
      </w:tr>
      <w:tr>
        <w:trPr>
          <w:cantSplit/>
        </w:trPr>
        <w:tc>
          <w:tcPr>
            <w:tcW w:type="dxa" w:w="2098"/>
            <w:vAlign w:val="center"/>
            <w:tcBorders>
              <w:bottom w:val="single" w:sz="4" w:color="DDE7EA"/>
            </w:tcBorders>
          </w:tcPr>
          <w:p>
            <w:pPr>
              <w:pStyle w:val="TableText"/>
              <w:keepLines/>
            </w:pPr>
            <w:r>
              <w:t>Research</w:t>
            </w:r>
          </w:p>
        </w:tc>
        <w:tc>
          <w:tcPr>
            <w:tcW w:type="dxa" w:w="7172"/>
            <w:vAlign w:val="center"/>
            <w:tcBorders>
              <w:bottom w:val="single" w:sz="4" w:color="DDE7EA"/>
            </w:tcBorders>
          </w:tcPr>
          <w:p>
            <w:pPr>
              <w:pStyle w:val="TableText"/>
              <w:keepLines/>
            </w:pPr>
            <w:r>
              <w:t>Fundamentação RIT, perguntas, protocolo, limites, referências.</w:t>
            </w:r>
          </w:p>
        </w:tc>
      </w:tr>
      <w:tr>
        <w:trPr>
          <w:cantSplit/>
        </w:trPr>
        <w:tc>
          <w:tcPr>
            <w:tcW w:type="dxa" w:w="2098"/>
            <w:vAlign w:val="center"/>
            <w:shd w:fill="F6F9FB"/>
            <w:tcBorders>
              <w:bottom w:val="single" w:sz="4" w:color="DDE7EA"/>
            </w:tcBorders>
          </w:tcPr>
          <w:p>
            <w:pPr>
              <w:pStyle w:val="TableText"/>
              <w:keepLines/>
            </w:pPr>
            <w:r>
              <w:t>Dataset</w:t>
            </w:r>
          </w:p>
        </w:tc>
        <w:tc>
          <w:tcPr>
            <w:tcW w:type="dxa" w:w="7172"/>
            <w:vAlign w:val="center"/>
            <w:shd w:fill="F6F9FB"/>
            <w:tcBorders>
              <w:bottom w:val="single" w:sz="4" w:color="DDE7EA"/>
            </w:tcBorders>
          </w:tcPr>
          <w:p>
            <w:pPr>
              <w:pStyle w:val="TableText"/>
              <w:keepLines/>
            </w:pPr>
            <w:r>
              <w:t>Escopo das trilhas A/B; esquema; codebook; changelog; links para dados validados.</w:t>
            </w:r>
          </w:p>
        </w:tc>
      </w:tr>
      <w:tr>
        <w:trPr>
          <w:cantSplit/>
        </w:trPr>
        <w:tc>
          <w:tcPr>
            <w:tcW w:type="dxa" w:w="2098"/>
            <w:vAlign w:val="center"/>
            <w:tcBorders>
              <w:bottom w:val="single" w:sz="4" w:color="DDE7EA"/>
            </w:tcBorders>
          </w:tcPr>
          <w:p>
            <w:pPr>
              <w:pStyle w:val="TableText"/>
              <w:keepLines/>
            </w:pPr>
            <w:r>
              <w:t>Blog</w:t>
            </w:r>
          </w:p>
        </w:tc>
        <w:tc>
          <w:tcPr>
            <w:tcW w:type="dxa" w:w="7172"/>
            <w:vAlign w:val="center"/>
            <w:tcBorders>
              <w:bottom w:val="single" w:sz="4" w:color="DDE7EA"/>
            </w:tcBorders>
          </w:tcPr>
          <w:p>
            <w:pPr>
              <w:pStyle w:val="TableText"/>
              <w:keepLines/>
            </w:pPr>
            <w:r>
              <w:t>Textos conceituais, notas metodológicas, análises e versões.</w:t>
            </w:r>
          </w:p>
        </w:tc>
      </w:tr>
      <w:tr>
        <w:trPr>
          <w:cantSplit/>
        </w:trPr>
        <w:tc>
          <w:tcPr>
            <w:tcW w:type="dxa" w:w="2098"/>
            <w:vAlign w:val="center"/>
            <w:shd w:fill="F6F9FB"/>
            <w:tcBorders>
              <w:bottom w:val="single" w:sz="4" w:color="DDE7EA"/>
            </w:tcBorders>
          </w:tcPr>
          <w:p>
            <w:pPr>
              <w:pStyle w:val="TableText"/>
              <w:keepLines/>
            </w:pPr>
            <w:r>
              <w:t>Team / Contact</w:t>
            </w:r>
          </w:p>
        </w:tc>
        <w:tc>
          <w:tcPr>
            <w:tcW w:type="dxa" w:w="7172"/>
            <w:vAlign w:val="center"/>
            <w:shd w:fill="F6F9FB"/>
            <w:tcBorders>
              <w:bottom w:val="single" w:sz="4" w:color="DDE7EA"/>
            </w:tcBorders>
          </w:tcPr>
          <w:p>
            <w:pPr>
              <w:pStyle w:val="TableText"/>
              <w:keepLines/>
            </w:pPr>
            <w:r>
              <w:t>Equipe, afiliações e contato somente com consentimento.</w:t>
            </w:r>
          </w:p>
        </w:tc>
      </w:tr>
    </w:tbl>
    <w:p>
      <w:pPr>
        <w:spacing w:line="60" w:lineRule="exact" w:after="20"/>
      </w:pPr>
      <w:r>
        <w:rPr>
          <w:sz w:val="4"/>
        </w:rPr>
        <w:t xml:space="preserve"> </w:t>
      </w:r>
    </w:p>
    <w:p>
      <w:pPr>
        <w:pStyle w:val="Heading2"/>
        <w:keepNext/>
      </w:pPr>
      <w:r>
        <w:t>6.1. Primeiro artigo sugerido</w:t>
      </w:r>
    </w:p>
    <w:tbl>
      <w:tblPr>
        <w:tblW w:type="auto" w:w="0"/>
        <w:tblLayout w:type="fixed"/>
        <w:tblLook w:firstColumn="1" w:firstRow="1" w:lastColumn="0" w:lastRow="0" w:noHBand="0" w:noVBand="1" w:val="04A0"/>
      </w:tblPr>
      <w:tblGrid>
        <w:gridCol w:w="9326"/>
      </w:tblGrid>
      <w:tr>
        <w:trPr>
          <w:cantSplit/>
        </w:trPr>
        <w:tc>
          <w:tcPr>
            <w:tcW w:type="dxa" w:w="9717"/>
            <w:shd w:fill="E6F1F3"/>
          </w:tcPr>
          <w:p>
            <w:pPr>
              <w:keepLines/>
              <w:spacing w:before="80" w:after="80"/>
            </w:pPr>
            <w:r>
              <w:rPr>
                <w:b/>
                <w:color w:val="0C6F7F"/>
                <w:sz w:val="17"/>
              </w:rPr>
              <w:t xml:space="preserve">TÍTULO EDITORIAL  </w:t>
            </w:r>
            <w:r>
              <w:rPr>
                <w:color w:val="1C3146"/>
                <w:sz w:val="18"/>
              </w:rPr>
              <w:t>Where Are Regulatory Intermediaries in Existing Governance Datasets?</w:t>
            </w:r>
          </w:p>
        </w:tc>
      </w:tr>
    </w:tbl>
    <w:p>
      <w:pPr>
        <w:spacing w:line="60" w:lineRule="exact" w:after="20"/>
      </w:pPr>
      <w:r>
        <w:rPr>
          <w:sz w:val="4"/>
        </w:rPr>
        <w:t xml:space="preserve"> </w:t>
      </w:r>
    </w:p>
    <w:p>
      <w:r>
        <w:t>Pergunta do artigo: em que medida os datasets de governança regulatória disponíveis registram explicitamente intermediários, funções ou relações RIT? A resposta dependerá do inventário e deve reportar desenho de busca, elegibilidade, exemplos e limites — sem anunciar previamente uma “lacuna” como fato demonstrado.</w:t>
      </w:r>
    </w:p>
    <w:p>
      <w:pPr>
        <w:pStyle w:val="Heading2"/>
        <w:keepNext/>
      </w:pPr>
      <w:r>
        <w:t>6.2. Fluxo de produção de cada post</w:t>
      </w:r>
    </w:p>
    <w:p>
      <w:r>
        <w:t>Ideia → nota com pergunta e fontes → revisão factual/metodológica → autorização da equipe → publicação datada → arquivo e errata, caso necessária. Usar etiquetas editoriais inequívocas: “concept note”, “methods note”, “preliminary analysis”, “validated findings”.</w:t>
      </w:r>
    </w:p>
    <w:p>
      <w:pPr>
        <w:pStyle w:val="Heading2"/>
        <w:keepNext/>
      </w:pPr>
      <w:r>
        <w:t>6.3. Publicação técnica e DOI</w:t>
      </w:r>
    </w:p>
    <w:p>
      <w:r>
        <w:t>Depois da aprovação do material público, a equipe poderá configurar GitHub Pages no repositório do site e publicar por fluxo explícito (`quarto publish gh-pages`) ou workflow do GitHub Actions. O Zenodo poderá arquivar a versão aprovada de dados e atribuir DOI próprio. O depósito dos dados, com metadados e licença definidos, deve ser separado do arquivamento do código-fonte, quando os objetos tiverem natureza científica diferente.</w:t>
      </w:r>
    </w:p>
    <w:p>
      <w:pPr>
        <w:pStyle w:val="Heading1"/>
        <w:keepNext/>
      </w:pPr>
      <w:r>
        <w:t>7. Governança científica e protocolos de aprovação</w:t>
      </w:r>
    </w:p>
    <w:p>
      <w:r>
        <w:t>O caráter colaborativo do projeto exige diferenciar execução técnica de aprovação científica. A governança abaixo é uma sugestão de funções, não uma atribuição definitiva de responsabilidades ou autoria.</w:t>
      </w:r>
    </w:p>
    <w:tbl>
      <w:tblPr>
        <w:tblW w:type="auto" w:w="0"/>
        <w:jc w:val="center"/>
        <w:tblLayout w:type="fixed"/>
        <w:tblLook w:firstColumn="1" w:firstRow="1" w:lastColumn="0" w:lastRow="0" w:noHBand="0" w:noVBand="1" w:val="04A0"/>
      </w:tblPr>
      <w:tblGrid>
        <w:gridCol w:w="2098"/>
        <w:gridCol w:w="3487"/>
        <w:gridCol w:w="3685"/>
      </w:tblGrid>
      <w:tr>
        <w:trPr>
          <w:cantSplit/>
          <w:tblHeader w:val="true"/>
        </w:trPr>
        <w:tc>
          <w:tcPr>
            <w:tcW w:type="dxa" w:w="3239"/>
            <w:shd w:fill="1C3146"/>
          </w:tcPr>
          <w:p>
            <w:pPr>
              <w:pStyle w:val="TableText"/>
              <w:keepLines/>
            </w:pPr>
            <w:r>
              <w:rPr>
                <w:b/>
                <w:color w:val="FFFFFF"/>
                <w:sz w:val="16"/>
              </w:rPr>
              <w:t>Função proposta</w:t>
            </w:r>
          </w:p>
        </w:tc>
        <w:tc>
          <w:tcPr>
            <w:tcW w:type="dxa" w:w="3239"/>
            <w:shd w:fill="1C3146"/>
          </w:tcPr>
          <w:p>
            <w:pPr>
              <w:pStyle w:val="TableText"/>
              <w:keepLines/>
            </w:pPr>
            <w:r>
              <w:rPr>
                <w:b/>
                <w:color w:val="FFFFFF"/>
                <w:sz w:val="16"/>
              </w:rPr>
              <w:t>Responsabilidade</w:t>
            </w:r>
          </w:p>
        </w:tc>
        <w:tc>
          <w:tcPr>
            <w:tcW w:type="dxa" w:w="3239"/>
            <w:shd w:fill="1C3146"/>
          </w:tcPr>
          <w:p>
            <w:pPr>
              <w:pStyle w:val="TableText"/>
              <w:keepLines/>
            </w:pPr>
            <w:r>
              <w:rPr>
                <w:b/>
                <w:color w:val="FFFFFF"/>
                <w:sz w:val="16"/>
              </w:rPr>
              <w:t>Regra de decisão</w:t>
            </w:r>
          </w:p>
        </w:tc>
      </w:tr>
      <w:tr>
        <w:trPr>
          <w:cantSplit/>
        </w:trPr>
        <w:tc>
          <w:tcPr>
            <w:tcW w:type="dxa" w:w="2098"/>
            <w:vAlign w:val="center"/>
            <w:shd w:fill="F6F9FB"/>
            <w:tcBorders>
              <w:bottom w:val="single" w:sz="4" w:color="DDE7EA"/>
            </w:tcBorders>
          </w:tcPr>
          <w:p>
            <w:pPr>
              <w:pStyle w:val="TableText"/>
              <w:keepLines/>
            </w:pPr>
            <w:r>
              <w:t>Coordenação científica</w:t>
            </w:r>
          </w:p>
        </w:tc>
        <w:tc>
          <w:tcPr>
            <w:tcW w:type="dxa" w:w="3487"/>
            <w:vAlign w:val="center"/>
            <w:shd w:fill="F6F9FB"/>
            <w:tcBorders>
              <w:bottom w:val="single" w:sz="4" w:color="DDE7EA"/>
            </w:tcBorders>
          </w:tcPr>
          <w:p>
            <w:pPr>
              <w:pStyle w:val="TableText"/>
              <w:keepLines/>
            </w:pPr>
            <w:r>
              <w:t>Validar escopo, conceitos, agenda e linha editorial.</w:t>
            </w:r>
          </w:p>
        </w:tc>
        <w:tc>
          <w:tcPr>
            <w:tcW w:type="dxa" w:w="3685"/>
            <w:vAlign w:val="center"/>
            <w:shd w:fill="F6F9FB"/>
            <w:tcBorders>
              <w:bottom w:val="single" w:sz="4" w:color="DDE7EA"/>
            </w:tcBorders>
          </w:tcPr>
          <w:p>
            <w:pPr>
              <w:pStyle w:val="TableText"/>
              <w:keepLines/>
            </w:pPr>
            <w:r>
              <w:t>Aprovação explícita para divulgação e representação institucional.</w:t>
            </w:r>
          </w:p>
        </w:tc>
      </w:tr>
      <w:tr>
        <w:trPr>
          <w:cantSplit/>
        </w:trPr>
        <w:tc>
          <w:tcPr>
            <w:tcW w:type="dxa" w:w="2098"/>
            <w:vAlign w:val="center"/>
            <w:tcBorders>
              <w:bottom w:val="single" w:sz="4" w:color="DDE7EA"/>
            </w:tcBorders>
          </w:tcPr>
          <w:p>
            <w:pPr>
              <w:pStyle w:val="TableText"/>
              <w:keepLines/>
            </w:pPr>
            <w:r>
              <w:t>Curadoria metodológica</w:t>
            </w:r>
          </w:p>
        </w:tc>
        <w:tc>
          <w:tcPr>
            <w:tcW w:type="dxa" w:w="3487"/>
            <w:vAlign w:val="center"/>
            <w:tcBorders>
              <w:bottom w:val="single" w:sz="4" w:color="DDE7EA"/>
            </w:tcBorders>
          </w:tcPr>
          <w:p>
            <w:pPr>
              <w:pStyle w:val="TableText"/>
              <w:keepLines/>
            </w:pPr>
            <w:r>
              <w:t>Manter protocolo, codebook, elegibilidade, adjudicação.</w:t>
            </w:r>
          </w:p>
        </w:tc>
        <w:tc>
          <w:tcPr>
            <w:tcW w:type="dxa" w:w="3685"/>
            <w:vAlign w:val="center"/>
            <w:tcBorders>
              <w:bottom w:val="single" w:sz="4" w:color="DDE7EA"/>
            </w:tcBorders>
          </w:tcPr>
          <w:p>
            <w:pPr>
              <w:pStyle w:val="TableText"/>
              <w:keepLines/>
            </w:pPr>
            <w:r>
              <w:t>Mudanças substantivas documentadas em changelog.</w:t>
            </w:r>
          </w:p>
        </w:tc>
      </w:tr>
      <w:tr>
        <w:trPr>
          <w:cantSplit/>
        </w:trPr>
        <w:tc>
          <w:tcPr>
            <w:tcW w:type="dxa" w:w="2098"/>
            <w:vAlign w:val="center"/>
            <w:shd w:fill="F6F9FB"/>
            <w:tcBorders>
              <w:bottom w:val="single" w:sz="4" w:color="DDE7EA"/>
            </w:tcBorders>
          </w:tcPr>
          <w:p>
            <w:pPr>
              <w:pStyle w:val="TableText"/>
              <w:keepLines/>
            </w:pPr>
            <w:r>
              <w:t>Engenharia de pesquisa</w:t>
            </w:r>
          </w:p>
        </w:tc>
        <w:tc>
          <w:tcPr>
            <w:tcW w:type="dxa" w:w="3487"/>
            <w:vAlign w:val="center"/>
            <w:shd w:fill="F6F9FB"/>
            <w:tcBorders>
              <w:bottom w:val="single" w:sz="4" w:color="DDE7EA"/>
            </w:tcBorders>
          </w:tcPr>
          <w:p>
            <w:pPr>
              <w:pStyle w:val="TableText"/>
              <w:keepLines/>
            </w:pPr>
            <w:r>
              <w:t>Scripts, banco, verificações, site, versionamento.</w:t>
            </w:r>
          </w:p>
        </w:tc>
        <w:tc>
          <w:tcPr>
            <w:tcW w:type="dxa" w:w="3685"/>
            <w:vAlign w:val="center"/>
            <w:shd w:fill="F6F9FB"/>
            <w:tcBorders>
              <w:bottom w:val="single" w:sz="4" w:color="DDE7EA"/>
            </w:tcBorders>
          </w:tcPr>
          <w:p>
            <w:pPr>
              <w:pStyle w:val="TableText"/>
              <w:keepLines/>
            </w:pPr>
            <w:r>
              <w:t>Mudanças via revisão de código e testes.</w:t>
            </w:r>
          </w:p>
        </w:tc>
      </w:tr>
      <w:tr>
        <w:trPr>
          <w:cantSplit/>
        </w:trPr>
        <w:tc>
          <w:tcPr>
            <w:tcW w:type="dxa" w:w="2098"/>
            <w:vAlign w:val="center"/>
            <w:tcBorders>
              <w:bottom w:val="single" w:sz="4" w:color="DDE7EA"/>
            </w:tcBorders>
          </w:tcPr>
          <w:p>
            <w:pPr>
              <w:pStyle w:val="TableText"/>
              <w:keepLines/>
            </w:pPr>
            <w:r>
              <w:t>Codificadores/revisores</w:t>
            </w:r>
          </w:p>
        </w:tc>
        <w:tc>
          <w:tcPr>
            <w:tcW w:type="dxa" w:w="3487"/>
            <w:vAlign w:val="center"/>
            <w:tcBorders>
              <w:bottom w:val="single" w:sz="4" w:color="DDE7EA"/>
            </w:tcBorders>
          </w:tcPr>
          <w:p>
            <w:pPr>
              <w:pStyle w:val="TableText"/>
              <w:keepLines/>
            </w:pPr>
            <w:r>
              <w:t>Extrair evidências e codificar de modo independente.</w:t>
            </w:r>
          </w:p>
        </w:tc>
        <w:tc>
          <w:tcPr>
            <w:tcW w:type="dxa" w:w="3685"/>
            <w:vAlign w:val="center"/>
            <w:tcBorders>
              <w:bottom w:val="single" w:sz="4" w:color="DDE7EA"/>
            </w:tcBorders>
          </w:tcPr>
          <w:p>
            <w:pPr>
              <w:pStyle w:val="TableText"/>
              <w:keepLines/>
            </w:pPr>
            <w:r>
              <w:t>Registrar divergências, não apagar desacordos.</w:t>
            </w:r>
          </w:p>
        </w:tc>
      </w:tr>
    </w:tbl>
    <w:p>
      <w:pPr>
        <w:spacing w:line="60" w:lineRule="exact" w:after="20"/>
      </w:pPr>
      <w:r>
        <w:rPr>
          <w:sz w:val="4"/>
        </w:rPr>
        <w:t xml:space="preserve"> </w:t>
      </w:r>
    </w:p>
    <w:p>
      <w:pPr>
        <w:pStyle w:val="Heading2"/>
        <w:keepNext/>
      </w:pPr>
      <w:r>
        <w:t>7.1. Portões de qualidade (stage gates)</w:t>
      </w:r>
    </w:p>
    <w:tbl>
      <w:tblPr>
        <w:tblW w:type="auto" w:w="0"/>
        <w:jc w:val="center"/>
        <w:tblLayout w:type="fixed"/>
        <w:tblLook w:firstColumn="1" w:firstRow="1" w:lastColumn="0" w:lastRow="0" w:noHBand="0" w:noVBand="1" w:val="04A0"/>
      </w:tblPr>
      <w:tblGrid>
        <w:gridCol w:w="2268"/>
        <w:gridCol w:w="6973"/>
      </w:tblGrid>
      <w:tr>
        <w:trPr>
          <w:cantSplit/>
          <w:tblHeader w:val="true"/>
        </w:trPr>
        <w:tc>
          <w:tcPr>
            <w:tcW w:type="dxa" w:w="4858"/>
            <w:shd w:fill="1C3146"/>
          </w:tcPr>
          <w:p>
            <w:pPr>
              <w:pStyle w:val="TableText"/>
              <w:keepLines/>
            </w:pPr>
            <w:r>
              <w:rPr>
                <w:b/>
                <w:color w:val="FFFFFF"/>
                <w:sz w:val="16"/>
              </w:rPr>
              <w:t>Gate</w:t>
            </w:r>
          </w:p>
        </w:tc>
        <w:tc>
          <w:tcPr>
            <w:tcW w:type="dxa" w:w="4858"/>
            <w:shd w:fill="1C3146"/>
          </w:tcPr>
          <w:p>
            <w:pPr>
              <w:pStyle w:val="TableText"/>
              <w:keepLines/>
            </w:pPr>
            <w:r>
              <w:rPr>
                <w:b/>
                <w:color w:val="FFFFFF"/>
                <w:sz w:val="16"/>
              </w:rPr>
              <w:t>Critério para avançar</w:t>
            </w:r>
          </w:p>
        </w:tc>
      </w:tr>
      <w:tr>
        <w:trPr>
          <w:cantSplit/>
        </w:trPr>
        <w:tc>
          <w:tcPr>
            <w:tcW w:type="dxa" w:w="2268"/>
            <w:vAlign w:val="center"/>
            <w:shd w:fill="F6F9FB"/>
            <w:tcBorders>
              <w:bottom w:val="single" w:sz="4" w:color="DDE7EA"/>
            </w:tcBorders>
          </w:tcPr>
          <w:p>
            <w:pPr>
              <w:pStyle w:val="TableText"/>
              <w:keepLines/>
            </w:pPr>
            <w:r>
              <w:t>G0 — Aprovação da concepção</w:t>
            </w:r>
          </w:p>
        </w:tc>
        <w:tc>
          <w:tcPr>
            <w:tcW w:type="dxa" w:w="6973"/>
            <w:vAlign w:val="center"/>
            <w:shd w:fill="F6F9FB"/>
            <w:tcBorders>
              <w:bottom w:val="single" w:sz="4" w:color="DDE7EA"/>
            </w:tcBorders>
          </w:tcPr>
          <w:p>
            <w:pPr>
              <w:pStyle w:val="TableText"/>
              <w:keepLines/>
            </w:pPr>
            <w:r>
              <w:t>Escopo, objetivos, autoria potencial e regras de divulgação discutidos.</w:t>
            </w:r>
          </w:p>
        </w:tc>
      </w:tr>
      <w:tr>
        <w:trPr>
          <w:cantSplit/>
        </w:trPr>
        <w:tc>
          <w:tcPr>
            <w:tcW w:type="dxa" w:w="2268"/>
            <w:vAlign w:val="center"/>
            <w:tcBorders>
              <w:bottom w:val="single" w:sz="4" w:color="DDE7EA"/>
            </w:tcBorders>
          </w:tcPr>
          <w:p>
            <w:pPr>
              <w:pStyle w:val="TableText"/>
              <w:keepLines/>
            </w:pPr>
            <w:r>
              <w:t>G1 — Protocolo congelado</w:t>
            </w:r>
          </w:p>
        </w:tc>
        <w:tc>
          <w:tcPr>
            <w:tcW w:type="dxa" w:w="6973"/>
            <w:vAlign w:val="center"/>
            <w:tcBorders>
              <w:bottom w:val="single" w:sz="4" w:color="DDE7EA"/>
            </w:tcBorders>
          </w:tcPr>
          <w:p>
            <w:pPr>
              <w:pStyle w:val="TableText"/>
              <w:keepLines/>
            </w:pPr>
            <w:r>
              <w:t>Critérios de busca, seleção e variáveis documentados antes do piloto.</w:t>
            </w:r>
          </w:p>
        </w:tc>
      </w:tr>
      <w:tr>
        <w:trPr>
          <w:cantSplit/>
        </w:trPr>
        <w:tc>
          <w:tcPr>
            <w:tcW w:type="dxa" w:w="2268"/>
            <w:vAlign w:val="center"/>
            <w:shd w:fill="F6F9FB"/>
            <w:tcBorders>
              <w:bottom w:val="single" w:sz="4" w:color="DDE7EA"/>
            </w:tcBorders>
          </w:tcPr>
          <w:p>
            <w:pPr>
              <w:pStyle w:val="TableText"/>
              <w:keepLines/>
            </w:pPr>
            <w:r>
              <w:t>G2 — Piloto concluído</w:t>
            </w:r>
          </w:p>
        </w:tc>
        <w:tc>
          <w:tcPr>
            <w:tcW w:type="dxa" w:w="6973"/>
            <w:vAlign w:val="center"/>
            <w:shd w:fill="F6F9FB"/>
            <w:tcBorders>
              <w:bottom w:val="single" w:sz="4" w:color="DDE7EA"/>
            </w:tcBorders>
          </w:tcPr>
          <w:p>
            <w:pPr>
              <w:pStyle w:val="TableText"/>
              <w:keepLines/>
            </w:pPr>
            <w:r>
              <w:t>Amostra justificada, registros com fontes e testes básicos de integridade.</w:t>
            </w:r>
          </w:p>
        </w:tc>
      </w:tr>
      <w:tr>
        <w:trPr>
          <w:cantSplit/>
        </w:trPr>
        <w:tc>
          <w:tcPr>
            <w:tcW w:type="dxa" w:w="2268"/>
            <w:vAlign w:val="center"/>
            <w:tcBorders>
              <w:bottom w:val="single" w:sz="4" w:color="DDE7EA"/>
            </w:tcBorders>
          </w:tcPr>
          <w:p>
            <w:pPr>
              <w:pStyle w:val="TableText"/>
              <w:keepLines/>
            </w:pPr>
            <w:r>
              <w:t>G3 — Adjudicação</w:t>
            </w:r>
          </w:p>
        </w:tc>
        <w:tc>
          <w:tcPr>
            <w:tcW w:type="dxa" w:w="6973"/>
            <w:vAlign w:val="center"/>
            <w:tcBorders>
              <w:bottom w:val="single" w:sz="4" w:color="DDE7EA"/>
            </w:tcBorders>
          </w:tcPr>
          <w:p>
            <w:pPr>
              <w:pStyle w:val="TableText"/>
              <w:keepLines/>
            </w:pPr>
            <w:r>
              <w:t>Divergências examinadas; versão do codebook e status de cada registro claros.</w:t>
            </w:r>
          </w:p>
        </w:tc>
      </w:tr>
      <w:tr>
        <w:trPr>
          <w:cantSplit/>
        </w:trPr>
        <w:tc>
          <w:tcPr>
            <w:tcW w:type="dxa" w:w="2268"/>
            <w:vAlign w:val="center"/>
            <w:shd w:fill="F6F9FB"/>
            <w:tcBorders>
              <w:bottom w:val="single" w:sz="4" w:color="DDE7EA"/>
            </w:tcBorders>
          </w:tcPr>
          <w:p>
            <w:pPr>
              <w:pStyle w:val="TableText"/>
              <w:keepLines/>
            </w:pPr>
            <w:r>
              <w:t>G4 — Pré-publicação</w:t>
            </w:r>
          </w:p>
        </w:tc>
        <w:tc>
          <w:tcPr>
            <w:tcW w:type="dxa" w:w="6973"/>
            <w:vAlign w:val="center"/>
            <w:shd w:fill="F6F9FB"/>
            <w:tcBorders>
              <w:bottom w:val="single" w:sz="4" w:color="DDE7EA"/>
            </w:tcBorders>
          </w:tcPr>
          <w:p>
            <w:pPr>
              <w:pStyle w:val="TableText"/>
              <w:keepLines/>
            </w:pPr>
            <w:r>
              <w:t>Licenças, privacidade, revisão científica, créditos e conteúdo público aprovados.</w:t>
            </w:r>
          </w:p>
        </w:tc>
      </w:tr>
      <w:tr>
        <w:trPr>
          <w:cantSplit/>
        </w:trPr>
        <w:tc>
          <w:tcPr>
            <w:tcW w:type="dxa" w:w="2268"/>
            <w:vAlign w:val="center"/>
            <w:tcBorders>
              <w:bottom w:val="single" w:sz="4" w:color="DDE7EA"/>
            </w:tcBorders>
          </w:tcPr>
          <w:p>
            <w:pPr>
              <w:pStyle w:val="TableText"/>
              <w:keepLines/>
            </w:pPr>
            <w:r>
              <w:t>G5 — Publicação versionada</w:t>
            </w:r>
          </w:p>
        </w:tc>
        <w:tc>
          <w:tcPr>
            <w:tcW w:type="dxa" w:w="6973"/>
            <w:vAlign w:val="center"/>
            <w:tcBorders>
              <w:bottom w:val="single" w:sz="4" w:color="DDE7EA"/>
            </w:tcBorders>
          </w:tcPr>
          <w:p>
            <w:pPr>
              <w:pStyle w:val="TableText"/>
              <w:keepLines/>
            </w:pPr>
            <w:r>
              <w:t>Website funcional, pacote reproduzível, release, citação e registro de mudanças.</w:t>
            </w:r>
          </w:p>
        </w:tc>
      </w:tr>
    </w:tbl>
    <w:p>
      <w:pPr>
        <w:spacing w:line="60" w:lineRule="exact" w:after="20"/>
      </w:pPr>
      <w:r>
        <w:rPr>
          <w:sz w:val="4"/>
        </w:rPr>
        <w:t xml:space="preserve"> </w:t>
      </w:r>
    </w:p>
    <w:p>
      <w:pPr>
        <w:pStyle w:val="Heading2"/>
        <w:keepNext/>
      </w:pPr>
      <w:r>
        <w:t>7.2. IA como assistente, não como validador epistêmico</w:t>
      </w:r>
    </w:p>
    <w:p>
      <w:r>
        <w:t>Agentes no VS Code podem auxiliar na montagem do repositório, testes, extração assistida e elaboração preliminar de documentação. Não devem inventar bibliografia, preencher valores ausentes sem fonte, alterar decisões adjudicadas, reescrever protocolos congelados silenciosamente, fazer coleta massiva sem verificar termos de uso ou publicar repositórios sem aprovação humana.</w:t>
      </w:r>
    </w:p>
    <w:p>
      <w:pPr>
        <w:pStyle w:val="Heading1"/>
        <w:keepNext/>
      </w:pPr>
      <w:r>
        <w:t>8. Cronograma incremental e critérios de aceite</w:t>
      </w:r>
    </w:p>
    <w:p>
      <w:r>
        <w:t>Cronograma orientativo em oito semanas de trabalho, ajustável à disponibilidade e à resposta da equipe. Os produtos do piloto devem ser obtidos antes de um lançamento público, mas um preview privado do site pode ser montado antes para testar a documentação.</w:t>
      </w:r>
    </w:p>
    <w:tbl>
      <w:tblPr>
        <w:tblW w:type="auto" w:w="0"/>
        <w:jc w:val="center"/>
        <w:tblLayout w:type="fixed"/>
        <w:tblLook w:firstColumn="1" w:firstRow="1" w:lastColumn="0" w:lastRow="0" w:noHBand="0" w:noVBand="1" w:val="04A0"/>
      </w:tblPr>
      <w:tblGrid>
        <w:gridCol w:w="1361"/>
        <w:gridCol w:w="3969"/>
        <w:gridCol w:w="3940"/>
      </w:tblGrid>
      <w:tr>
        <w:trPr>
          <w:cantSplit/>
          <w:tblHeader w:val="true"/>
        </w:trPr>
        <w:tc>
          <w:tcPr>
            <w:tcW w:type="dxa" w:w="3239"/>
            <w:shd w:fill="1C3146"/>
          </w:tcPr>
          <w:p>
            <w:pPr>
              <w:pStyle w:val="TableText"/>
              <w:keepLines/>
            </w:pPr>
            <w:r>
              <w:rPr>
                <w:b/>
                <w:color w:val="FFFFFF"/>
                <w:sz w:val="16"/>
              </w:rPr>
              <w:t>Período</w:t>
            </w:r>
          </w:p>
        </w:tc>
        <w:tc>
          <w:tcPr>
            <w:tcW w:type="dxa" w:w="3239"/>
            <w:shd w:fill="1C3146"/>
          </w:tcPr>
          <w:p>
            <w:pPr>
              <w:pStyle w:val="TableText"/>
              <w:keepLines/>
            </w:pPr>
            <w:r>
              <w:rPr>
                <w:b/>
                <w:color w:val="FFFFFF"/>
                <w:sz w:val="16"/>
              </w:rPr>
              <w:t>Execução prioritária</w:t>
            </w:r>
          </w:p>
        </w:tc>
        <w:tc>
          <w:tcPr>
            <w:tcW w:type="dxa" w:w="3239"/>
            <w:shd w:fill="1C3146"/>
          </w:tcPr>
          <w:p>
            <w:pPr>
              <w:pStyle w:val="TableText"/>
              <w:keepLines/>
            </w:pPr>
            <w:r>
              <w:rPr>
                <w:b/>
                <w:color w:val="FFFFFF"/>
                <w:sz w:val="16"/>
              </w:rPr>
              <w:t>Entregável verificável</w:t>
            </w:r>
          </w:p>
        </w:tc>
      </w:tr>
      <w:tr>
        <w:trPr>
          <w:cantSplit/>
        </w:trPr>
        <w:tc>
          <w:tcPr>
            <w:tcW w:type="dxa" w:w="1361"/>
            <w:vAlign w:val="center"/>
            <w:shd w:fill="F6F9FB"/>
            <w:tcBorders>
              <w:bottom w:val="single" w:sz="4" w:color="DDE7EA"/>
            </w:tcBorders>
          </w:tcPr>
          <w:p>
            <w:pPr>
              <w:pStyle w:val="TableText"/>
              <w:keepLines/>
            </w:pPr>
            <w:r>
              <w:t>Semana 1</w:t>
            </w:r>
          </w:p>
        </w:tc>
        <w:tc>
          <w:tcPr>
            <w:tcW w:type="dxa" w:w="3969"/>
            <w:vAlign w:val="center"/>
            <w:shd w:fill="F6F9FB"/>
            <w:tcBorders>
              <w:bottom w:val="single" w:sz="4" w:color="DDE7EA"/>
            </w:tcBorders>
          </w:tcPr>
          <w:p>
            <w:pPr>
              <w:pStyle w:val="TableText"/>
              <w:keepLines/>
            </w:pPr>
            <w:r>
              <w:t>Conceito, aprovação inicial, organização do repositório.</w:t>
            </w:r>
          </w:p>
        </w:tc>
        <w:tc>
          <w:tcPr>
            <w:tcW w:type="dxa" w:w="3940"/>
            <w:vAlign w:val="center"/>
            <w:shd w:fill="F6F9FB"/>
            <w:tcBorders>
              <w:bottom w:val="single" w:sz="4" w:color="DDE7EA"/>
            </w:tcBorders>
          </w:tcPr>
          <w:p>
            <w:pPr>
              <w:pStyle w:val="TableText"/>
              <w:keepLines/>
            </w:pPr>
            <w:r>
              <w:t>Concept note; README; G0.</w:t>
            </w:r>
          </w:p>
        </w:tc>
      </w:tr>
      <w:tr>
        <w:trPr>
          <w:cantSplit/>
        </w:trPr>
        <w:tc>
          <w:tcPr>
            <w:tcW w:type="dxa" w:w="1361"/>
            <w:vAlign w:val="center"/>
            <w:tcBorders>
              <w:bottom w:val="single" w:sz="4" w:color="DDE7EA"/>
            </w:tcBorders>
          </w:tcPr>
          <w:p>
            <w:pPr>
              <w:pStyle w:val="TableText"/>
              <w:keepLines/>
            </w:pPr>
            <w:r>
              <w:t>Semana 2</w:t>
            </w:r>
          </w:p>
        </w:tc>
        <w:tc>
          <w:tcPr>
            <w:tcW w:type="dxa" w:w="3969"/>
            <w:vAlign w:val="center"/>
            <w:tcBorders>
              <w:bottom w:val="single" w:sz="4" w:color="DDE7EA"/>
            </w:tcBorders>
          </w:tcPr>
          <w:p>
            <w:pPr>
              <w:pStyle w:val="TableText"/>
              <w:keepLines/>
            </w:pPr>
            <w:r>
              <w:t>Protocolo de escopo, estratégia de buscas e planilha de fontes.</w:t>
            </w:r>
          </w:p>
        </w:tc>
        <w:tc>
          <w:tcPr>
            <w:tcW w:type="dxa" w:w="3940"/>
            <w:vAlign w:val="center"/>
            <w:tcBorders>
              <w:bottom w:val="single" w:sz="4" w:color="DDE7EA"/>
            </w:tcBorders>
          </w:tcPr>
          <w:p>
            <w:pPr>
              <w:pStyle w:val="TableText"/>
              <w:keepLines/>
            </w:pPr>
            <w:r>
              <w:t>Protocolo v0.1; trilha A iniciada; G1.</w:t>
            </w:r>
          </w:p>
        </w:tc>
      </w:tr>
      <w:tr>
        <w:trPr>
          <w:cantSplit/>
        </w:trPr>
        <w:tc>
          <w:tcPr>
            <w:tcW w:type="dxa" w:w="1361"/>
            <w:vAlign w:val="center"/>
            <w:shd w:fill="F6F9FB"/>
            <w:tcBorders>
              <w:bottom w:val="single" w:sz="4" w:color="DDE7EA"/>
            </w:tcBorders>
          </w:tcPr>
          <w:p>
            <w:pPr>
              <w:pStyle w:val="TableText"/>
              <w:keepLines/>
            </w:pPr>
            <w:r>
              <w:t>Semanas 3–4</w:t>
            </w:r>
          </w:p>
        </w:tc>
        <w:tc>
          <w:tcPr>
            <w:tcW w:type="dxa" w:w="3969"/>
            <w:vAlign w:val="center"/>
            <w:shd w:fill="F6F9FB"/>
            <w:tcBorders>
              <w:bottom w:val="single" w:sz="4" w:color="DDE7EA"/>
            </w:tcBorders>
          </w:tcPr>
          <w:p>
            <w:pPr>
              <w:pStyle w:val="TableText"/>
              <w:keepLines/>
            </w:pPr>
            <w:r>
              <w:t>Mapeamento e triagem; candidatos e esquema RIT.</w:t>
            </w:r>
          </w:p>
        </w:tc>
        <w:tc>
          <w:tcPr>
            <w:tcW w:type="dxa" w:w="3940"/>
            <w:vAlign w:val="center"/>
            <w:shd w:fill="F6F9FB"/>
            <w:tcBorders>
              <w:bottom w:val="single" w:sz="4" w:color="DDE7EA"/>
            </w:tcBorders>
          </w:tcPr>
          <w:p>
            <w:pPr>
              <w:pStyle w:val="TableText"/>
              <w:keepLines/>
            </w:pPr>
            <w:r>
              <w:t>Inventário com trilha de decisão; esquema SQL.</w:t>
            </w:r>
          </w:p>
        </w:tc>
      </w:tr>
      <w:tr>
        <w:trPr>
          <w:cantSplit/>
        </w:trPr>
        <w:tc>
          <w:tcPr>
            <w:tcW w:type="dxa" w:w="1361"/>
            <w:vAlign w:val="center"/>
            <w:tcBorders>
              <w:bottom w:val="single" w:sz="4" w:color="DDE7EA"/>
            </w:tcBorders>
          </w:tcPr>
          <w:p>
            <w:pPr>
              <w:pStyle w:val="TableText"/>
              <w:keepLines/>
            </w:pPr>
            <w:r>
              <w:t>Semana 5</w:t>
            </w:r>
          </w:p>
        </w:tc>
        <w:tc>
          <w:tcPr>
            <w:tcW w:type="dxa" w:w="3969"/>
            <w:vAlign w:val="center"/>
            <w:tcBorders>
              <w:bottom w:val="single" w:sz="4" w:color="DDE7EA"/>
            </w:tcBorders>
          </w:tcPr>
          <w:p>
            <w:pPr>
              <w:pStyle w:val="TableText"/>
              <w:keepLines/>
            </w:pPr>
            <w:r>
              <w:t>Codificação do piloto e testes básicos.</w:t>
            </w:r>
          </w:p>
        </w:tc>
        <w:tc>
          <w:tcPr>
            <w:tcW w:type="dxa" w:w="3940"/>
            <w:vAlign w:val="center"/>
            <w:tcBorders>
              <w:bottom w:val="single" w:sz="4" w:color="DDE7EA"/>
            </w:tcBorders>
          </w:tcPr>
          <w:p>
            <w:pPr>
              <w:pStyle w:val="TableText"/>
              <w:keepLines/>
            </w:pPr>
            <w:r>
              <w:t>Dataset interno v0.1; G2.</w:t>
            </w:r>
          </w:p>
        </w:tc>
      </w:tr>
      <w:tr>
        <w:trPr>
          <w:cantSplit/>
        </w:trPr>
        <w:tc>
          <w:tcPr>
            <w:tcW w:type="dxa" w:w="1361"/>
            <w:vAlign w:val="center"/>
            <w:shd w:fill="F6F9FB"/>
            <w:tcBorders>
              <w:bottom w:val="single" w:sz="4" w:color="DDE7EA"/>
            </w:tcBorders>
          </w:tcPr>
          <w:p>
            <w:pPr>
              <w:pStyle w:val="TableText"/>
              <w:keepLines/>
            </w:pPr>
            <w:r>
              <w:t>Semana 6</w:t>
            </w:r>
          </w:p>
        </w:tc>
        <w:tc>
          <w:tcPr>
            <w:tcW w:type="dxa" w:w="3969"/>
            <w:vAlign w:val="center"/>
            <w:shd w:fill="F6F9FB"/>
            <w:tcBorders>
              <w:bottom w:val="single" w:sz="4" w:color="DDE7EA"/>
            </w:tcBorders>
          </w:tcPr>
          <w:p>
            <w:pPr>
              <w:pStyle w:val="TableText"/>
              <w:keepLines/>
            </w:pPr>
            <w:r>
              <w:t>Dupla revisão, adjudicação e correções.</w:t>
            </w:r>
          </w:p>
        </w:tc>
        <w:tc>
          <w:tcPr>
            <w:tcW w:type="dxa" w:w="3940"/>
            <w:vAlign w:val="center"/>
            <w:shd w:fill="F6F9FB"/>
            <w:tcBorders>
              <w:bottom w:val="single" w:sz="4" w:color="DDE7EA"/>
            </w:tcBorders>
          </w:tcPr>
          <w:p>
            <w:pPr>
              <w:pStyle w:val="TableText"/>
              <w:keepLines/>
            </w:pPr>
            <w:r>
              <w:t>Relatório de validação; G3.</w:t>
            </w:r>
          </w:p>
        </w:tc>
      </w:tr>
      <w:tr>
        <w:trPr>
          <w:cantSplit/>
        </w:trPr>
        <w:tc>
          <w:tcPr>
            <w:tcW w:type="dxa" w:w="1361"/>
            <w:vAlign w:val="center"/>
            <w:tcBorders>
              <w:bottom w:val="single" w:sz="4" w:color="DDE7EA"/>
            </w:tcBorders>
          </w:tcPr>
          <w:p>
            <w:pPr>
              <w:pStyle w:val="TableText"/>
              <w:keepLines/>
            </w:pPr>
            <w:r>
              <w:t>Semana 7</w:t>
            </w:r>
          </w:p>
        </w:tc>
        <w:tc>
          <w:tcPr>
            <w:tcW w:type="dxa" w:w="3969"/>
            <w:vAlign w:val="center"/>
            <w:tcBorders>
              <w:bottom w:val="single" w:sz="4" w:color="DDE7EA"/>
            </w:tcBorders>
          </w:tcPr>
          <w:p>
            <w:pPr>
              <w:pStyle w:val="TableText"/>
              <w:keepLines/>
            </w:pPr>
            <w:r>
              <w:t>Conteúdo do site, posts e pacote de publicação.</w:t>
            </w:r>
          </w:p>
        </w:tc>
        <w:tc>
          <w:tcPr>
            <w:tcW w:type="dxa" w:w="3940"/>
            <w:vAlign w:val="center"/>
            <w:tcBorders>
              <w:bottom w:val="single" w:sz="4" w:color="DDE7EA"/>
            </w:tcBorders>
          </w:tcPr>
          <w:p>
            <w:pPr>
              <w:pStyle w:val="TableText"/>
              <w:keepLines/>
            </w:pPr>
            <w:r>
              <w:t>Preview local, dataset aprovado e checklist G4.</w:t>
            </w:r>
          </w:p>
        </w:tc>
      </w:tr>
      <w:tr>
        <w:trPr>
          <w:cantSplit/>
        </w:trPr>
        <w:tc>
          <w:tcPr>
            <w:tcW w:type="dxa" w:w="1361"/>
            <w:vAlign w:val="center"/>
            <w:shd w:fill="F6F9FB"/>
            <w:tcBorders>
              <w:bottom w:val="single" w:sz="4" w:color="DDE7EA"/>
            </w:tcBorders>
          </w:tcPr>
          <w:p>
            <w:pPr>
              <w:pStyle w:val="TableText"/>
              <w:keepLines/>
            </w:pPr>
            <w:r>
              <w:t>Semana 8</w:t>
            </w:r>
          </w:p>
        </w:tc>
        <w:tc>
          <w:tcPr>
            <w:tcW w:type="dxa" w:w="3969"/>
            <w:vAlign w:val="center"/>
            <w:shd w:fill="F6F9FB"/>
            <w:tcBorders>
              <w:bottom w:val="single" w:sz="4" w:color="DDE7EA"/>
            </w:tcBorders>
          </w:tcPr>
          <w:p>
            <w:pPr>
              <w:pStyle w:val="TableText"/>
              <w:keepLines/>
            </w:pPr>
            <w:r>
              <w:t>Publicação autorizada e arquivamento.</w:t>
            </w:r>
          </w:p>
        </w:tc>
        <w:tc>
          <w:tcPr>
            <w:tcW w:type="dxa" w:w="3940"/>
            <w:vAlign w:val="center"/>
            <w:shd w:fill="F6F9FB"/>
            <w:tcBorders>
              <w:bottom w:val="single" w:sz="4" w:color="DDE7EA"/>
            </w:tcBorders>
          </w:tcPr>
          <w:p>
            <w:pPr>
              <w:pStyle w:val="TableText"/>
              <w:keepLines/>
            </w:pPr>
            <w:r>
              <w:t>Release, site e DOI quando aplicável; G5.</w:t>
            </w:r>
          </w:p>
        </w:tc>
      </w:tr>
    </w:tbl>
    <w:p>
      <w:pPr>
        <w:spacing w:line="60" w:lineRule="exact" w:after="20"/>
      </w:pPr>
      <w:r>
        <w:rPr>
          <w:sz w:val="4"/>
        </w:rPr>
        <w:t xml:space="preserve"> </w:t>
      </w:r>
    </w:p>
    <w:p>
      <w:pPr>
        <w:pStyle w:val="Heading2"/>
        <w:keepNext/>
      </w:pPr>
      <w:r>
        <w:t>8.1. Critérios mínimos para considerar o piloto concluído</w:t>
      </w:r>
    </w:p>
    <w:p>
      <w:pPr>
        <w:pStyle w:val="ListBullet"/>
        <w:spacing w:after="60"/>
        <w:ind w:left="312"/>
      </w:pPr>
      <w:r>
        <w:t>100% dos registros têm ID e status rastreáveis; nenhuma chave estrangeira órfã.</w:t>
      </w:r>
    </w:p>
    <w:p>
      <w:pPr>
        <w:pStyle w:val="ListBullet"/>
        <w:spacing w:after="60"/>
        <w:ind w:left="312"/>
      </w:pPr>
      <w:r>
        <w:t>Todo papel I ou relação codificada tem referência de fonte e justificativa recuperável.</w:t>
      </w:r>
    </w:p>
    <w:p>
      <w:pPr>
        <w:pStyle w:val="ListBullet"/>
        <w:spacing w:after="60"/>
        <w:ind w:left="312"/>
      </w:pPr>
      <w:r>
        <w:t>Há documentação dos critérios de inclusão/exclusão e seleção de casos.</w:t>
      </w:r>
    </w:p>
    <w:p>
      <w:pPr>
        <w:pStyle w:val="ListBullet"/>
        <w:spacing w:after="60"/>
        <w:ind w:left="312"/>
      </w:pPr>
      <w:r>
        <w:t>Os casos sujeitos à dupla codificação têm desacordos e adjudicação registrados.</w:t>
      </w:r>
    </w:p>
    <w:p>
      <w:pPr>
        <w:pStyle w:val="ListBullet"/>
        <w:spacing w:after="60"/>
        <w:ind w:left="312"/>
      </w:pPr>
      <w:r>
        <w:t>Codebook, esquema, scripts de validação e changelog são versionados.</w:t>
      </w:r>
    </w:p>
    <w:p>
      <w:pPr>
        <w:pStyle w:val="ListBullet"/>
        <w:spacing w:after="60"/>
        <w:ind w:left="312"/>
      </w:pPr>
      <w:r>
        <w:t>Os dados públicos são explicitamente separados de entradas restritas e derivados provisórios.</w:t>
      </w:r>
    </w:p>
    <w:p>
      <w:pPr>
        <w:pStyle w:val="Heading1"/>
        <w:keepNext/>
      </w:pPr>
      <w:r>
        <w:t>9. Riscos e salvaguardas</w:t>
      </w:r>
    </w:p>
    <w:tbl>
      <w:tblPr>
        <w:tblW w:type="auto" w:w="0"/>
        <w:jc w:val="center"/>
        <w:tblLayout w:type="fixed"/>
        <w:tblLook w:firstColumn="1" w:firstRow="1" w:lastColumn="0" w:lastRow="0" w:noHBand="0" w:noVBand="1" w:val="04A0"/>
      </w:tblPr>
      <w:tblGrid>
        <w:gridCol w:w="2268"/>
        <w:gridCol w:w="3005"/>
        <w:gridCol w:w="3997"/>
      </w:tblGrid>
      <w:tr>
        <w:trPr>
          <w:cantSplit/>
          <w:tblHeader w:val="true"/>
        </w:trPr>
        <w:tc>
          <w:tcPr>
            <w:tcW w:type="dxa" w:w="3239"/>
            <w:shd w:fill="1C3146"/>
          </w:tcPr>
          <w:p>
            <w:pPr>
              <w:pStyle w:val="TableText"/>
              <w:keepLines/>
            </w:pPr>
            <w:r>
              <w:rPr>
                <w:b/>
                <w:color w:val="FFFFFF"/>
                <w:sz w:val="16"/>
              </w:rPr>
              <w:t>Risco</w:t>
            </w:r>
          </w:p>
        </w:tc>
        <w:tc>
          <w:tcPr>
            <w:tcW w:type="dxa" w:w="3239"/>
            <w:shd w:fill="1C3146"/>
          </w:tcPr>
          <w:p>
            <w:pPr>
              <w:pStyle w:val="TableText"/>
              <w:keepLines/>
            </w:pPr>
            <w:r>
              <w:rPr>
                <w:b/>
                <w:color w:val="FFFFFF"/>
                <w:sz w:val="16"/>
              </w:rPr>
              <w:t>Consequência</w:t>
            </w:r>
          </w:p>
        </w:tc>
        <w:tc>
          <w:tcPr>
            <w:tcW w:type="dxa" w:w="3239"/>
            <w:shd w:fill="1C3146"/>
          </w:tcPr>
          <w:p>
            <w:pPr>
              <w:pStyle w:val="TableText"/>
              <w:keepLines/>
            </w:pPr>
            <w:r>
              <w:rPr>
                <w:b/>
                <w:color w:val="FFFFFF"/>
                <w:sz w:val="16"/>
              </w:rPr>
              <w:t>Mitigação</w:t>
            </w:r>
          </w:p>
        </w:tc>
      </w:tr>
      <w:tr>
        <w:trPr>
          <w:cantSplit/>
        </w:trPr>
        <w:tc>
          <w:tcPr>
            <w:tcW w:type="dxa" w:w="2268"/>
            <w:vAlign w:val="center"/>
            <w:shd w:fill="F6F9FB"/>
            <w:tcBorders>
              <w:bottom w:val="single" w:sz="4" w:color="DDE7EA"/>
            </w:tcBorders>
          </w:tcPr>
          <w:p>
            <w:pPr>
              <w:pStyle w:val="TableText"/>
              <w:keepLines/>
            </w:pPr>
            <w:r>
              <w:t>Confundir ator com papel</w:t>
            </w:r>
          </w:p>
        </w:tc>
        <w:tc>
          <w:tcPr>
            <w:tcW w:type="dxa" w:w="3005"/>
            <w:vAlign w:val="center"/>
            <w:shd w:fill="F6F9FB"/>
            <w:tcBorders>
              <w:bottom w:val="single" w:sz="4" w:color="DDE7EA"/>
            </w:tcBorders>
          </w:tcPr>
          <w:p>
            <w:pPr>
              <w:pStyle w:val="TableText"/>
              <w:keepLines/>
            </w:pPr>
            <w:r>
              <w:t>Falsos positivos de intermediação.</w:t>
            </w:r>
          </w:p>
        </w:tc>
        <w:tc>
          <w:tcPr>
            <w:tcW w:type="dxa" w:w="3997"/>
            <w:vAlign w:val="center"/>
            <w:shd w:fill="F6F9FB"/>
            <w:tcBorders>
              <w:bottom w:val="single" w:sz="4" w:color="DDE7EA"/>
            </w:tcBorders>
          </w:tcPr>
          <w:p>
            <w:pPr>
              <w:pStyle w:val="TableText"/>
              <w:keepLines/>
            </w:pPr>
            <w:r>
              <w:t>Papel sempre contextual a episódio e evidência.</w:t>
            </w:r>
          </w:p>
        </w:tc>
      </w:tr>
      <w:tr>
        <w:trPr>
          <w:cantSplit/>
        </w:trPr>
        <w:tc>
          <w:tcPr>
            <w:tcW w:type="dxa" w:w="2268"/>
            <w:vAlign w:val="center"/>
            <w:tcBorders>
              <w:bottom w:val="single" w:sz="4" w:color="DDE7EA"/>
            </w:tcBorders>
          </w:tcPr>
          <w:p>
            <w:pPr>
              <w:pStyle w:val="TableText"/>
              <w:keepLines/>
            </w:pPr>
            <w:r>
              <w:t>Inferência automatizada excessiva</w:t>
            </w:r>
          </w:p>
        </w:tc>
        <w:tc>
          <w:tcPr>
            <w:tcW w:type="dxa" w:w="3005"/>
            <w:vAlign w:val="center"/>
            <w:tcBorders>
              <w:bottom w:val="single" w:sz="4" w:color="DDE7EA"/>
            </w:tcBorders>
          </w:tcPr>
          <w:p>
            <w:pPr>
              <w:pStyle w:val="TableText"/>
              <w:keepLines/>
            </w:pPr>
            <w:r>
              <w:t>Reprodutibilidade apenas aparente.</w:t>
            </w:r>
          </w:p>
        </w:tc>
        <w:tc>
          <w:tcPr>
            <w:tcW w:type="dxa" w:w="3997"/>
            <w:vAlign w:val="center"/>
            <w:tcBorders>
              <w:bottom w:val="single" w:sz="4" w:color="DDE7EA"/>
            </w:tcBorders>
          </w:tcPr>
          <w:p>
            <w:pPr>
              <w:pStyle w:val="TableText"/>
              <w:keepLines/>
            </w:pPr>
            <w:r>
              <w:t>Revisão de fontes e status inferencial explícito.</w:t>
            </w:r>
          </w:p>
        </w:tc>
      </w:tr>
      <w:tr>
        <w:trPr>
          <w:cantSplit/>
        </w:trPr>
        <w:tc>
          <w:tcPr>
            <w:tcW w:type="dxa" w:w="2268"/>
            <w:vAlign w:val="center"/>
            <w:shd w:fill="F6F9FB"/>
            <w:tcBorders>
              <w:bottom w:val="single" w:sz="4" w:color="DDE7EA"/>
            </w:tcBorders>
          </w:tcPr>
          <w:p>
            <w:pPr>
              <w:pStyle w:val="TableText"/>
              <w:keepLines/>
            </w:pPr>
            <w:r>
              <w:t>Amostra oportunista</w:t>
            </w:r>
          </w:p>
        </w:tc>
        <w:tc>
          <w:tcPr>
            <w:tcW w:type="dxa" w:w="3005"/>
            <w:vAlign w:val="center"/>
            <w:shd w:fill="F6F9FB"/>
            <w:tcBorders>
              <w:bottom w:val="single" w:sz="4" w:color="DDE7EA"/>
            </w:tcBorders>
          </w:tcPr>
          <w:p>
            <w:pPr>
              <w:pStyle w:val="TableText"/>
              <w:keepLines/>
            </w:pPr>
            <w:r>
              <w:t>Conclusões generalizadas indevidamente.</w:t>
            </w:r>
          </w:p>
        </w:tc>
        <w:tc>
          <w:tcPr>
            <w:tcW w:type="dxa" w:w="3997"/>
            <w:vAlign w:val="center"/>
            <w:shd w:fill="F6F9FB"/>
            <w:tcBorders>
              <w:bottom w:val="single" w:sz="4" w:color="DDE7EA"/>
            </w:tcBorders>
          </w:tcPr>
          <w:p>
            <w:pPr>
              <w:pStyle w:val="TableText"/>
              <w:keepLines/>
            </w:pPr>
            <w:r>
              <w:t>Seleção teórica documentada; não inferir prevalência.</w:t>
            </w:r>
          </w:p>
        </w:tc>
      </w:tr>
      <w:tr>
        <w:trPr>
          <w:cantSplit/>
        </w:trPr>
        <w:tc>
          <w:tcPr>
            <w:tcW w:type="dxa" w:w="2268"/>
            <w:vAlign w:val="center"/>
            <w:tcBorders>
              <w:bottom w:val="single" w:sz="4" w:color="DDE7EA"/>
            </w:tcBorders>
          </w:tcPr>
          <w:p>
            <w:pPr>
              <w:pStyle w:val="TableText"/>
              <w:keepLines/>
            </w:pPr>
            <w:r>
              <w:t>Licenças e direitos</w:t>
            </w:r>
          </w:p>
        </w:tc>
        <w:tc>
          <w:tcPr>
            <w:tcW w:type="dxa" w:w="3005"/>
            <w:vAlign w:val="center"/>
            <w:tcBorders>
              <w:bottom w:val="single" w:sz="4" w:color="DDE7EA"/>
            </w:tcBorders>
          </w:tcPr>
          <w:p>
            <w:pPr>
              <w:pStyle w:val="TableText"/>
              <w:keepLines/>
            </w:pPr>
            <w:r>
              <w:t>Divulgação não autorizada.</w:t>
            </w:r>
          </w:p>
        </w:tc>
        <w:tc>
          <w:tcPr>
            <w:tcW w:type="dxa" w:w="3997"/>
            <w:vAlign w:val="center"/>
            <w:tcBorders>
              <w:bottom w:val="single" w:sz="4" w:color="DDE7EA"/>
            </w:tcBorders>
          </w:tcPr>
          <w:p>
            <w:pPr>
              <w:pStyle w:val="TableText"/>
              <w:keepLines/>
            </w:pPr>
            <w:r>
              <w:t>Auditoria de licença, termos de uso e atribuição.</w:t>
            </w:r>
          </w:p>
        </w:tc>
      </w:tr>
      <w:tr>
        <w:trPr>
          <w:cantSplit/>
        </w:trPr>
        <w:tc>
          <w:tcPr>
            <w:tcW w:type="dxa" w:w="2268"/>
            <w:vAlign w:val="center"/>
            <w:shd w:fill="F6F9FB"/>
            <w:tcBorders>
              <w:bottom w:val="single" w:sz="4" w:color="DDE7EA"/>
            </w:tcBorders>
          </w:tcPr>
          <w:p>
            <w:pPr>
              <w:pStyle w:val="TableText"/>
              <w:keepLines/>
            </w:pPr>
            <w:r>
              <w:t>Privacidade e sigilo</w:t>
            </w:r>
          </w:p>
        </w:tc>
        <w:tc>
          <w:tcPr>
            <w:tcW w:type="dxa" w:w="3005"/>
            <w:vAlign w:val="center"/>
            <w:shd w:fill="F6F9FB"/>
            <w:tcBorders>
              <w:bottom w:val="single" w:sz="4" w:color="DDE7EA"/>
            </w:tcBorders>
          </w:tcPr>
          <w:p>
            <w:pPr>
              <w:pStyle w:val="TableText"/>
              <w:keepLines/>
            </w:pPr>
            <w:r>
              <w:t>Exposição de informações não públicas.</w:t>
            </w:r>
          </w:p>
        </w:tc>
        <w:tc>
          <w:tcPr>
            <w:tcW w:type="dxa" w:w="3997"/>
            <w:vAlign w:val="center"/>
            <w:shd w:fill="F6F9FB"/>
            <w:tcBorders>
              <w:bottom w:val="single" w:sz="4" w:color="DDE7EA"/>
            </w:tcBorders>
          </w:tcPr>
          <w:p>
            <w:pPr>
              <w:pStyle w:val="TableText"/>
              <w:keepLines/>
            </w:pPr>
            <w:r>
              <w:t>Separação raw/public, revisão e controle de acesso.</w:t>
            </w:r>
          </w:p>
        </w:tc>
      </w:tr>
      <w:tr>
        <w:trPr>
          <w:cantSplit/>
        </w:trPr>
        <w:tc>
          <w:tcPr>
            <w:tcW w:type="dxa" w:w="2268"/>
            <w:vAlign w:val="center"/>
            <w:tcBorders>
              <w:bottom w:val="single" w:sz="4" w:color="DDE7EA"/>
            </w:tcBorders>
          </w:tcPr>
          <w:p>
            <w:pPr>
              <w:pStyle w:val="TableText"/>
              <w:keepLines/>
            </w:pPr>
            <w:r>
              <w:t>Confusão com RGAM/V8</w:t>
            </w:r>
          </w:p>
        </w:tc>
        <w:tc>
          <w:tcPr>
            <w:tcW w:type="dxa" w:w="3005"/>
            <w:vAlign w:val="center"/>
            <w:tcBorders>
              <w:bottom w:val="single" w:sz="4" w:color="DDE7EA"/>
            </w:tcBorders>
          </w:tcPr>
          <w:p>
            <w:pPr>
              <w:pStyle w:val="TableText"/>
              <w:keepLines/>
            </w:pPr>
            <w:r>
              <w:t>Mistura de ontologias e resultados não validados.</w:t>
            </w:r>
          </w:p>
        </w:tc>
        <w:tc>
          <w:tcPr>
            <w:tcW w:type="dxa" w:w="3997"/>
            <w:vAlign w:val="center"/>
            <w:tcBorders>
              <w:bottom w:val="single" w:sz="4" w:color="DDE7EA"/>
            </w:tcBorders>
          </w:tcPr>
          <w:p>
            <w:pPr>
              <w:pStyle w:val="TableText"/>
              <w:keepLines/>
            </w:pPr>
            <w:r>
              <w:t>Governança de versões e integração por exportações aprovadas.</w:t>
            </w:r>
          </w:p>
        </w:tc>
      </w:tr>
      <w:tr>
        <w:trPr>
          <w:cantSplit/>
        </w:trPr>
        <w:tc>
          <w:tcPr>
            <w:tcW w:type="dxa" w:w="2268"/>
            <w:vAlign w:val="center"/>
            <w:shd w:fill="F6F9FB"/>
            <w:tcBorders>
              <w:bottom w:val="single" w:sz="4" w:color="DDE7EA"/>
            </w:tcBorders>
          </w:tcPr>
          <w:p>
            <w:pPr>
              <w:pStyle w:val="TableText"/>
              <w:keepLines/>
            </w:pPr>
            <w:r>
              <w:t>Website antes do método</w:t>
            </w:r>
          </w:p>
        </w:tc>
        <w:tc>
          <w:tcPr>
            <w:tcW w:type="dxa" w:w="3005"/>
            <w:vAlign w:val="center"/>
            <w:shd w:fill="F6F9FB"/>
            <w:tcBorders>
              <w:bottom w:val="single" w:sz="4" w:color="DDE7EA"/>
            </w:tcBorders>
          </w:tcPr>
          <w:p>
            <w:pPr>
              <w:pStyle w:val="TableText"/>
              <w:keepLines/>
            </w:pPr>
            <w:r>
              <w:t>Credibilidade prejudicada.</w:t>
            </w:r>
          </w:p>
        </w:tc>
        <w:tc>
          <w:tcPr>
            <w:tcW w:type="dxa" w:w="3997"/>
            <w:vAlign w:val="center"/>
            <w:shd w:fill="F6F9FB"/>
            <w:tcBorders>
              <w:bottom w:val="single" w:sz="4" w:color="DDE7EA"/>
            </w:tcBorders>
          </w:tcPr>
          <w:p>
            <w:pPr>
              <w:pStyle w:val="TableText"/>
              <w:keepLines/>
            </w:pPr>
            <w:r>
              <w:t>Publicar escopo e transparência; não inventar achados.</w:t>
            </w:r>
          </w:p>
        </w:tc>
      </w:tr>
    </w:tbl>
    <w:p>
      <w:pPr>
        <w:spacing w:line="60" w:lineRule="exact" w:after="20"/>
      </w:pPr>
      <w:r>
        <w:rPr>
          <w:sz w:val="4"/>
        </w:rPr>
        <w:t xml:space="preserve"> </w:t>
      </w:r>
    </w:p>
    <w:p>
      <w:pPr>
        <w:pStyle w:val="Heading1"/>
        <w:keepNext/>
      </w:pPr>
      <w:r>
        <w:t>10. Primeiros sete movimentos práticos</w:t>
      </w:r>
    </w:p>
    <w:p>
      <w:pPr>
        <w:spacing w:after="60"/>
        <w:ind w:left="312" w:hanging="227"/>
      </w:pPr>
      <w:r>
        <w:rPr>
          <w:b/>
        </w:rPr>
        <w:t xml:space="preserve">1. </w:t>
      </w:r>
      <w:r>
        <w:t>Apresentar a concept note e negociar o status do observatório como projeto proposto, complementar à agenda atual.</w:t>
      </w:r>
    </w:p>
    <w:p>
      <w:pPr>
        <w:spacing w:after="60"/>
        <w:ind w:left="312" w:hanging="227"/>
      </w:pPr>
      <w:r>
        <w:rPr>
          <w:b/>
        </w:rPr>
        <w:t xml:space="preserve">2. </w:t>
      </w:r>
      <w:r>
        <w:t>Escolher denominação provisória, escopo inicial e responsáveis por decisões científicas e técnicas.</w:t>
      </w:r>
    </w:p>
    <w:p>
      <w:pPr>
        <w:spacing w:after="60"/>
        <w:ind w:left="312" w:hanging="227"/>
      </w:pPr>
      <w:r>
        <w:rPr>
          <w:b/>
        </w:rPr>
        <w:t xml:space="preserve">3. </w:t>
      </w:r>
      <w:r>
        <w:t>Criar um repositório de trabalho privado e um README curto; manter datasets do RGAM/V8 isolados.</w:t>
      </w:r>
    </w:p>
    <w:p>
      <w:pPr>
        <w:spacing w:after="60"/>
        <w:ind w:left="312" w:hanging="227"/>
      </w:pPr>
      <w:r>
        <w:rPr>
          <w:b/>
        </w:rPr>
        <w:t xml:space="preserve">4. </w:t>
      </w:r>
      <w:r>
        <w:t>Redigir o protocolo de mapeamento das bases existentes, com strings de busca e formulário de extração.</w:t>
      </w:r>
    </w:p>
    <w:p>
      <w:pPr>
        <w:spacing w:after="60"/>
        <w:ind w:left="312" w:hanging="227"/>
      </w:pPr>
      <w:r>
        <w:rPr>
          <w:b/>
        </w:rPr>
        <w:t xml:space="preserve">5. </w:t>
      </w:r>
      <w:r>
        <w:t>Iniciar a trilha A de inventário; registrar cada base com link, data, licença e capacidade potencial RIT.</w:t>
      </w:r>
    </w:p>
    <w:p>
      <w:pPr>
        <w:spacing w:after="60"/>
        <w:ind w:left="312" w:hanging="227"/>
      </w:pPr>
      <w:r>
        <w:rPr>
          <w:b/>
        </w:rPr>
        <w:t xml:space="preserve">6. </w:t>
      </w:r>
      <w:r>
        <w:t>Projetar schema.sql, codebook e um conjunto de registros sintéticos para testar o pipeline sem alegações empíricas.</w:t>
      </w:r>
    </w:p>
    <w:p>
      <w:pPr>
        <w:spacing w:after="60"/>
        <w:ind w:left="312" w:hanging="227"/>
      </w:pPr>
      <w:r>
        <w:rPr>
          <w:b/>
        </w:rPr>
        <w:t xml:space="preserve">7. </w:t>
      </w:r>
      <w:r>
        <w:t>Selecionar candidatos ao piloto, aplicar o codebook, validar e só depois preparar a abertura do website.</w:t>
      </w:r>
    </w:p>
    <w:tbl>
      <w:tblPr>
        <w:tblW w:type="auto" w:w="0"/>
        <w:tblLayout w:type="fixed"/>
        <w:tblLook w:firstColumn="1" w:firstRow="1" w:lastColumn="0" w:lastRow="0" w:noHBand="0" w:noVBand="1" w:val="04A0"/>
      </w:tblPr>
      <w:tblGrid>
        <w:gridCol w:w="9326"/>
      </w:tblGrid>
      <w:tr>
        <w:trPr>
          <w:cantSplit/>
        </w:trPr>
        <w:tc>
          <w:tcPr>
            <w:tcW w:type="dxa" w:w="9717"/>
            <w:shd w:fill="E6F1F3"/>
          </w:tcPr>
          <w:p>
            <w:pPr>
              <w:keepLines/>
              <w:spacing w:before="80" w:after="80"/>
            </w:pPr>
            <w:r>
              <w:rPr>
                <w:b/>
                <w:color w:val="0C6F7F"/>
                <w:sz w:val="17"/>
              </w:rPr>
              <w:t xml:space="preserve">RESULTADO ESPERADO DO CICLO INICIAL  </w:t>
            </w:r>
            <w:r>
              <w:rPr>
                <w:color w:val="1C3146"/>
                <w:sz w:val="18"/>
              </w:rPr>
              <w:t>Um repositório reproduzível, um inventário auditável de fontes e um pequeno conjunto piloto rastreável; o site transforma esses resultados em comunicação científica, não o contrário.</w:t>
            </w:r>
          </w:p>
        </w:tc>
      </w:tr>
    </w:tbl>
    <w:p>
      <w:pPr>
        <w:spacing w:line="60" w:lineRule="exact" w:after="20"/>
      </w:pPr>
      <w:r>
        <w:rPr>
          <w:sz w:val="4"/>
        </w:rPr>
        <w:t xml:space="preserve"> </w:t>
      </w:r>
    </w:p>
    <w:p>
      <w:pPr>
        <w:pStyle w:val="Heading1"/>
        <w:keepNext/>
      </w:pPr>
      <w:r>
        <w:t>Anexo A — Prompt inicial para um agente no VS Code</w:t>
      </w:r>
    </w:p>
    <w:p>
      <w:pPr>
        <w:keepNext/>
      </w:pPr>
      <w:r>
        <w:t>Instrução sugerida para scaffolding técnico. Deve ser executada apenas em um diretório novo e vazio, depois de autorizado o escopo; não requer acesso a repositórios existentes.</w:t>
      </w:r>
    </w:p>
    <w:tbl>
      <w:tblPr>
        <w:tblW w:type="auto" w:w="0"/>
        <w:tblLayout w:type="fixed"/>
        <w:tblLook w:firstColumn="1" w:firstRow="1" w:lastColumn="0" w:lastRow="0" w:noHBand="0" w:noVBand="1" w:val="04A0"/>
      </w:tblPr>
      <w:tblGrid>
        <w:gridCol w:w="9298"/>
      </w:tblGrid>
      <w:tr>
        <w:trPr>
          <w:cantSplit/>
        </w:trPr>
        <w:tc>
          <w:tcPr>
            <w:tcW w:type="dxa" w:w="9717"/>
            <w:shd w:fill="F6F9FB"/>
          </w:tcPr>
          <w:p>
            <w:pPr>
              <w:pStyle w:val="CodeText"/>
              <w:keepLines/>
            </w:pPr>
            <w:r>
              <w:t>OBJETIVO: montar um MVP local do Regulatory Intermediaries Observatory.</w:t>
            </w:r>
          </w:p>
          <w:p>
            <w:pPr>
              <w:pStyle w:val="CodeText"/>
              <w:keepLines/>
            </w:pPr>
            <w:r>
              <w:t>Crie um projeto Quarto de website com Home, Research, Dataset, Blog e Team.</w:t>
            </w:r>
          </w:p>
          <w:p>
            <w:pPr>
              <w:pStyle w:val="CodeText"/>
              <w:keepLines/>
            </w:pPr>
            <w:r>
              <w:t>Implemente estrutura protocol/, codebook/, data/raw, data/processed,</w:t>
            </w:r>
          </w:p>
          <w:p>
            <w:pPr>
              <w:pStyle w:val="CodeText"/>
              <w:keepLines/>
            </w:pPr>
            <w:r>
              <w:t>data/public, scripts/, tests/, reports/ e arquivo .gitignore conservador.</w:t>
            </w:r>
          </w:p>
          <w:p>
            <w:pPr>
              <w:pStyle w:val="CodeText"/>
              <w:keepLines/>
            </w:pPr>
            <w:r>
              <w:t>Use Python 3, sqlite3, pandas e pytest; gere schema.sql mínimo para</w:t>
            </w:r>
          </w:p>
          <w:p>
            <w:pPr>
              <w:pStyle w:val="CodeText"/>
              <w:keepLines/>
            </w:pPr>
            <w:r>
              <w:t>actors, episodes, episode_roles, relations, evidence, instruments e</w:t>
            </w:r>
          </w:p>
          <w:p>
            <w:pPr>
              <w:pStyle w:val="CodeText"/>
              <w:keepLines/>
            </w:pPr>
            <w:r>
              <w:t>coding_decisions, com integridade referencial, mais datasets_catalog.</w:t>
            </w:r>
          </w:p>
          <w:p>
            <w:pPr>
              <w:pStyle w:val="CodeText"/>
              <w:keepLines/>
            </w:pPr>
            <w:r>
              <w:t>Gere somente dados SINTÉTICOS em testes; nenhum caso factual inventado.</w:t>
            </w:r>
          </w:p>
          <w:p>
            <w:pPr>
              <w:pStyle w:val="CodeText"/>
              <w:keepLines/>
            </w:pPr>
            <w:r>
              <w:t>Crie scripts de validação, exportação controlada e documentação de uso.</w:t>
            </w:r>
          </w:p>
          <w:p>
            <w:pPr>
              <w:pStyle w:val="CodeText"/>
              <w:keepLines/>
            </w:pPr>
            <w:r>
              <w:t>Não faça coleta web, push, publicação, exclusões ou alterações no RGAM/V8.</w:t>
            </w:r>
          </w:p>
          <w:p>
            <w:pPr>
              <w:pStyle w:val="CodeText"/>
              <w:keepLines/>
            </w:pPr>
            <w:r>
              <w:t>Não crie afirmações empíricas, afiliações ou autorias sem confirmação.</w:t>
            </w:r>
          </w:p>
          <w:p>
            <w:pPr>
              <w:pStyle w:val="CodeText"/>
              <w:keepLines/>
            </w:pPr>
            <w:r>
              <w:t>Ao final, produza plano de testes, árvore real de arquivos e pendências.</w:t>
            </w:r>
          </w:p>
        </w:tc>
      </w:tr>
    </w:tbl>
    <w:p>
      <w:pPr>
        <w:spacing w:line="60" w:lineRule="exact" w:after="20"/>
      </w:pPr>
      <w:r>
        <w:rPr>
          <w:sz w:val="4"/>
        </w:rPr>
        <w:t xml:space="preserve"> </w:t>
      </w:r>
    </w:p>
    <w:p>
      <w:pPr>
        <w:pStyle w:val="Heading1"/>
        <w:keepNext/>
      </w:pPr>
      <w:r>
        <w:t>Anexo B — Checklist de primeira publicação</w:t>
      </w:r>
    </w:p>
    <w:p>
      <w:pPr>
        <w:pStyle w:val="ListBullet"/>
        <w:spacing w:after="60"/>
        <w:ind w:left="312"/>
      </w:pPr>
      <w:r>
        <w:t>Nome, afiliação e eventuais logos autorizados por seus titulares.</w:t>
      </w:r>
    </w:p>
    <w:p>
      <w:pPr>
        <w:pStyle w:val="ListBullet"/>
        <w:spacing w:after="60"/>
        <w:ind w:left="312"/>
      </w:pPr>
      <w:r>
        <w:t>Protocolo, escopo, versão e limitações claros na página Research.</w:t>
      </w:r>
    </w:p>
    <w:p>
      <w:pPr>
        <w:pStyle w:val="ListBullet"/>
        <w:spacing w:after="60"/>
        <w:ind w:left="312"/>
      </w:pPr>
      <w:r>
        <w:t>Toda linha publicada do dataset tem suporte documental e status validado.</w:t>
      </w:r>
    </w:p>
    <w:p>
      <w:pPr>
        <w:pStyle w:val="ListBullet"/>
        <w:spacing w:after="60"/>
        <w:ind w:left="312"/>
      </w:pPr>
      <w:r>
        <w:t>Links e licenças conferidos; dados sensíveis removidos ou restringidos.</w:t>
      </w:r>
    </w:p>
    <w:p>
      <w:pPr>
        <w:pStyle w:val="ListBullet"/>
        <w:spacing w:after="60"/>
        <w:ind w:left="312"/>
      </w:pPr>
      <w:r>
        <w:t>README, codebook, esquema e changelog publicados na mesma versão.</w:t>
      </w:r>
    </w:p>
    <w:p>
      <w:pPr>
        <w:pStyle w:val="ListBullet"/>
        <w:spacing w:after="60"/>
        <w:ind w:left="312"/>
      </w:pPr>
      <w:r>
        <w:t>Post inaugural revisado por responsáveis e sem conclusões antecipadas.</w:t>
      </w:r>
    </w:p>
    <w:p>
      <w:pPr>
        <w:pStyle w:val="ListBullet"/>
        <w:spacing w:after="60"/>
        <w:ind w:left="312"/>
      </w:pPr>
      <w:r>
        <w:t>Citação recomendada e DOI informados somente após depósito válido.</w:t>
      </w:r>
    </w:p>
    <w:p>
      <w:pPr>
        <w:pStyle w:val="Heading1"/>
        <w:keepNext/>
      </w:pPr>
      <w:r>
        <w:t>Referências fundamentais e documentação técnica</w:t>
      </w:r>
    </w:p>
    <w:p>
      <w:pPr>
        <w:pStyle w:val="SmallNote"/>
        <w:spacing w:after="100"/>
        <w:ind w:left="170" w:hanging="170"/>
      </w:pPr>
      <w:r>
        <w:t>Abbott, K. W., Levi-Faur, D., &amp; Snidal, D. (2017). Theorizing Regulatory Intermediaries: The RIT Model. The ANNALS of the American Academy of Political and Social Science, 670(1), 14–35. https://doi.org/10.1177/0002716216688272</w:t>
      </w:r>
    </w:p>
    <w:p>
      <w:pPr>
        <w:pStyle w:val="SmallNote"/>
        <w:spacing w:after="100"/>
        <w:ind w:left="170" w:hanging="170"/>
      </w:pPr>
      <w:r>
        <w:t>Tricco, A. C. et al. (2018). PRISMA Extension for Scoping Reviews (PRISMA-ScR): Checklist and Explanation. Annals of Internal Medicine, 169(7), 467–473. https://doi.org/10.7326/M18-0850</w:t>
      </w:r>
    </w:p>
    <w:p>
      <w:pPr>
        <w:pStyle w:val="SmallNote"/>
        <w:spacing w:after="100"/>
        <w:ind w:left="170" w:hanging="170"/>
      </w:pPr>
      <w:r>
        <w:t>Wilkinson, M. D. et al. (2016). The FAIR Guiding Principles for scientific data management and stewardship. Scientific Data, 3, 160018. https://doi.org/10.1038/sdata.2016.18</w:t>
      </w:r>
    </w:p>
    <w:p>
      <w:pPr>
        <w:pStyle w:val="SmallNote"/>
        <w:spacing w:after="100"/>
        <w:ind w:left="170" w:hanging="170"/>
      </w:pPr>
      <w:r>
        <w:t>Quarto. Creating a Website. https://quarto.org/docs/websites/ (consultado em 09 out. 2026).</w:t>
      </w:r>
    </w:p>
    <w:p>
      <w:pPr>
        <w:pStyle w:val="SmallNote"/>
        <w:spacing w:after="100"/>
        <w:ind w:left="170" w:hanging="170"/>
      </w:pPr>
      <w:r>
        <w:t>Quarto. Creating a Blog. https://quarto.org/docs/websites/website-blog.html (consultado em 09 out. 2026).</w:t>
      </w:r>
    </w:p>
    <w:p>
      <w:pPr>
        <w:pStyle w:val="SmallNote"/>
        <w:spacing w:after="100"/>
        <w:ind w:left="170" w:hanging="170"/>
      </w:pPr>
      <w:r>
        <w:t>Quarto. GitHub Pages. https://quarto.org/docs/publishing/github-pages.html (consultado em 09 out. 2026).</w:t>
      </w:r>
    </w:p>
    <w:p>
      <w:pPr>
        <w:pStyle w:val="SmallNote"/>
        <w:spacing w:after="100"/>
        <w:ind w:left="170" w:hanging="170"/>
      </w:pPr>
      <w:r>
        <w:t>Quarto. VS Code. https://quarto.org/docs/tools/vscode/index.html (consultado em 09 out. 2026).</w:t>
      </w:r>
    </w:p>
    <w:p>
      <w:pPr>
        <w:pStyle w:val="SmallNote"/>
        <w:spacing w:after="100"/>
        <w:ind w:left="170" w:hanging="170"/>
      </w:pPr>
      <w:r>
        <w:t>GitHub Docs. Creating a GitHub Pages site. https://docs.github.com/en/pages/getting-started-with-github-pages/creating-a-github-pages-site (consultado em 09 out. 2026).</w:t>
      </w:r>
    </w:p>
    <w:p>
      <w:pPr>
        <w:pStyle w:val="SmallNote"/>
        <w:spacing w:after="100"/>
        <w:ind w:left="170" w:hanging="170"/>
      </w:pPr>
      <w:r>
        <w:t>Zenodo Help. Quick start. https://help.zenodo.org/docs/get-started/quickstart/ (consultado em 09 out. 2026).</w:t>
      </w:r>
    </w:p>
    <w:p>
      <w:pPr>
        <w:pStyle w:val="SmallNote"/>
        <w:spacing w:after="100"/>
        <w:ind w:left="170" w:hanging="170"/>
      </w:pPr>
      <w:r>
        <w:t>Zenodo Help. Manage versions. https://help.zenodo.org/docs/deposit/manage-versions/ (consultado em 09 out. 2026).</w:t>
      </w:r>
    </w:p>
    <w:p>
      <w:pPr>
        <w:pStyle w:val="SmallNote"/>
      </w:pPr>
      <w:r>
        <w:t>Documento de concepção metodológica, não protocolo registrado nem resultado empírico. Sujeito a decisões coletivas de escopo, propriedade intelectual, créditos e publicação.</w:t>
      </w:r>
    </w:p>
    <w:sectPr w:rsidR="00FC693F" w:rsidRPr="0006063C" w:rsidSect="00034616">
      <w:headerReference w:type="default" r:id="rId9"/>
      <w:footerReference w:type="default" r:id="rId10"/>
      <w:pgSz w:w="12240" w:h="15840"/>
      <w:pgMar w:top="1134" w:right="1247" w:bottom="1077"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E69"/>
        <w:sz w:val="16"/>
      </w:rPr>
      <w:t xml:space="preserve">Documento de trabalho interno   •   09.10.2026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C6F7F"/>
        <w:sz w:val="15"/>
      </w:rPr>
      <w:t>REGULATORY INTERMEDIARIES OBSERVATORY  /  PROPOSTA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81" w:lineRule="auto"/>
    </w:pPr>
    <w:rPr>
      <w:rFonts w:ascii="Aptos" w:hAnsi="Aptos"/>
      <w:color w:val="232E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C6F7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C3146"/>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C314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C314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b w:val="0"/>
      <w:i/>
      <w:iCs/>
      <w:color w:val="525E69"/>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pPr>
    <w:rPr>
      <w:rFonts w:ascii="Aptos" w:hAnsi="Aptos"/>
      <w:sz w:val="16"/>
    </w:rPr>
  </w:style>
  <w:style w:type="paragraph" w:customStyle="1" w:styleId="CodeText">
    <w:name w:val="Code Text"/>
    <w:pPr>
      <w:spacing w:after="20"/>
    </w:pPr>
    <w:rPr>
      <w:rFonts w:ascii="Consolas" w:hAnsi="Consolas"/>
      <w:color w:val="232E37"/>
      <w:sz w:val="16"/>
    </w:rPr>
  </w:style>
  <w:style w:type="paragraph" w:customStyle="1" w:styleId="SmallNote">
    <w:name w:val="Small Note"/>
    <w:rPr>
      <w:rFonts w:ascii="Aptos" w:hAnsi="Aptos"/>
      <w:color w:val="525E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Intermediaries Observatory — Projeto Científico e Plano de Implementação via VS Code</dc:title>
  <dc:subject>Proposta técnica e científica de observatório de intermediação regulatória</dc:subject>
  <dc:creator>python-docx</dc:creator>
  <cp:keywords>RIT; regulatory intermediaries; dataset; Quarto; VS Code; governança regulatória</cp:keywords>
  <dc:description>Proposta preliminar para discussão científica e implementação controlada.</dc:description>
  <cp:lastModifiedBy/>
  <cp:revision>1</cp:revision>
  <dcterms:created xsi:type="dcterms:W3CDTF">2013-12-23T23:15:00Z</dcterms:created>
  <dcterms:modified xsi:type="dcterms:W3CDTF">2013-12-23T23:15:00Z</dcterms:modified>
  <cp:category/>
</cp:coreProperties>
</file>