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R1–R7 to the next methodological decision</w:t>
      </w:r>
    </w:p>
    <w:p>
      <w:r>
        <w:rPr>
          <w:b/>
          <w:sz w:val="18"/>
        </w:rPr>
        <w:t>A research progress briefing for Rotem Medzini  |  Igor Caires Machado  |  10 October 2026</w:t>
      </w:r>
    </w:p>
    <w:p>
      <w:r>
        <w:rPr>
          <w:b/>
        </w:rPr>
        <w:t>Purpose.</w:t>
      </w:r>
      <w:r>
        <w:t xml:space="preserve"> You have been copied into exchanges with David, but the research work has advanced through several connected rounds. This short note reconstructs that trajectory, distinguishes preliminary evidence from open decisions, and asks for your critical assessment of the digital-case component before we settle a possible methods paper. It does not presume that you have or have not reviewed the underlying materials.</w:t>
      </w:r>
    </w:p>
    <w:p>
      <w:pPr>
        <w:pStyle w:val="Heading1"/>
      </w:pPr>
      <w:r>
        <w:t>Research goal</w:t>
      </w:r>
    </w:p>
    <w:p>
      <w:r>
        <w:t>David’s emerging relational-leximetrics framework asks not only what an EU legal act requires, but how it legally distributes governance functions, authority, discretion and accountability among actors. My work has focused on building and stress-testing an evidence-traceable coding procedure: legal text → legally grounded actors and relations → candidate configurations → warranted (or unwarranted) architectural claims. The project is interested in regulation by intermediaries and regulation of intermediaries.</w:t>
      </w:r>
    </w:p>
    <w:p>
      <w:pPr>
        <w:pStyle w:val="Heading1"/>
      </w:pPr>
      <w:r>
        <w:t>How the work developed</w:t>
      </w:r>
    </w:p>
    <w:tbl>
      <w:tblPr>
        <w:tblW w:type="auto" w:w="0"/>
        <w:jc w:val="center"/>
        <w:tblLayout w:type="fixed"/>
        <w:tblLook w:firstColumn="1" w:firstRow="1" w:lastColumn="0" w:lastRow="0" w:noHBand="0" w:noVBand="1" w:val="04A0"/>
      </w:tblPr>
      <w:tblGrid>
        <w:gridCol w:w="1944"/>
        <w:gridCol w:w="7906"/>
      </w:tblGrid>
      <w:tr>
        <w:tc>
          <w:tcPr>
            <w:tcW w:type="dxa" w:w="1944"/>
            <w:shd w:fill="E5EFF4"/>
          </w:tcPr>
          <w:p>
            <w:r>
              <w:rPr>
                <w:b/>
                <w:color w:val="184158"/>
                <w:sz w:val="16"/>
              </w:rPr>
              <w:t>Round</w:t>
            </w:r>
          </w:p>
        </w:tc>
        <w:tc>
          <w:tcPr>
            <w:tcW w:type="dxa" w:w="7906"/>
            <w:shd w:fill="E5EFF4"/>
          </w:tcPr>
          <w:p>
            <w:r>
              <w:rPr>
                <w:b/>
                <w:color w:val="184158"/>
                <w:sz w:val="16"/>
              </w:rPr>
              <w:t>Work completed / intended methodological lesson</w:t>
            </w:r>
          </w:p>
        </w:tc>
      </w:tr>
      <w:tr>
        <w:tc>
          <w:tcPr>
            <w:tcW w:type="dxa" w:w="1944"/>
            <w:vAlign w:val="center"/>
          </w:tcPr>
          <w:p>
            <w:pPr>
              <w:spacing w:after="20" w:before="20"/>
            </w:pPr>
            <w:r>
              <w:rPr>
                <w:sz w:val="16"/>
              </w:rPr>
              <w:t>R1 · Population</w:t>
            </w:r>
          </w:p>
        </w:tc>
        <w:tc>
          <w:tcPr>
            <w:tcW w:type="dxa" w:w="7906"/>
            <w:vAlign w:val="center"/>
          </w:tcPr>
          <w:p>
            <w:pPr>
              <w:spacing w:after="20" w:before="20"/>
            </w:pPr>
            <w:r>
              <w:rPr>
                <w:sz w:val="16"/>
              </w:rPr>
              <w:t>Built an initial legal universe before selecting acts because they contained visible intermediaries; source identity, eligibility and version control became explicit.</w:t>
            </w:r>
          </w:p>
        </w:tc>
      </w:tr>
      <w:tr>
        <w:tc>
          <w:tcPr>
            <w:tcW w:type="dxa" w:w="1944"/>
            <w:vAlign w:val="center"/>
            <w:shd w:fill="F4F7F8"/>
          </w:tcPr>
          <w:p>
            <w:pPr>
              <w:spacing w:after="20" w:before="20"/>
            </w:pPr>
            <w:r>
              <w:rPr>
                <w:sz w:val="16"/>
              </w:rPr>
              <w:t>R2 · Relational calibration</w:t>
            </w:r>
          </w:p>
        </w:tc>
        <w:tc>
          <w:tcPr>
            <w:tcW w:type="dxa" w:w="7906"/>
            <w:vAlign w:val="center"/>
            <w:shd w:fill="F4F7F8"/>
          </w:tcPr>
          <w:p>
            <w:pPr>
              <w:spacing w:after="20" w:before="20"/>
            </w:pPr>
            <w:r>
              <w:rPr>
                <w:sz w:val="16"/>
              </w:rPr>
              <w:t>Calibrated Regulator–Intermediary–Target (R–I–T) coding: actor roles are relation-specific; identifying an organization is not the same as establishing a mediated legal relation.</w:t>
            </w:r>
          </w:p>
        </w:tc>
      </w:tr>
      <w:tr>
        <w:tc>
          <w:tcPr>
            <w:tcW w:type="dxa" w:w="1944"/>
            <w:vAlign w:val="center"/>
          </w:tcPr>
          <w:p>
            <w:pPr>
              <w:spacing w:after="20" w:before="20"/>
            </w:pPr>
            <w:r>
              <w:rPr>
                <w:sz w:val="16"/>
              </w:rPr>
              <w:t>R3 · Data architecture</w:t>
            </w:r>
          </w:p>
        </w:tc>
        <w:tc>
          <w:tcPr>
            <w:tcW w:type="dxa" w:w="7906"/>
            <w:vAlign w:val="center"/>
          </w:tcPr>
          <w:p>
            <w:pPr>
              <w:spacing w:after="20" w:before="20"/>
            </w:pPr>
            <w:r>
              <w:rPr>
                <w:sz w:val="16"/>
              </w:rPr>
              <w:t>Connected acts, actors, intermediaries, relations, mechanisms, legal evidence and decisions in linked analytical units, instead of one flat table.</w:t>
            </w:r>
          </w:p>
        </w:tc>
      </w:tr>
      <w:tr>
        <w:tc>
          <w:tcPr>
            <w:tcW w:type="dxa" w:w="1944"/>
            <w:vAlign w:val="center"/>
            <w:shd w:fill="F4F7F8"/>
          </w:tcPr>
          <w:p>
            <w:pPr>
              <w:spacing w:after="20" w:before="20"/>
            </w:pPr>
            <w:r>
              <w:rPr>
                <w:sz w:val="16"/>
              </w:rPr>
              <w:t>R4 · Digital portability</w:t>
            </w:r>
          </w:p>
        </w:tc>
        <w:tc>
          <w:tcPr>
            <w:tcW w:type="dxa" w:w="7906"/>
            <w:vAlign w:val="center"/>
            <w:shd w:fill="F4F7F8"/>
          </w:tcPr>
          <w:p>
            <w:pPr>
              <w:spacing w:after="20" w:before="20"/>
            </w:pPr>
            <w:r>
              <w:rPr>
                <w:sz w:val="16"/>
              </w:rPr>
              <w:t>Tested structural extraction and variable parsimony on GDPR, DSA and AI Act (1,404 structural records). It did not complete R–I–T or mechanism coding for these instruments.</w:t>
            </w:r>
          </w:p>
        </w:tc>
      </w:tr>
      <w:tr>
        <w:tc>
          <w:tcPr>
            <w:tcW w:type="dxa" w:w="1944"/>
            <w:vAlign w:val="center"/>
          </w:tcPr>
          <w:p>
            <w:pPr>
              <w:spacing w:after="20" w:before="20"/>
            </w:pPr>
            <w:r>
              <w:rPr>
                <w:sz w:val="16"/>
              </w:rPr>
              <w:t>R5 · Four-case comparison</w:t>
            </w:r>
          </w:p>
        </w:tc>
        <w:tc>
          <w:tcPr>
            <w:tcW w:type="dxa" w:w="7906"/>
            <w:vAlign w:val="center"/>
          </w:tcPr>
          <w:p>
            <w:pPr>
              <w:spacing w:after="20" w:before="20"/>
            </w:pPr>
            <w:r>
              <w:rPr>
                <w:sz w:val="16"/>
              </w:rPr>
              <w:t>Applied David’s conceptual framework to SCF, CBAM, AI Act and Directive 86/361/EEC using two levels of procedural explicitness on common legal sources; generated a comparison register and 56 blinded review cards.</w:t>
            </w:r>
          </w:p>
        </w:tc>
      </w:tr>
      <w:tr>
        <w:tc>
          <w:tcPr>
            <w:tcW w:type="dxa" w:w="1944"/>
            <w:vAlign w:val="center"/>
            <w:shd w:fill="F4F7F8"/>
          </w:tcPr>
          <w:p>
            <w:pPr>
              <w:spacing w:after="20" w:before="20"/>
            </w:pPr>
            <w:r>
              <w:rPr>
                <w:sz w:val="16"/>
              </w:rPr>
              <w:t>R6 · Inference safeguards</w:t>
            </w:r>
          </w:p>
        </w:tc>
        <w:tc>
          <w:tcPr>
            <w:tcW w:type="dxa" w:w="7906"/>
            <w:vAlign w:val="center"/>
            <w:shd w:fill="F4F7F8"/>
          </w:tcPr>
          <w:p>
            <w:pPr>
              <w:spacing w:after="20" w:before="20"/>
            </w:pPr>
            <w:r>
              <w:rPr>
                <w:sz w:val="16"/>
              </w:rPr>
              <w:t>Located recurrent interpretive disagreements in relation specification and in moving from configurations to architectural claims. The response was to simplify safeguards, not add more ontological layers.</w:t>
            </w:r>
          </w:p>
        </w:tc>
      </w:tr>
      <w:tr>
        <w:tc>
          <w:tcPr>
            <w:tcW w:type="dxa" w:w="1944"/>
            <w:vAlign w:val="center"/>
          </w:tcPr>
          <w:p>
            <w:pPr>
              <w:spacing w:after="20" w:before="20"/>
            </w:pPr>
            <w:r>
              <w:rPr>
                <w:sz w:val="16"/>
              </w:rPr>
              <w:t>R7 · Substantive agenda</w:t>
            </w:r>
          </w:p>
        </w:tc>
        <w:tc>
          <w:tcPr>
            <w:tcW w:type="dxa" w:w="7906"/>
            <w:vAlign w:val="center"/>
          </w:tcPr>
          <w:p>
            <w:pPr>
              <w:spacing w:after="20" w:before="20"/>
            </w:pPr>
            <w:r>
              <w:rPr>
                <w:sz w:val="16"/>
              </w:rPr>
              <w:t>Shifted toward comparative questions: when intermediaries matter structurally, how they are supervised, and when formal legal arrangements permit an architectural claim.</w:t>
            </w:r>
          </w:p>
        </w:tc>
      </w:tr>
    </w:tbl>
    <w:p>
      <w:pPr>
        <w:spacing w:after="0"/>
      </w:pPr>
    </w:p>
    <w:p>
      <w:r>
        <w:t>Scope note. R1–R7 are research stages, not seven independently validated studies. The historical R3 relation count must not be confused with the 56 R5 review cards.</w:t>
      </w:r>
    </w:p>
    <w:p>
      <w:pPr>
        <w:pStyle w:val="Heading1"/>
      </w:pPr>
      <w:r>
        <w:t>Background available on request</w:t>
      </w:r>
    </w:p>
    <w:p>
      <w:pPr>
        <w:spacing w:after="60"/>
      </w:pPr>
      <w:hyperlink r:id="rId11">
        <w:r>
          <w:rPr>
            <w:color w:val="206B93"/>
            <w:u w:val="single"/>
          </w:rPr>
          <w:t>R1–R7 overview presentation</w:t>
        </w:r>
      </w:hyperlink>
      <w:r>
        <w:t xml:space="preserve">  •  </w:t>
      </w:r>
      <w:hyperlink r:id="rId12">
        <w:r>
          <w:rPr>
            <w:color w:val="206B93"/>
            <w:u w:val="single"/>
          </w:rPr>
          <w:t>R4 digital validation memo</w:t>
        </w:r>
      </w:hyperlink>
    </w:p>
    <w:p>
      <w:r>
        <w:t xml:space="preserve">Legal texts: </w:t>
      </w:r>
      <w:hyperlink r:id="rId13">
        <w:r>
          <w:rPr>
            <w:color w:val="206B93"/>
            <w:u w:val="single"/>
          </w:rPr>
          <w:t>AI Act (2024/1689)</w:t>
        </w:r>
      </w:hyperlink>
      <w:r>
        <w:t xml:space="preserve">  •  </w:t>
      </w:r>
      <w:hyperlink r:id="rId14">
        <w:r>
          <w:rPr>
            <w:color w:val="206B93"/>
            <w:u w:val="single"/>
          </w:rPr>
          <w:t>Directive 86/361/EEC</w:t>
        </w:r>
      </w:hyperlink>
    </w:p>
    <w:p>
      <w:r>
        <w:t>Source basis: R1–R7 presentation; R4 digital validation memo; four-case comparative synthesis; manuscript/method records; David’s annotated reply to Igor (10 October 2026). Figures are preliminary project records, not claims of externally established validation.</w:t>
      </w:r>
    </w:p>
    <w:p>
      <w:r>
        <w:br w:type="page"/>
      </w:r>
    </w:p>
    <w:p>
      <w:pPr>
        <w:pStyle w:val="Heading1"/>
      </w:pPr>
      <w:r>
        <w:t>What the four-case exercise currently supports</w:t>
      </w:r>
    </w:p>
    <w:p>
      <w:r>
        <w:t>The paired exercise produced 264 comparative units, including 96 material disagreements across the four instruments: one at the evidence level, 30 at the relational level, and 65 at configuration/architecture/epistemic levels combined. These are disagreements between applications of the same theoretical framework, not a measured error rate or proof that one procedure is superior. The two coding procedures used the same model family, so procedural controls are not isolated from prompt structure.</w:t>
      </w:r>
    </w:p>
    <w:p>
      <w:r>
        <w:t>Six purposively selected review cards have been assessed preliminarily by me under arm-blind conditions. These are not independent adjudications; no reasons were captured contemporaneously. The other 50 have not undergone human adjudication. A focused independent reassessment is therefore still needed. This note deliberately does not reveal which side was preferred in those six assessments.</w:t>
      </w:r>
    </w:p>
    <w:p>
      <w:pPr>
        <w:pStyle w:val="Heading1"/>
      </w:pPr>
      <w:r>
        <w:t>How David and I arrived at the present proposal</w:t>
      </w:r>
    </w:p>
    <w:tbl>
      <w:tblPr>
        <w:tblW w:type="auto" w:w="0"/>
        <w:jc w:val="center"/>
        <w:tblLayout w:type="fixed"/>
        <w:tblLook w:firstColumn="1" w:firstRow="1" w:lastColumn="0" w:lastRow="0" w:noHBand="0" w:noVBand="1" w:val="04A0"/>
      </w:tblPr>
      <w:tblGrid>
        <w:gridCol w:w="6336"/>
        <w:gridCol w:w="3514"/>
      </w:tblGrid>
      <w:tr>
        <w:tc>
          <w:tcPr>
            <w:tcW w:type="dxa" w:w="6336"/>
            <w:shd w:fill="E5EFF4"/>
          </w:tcPr>
          <w:p>
            <w:r>
              <w:rPr>
                <w:b/>
                <w:color w:val="184158"/>
                <w:sz w:val="16"/>
              </w:rPr>
              <w:t>In the correspondence of 10 October</w:t>
            </w:r>
          </w:p>
        </w:tc>
        <w:tc>
          <w:tcPr>
            <w:tcW w:type="dxa" w:w="3514"/>
            <w:shd w:fill="E5EFF4"/>
          </w:tcPr>
          <w:p>
            <w:r>
              <w:rPr>
                <w:b/>
                <w:color w:val="184158"/>
                <w:sz w:val="16"/>
              </w:rPr>
              <w:t>Decision status</w:t>
            </w:r>
          </w:p>
        </w:tc>
      </w:tr>
      <w:tr>
        <w:tc>
          <w:tcPr>
            <w:tcW w:type="dxa" w:w="6336"/>
            <w:vAlign w:val="center"/>
          </w:tcPr>
          <w:p>
            <w:pPr>
              <w:spacing w:after="20" w:before="20"/>
            </w:pPr>
            <w:r>
              <w:rPr>
                <w:sz w:val="16"/>
              </w:rPr>
              <w:t>Igor proposed retaining SCF, CBAM, AI Act and Directive 86/361, or adding cases if more variation was required.</w:t>
            </w:r>
          </w:p>
        </w:tc>
        <w:tc>
          <w:tcPr>
            <w:tcW w:type="dxa" w:w="3514"/>
            <w:vAlign w:val="center"/>
          </w:tcPr>
          <w:p>
            <w:pPr>
              <w:spacing w:after="20" w:before="20"/>
            </w:pPr>
            <w:r>
              <w:rPr>
                <w:sz w:val="16"/>
              </w:rPr>
              <w:t>David preferred retaining the four for now; he suggested that they might underpin a methodological paper.</w:t>
            </w:r>
          </w:p>
        </w:tc>
      </w:tr>
      <w:tr>
        <w:tc>
          <w:tcPr>
            <w:tcW w:type="dxa" w:w="6336"/>
            <w:vAlign w:val="center"/>
            <w:shd w:fill="F4F7F8"/>
          </w:tcPr>
          <w:p>
            <w:pPr>
              <w:spacing w:after="20" w:before="20"/>
            </w:pPr>
            <w:r>
              <w:rPr>
                <w:sz w:val="16"/>
              </w:rPr>
              <w:t>Igor proposed reassessing roughly 12 decisions selected from the 56 cards, including the six preliminary judgments, with blinded review and written reasons.</w:t>
            </w:r>
          </w:p>
        </w:tc>
        <w:tc>
          <w:tcPr>
            <w:tcW w:type="dxa" w:w="3514"/>
            <w:vAlign w:val="center"/>
            <w:shd w:fill="F4F7F8"/>
          </w:tcPr>
          <w:p>
            <w:pPr>
              <w:spacing w:after="20" w:before="20"/>
            </w:pPr>
            <w:r>
              <w:rPr>
                <w:sz w:val="16"/>
              </w:rPr>
              <w:t>David responded positively and suggested the exercise could demonstrate the project’s methodology in that paper.</w:t>
            </w:r>
          </w:p>
        </w:tc>
      </w:tr>
      <w:tr>
        <w:tc>
          <w:tcPr>
            <w:tcW w:type="dxa" w:w="6336"/>
            <w:vAlign w:val="center"/>
          </w:tcPr>
          <w:p>
            <w:pPr>
              <w:spacing w:after="20" w:before="20"/>
            </w:pPr>
            <w:r>
              <w:rPr>
                <w:sz w:val="16"/>
              </w:rPr>
              <w:t>Igor asked whether the telecom case supplies enough variation and offered to draft the protocol and selection rationale.</w:t>
            </w:r>
          </w:p>
        </w:tc>
        <w:tc>
          <w:tcPr>
            <w:tcW w:type="dxa" w:w="3514"/>
            <w:vAlign w:val="center"/>
          </w:tcPr>
          <w:p>
            <w:pPr>
              <w:spacing w:after="20" w:before="20"/>
            </w:pPr>
            <w:r>
              <w:rPr>
                <w:sz w:val="16"/>
              </w:rPr>
              <w:t>David thought the directive might offer enough variation, but explicitly asked for team advice: Ivana on environmental cases, Rotem on digital cases.</w:t>
            </w:r>
          </w:p>
        </w:tc>
      </w:tr>
    </w:tbl>
    <w:p>
      <w:pPr>
        <w:spacing w:after="0"/>
      </w:pPr>
    </w:p>
    <w:p>
      <w:r>
        <w:t>These are provisional directions, not final approval of the sample, an adjudication team, coding rules or a stable Version 1. The next scientific decision is whether the four-case design is worth consolidating in its present form.</w:t>
      </w:r>
    </w:p>
    <w:p>
      <w:pPr>
        <w:pStyle w:val="Heading1"/>
      </w:pPr>
      <w:r>
        <w:t>Where I would value your critical assessment</w:t>
      </w:r>
    </w:p>
    <w:p>
      <w:pPr>
        <w:pStyle w:val="ListBullet"/>
        <w:ind w:left="360" w:hanging="173"/>
      </w:pPr>
      <w:r>
        <w:t>Case sufficiency: Do the AI Act and Council Directive 86/361/EEC offer a useful contrast in legally constituted digital/telecommunications governance and regulatory intermediation for a methodological demonstration? Is the historical comparison defensible with explicit qualifications?</w:t>
      </w:r>
    </w:p>
    <w:p>
      <w:pPr>
        <w:pStyle w:val="ListBullet"/>
        <w:ind w:left="360" w:hanging="173"/>
      </w:pPr>
      <w:r>
        <w:t>Coding and concepts: Against the digital-governance codebook currently circulated in our project, what are the most important distinctions to preserve—especially regulators versus intermediaries, standards bodies versus approved testing laboratories, and regulation by versus regulation of intermediaries? Please correct my understanding if I have the applicable codebook version wrong.</w:t>
      </w:r>
    </w:p>
    <w:p>
      <w:pPr>
        <w:pStyle w:val="ListBullet"/>
        <w:ind w:left="360" w:hanging="173"/>
      </w:pPr>
      <w:r>
        <w:t>Direction: What is the most consequential gap in our approach? Would you retain this pair, qualify it, or replace/add a digital case—and why? I would welcome any comment on the research trajectory itself, not only the case choice.</w:t>
      </w:r>
    </w:p>
    <w:p>
      <w:pPr>
        <w:pStyle w:val="Heading1"/>
      </w:pPr>
      <w:r>
        <w:t>What would help at this stage</w:t>
      </w:r>
    </w:p>
    <w:p>
      <w:r>
        <w:t>A concise written view, comments on this note, or a short discussion is enough. I am not asking you to recode cases or adjudicate the 56 cards. I will use your suggestions, alongside Ivana’s advice on the environmental instruments, to prepare a documented proposal for David and the group. If you prefer to review specific coding excerpts, I can provide an appropriately scoped set after we clarify whether you might later serve as an independent blinded reviewer.</w:t>
      </w:r>
    </w:p>
    <w:sectPr w:rsidR="00FC693F" w:rsidRPr="0006063C" w:rsidSect="00034616">
      <w:headerReference w:type="default" r:id="rId9"/>
      <w:footerReference w:type="default" r:id="rId10"/>
      <w:pgSz w:w="12240" w:h="15840"/>
      <w:pgMar w:top="1037" w:right="1181" w:bottom="994"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7284"/>
        <w:sz w:val="14"/>
      </w:rPr>
      <w:t>10 OCT 2026  •  Discussion draft  •  Not a coding instruction or approved protocol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D7284"/>
        <w:sz w:val="15"/>
      </w:rPr>
      <w:t>LAW AS GOVERNANCE  /  SCIENTIFIC CONSULTATION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533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53953"/>
      <w:sz w:val="2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5395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95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presentation/d/1wLCAeUBHuMYKdiOi4v2ybxCmMF8zLM0U/edit" TargetMode="External"/><Relationship Id="rId12" Type="http://schemas.openxmlformats.org/officeDocument/2006/relationships/hyperlink" Target="https://drive.google.com/file/d/1_9cX7GU9omP_X8NPnXZPt5uy5z261KOa/view" TargetMode="External"/><Relationship Id="rId13" Type="http://schemas.openxmlformats.org/officeDocument/2006/relationships/hyperlink" Target="https://eur-lex.europa.eu/eli/reg/2024/1689/oj/eng" TargetMode="External"/><Relationship Id="rId14" Type="http://schemas.openxmlformats.org/officeDocument/2006/relationships/hyperlink" Target="https://eur-lex.europa.eu/eli/dir/1986/361/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