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654C4" w:rsidTr="008A07AA">
        <w:tc>
          <w:tcPr>
            <w:tcW w:w="2245" w:type="dxa"/>
          </w:tcPr>
          <w:p w:rsidR="000654C4" w:rsidRDefault="000654C4" w:rsidP="008A07AA">
            <w:r>
              <w:t>Funktion</w:t>
            </w:r>
          </w:p>
        </w:tc>
        <w:tc>
          <w:tcPr>
            <w:tcW w:w="7105" w:type="dxa"/>
          </w:tcPr>
          <w:p w:rsidR="000654C4" w:rsidRDefault="000654C4" w:rsidP="008A07AA"/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Parametre</w:t>
            </w:r>
          </w:p>
        </w:tc>
        <w:tc>
          <w:tcPr>
            <w:tcW w:w="7105" w:type="dxa"/>
          </w:tcPr>
          <w:p w:rsidR="000654C4" w:rsidRDefault="000654C4" w:rsidP="008A07AA"/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Returværdi</w:t>
            </w:r>
          </w:p>
        </w:tc>
        <w:tc>
          <w:tcPr>
            <w:tcW w:w="7105" w:type="dxa"/>
          </w:tcPr>
          <w:p w:rsidR="000654C4" w:rsidRDefault="000654C4" w:rsidP="008A07AA"/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Beskrivelse</w:t>
            </w:r>
          </w:p>
        </w:tc>
        <w:tc>
          <w:tcPr>
            <w:tcW w:w="7105" w:type="dxa"/>
          </w:tcPr>
          <w:p w:rsidR="000654C4" w:rsidRDefault="000654C4" w:rsidP="008A07AA"/>
        </w:tc>
      </w:tr>
    </w:tbl>
    <w:p w:rsidR="000654C4" w:rsidRDefault="00065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12049" w:rsidTr="00612049">
        <w:tc>
          <w:tcPr>
            <w:tcW w:w="2245" w:type="dxa"/>
          </w:tcPr>
          <w:p w:rsidR="00612049" w:rsidRDefault="00612049">
            <w:r>
              <w:t>Funktion</w:t>
            </w:r>
          </w:p>
        </w:tc>
        <w:tc>
          <w:tcPr>
            <w:tcW w:w="7105" w:type="dxa"/>
          </w:tcPr>
          <w:p w:rsidR="00612049" w:rsidRDefault="00612049">
            <w:r>
              <w:t>setRegPtr(UnitRegister&amp; regRef)</w:t>
            </w:r>
          </w:p>
        </w:tc>
      </w:tr>
      <w:tr w:rsidR="00612049" w:rsidTr="00612049">
        <w:tc>
          <w:tcPr>
            <w:tcW w:w="2245" w:type="dxa"/>
          </w:tcPr>
          <w:p w:rsidR="00612049" w:rsidRDefault="00612049">
            <w:r>
              <w:t>Parametre</w:t>
            </w:r>
          </w:p>
        </w:tc>
        <w:tc>
          <w:tcPr>
            <w:tcW w:w="7105" w:type="dxa"/>
          </w:tcPr>
          <w:p w:rsidR="00612049" w:rsidRDefault="00612049">
            <w:r>
              <w:t>Addressen til unitregister</w:t>
            </w:r>
          </w:p>
        </w:tc>
      </w:tr>
      <w:tr w:rsidR="00612049" w:rsidTr="00612049">
        <w:tc>
          <w:tcPr>
            <w:tcW w:w="2245" w:type="dxa"/>
          </w:tcPr>
          <w:p w:rsidR="00612049" w:rsidRDefault="00612049">
            <w:r>
              <w:t>Returværdi</w:t>
            </w:r>
          </w:p>
        </w:tc>
        <w:tc>
          <w:tcPr>
            <w:tcW w:w="7105" w:type="dxa"/>
          </w:tcPr>
          <w:p w:rsidR="00612049" w:rsidRDefault="00612049">
            <w:r>
              <w:t>Ingen.</w:t>
            </w:r>
          </w:p>
        </w:tc>
      </w:tr>
      <w:tr w:rsidR="00612049" w:rsidTr="00612049">
        <w:tc>
          <w:tcPr>
            <w:tcW w:w="2245" w:type="dxa"/>
          </w:tcPr>
          <w:p w:rsidR="00612049" w:rsidRDefault="00612049">
            <w:r>
              <w:t>Beskrivelse</w:t>
            </w:r>
          </w:p>
        </w:tc>
        <w:tc>
          <w:tcPr>
            <w:tcW w:w="7105" w:type="dxa"/>
          </w:tcPr>
          <w:p w:rsidR="00612049" w:rsidRDefault="00612049">
            <w:r>
              <w:t>Sætter pointeren til UnitRegister til addressen regRef</w:t>
            </w:r>
          </w:p>
        </w:tc>
      </w:tr>
    </w:tbl>
    <w:p w:rsidR="00D0617A" w:rsidRDefault="00D06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12049" w:rsidTr="008A07AA">
        <w:tc>
          <w:tcPr>
            <w:tcW w:w="2245" w:type="dxa"/>
          </w:tcPr>
          <w:p w:rsidR="00612049" w:rsidRDefault="00612049" w:rsidP="008A07AA">
            <w:r>
              <w:t>Funktion</w:t>
            </w:r>
          </w:p>
        </w:tc>
        <w:tc>
          <w:tcPr>
            <w:tcW w:w="7105" w:type="dxa"/>
          </w:tcPr>
          <w:p w:rsidR="00612049" w:rsidRDefault="00612049" w:rsidP="008A07AA">
            <w:r>
              <w:t>openComPort(int port, int baud, int dataBit, int paritet, int stopBit)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Parametre</w:t>
            </w:r>
          </w:p>
        </w:tc>
        <w:tc>
          <w:tcPr>
            <w:tcW w:w="7105" w:type="dxa"/>
          </w:tcPr>
          <w:p w:rsidR="00612049" w:rsidRDefault="00612049" w:rsidP="008A07AA">
            <w:r>
              <w:t xml:space="preserve">Port: Com Porten der benyttes. Baud: Baudrate der sendes med. </w:t>
            </w:r>
          </w:p>
          <w:p w:rsidR="00612049" w:rsidRDefault="00612049" w:rsidP="008A07AA">
            <w:r>
              <w:t>dataBit: Antal databits. Paritet: Hvilken type paritet der benyttes. stopBit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Returværdi</w:t>
            </w:r>
          </w:p>
        </w:tc>
        <w:tc>
          <w:tcPr>
            <w:tcW w:w="7105" w:type="dxa"/>
          </w:tcPr>
          <w:p w:rsidR="00612049" w:rsidRDefault="000654C4" w:rsidP="008A07AA">
            <w:r>
              <w:t>Bool: Sand hvis porten er åbnet, falsk hvis ikke.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Beskrivelse</w:t>
            </w:r>
          </w:p>
        </w:tc>
        <w:tc>
          <w:tcPr>
            <w:tcW w:w="7105" w:type="dxa"/>
          </w:tcPr>
          <w:p w:rsidR="00612049" w:rsidRDefault="000654C4" w:rsidP="008A07AA">
            <w:r>
              <w:t>Bruges til at åbne com porten til kommunikation mellem PC og styreboks.</w:t>
            </w:r>
          </w:p>
        </w:tc>
      </w:tr>
    </w:tbl>
    <w:p w:rsidR="00612049" w:rsidRDefault="0061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12049" w:rsidTr="008A07AA">
        <w:tc>
          <w:tcPr>
            <w:tcW w:w="2245" w:type="dxa"/>
          </w:tcPr>
          <w:p w:rsidR="00612049" w:rsidRDefault="00612049" w:rsidP="008A07AA">
            <w:r>
              <w:t>Funktion</w:t>
            </w:r>
          </w:p>
        </w:tc>
        <w:tc>
          <w:tcPr>
            <w:tcW w:w="7105" w:type="dxa"/>
          </w:tcPr>
          <w:p w:rsidR="00612049" w:rsidRDefault="000654C4" w:rsidP="008A07AA">
            <w:r>
              <w:t>closeComPort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Parametre</w:t>
            </w:r>
          </w:p>
        </w:tc>
        <w:tc>
          <w:tcPr>
            <w:tcW w:w="7105" w:type="dxa"/>
          </w:tcPr>
          <w:p w:rsidR="00612049" w:rsidRDefault="000654C4" w:rsidP="008A07AA">
            <w:r>
              <w:t>Ingen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Returværdi</w:t>
            </w:r>
          </w:p>
        </w:tc>
        <w:tc>
          <w:tcPr>
            <w:tcW w:w="7105" w:type="dxa"/>
          </w:tcPr>
          <w:p w:rsidR="00612049" w:rsidRDefault="000654C4" w:rsidP="008A07AA">
            <w:r>
              <w:t>Ingen</w:t>
            </w:r>
          </w:p>
        </w:tc>
      </w:tr>
      <w:tr w:rsidR="00612049" w:rsidTr="008A07AA">
        <w:tc>
          <w:tcPr>
            <w:tcW w:w="2245" w:type="dxa"/>
          </w:tcPr>
          <w:p w:rsidR="00612049" w:rsidRDefault="00612049" w:rsidP="008A07AA">
            <w:r>
              <w:t>Beskrivelse</w:t>
            </w:r>
          </w:p>
        </w:tc>
        <w:tc>
          <w:tcPr>
            <w:tcW w:w="7105" w:type="dxa"/>
          </w:tcPr>
          <w:p w:rsidR="00612049" w:rsidRDefault="000654C4" w:rsidP="008A07AA">
            <w:r>
              <w:t>Lukker com porten</w:t>
            </w:r>
          </w:p>
        </w:tc>
      </w:tr>
    </w:tbl>
    <w:p w:rsidR="00612049" w:rsidRDefault="0061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654C4" w:rsidTr="008A07AA">
        <w:tc>
          <w:tcPr>
            <w:tcW w:w="2245" w:type="dxa"/>
          </w:tcPr>
          <w:p w:rsidR="000654C4" w:rsidRDefault="000654C4" w:rsidP="008A07AA">
            <w:r>
              <w:t>Funktion</w:t>
            </w:r>
          </w:p>
        </w:tc>
        <w:tc>
          <w:tcPr>
            <w:tcW w:w="7105" w:type="dxa"/>
          </w:tcPr>
          <w:p w:rsidR="000654C4" w:rsidRDefault="000654C4" w:rsidP="000654C4">
            <w:r>
              <w:t>sendCommand(char* cmd, int cmdSize)</w:t>
            </w:r>
          </w:p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Parametre</w:t>
            </w:r>
          </w:p>
        </w:tc>
        <w:tc>
          <w:tcPr>
            <w:tcW w:w="7105" w:type="dxa"/>
          </w:tcPr>
          <w:p w:rsidR="000654C4" w:rsidRDefault="000654C4" w:rsidP="008A07AA">
            <w:r>
              <w:t>Char* eller string, samt længden på string eller char array.</w:t>
            </w:r>
          </w:p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Returværdi</w:t>
            </w:r>
          </w:p>
        </w:tc>
        <w:tc>
          <w:tcPr>
            <w:tcW w:w="7105" w:type="dxa"/>
          </w:tcPr>
          <w:p w:rsidR="000654C4" w:rsidRDefault="000654C4" w:rsidP="008A07AA">
            <w:r>
              <w:t>Ingen</w:t>
            </w:r>
          </w:p>
        </w:tc>
      </w:tr>
      <w:tr w:rsidR="000654C4" w:rsidTr="008A07AA">
        <w:tc>
          <w:tcPr>
            <w:tcW w:w="2245" w:type="dxa"/>
          </w:tcPr>
          <w:p w:rsidR="000654C4" w:rsidRDefault="000654C4" w:rsidP="008A07AA">
            <w:r>
              <w:t>Beskrivelse</w:t>
            </w:r>
          </w:p>
        </w:tc>
        <w:tc>
          <w:tcPr>
            <w:tcW w:w="7105" w:type="dxa"/>
          </w:tcPr>
          <w:p w:rsidR="000654C4" w:rsidRDefault="000654C4" w:rsidP="008A07AA">
            <w:r>
              <w:t>Sender en kommando til styreboksen.</w:t>
            </w:r>
            <w:bookmarkStart w:id="0" w:name="_GoBack"/>
            <w:bookmarkEnd w:id="0"/>
          </w:p>
        </w:tc>
      </w:tr>
    </w:tbl>
    <w:p w:rsidR="000654C4" w:rsidRDefault="000654C4"/>
    <w:sectPr w:rsidR="0006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3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49"/>
    <w:rsid w:val="000119E6"/>
    <w:rsid w:val="00025563"/>
    <w:rsid w:val="00032066"/>
    <w:rsid w:val="000404EA"/>
    <w:rsid w:val="0004255F"/>
    <w:rsid w:val="00046FB6"/>
    <w:rsid w:val="00050750"/>
    <w:rsid w:val="000654C4"/>
    <w:rsid w:val="000C2720"/>
    <w:rsid w:val="000D75CD"/>
    <w:rsid w:val="000E4F32"/>
    <w:rsid w:val="00111951"/>
    <w:rsid w:val="00115C8D"/>
    <w:rsid w:val="00116F8B"/>
    <w:rsid w:val="00124ED2"/>
    <w:rsid w:val="001313B5"/>
    <w:rsid w:val="0014664B"/>
    <w:rsid w:val="0015471C"/>
    <w:rsid w:val="0019240B"/>
    <w:rsid w:val="00194C4B"/>
    <w:rsid w:val="001A0B30"/>
    <w:rsid w:val="001C6C6A"/>
    <w:rsid w:val="001E59C7"/>
    <w:rsid w:val="001F27F6"/>
    <w:rsid w:val="00210827"/>
    <w:rsid w:val="00220AEE"/>
    <w:rsid w:val="00241F3B"/>
    <w:rsid w:val="002429DC"/>
    <w:rsid w:val="00244767"/>
    <w:rsid w:val="0024634A"/>
    <w:rsid w:val="00254047"/>
    <w:rsid w:val="002649C5"/>
    <w:rsid w:val="00272E32"/>
    <w:rsid w:val="00283B1F"/>
    <w:rsid w:val="002C592C"/>
    <w:rsid w:val="002C5DDF"/>
    <w:rsid w:val="002F1BCC"/>
    <w:rsid w:val="00300535"/>
    <w:rsid w:val="00303679"/>
    <w:rsid w:val="00310F37"/>
    <w:rsid w:val="00320161"/>
    <w:rsid w:val="003266BD"/>
    <w:rsid w:val="00346FA6"/>
    <w:rsid w:val="003544F8"/>
    <w:rsid w:val="003756C7"/>
    <w:rsid w:val="003A32BB"/>
    <w:rsid w:val="003B1F40"/>
    <w:rsid w:val="003B290F"/>
    <w:rsid w:val="003B4F58"/>
    <w:rsid w:val="003E574D"/>
    <w:rsid w:val="003E7D83"/>
    <w:rsid w:val="003F34A7"/>
    <w:rsid w:val="00410677"/>
    <w:rsid w:val="004123A7"/>
    <w:rsid w:val="0041789F"/>
    <w:rsid w:val="00425797"/>
    <w:rsid w:val="00435F2C"/>
    <w:rsid w:val="00440116"/>
    <w:rsid w:val="0045042E"/>
    <w:rsid w:val="0046388A"/>
    <w:rsid w:val="00466362"/>
    <w:rsid w:val="00473C4D"/>
    <w:rsid w:val="004759F0"/>
    <w:rsid w:val="00482DC1"/>
    <w:rsid w:val="004A3195"/>
    <w:rsid w:val="004E135B"/>
    <w:rsid w:val="004F17B5"/>
    <w:rsid w:val="00545450"/>
    <w:rsid w:val="00563F58"/>
    <w:rsid w:val="005B506A"/>
    <w:rsid w:val="00602A57"/>
    <w:rsid w:val="00612049"/>
    <w:rsid w:val="00614197"/>
    <w:rsid w:val="006168E4"/>
    <w:rsid w:val="006228BD"/>
    <w:rsid w:val="00683DD7"/>
    <w:rsid w:val="00687D3C"/>
    <w:rsid w:val="006A7801"/>
    <w:rsid w:val="006B335D"/>
    <w:rsid w:val="006D0FC1"/>
    <w:rsid w:val="006D1DEF"/>
    <w:rsid w:val="006E48FD"/>
    <w:rsid w:val="007025E8"/>
    <w:rsid w:val="00715977"/>
    <w:rsid w:val="007217E7"/>
    <w:rsid w:val="00743770"/>
    <w:rsid w:val="007679D3"/>
    <w:rsid w:val="00771BF3"/>
    <w:rsid w:val="00793114"/>
    <w:rsid w:val="00793DF7"/>
    <w:rsid w:val="00795CA6"/>
    <w:rsid w:val="007B5A87"/>
    <w:rsid w:val="007B5D1E"/>
    <w:rsid w:val="007C62E0"/>
    <w:rsid w:val="007E140B"/>
    <w:rsid w:val="007F5482"/>
    <w:rsid w:val="0083294D"/>
    <w:rsid w:val="00834BBA"/>
    <w:rsid w:val="00854886"/>
    <w:rsid w:val="00863B56"/>
    <w:rsid w:val="008715F0"/>
    <w:rsid w:val="008802BC"/>
    <w:rsid w:val="00880940"/>
    <w:rsid w:val="008832E4"/>
    <w:rsid w:val="008876DE"/>
    <w:rsid w:val="0089177A"/>
    <w:rsid w:val="008B0DA9"/>
    <w:rsid w:val="008B1839"/>
    <w:rsid w:val="008B3FE7"/>
    <w:rsid w:val="008E0A29"/>
    <w:rsid w:val="0090062A"/>
    <w:rsid w:val="009050B7"/>
    <w:rsid w:val="009062CC"/>
    <w:rsid w:val="00934813"/>
    <w:rsid w:val="00937807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068"/>
    <w:rsid w:val="009F4AF3"/>
    <w:rsid w:val="00A00217"/>
    <w:rsid w:val="00A04219"/>
    <w:rsid w:val="00A0570E"/>
    <w:rsid w:val="00A070F7"/>
    <w:rsid w:val="00A32249"/>
    <w:rsid w:val="00A43532"/>
    <w:rsid w:val="00A644DF"/>
    <w:rsid w:val="00A76486"/>
    <w:rsid w:val="00A9425B"/>
    <w:rsid w:val="00AA315B"/>
    <w:rsid w:val="00AA729D"/>
    <w:rsid w:val="00AC5FC5"/>
    <w:rsid w:val="00AC65E5"/>
    <w:rsid w:val="00AD5E0C"/>
    <w:rsid w:val="00AF316C"/>
    <w:rsid w:val="00B0072A"/>
    <w:rsid w:val="00B20F3D"/>
    <w:rsid w:val="00B21C64"/>
    <w:rsid w:val="00B526ED"/>
    <w:rsid w:val="00B57494"/>
    <w:rsid w:val="00B65936"/>
    <w:rsid w:val="00BE5C1B"/>
    <w:rsid w:val="00BE5DA0"/>
    <w:rsid w:val="00BF271A"/>
    <w:rsid w:val="00C045C1"/>
    <w:rsid w:val="00C23A19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81E06"/>
    <w:rsid w:val="00DA0DCC"/>
    <w:rsid w:val="00DC3740"/>
    <w:rsid w:val="00DC6EBC"/>
    <w:rsid w:val="00DD317F"/>
    <w:rsid w:val="00DE1A5B"/>
    <w:rsid w:val="00DE2CA1"/>
    <w:rsid w:val="00DE4CC0"/>
    <w:rsid w:val="00E41CB7"/>
    <w:rsid w:val="00E6605E"/>
    <w:rsid w:val="00E661DE"/>
    <w:rsid w:val="00E71CC1"/>
    <w:rsid w:val="00E86F15"/>
    <w:rsid w:val="00E92109"/>
    <w:rsid w:val="00EC7F04"/>
    <w:rsid w:val="00EE172A"/>
    <w:rsid w:val="00EE46D4"/>
    <w:rsid w:val="00F008A0"/>
    <w:rsid w:val="00F01709"/>
    <w:rsid w:val="00F05B04"/>
    <w:rsid w:val="00F23DBF"/>
    <w:rsid w:val="00F2799B"/>
    <w:rsid w:val="00F40F73"/>
    <w:rsid w:val="00F504FA"/>
    <w:rsid w:val="00F6584D"/>
    <w:rsid w:val="00F718AB"/>
    <w:rsid w:val="00F73C70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0773-AB72-4B54-92A7-CA4B10E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2016-06-09T14:46:00Z</dcterms:created>
  <dcterms:modified xsi:type="dcterms:W3CDTF">2016-06-09T15:00:00Z</dcterms:modified>
</cp:coreProperties>
</file>