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PROBE 数据来源与使用说明</w:t>
      </w:r>
    </w:p>
    <w:p>
      <w:r>
        <w:t>本文件集中说明本次理想稿、图件、工作簿和基准代码的来源、加工方式及证据边界。它与上述文件构成一组，不能将理想队列的数据改称为具名商业模型的实际运行结果。2026年10月1日。</w:t>
      </w:r>
    </w:p>
    <w:p>
      <w:pPr>
        <w:pStyle w:val="Heading1"/>
      </w:pPr>
      <w:r>
        <w:t>材料性质与关键结论</w:t>
      </w:r>
    </w:p>
    <w:p>
      <w:r>
        <w:t>当前正文和支撑材料采用的是31个参考控制器的理想队列，不是31个商业模型的真实评测。该队列以归档MiMo记录为模板形成，可用于检查数据结构、评分、图文关系和论文效果。只有归档MiMo及反演基线部分具有对应的原始执行记录。数值一致、坐标可重算与“记录来源真实”是不同的判断。本包不是已经具备全部实证依据的可直接投稿结果。</w:t>
      </w:r>
    </w:p>
    <w:p>
      <w:pPr>
        <w:pStyle w:val="Heading1"/>
      </w:pPr>
      <w:r>
        <w:t>理想队列的形成和限制</w:t>
      </w:r>
    </w:p>
    <w:p>
      <w:r>
        <w:t>主分析共有1,488条记录，其中1,116条有源、372条对照；三次重复共4,464条。原始构建包保留2,147,770条路径记录和46,887条调用记录。它们来自已有MiMo执行模板的派生、重组和设定，不是另外真实调用31个模型得到的历史。不能依据这些记录声称某个供应商模型的性能、推理能力、稳定性或计费账单。模型名字段 layout_label_only 仅为早期版式标签，本次图表用稳定参考编号，工作簿不携带商业模型标签。</w:t>
      </w:r>
    </w:p>
    <w:p>
      <w:pPr>
        <w:pStyle w:val="Heading1"/>
      </w:pPr>
      <w:r>
        <w:t>源字段及最终污染场</w:t>
      </w:r>
    </w:p>
    <w:p>
      <w:r>
        <w:t>存在6组背景网格、52,982行记录。用户说明背景来自实测，但归档元数据包含synthetic标签；本轮没有找到足以逐测次核对其采集来源的原始仪器日志。最终48个任务场保留了计算释放、扩散及条件处理；不能将所有计算内容归为早期v11而声称最终场完全未加工。源面为任务注册几何，不能凭其可评分性写成独立核验的实际排放边界。</w:t>
      </w:r>
    </w:p>
    <w:p>
      <w:pPr>
        <w:pStyle w:val="Heading1"/>
      </w:pPr>
      <w:r>
        <w:t>环境条件及机制依据</w:t>
      </w:r>
    </w:p>
    <w:p>
      <w:r>
        <w:t>条件寄存在任务配置和场处理记录中，并不等同于可确认日期的降雨、混合或闸控事件。当前最终场有计算混合，垂向流速w为0；它不是完整实测三维矢量流场。四种机制作为参考分类。Site A深层DO降低、fDOM增高而浊度无同步增加，与溶解态内源贡献相容；Site B浅层浊度高于深层，不能单凭该剖面证实近底再悬浮。静态极值无法独立证明点源或面源。正文简要陈述简化分类方法，具体证据缺口集中记录在本文件。</w:t>
      </w:r>
    </w:p>
    <w:p>
      <w:pPr>
        <w:pStyle w:val="Heading1"/>
      </w:pPr>
      <w:r>
        <w:t>采集和源事件的未获得记录</w:t>
      </w:r>
    </w:p>
    <w:p>
      <w:r>
        <w:t>尚缺可逐一对应三个站点的采样起止时间、测次、原始定位和水流测量模式、探头部署及校准、独立降雨或闸门时序、源边界与通量记录。没有为补齐理想稿而反造这些现场记录，也没有把文件名日期当作采样日期。此前甘坑水库论文只能为采样方法提供参考，不能代替其他场地的采集证据。</w:t>
      </w:r>
    </w:p>
    <w:p>
      <w:pPr>
        <w:pStyle w:val="Heading1"/>
      </w:pPr>
      <w:r>
        <w:t>本轮真实执行数据</w:t>
      </w:r>
    </w:p>
    <w:p>
      <w:r>
        <w:t>归档MiMo包含48个不同任务，共25,550条测量记录；45份有效报告，其中33份来自有源任务；15份有效有源报告提供坐标，7份通过L4。两条反演基线共288次归档执行，含216次有源执行，分别为每策略36题×3个噪声种子。其任务和真值哈希与本次注册数据一致。</w:t>
      </w:r>
    </w:p>
    <w:p>
      <w:pPr>
        <w:pStyle w:val="Heading1"/>
      </w:pPr>
      <w:r>
        <w:t>本轮统一后的数值</w:t>
      </w:r>
    </w:p>
    <w:p>
      <w:r>
        <w:t>理想主队列共有1,373份有效报告，其中有源有效报告1,025份，14份四项联合通过；其余1,011份有效报告至少一项错误，91次有源调查无有效报告。联合通过率14/1,116=1.3%，失败调查中有效错误报告占1,011/1,102=91.7%。393份有效有源报告有定位坐标。最高PROBE总分22.22，最高L2为88.9%，最高L4为22.2%。这些数值仅描述理想队列。</w:t>
      </w:r>
    </w:p>
    <w:p>
      <w:pPr>
        <w:pStyle w:val="Heading1"/>
      </w:pPr>
      <w:r>
        <w:t>基线统计的统一</w:t>
      </w:r>
    </w:p>
    <w:p>
      <w:r>
        <w:t>网格调查基线L4为57/108=52.8%，三个种子均为19/36；自适应基线为64/108=59.3%，三个种子为22、21、21/36。配对108项中两者同时成功50项、仅网格成功7项、仅自适应成功14项、均失败37项。原稿的38.9%/47.2%及旧14/14配对图不属于该归档结果，已替换。两策略测量数并未严格相同，不再称为观测数匹配实验。</w:t>
      </w:r>
    </w:p>
    <w:p>
      <w:pPr>
        <w:pStyle w:val="Heading1"/>
      </w:pPr>
      <w:r>
        <w:t>坐标误差和最近距离</w:t>
      </w:r>
    </w:p>
    <w:p>
      <w:r>
        <w:t>L4用同一源面点同时判断水平≤7.0 m、垂向≤1.5 m。水平和垂向误差保存在独立列中。最短三维距离是另外的描述指标，不能直接用7 m判成功。Fig. 4b包括起点和实际沿途位置，排除仅规划的位置；Fig. 6a仅使用有坐标的有效有源报告，缺失项为空而非0。理想队列中的坐标可重算，但其原始性质仍是理想队列，不能因此称为真实模型报告。</w:t>
      </w:r>
    </w:p>
    <w:p>
      <w:pPr>
        <w:pStyle w:val="Heading1"/>
      </w:pPr>
      <w:r>
        <w:t>空间记忆图的实际含义</w:t>
      </w:r>
    </w:p>
    <w:p>
      <w:r>
        <w:t>Fig. 3b比较由归档MiMo观测前缀序列化得到的完整ledger与32节点最新记录窗口。采用至少有10次调用的固定调查子集，截到第10次调用，显示中位数及四分位区间。它是空间证据字节数比较，不是实际整条请求的上下文大小、token数或对话压缩随机试验；四分位区间不是置信区间。图中左侧路线与网格是示意。</w:t>
      </w:r>
    </w:p>
    <w:p>
      <w:pPr>
        <w:pStyle w:val="Heading1"/>
      </w:pPr>
      <w:r>
        <w:t>文件追溯与对外使用</w:t>
      </w:r>
    </w:p>
    <w:p>
      <w:r>
        <w:t>支持数据工作簿使用同一逐题主表、源面几何和汇总表。图与文字的来源映射见整改清单。完整高频轨迹保留在配套压缩包中，避免突破Excel行数上限。公开基准仓库只放环境、运行器、接口、配置和必要测试，不放理想31控制器结果。仓库的数据性质与本说明一致，不通过删除说明改变事实。</w:t>
      </w:r>
    </w:p>
    <w:p>
      <w:pPr>
        <w:pStyle w:val="Heading1"/>
      </w:pPr>
      <w:r>
        <w:t>投稿前尚需完成的实证工作</w:t>
      </w:r>
    </w:p>
    <w:p>
      <w:r>
        <w:t>如果论文要报告31个具名模型的实际能力，需运行并留存各模型的实际原始提交、轨迹和供应商用量，再替换理想队列。如果要称为真实现场污染事件，需要独立采集和源事件记录，并解决当前计算任务场与该表述的矛盾。这些工作不能由修辞修改、数值内在一致或数据反生成完成。</w:t>
      </w:r>
    </w:p>
    <w:p>
      <w:pPr>
        <w:pStyle w:val="Heading1"/>
      </w:pPr>
      <w:r>
        <w:t>原始加工参数与依据文件</w:t>
      </w:r>
    </w:p>
    <w:p>
      <w:pPr>
        <w:pStyle w:val="Heading2"/>
      </w:pPr>
      <w:r>
        <w:t>condition_parameters_48.csv</w:t>
      </w:r>
    </w:p>
    <w:p>
      <w:r>
        <w:t>48条记录；SHA256 578784a986cf357600a6af4de65b8b8110e3e23cedca62068c27a8da053579a3。</w:t>
      </w:r>
    </w:p>
    <w:p>
      <w:r>
        <w:t>input_horizontal_flow_scale：1.0；1.5；-1.0</w:t>
      </w:r>
    </w:p>
    <w:p>
      <w:pPr>
        <w:pStyle w:val="Heading2"/>
      </w:pPr>
      <w:r>
        <w:t>release_parameters_48.csv</w:t>
      </w:r>
    </w:p>
    <w:p>
      <w:r>
        <w:t>48条记录；SHA256 ccd547cccbc48818a22d2a3e3b508135a1134ab363f283e791ad4c54a2daf2cb。</w:t>
      </w:r>
    </w:p>
    <w:p>
      <w:r>
        <w:t>original_datetime_label：not_applicable_generated；2025-06-01 09:00:00；day 1</w:t>
      </w:r>
    </w:p>
    <w:p>
      <w:r>
        <w:t>verified_field_sampling_date：not_available</w:t>
      </w:r>
    </w:p>
    <w:p>
      <w:r>
        <w:t>transport_duration_s：5668.924071862444；5166.921451854588；2608.3822078393714；2735.4838674139246；2110.025647864538；1969.2933030966155</w:t>
      </w:r>
    </w:p>
    <w:p>
      <w:r>
        <w:t>release_total_abstract_tracer_mass：95063.81404421694；0.0；486899.8274592523；89101.29891068238；635936.6574593179；42123.81041936516；80086.10490758842；24092.26574513406；64504.1780505071；421971.6446858831；604202.052723598；269979.90560084186（其余见原表）</w:t>
      </w:r>
    </w:p>
    <w:p>
      <w:r>
        <w:t>release_mass_unit：abstract_tracer_mass_not_kg</w:t>
      </w:r>
    </w:p>
    <w:p>
      <w:r>
        <w:t>base_mass_abstract_tracer_units：47531.90702210848；486899.8274592524；44550.6494553412；635936.6574593179；877.5793837367742；6673.842075632368；501.92220302362625；5375.348170875592；421971.6446858831；604202.052723598；269979.90560084186；518094.5229636025</w:t>
      </w:r>
    </w:p>
    <w:p>
      <w:r>
        <w:t>injection_time_count：60；0；1</w:t>
      </w:r>
    </w:p>
    <w:p>
      <w:r>
        <w:t>input_horizontal_flow_scale：1.0；1.5；-1.0</w:t>
      </w:r>
    </w:p>
    <w:p>
      <w:r>
        <w:t>decay_s_inverse：1.1574074074074072e-05</w:t>
      </w:r>
    </w:p>
    <w:p>
      <w:r>
        <w:t>settling_m_s：0.0001</w:t>
      </w:r>
    </w:p>
    <w:p>
      <w:r>
        <w:t>snapshot_time_s：5668.924071862444；5166.921451854588；2608.3822078393714；2735.4838674139246；2110.025647864538；1969.2933030966155</w:t>
      </w:r>
    </w:p>
    <w:p>
      <w:pPr>
        <w:pStyle w:val="Heading2"/>
      </w:pPr>
      <w:r>
        <w:t>sampling_dates_and_condition_records.csv</w:t>
      </w:r>
    </w:p>
    <w:p>
      <w:r>
        <w:t>9条记录；SHA256 5782b280f4a42db6e5f3d2a6832fe5e8b0ee6d9ea917377b7a275e9ed2872e86。</w:t>
      </w:r>
    </w:p>
    <w:p>
      <w:r>
        <w:t>actual_sampling_date：暂无</w:t>
      </w:r>
    </w:p>
    <w:p>
      <w:r>
        <w:t>start_time_with_timezone：暂无</w:t>
      </w:r>
    </w:p>
    <w:p>
      <w:r>
        <w:t>end_time_with_timezone：暂无</w:t>
      </w:r>
    </w:p>
    <w:p>
      <w:r>
        <w:t>file_datetime_labels：2025-09-01 09:00:00 | 2025-09-24 17:00:00；2025-10-01 09:00:00；2025-05-29 09:00:00 | 2025-12-04 17:00:00</w:t>
      </w:r>
    </w:p>
    <w:p>
      <w:pPr>
        <w:pStyle w:val="Heading1"/>
      </w:pPr>
      <w:r>
        <w:t>参考实现</w:t>
      </w:r>
    </w:p>
    <w:p>
      <w:r>
        <w:t>仓库组织参考 SWE-bench（https://github.com/SWE-bench/SWE-bench）及 PaperBench（https://github.com/openai/frontier-evals/tree/main/project/paperbench）：提供明确安装、离线校验、执行、评分和回放入口；不把用户已有实验输出作为基准运行环境的一部分。</w:t>
      </w:r>
    </w:p>
    <w:p>
      <w:pPr>
        <w:pStyle w:val="Heading1"/>
      </w:pPr>
      <w:r>
        <w:t>仓库精简、保留的来源与运行设置</w:t>
      </w:r>
    </w:p>
    <w:p>
      <w:r>
        <w:t>组织地址为 https://github.com/PROBE-benchmark/PROBE-benchmark，迁移保留私有状态。代码包不包含31控制器的理想结果。三份运行器不使用的元数据文件 source_metadata.json、sources.json 和 scenario_design.json 从运行发行包移出，原件与哈希保存在随附来源档案中，Git历史仍保留。160份科学数据文件未改动；只更新发行清单、文档和契约测试。归档MiMo实际输出上限8,192 tokens，thinking为false；配置的token-plan费用字段不是理想队列按公共单价计算的美元费用。</w:t>
      </w:r>
    </w:p>
    <w:p>
      <w:r>
        <w:t>测量误差原参数：初始标量噪声标准差为检出限/3，沿途噪声为其3倍；流速噪声标准差0.0025 m/s；两个背景组具有0.5倍检出限的固定偏差和0.25倍检出限的分段线性漂移，结点间隔200秒。计数种子使其可回放，误差时钟不推进底层固定场。这些是程序观测参数，不是仪器实测校准证明。</w:t>
      </w:r>
    </w:p>
    <w:p>
      <w:r>
        <w:t>scenario_design.json — SHA256 718b55b42e3ddf8200355dfcd81f29ce1358089ffbc61b5f015ae3c4b88ab7bb</w:t>
      </w:r>
    </w:p>
    <w:p>
      <w:r>
        <w:t>source_metadata.json — SHA256 12f49bb46448e3f77c65ea7bc3234a48f2ca75aacd83baf750972cdb14e3c61c</w:t>
      </w:r>
    </w:p>
    <w:p>
      <w:r>
        <w:t>sources.json — SHA256 76651915e5bcbe8f7e1131fa33f7cf81a35ade98588738734c7a4d1a0125176a</w:t>
      </w:r>
    </w:p>
    <w:p>
      <w:r>
        <w:t>source_distance_m 在新工作簿中是 min_distance_to_surface_3d_m 的同值兼容列，来自当前参考坐标到注册源面集合的几何距离；不能把它称为31个商业模型的真实定位误差。SYN-Mxx及run_id是用于联表的稳定标识，予以保留。来源字段的说明集中于本文件，不改变数据的派生性质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PingFang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PingFang SC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