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u w:val="single"/>
          <w:rtl w:val="0"/>
        </w:rPr>
        <w:t xml:space="preserve">Severance Pay Policy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300" w:before="460" w:line="264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hd w:fill="ffffff" w:val="clear"/>
        <w:spacing w:after="160" w:line="33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purpose of this policy is to outline the severance pay benefit of [Company Name].</w:t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policy applies to all regular, full-time employees of [Company Name], excluding temporary or contract employees, unless otherwise stipulated in their employment contract.</w:t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Eligibility</w:t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Employees may be eligible for severance pay under the following circumstances: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the event of a position elimination due to restructuring or downsizing.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an employee is laid off due to business-related reasons.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cases of involuntary termination for reasons not related to employee performance or conduct.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Severance Pay Calculation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Severance pay will be calculated based on the employee's length of service with [Company Name]. The formula for calculating severance pay is [Specify the formula, e.g., one week's pay for each year of service].</w:t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Conditions for Severance Pay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be eligible for severance pay, employees must meet the following conditions: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employee must sign a Full and Final Settlement Agreement, releasing [Company Name] from any future claims.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Compliance with the terms and conditions outlined in the company's policies, including the return of company property and confidentiality obligations.</w:t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Disqualification from Severance Pay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Employees may be disqualified from receiving severance pay under the following circumstances: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Termination for cause due to serious violations of company policies.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Resignation or voluntary departure from the company.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Failure to sign the Full and Final Settlement Agreement.</w:t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Severance Pay Process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Upon termination, HR will calculate the eligible severance pay for the employee.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HR will provide the employee with the Severance Pay Calculation and the Full and Final Settlement Agreement.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employee has [Specify Duration, e.g., 21 calendar days] to review and sign the agreement.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Once the agreement is signed and returned, HR will process the severance payment in accordance with the company's regular payroll schedule.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Tax Implications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Employees are responsible for any applicable taxes on the severance pay, and the company will provide the necessary documentation for tax purposes.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Review and Revision</w:t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Severance Pay Policy will be reviewed periodically and may be revised as needed. Any changes will be communicated to employees through appropriate channels.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Questions and Clarifications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questions or clarifications regarding this policy, employees may contact the Human Resources department at [HR Contact Information].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