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jc w:val="center"/>
      </w:pPr>
      <w:r>
        <w:rPr>
          <w:b/>
          <w:bCs/>
          <w:color w:val="1B2A4A"/>
          <w:sz w:val="72"/>
          <w:szCs w:val="72"/>
        </w:rPr>
        <w:t xml:space="preserve">PROHIT</w:t>
      </w:r>
    </w:p>
    <w:p>
      <w:pPr>
        <w:spacing w:after="60" w:before="100"/>
        <w:jc w:val="center"/>
      </w:pPr>
      <w:r>
        <w:rPr>
          <w:b/>
          <w:bCs/>
          <w:color w:val="2A9D8F"/>
          <w:sz w:val="40"/>
          <w:szCs w:val="40"/>
        </w:rPr>
        <w:t xml:space="preserve">Daily Task</w:t>
      </w:r>
    </w:p>
    <w:p>
      <w:pPr>
        <w:spacing w:before="400"/>
        <w:jc w:val="center"/>
      </w:pPr>
      <w:r>
        <w:rPr>
          <w:color w:val="444444"/>
          <w:sz w:val="28"/>
          <w:szCs w:val="28"/>
        </w:rPr>
        <w:t xml:space="preserve">Business Requirements Document (BRD)</w:t>
      </w:r>
    </w:p>
    <w:p>
      <w:pPr>
        <w:spacing w:before="120"/>
        <w:jc w:val="center"/>
      </w:pPr>
      <w:r>
        <w:rPr>
          <w:i/>
          <w:iCs/>
          <w:color w:val="666666"/>
          <w:sz w:val="20"/>
          <w:szCs w:val="20"/>
        </w:rPr>
        <w:t xml:space="preserve">Generic Productivity Platform with Vertical Business Modules</w:t>
      </w:r>
    </w:p>
    <w:p>
      <w:pPr>
        <w:spacing w:before="1600"/>
      </w:pPr>
    </w:p>
    <w:p>
      <w:pPr>
        <w:jc w:val="center"/>
      </w:pPr>
      <w:r>
        <w:rPr>
          <w:color w:val="333333"/>
          <w:sz w:val="20"/>
          <w:szCs w:val="20"/>
        </w:rPr>
        <w:t xml:space="preserve">Prepared for: PROHIT CoreTech / Finnpulse Advisory</w:t>
      </w:r>
    </w:p>
    <w:p>
      <w:pPr>
        <w:spacing w:before="60"/>
        <w:jc w:val="center"/>
      </w:pPr>
      <w:r>
        <w:rPr>
          <w:color w:val="333333"/>
          <w:sz w:val="20"/>
          <w:szCs w:val="20"/>
        </w:rPr>
        <w:t xml:space="preserve">Prepared by: Pratik Sathe</w:t>
      </w:r>
    </w:p>
    <w:p>
      <w:pPr>
        <w:spacing w:before="60"/>
        <w:jc w:val="center"/>
      </w:pPr>
      <w:r>
        <w:rPr>
          <w:color w:val="333333"/>
          <w:sz w:val="20"/>
          <w:szCs w:val="20"/>
        </w:rPr>
        <w:t xml:space="preserve">Version 1.0 — August 2026</w:t>
      </w:r>
    </w:p>
    <w:p>
      <w:r>
        <w:br w:type="page"/>
      </w:r>
    </w:p>
    <w:p>
      <w:pPr>
        <w:sectPr>
          <w:pgSz w:w="11906" w:h="16838" w:orient="portrait"/>
          <w:pgMar w:top="1000" w:right="1100" w:bottom="1000" w:left="1100" w:header="708" w:footer="708" w:gutter="0"/>
          <w:pgNumType/>
          <w:docGrid w:linePitch="360"/>
        </w:sectPr>
      </w:pPr>
    </w:p>
    <w:p>
      <w:pPr>
        <w:pStyle w:val="Heading1"/>
        <w:pBdr>
          <w:bottom w:val="single" w:color="2A9D8F" w:sz="8" w:space="4"/>
        </w:pBdr>
        <w:spacing w:after="180" w:before="360"/>
      </w:pPr>
      <w:r>
        <w:rPr>
          <w:b/>
          <w:bCs/>
          <w:color w:val="1B2A4A"/>
          <w:sz w:val="30"/>
          <w:szCs w:val="30"/>
        </w:rPr>
        <w:t xml:space="preserve">1. Document Control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500"/>
            <w:shd w:fill="1B2A4A" w:val="clear"/>
            <w:tcMar>
              <w:top w:type="dxa" w:w="80"/>
              <w:left w:type="dxa" w:w="100"/>
              <w:bottom w:type="dxa" w:w="80"/>
              <w:right w:type="dxa" w:w="100"/>
            </w:tcMar>
            <w:vAlign w:val="center"/>
          </w:tcPr>
          <w:p>
            <w:pPr>
              <w:jc w:val="left"/>
            </w:pPr>
            <w:r>
              <w:rPr>
                <w:b/>
                <w:bCs/>
                <w:color w:val="FFFFFF"/>
                <w:sz w:val="19"/>
                <w:szCs w:val="19"/>
              </w:rPr>
              <w:t xml:space="preserve">Field</w:t>
            </w:r>
          </w:p>
        </w:tc>
        <w:tc>
          <w:tcPr>
            <w:tcW w:type="dxa" w:w="6850"/>
            <w:shd w:fill="1B2A4A" w:val="clear"/>
            <w:tcMar>
              <w:top w:type="dxa" w:w="80"/>
              <w:left w:type="dxa" w:w="100"/>
              <w:bottom w:type="dxa" w:w="80"/>
              <w:right w:type="dxa" w:w="100"/>
            </w:tcMar>
            <w:vAlign w:val="center"/>
          </w:tcPr>
          <w:p>
            <w:pPr>
              <w:jc w:val="left"/>
            </w:pPr>
            <w:r>
              <w:rPr>
                <w:b/>
                <w:bCs/>
                <w:color w:val="FFFFFF"/>
                <w:sz w:val="19"/>
                <w:szCs w:val="19"/>
              </w:rPr>
              <w:t xml:space="preserve">Details</w:t>
            </w:r>
          </w:p>
        </w:tc>
      </w:tr>
      <w:tr>
        <w:tc>
          <w:tcPr>
            <w:tcW w:type="dxa" w:w="2500"/>
            <w:shd w:fill="F2F4F3" w:val="clear"/>
            <w:tcMar>
              <w:top w:type="dxa" w:w="80"/>
              <w:left w:type="dxa" w:w="100"/>
              <w:bottom w:type="dxa" w:w="80"/>
              <w:right w:type="dxa" w:w="100"/>
            </w:tcMar>
            <w:vAlign w:val="center"/>
          </w:tcPr>
          <w:p>
            <w:pPr>
              <w:jc w:val="left"/>
            </w:pPr>
            <w:r>
              <w:rPr>
                <w:b w:val="false"/>
                <w:bCs w:val="false"/>
                <w:color w:val="222222"/>
                <w:sz w:val="19"/>
                <w:szCs w:val="19"/>
              </w:rPr>
              <w:t xml:space="preserve">Document Title</w:t>
            </w:r>
          </w:p>
        </w:tc>
        <w:tc>
          <w:tcPr>
            <w:tcW w:type="dxa" w:w="6850"/>
            <w:shd w:fill="F2F4F3" w:val="clear"/>
            <w:tcMar>
              <w:top w:type="dxa" w:w="80"/>
              <w:left w:type="dxa" w:w="100"/>
              <w:bottom w:type="dxa" w:w="80"/>
              <w:right w:type="dxa" w:w="100"/>
            </w:tcMar>
            <w:vAlign w:val="center"/>
          </w:tcPr>
          <w:p>
            <w:pPr>
              <w:jc w:val="left"/>
            </w:pPr>
            <w:r>
              <w:rPr>
                <w:b w:val="false"/>
                <w:bCs w:val="false"/>
                <w:color w:val="222222"/>
                <w:sz w:val="19"/>
                <w:szCs w:val="19"/>
              </w:rPr>
              <w:t xml:space="preserve">PROHIT Daily Task — Business Requirements Document</w:t>
            </w:r>
          </w:p>
        </w:tc>
      </w:tr>
      <w:tr>
        <w:tc>
          <w:tcPr>
            <w:tcW w:type="dxa" w:w="2500"/>
            <w:tcMar>
              <w:top w:type="dxa" w:w="80"/>
              <w:left w:type="dxa" w:w="100"/>
              <w:bottom w:type="dxa" w:w="80"/>
              <w:right w:type="dxa" w:w="100"/>
            </w:tcMar>
            <w:vAlign w:val="center"/>
          </w:tcPr>
          <w:p>
            <w:pPr>
              <w:jc w:val="left"/>
            </w:pPr>
            <w:r>
              <w:rPr>
                <w:b w:val="false"/>
                <w:bCs w:val="false"/>
                <w:color w:val="222222"/>
                <w:sz w:val="19"/>
                <w:szCs w:val="19"/>
              </w:rPr>
              <w:t xml:space="preserve">Version</w:t>
            </w:r>
          </w:p>
        </w:tc>
        <w:tc>
          <w:tcPr>
            <w:tcW w:type="dxa" w:w="6850"/>
            <w:tcMar>
              <w:top w:type="dxa" w:w="80"/>
              <w:left w:type="dxa" w:w="100"/>
              <w:bottom w:type="dxa" w:w="80"/>
              <w:right w:type="dxa" w:w="100"/>
            </w:tcMar>
            <w:vAlign w:val="center"/>
          </w:tcPr>
          <w:p>
            <w:pPr>
              <w:jc w:val="left"/>
            </w:pPr>
            <w:r>
              <w:rPr>
                <w:b w:val="false"/>
                <w:bCs w:val="false"/>
                <w:color w:val="222222"/>
                <w:sz w:val="19"/>
                <w:szCs w:val="19"/>
              </w:rPr>
              <w:t xml:space="preserve">1.0</w:t>
            </w:r>
          </w:p>
        </w:tc>
      </w:tr>
      <w:tr>
        <w:tc>
          <w:tcPr>
            <w:tcW w:type="dxa" w:w="2500"/>
            <w:shd w:fill="F2F4F3" w:val="clear"/>
            <w:tcMar>
              <w:top w:type="dxa" w:w="80"/>
              <w:left w:type="dxa" w:w="100"/>
              <w:bottom w:type="dxa" w:w="80"/>
              <w:right w:type="dxa" w:w="100"/>
            </w:tcMar>
            <w:vAlign w:val="center"/>
          </w:tcPr>
          <w:p>
            <w:pPr>
              <w:jc w:val="left"/>
            </w:pPr>
            <w:r>
              <w:rPr>
                <w:b w:val="false"/>
                <w:bCs w:val="false"/>
                <w:color w:val="222222"/>
                <w:sz w:val="19"/>
                <w:szCs w:val="19"/>
              </w:rPr>
              <w:t xml:space="preserve">Prepared By</w:t>
            </w:r>
          </w:p>
        </w:tc>
        <w:tc>
          <w:tcPr>
            <w:tcW w:type="dxa" w:w="6850"/>
            <w:shd w:fill="F2F4F3" w:val="clear"/>
            <w:tcMar>
              <w:top w:type="dxa" w:w="80"/>
              <w:left w:type="dxa" w:w="100"/>
              <w:bottom w:type="dxa" w:w="80"/>
              <w:right w:type="dxa" w:w="100"/>
            </w:tcMar>
            <w:vAlign w:val="center"/>
          </w:tcPr>
          <w:p>
            <w:pPr>
              <w:jc w:val="left"/>
            </w:pPr>
            <w:r>
              <w:rPr>
                <w:b w:val="false"/>
                <w:bCs w:val="false"/>
                <w:color w:val="222222"/>
                <w:sz w:val="19"/>
                <w:szCs w:val="19"/>
              </w:rPr>
              <w:t xml:space="preserve">Pratik Sathe — Data Analytics Consultant, PROHIT CoreTech</w:t>
            </w:r>
          </w:p>
        </w:tc>
      </w:tr>
      <w:tr>
        <w:tc>
          <w:tcPr>
            <w:tcW w:type="dxa" w:w="2500"/>
            <w:tcMar>
              <w:top w:type="dxa" w:w="80"/>
              <w:left w:type="dxa" w:w="100"/>
              <w:bottom w:type="dxa" w:w="80"/>
              <w:right w:type="dxa" w:w="100"/>
            </w:tcMar>
            <w:vAlign w:val="center"/>
          </w:tcPr>
          <w:p>
            <w:pPr>
              <w:jc w:val="left"/>
            </w:pPr>
            <w:r>
              <w:rPr>
                <w:b w:val="false"/>
                <w:bCs w:val="false"/>
                <w:color w:val="222222"/>
                <w:sz w:val="19"/>
                <w:szCs w:val="19"/>
              </w:rPr>
              <w:t xml:space="preserve">Date</w:t>
            </w:r>
          </w:p>
        </w:tc>
        <w:tc>
          <w:tcPr>
            <w:tcW w:type="dxa" w:w="6850"/>
            <w:tcMar>
              <w:top w:type="dxa" w:w="80"/>
              <w:left w:type="dxa" w:w="100"/>
              <w:bottom w:type="dxa" w:w="80"/>
              <w:right w:type="dxa" w:w="100"/>
            </w:tcMar>
            <w:vAlign w:val="center"/>
          </w:tcPr>
          <w:p>
            <w:pPr>
              <w:jc w:val="left"/>
            </w:pPr>
            <w:r>
              <w:rPr>
                <w:b w:val="false"/>
                <w:bCs w:val="false"/>
                <w:color w:val="222222"/>
                <w:sz w:val="19"/>
                <w:szCs w:val="19"/>
              </w:rPr>
              <w:t xml:space="preserve">August 2026</w:t>
            </w:r>
          </w:p>
        </w:tc>
      </w:tr>
      <w:tr>
        <w:tc>
          <w:tcPr>
            <w:tcW w:type="dxa" w:w="2500"/>
            <w:shd w:fill="F2F4F3" w:val="clear"/>
            <w:tcMar>
              <w:top w:type="dxa" w:w="80"/>
              <w:left w:type="dxa" w:w="100"/>
              <w:bottom w:type="dxa" w:w="80"/>
              <w:right w:type="dxa" w:w="100"/>
            </w:tcMar>
            <w:vAlign w:val="center"/>
          </w:tcPr>
          <w:p>
            <w:pPr>
              <w:jc w:val="left"/>
            </w:pPr>
            <w:r>
              <w:rPr>
                <w:b w:val="false"/>
                <w:bCs w:val="false"/>
                <w:color w:val="222222"/>
                <w:sz w:val="19"/>
                <w:szCs w:val="19"/>
              </w:rPr>
              <w:t xml:space="preserve">Status</w:t>
            </w:r>
          </w:p>
        </w:tc>
        <w:tc>
          <w:tcPr>
            <w:tcW w:type="dxa" w:w="6850"/>
            <w:shd w:fill="F2F4F3" w:val="clear"/>
            <w:tcMar>
              <w:top w:type="dxa" w:w="80"/>
              <w:left w:type="dxa" w:w="100"/>
              <w:bottom w:type="dxa" w:w="80"/>
              <w:right w:type="dxa" w:w="100"/>
            </w:tcMar>
            <w:vAlign w:val="center"/>
          </w:tcPr>
          <w:p>
            <w:pPr>
              <w:jc w:val="left"/>
            </w:pPr>
            <w:r>
              <w:rPr>
                <w:b w:val="false"/>
                <w:bCs w:val="false"/>
                <w:color w:val="222222"/>
                <w:sz w:val="19"/>
                <w:szCs w:val="19"/>
              </w:rPr>
              <w:t xml:space="preserve">Draft — for internal planning and development scoping</w:t>
            </w:r>
          </w:p>
        </w:tc>
      </w:tr>
    </w:tbl>
    <w:p>
      <w:pPr>
        <w:pStyle w:val="Heading1"/>
        <w:pBdr>
          <w:bottom w:val="single" w:color="2A9D8F" w:sz="8" w:space="4"/>
        </w:pBdr>
        <w:spacing w:after="180" w:before="360"/>
      </w:pPr>
      <w:r>
        <w:rPr>
          <w:b/>
          <w:bCs/>
          <w:color w:val="1B2A4A"/>
          <w:sz w:val="30"/>
          <w:szCs w:val="30"/>
        </w:rPr>
        <w:t xml:space="preserve">2. Executive Summary</w:t>
      </w:r>
    </w:p>
    <w:p>
      <w:pPr>
        <w:spacing w:after="140"/>
      </w:pPr>
      <w:r>
        <w:rPr>
          <w:color w:val="222222"/>
          <w:sz w:val="21"/>
          <w:szCs w:val="21"/>
        </w:rPr>
        <w:t xml:space="preserve">PROHIT Daily Task is a generic productivity and task-management platform, positioned similarly to TickTick, built to serve individuals, students, freelancers, and teams from launch. The platform is architected around a single reusable Core Engine so that, once validated with a general audience, vertical-specific business modules (CA Practice Management, Coaching Management, Clinic Management, Real Estate Management, Agency Management, and a Custom Business Workspace for any other business type) can be layered on top without rebuilding the core product.</w:t>
      </w:r>
    </w:p>
    <w:p>
      <w:pPr>
        <w:spacing w:after="140"/>
      </w:pPr>
      <w:r>
        <w:rPr>
          <w:color w:val="222222"/>
          <w:sz w:val="21"/>
          <w:szCs w:val="21"/>
        </w:rPr>
        <w:t xml:space="preserve">The product will be self-developed by the founder within a budget of ₹30,000–40,000 covering tools, infrastructure, and hosting costs, using an AI-assisted development workflow on a Next.js/Node/MongoDB stack. Monetization follows a feature-wise subscription model — Free, Pro, and Team tiers for the generic product, with vertical modules and an AI add-on sold as separate paid layers on top.</w:t>
      </w:r>
    </w:p>
    <w:p>
      <w:pPr>
        <w:spacing w:after="140"/>
      </w:pPr>
      <w:r>
        <w:rPr>
          <w:color w:val="222222"/>
          <w:sz w:val="21"/>
          <w:szCs w:val="21"/>
        </w:rPr>
        <w:t xml:space="preserve">Distinct branding (Charcoal Navy and Emerald Teal palette, and original feature nomenclature such as "Flow Board" and "Deep Work Sprint") has been deliberately chosen to avoid visual or naming overlap with TickTick and other market incumbents.</w:t>
      </w:r>
    </w:p>
    <w:p>
      <w:pPr>
        <w:pStyle w:val="Heading1"/>
        <w:pBdr>
          <w:bottom w:val="single" w:color="2A9D8F" w:sz="8" w:space="4"/>
        </w:pBdr>
        <w:spacing w:after="180" w:before="360"/>
      </w:pPr>
      <w:r>
        <w:rPr>
          <w:b/>
          <w:bCs/>
          <w:color w:val="1B2A4A"/>
          <w:sz w:val="30"/>
          <w:szCs w:val="30"/>
        </w:rPr>
        <w:t xml:space="preserve">3. Business Objectives</w:t>
      </w:r>
    </w:p>
    <w:p>
      <w:pPr>
        <w:pStyle w:val="ListParagraph"/>
        <w:numPr>
          <w:ilvl w:val="0"/>
          <w:numId w:val="2"/>
        </w:numPr>
        <w:spacing w:after="60"/>
      </w:pPr>
      <w:r>
        <w:rPr>
          <w:b w:val="false"/>
          <w:bCs w:val="false"/>
          <w:color w:val="222222"/>
          <w:sz w:val="21"/>
          <w:szCs w:val="21"/>
        </w:rPr>
        <w:t xml:space="preserve">Launch a low-cost, self-built MVP that validates a generic task-management product with real users before investing in vertical-specific development.</w:t>
      </w:r>
    </w:p>
    <w:p>
      <w:pPr>
        <w:pStyle w:val="ListParagraph"/>
        <w:numPr>
          <w:ilvl w:val="0"/>
          <w:numId w:val="2"/>
        </w:numPr>
        <w:spacing w:after="60"/>
      </w:pPr>
      <w:r>
        <w:rPr>
          <w:b w:val="false"/>
          <w:bCs w:val="false"/>
          <w:color w:val="222222"/>
          <w:sz w:val="21"/>
          <w:szCs w:val="21"/>
        </w:rPr>
        <w:t xml:space="preserve">Build a reusable Core Engine architecture so future vertical modules (CA, Coaching, Clinic, Real Estate, Agency, and others) can be added as configuration/data, not code rewrites.</w:t>
      </w:r>
    </w:p>
    <w:p>
      <w:pPr>
        <w:pStyle w:val="ListParagraph"/>
        <w:numPr>
          <w:ilvl w:val="0"/>
          <w:numId w:val="2"/>
        </w:numPr>
        <w:spacing w:after="60"/>
      </w:pPr>
      <w:r>
        <w:rPr>
          <w:b w:val="false"/>
          <w:bCs w:val="false"/>
          <w:color w:val="222222"/>
          <w:sz w:val="21"/>
          <w:szCs w:val="21"/>
        </w:rPr>
        <w:t xml:space="preserve">Establish a feature-wise, modular subscription model that scales revenue per workspace/user rather than relying on a single flat price.</w:t>
      </w:r>
    </w:p>
    <w:p>
      <w:pPr>
        <w:pStyle w:val="ListParagraph"/>
        <w:numPr>
          <w:ilvl w:val="0"/>
          <w:numId w:val="2"/>
        </w:numPr>
        <w:spacing w:after="60"/>
      </w:pPr>
      <w:r>
        <w:rPr>
          <w:b w:val="false"/>
          <w:bCs w:val="false"/>
          <w:color w:val="222222"/>
          <w:sz w:val="21"/>
          <w:szCs w:val="21"/>
        </w:rPr>
        <w:t xml:space="preserve">Capture a broad top-of-funnel user base — individuals, students, and small teams — to build brand recognition ahead of monetizing higher-value business verticals.</w:t>
      </w:r>
    </w:p>
    <w:p>
      <w:pPr>
        <w:pStyle w:val="ListParagraph"/>
        <w:numPr>
          <w:ilvl w:val="0"/>
          <w:numId w:val="2"/>
        </w:numPr>
        <w:spacing w:after="60"/>
      </w:pPr>
      <w:r>
        <w:rPr>
          <w:b w:val="false"/>
          <w:bCs w:val="false"/>
          <w:color w:val="222222"/>
          <w:sz w:val="21"/>
          <w:szCs w:val="21"/>
        </w:rPr>
        <w:t xml:space="preserve">Keep the vertical module list open-ended, avoiding a hardcoded set of business types, so new industries can be onboarded without re-architecture.</w:t>
      </w:r>
    </w:p>
    <w:p>
      <w:pPr>
        <w:pStyle w:val="ListParagraph"/>
        <w:numPr>
          <w:ilvl w:val="0"/>
          <w:numId w:val="2"/>
        </w:numPr>
        <w:spacing w:after="60"/>
      </w:pPr>
      <w:r>
        <w:rPr>
          <w:b w:val="false"/>
          <w:bCs w:val="false"/>
          <w:color w:val="222222"/>
          <w:sz w:val="21"/>
          <w:szCs w:val="21"/>
        </w:rPr>
        <w:t xml:space="preserve">Differentiate PROHIT's naming, visual design, and color palette clearly from TickTick and other direct competitors to reduce trade-dress/copyright risk and build independent brand identity.</w:t>
      </w:r>
    </w:p>
    <w:p>
      <w:pPr>
        <w:pStyle w:val="Heading1"/>
        <w:pBdr>
          <w:bottom w:val="single" w:color="2A9D8F" w:sz="8" w:space="4"/>
        </w:pBdr>
        <w:spacing w:after="180" w:before="360"/>
      </w:pPr>
      <w:r>
        <w:rPr>
          <w:b/>
          <w:bCs/>
          <w:color w:val="1B2A4A"/>
          <w:sz w:val="30"/>
          <w:szCs w:val="30"/>
        </w:rPr>
        <w:t xml:space="preserve">4. Target Users &amp; Market Segments</w:t>
      </w:r>
    </w:p>
    <w:p>
      <w:pPr>
        <w:pStyle w:val="Heading2"/>
        <w:spacing w:after="120" w:before="260"/>
      </w:pPr>
      <w:r>
        <w:rPr>
          <w:b/>
          <w:bCs/>
          <w:color w:val="1B2A4A"/>
          <w:sz w:val="24"/>
          <w:szCs w:val="24"/>
        </w:rPr>
        <w:t xml:space="preserve">4.1 Primary Segments (Launch Phase)</w:t>
      </w:r>
    </w:p>
    <w:p>
      <w:pPr>
        <w:pStyle w:val="ListParagraph"/>
        <w:numPr>
          <w:ilvl w:val="0"/>
          <w:numId w:val="2"/>
        </w:numPr>
        <w:spacing w:after="60"/>
      </w:pPr>
      <w:r>
        <w:rPr>
          <w:b w:val="false"/>
          <w:bCs w:val="false"/>
          <w:color w:val="222222"/>
          <w:sz w:val="21"/>
          <w:szCs w:val="21"/>
        </w:rPr>
        <w:t xml:space="preserve">Individual professionals and freelancers managing personal task lists and schedules.</w:t>
      </w:r>
    </w:p>
    <w:p>
      <w:pPr>
        <w:pStyle w:val="ListParagraph"/>
        <w:numPr>
          <w:ilvl w:val="0"/>
          <w:numId w:val="2"/>
        </w:numPr>
        <w:spacing w:after="60"/>
      </w:pPr>
      <w:r>
        <w:rPr>
          <w:b w:val="false"/>
          <w:bCs w:val="false"/>
          <w:color w:val="222222"/>
          <w:sz w:val="21"/>
          <w:szCs w:val="21"/>
        </w:rPr>
        <w:t xml:space="preserve">College, Masters, and degree students — assignment/exam tracking, study-group coordination, focus sessions.</w:t>
      </w:r>
    </w:p>
    <w:p>
      <w:pPr>
        <w:pStyle w:val="ListParagraph"/>
        <w:numPr>
          <w:ilvl w:val="0"/>
          <w:numId w:val="2"/>
        </w:numPr>
        <w:spacing w:after="60"/>
      </w:pPr>
      <w:r>
        <w:rPr>
          <w:b w:val="false"/>
          <w:bCs w:val="false"/>
          <w:color w:val="222222"/>
          <w:sz w:val="21"/>
          <w:szCs w:val="21"/>
        </w:rPr>
        <w:t xml:space="preserve">Small teams needing shared task boards and basic collaboration (Team Workspace).</w:t>
      </w:r>
    </w:p>
    <w:p>
      <w:pPr>
        <w:pStyle w:val="Heading2"/>
        <w:spacing w:after="120" w:before="260"/>
      </w:pPr>
      <w:r>
        <w:rPr>
          <w:b/>
          <w:bCs/>
          <w:color w:val="1B2A4A"/>
          <w:sz w:val="24"/>
          <w:szCs w:val="24"/>
        </w:rPr>
        <w:t xml:space="preserve">4.2 Secondary Segments (Vertical Modules — Later Phases)</w:t>
      </w:r>
    </w:p>
    <w:p>
      <w:pPr>
        <w:pStyle w:val="ListParagraph"/>
        <w:numPr>
          <w:ilvl w:val="0"/>
          <w:numId w:val="2"/>
        </w:numPr>
        <w:spacing w:after="60"/>
      </w:pPr>
      <w:r>
        <w:rPr>
          <w:b w:val="false"/>
          <w:bCs w:val="false"/>
          <w:color w:val="222222"/>
          <w:sz w:val="21"/>
          <w:szCs w:val="21"/>
        </w:rPr>
        <w:t xml:space="preserve">CA / accounting firms — client compliance and task workflows.</w:t>
      </w:r>
    </w:p>
    <w:p>
      <w:pPr>
        <w:pStyle w:val="ListParagraph"/>
        <w:numPr>
          <w:ilvl w:val="0"/>
          <w:numId w:val="2"/>
        </w:numPr>
        <w:spacing w:after="60"/>
      </w:pPr>
      <w:r>
        <w:rPr>
          <w:b w:val="false"/>
          <w:bCs w:val="false"/>
          <w:color w:val="222222"/>
          <w:sz w:val="21"/>
          <w:szCs w:val="21"/>
        </w:rPr>
        <w:t xml:space="preserve">Coaching institutes — batch, session, and student management.</w:t>
      </w:r>
    </w:p>
    <w:p>
      <w:pPr>
        <w:pStyle w:val="ListParagraph"/>
        <w:numPr>
          <w:ilvl w:val="0"/>
          <w:numId w:val="2"/>
        </w:numPr>
        <w:spacing w:after="60"/>
      </w:pPr>
      <w:r>
        <w:rPr>
          <w:b w:val="false"/>
          <w:bCs w:val="false"/>
          <w:color w:val="222222"/>
          <w:sz w:val="21"/>
          <w:szCs w:val="21"/>
        </w:rPr>
        <w:t xml:space="preserve">Clinics — patient and appointment-linked task workflows.</w:t>
      </w:r>
    </w:p>
    <w:p>
      <w:pPr>
        <w:pStyle w:val="ListParagraph"/>
        <w:numPr>
          <w:ilvl w:val="0"/>
          <w:numId w:val="2"/>
        </w:numPr>
        <w:spacing w:after="60"/>
      </w:pPr>
      <w:r>
        <w:rPr>
          <w:b w:val="false"/>
          <w:bCs w:val="false"/>
          <w:color w:val="222222"/>
          <w:sz w:val="21"/>
          <w:szCs w:val="21"/>
        </w:rPr>
        <w:t xml:space="preserve">Real estate and agency businesses — project/lead-linked task workflows.</w:t>
      </w:r>
    </w:p>
    <w:p>
      <w:pPr>
        <w:pStyle w:val="ListParagraph"/>
        <w:numPr>
          <w:ilvl w:val="0"/>
          <w:numId w:val="2"/>
        </w:numPr>
        <w:spacing w:after="60"/>
      </w:pPr>
      <w:r>
        <w:rPr>
          <w:b w:val="false"/>
          <w:bCs w:val="false"/>
          <w:color w:val="222222"/>
          <w:sz w:val="21"/>
          <w:szCs w:val="21"/>
        </w:rPr>
        <w:t xml:space="preserve">Any other business type via the open-ended Custom Business Workspace module.</w:t>
      </w:r>
    </w:p>
    <w:p>
      <w:pPr>
        <w:pStyle w:val="Heading1"/>
        <w:pBdr>
          <w:bottom w:val="single" w:color="2A9D8F" w:sz="8" w:space="4"/>
        </w:pBdr>
        <w:spacing w:after="180" w:before="360"/>
      </w:pPr>
      <w:r>
        <w:rPr>
          <w:b/>
          <w:bCs/>
          <w:color w:val="1B2A4A"/>
          <w:sz w:val="30"/>
          <w:szCs w:val="30"/>
        </w:rPr>
        <w:t xml:space="preserve">5. Scope</w:t>
      </w:r>
    </w:p>
    <w:p>
      <w:pPr>
        <w:pStyle w:val="Heading2"/>
        <w:spacing w:after="120" w:before="260"/>
      </w:pPr>
      <w:r>
        <w:rPr>
          <w:b/>
          <w:bCs/>
          <w:color w:val="1B2A4A"/>
          <w:sz w:val="24"/>
          <w:szCs w:val="24"/>
        </w:rPr>
        <w:t xml:space="preserve">5.1 In Scope — Phase 1 (MVP)</w:t>
      </w:r>
    </w:p>
    <w:p>
      <w:pPr>
        <w:pStyle w:val="ListParagraph"/>
        <w:numPr>
          <w:ilvl w:val="0"/>
          <w:numId w:val="2"/>
        </w:numPr>
        <w:spacing w:after="60"/>
      </w:pPr>
      <w:r>
        <w:rPr>
          <w:b w:val="false"/>
          <w:bCs w:val="false"/>
          <w:color w:val="222222"/>
          <w:sz w:val="21"/>
          <w:szCs w:val="21"/>
        </w:rPr>
        <w:t xml:space="preserve">User authentication and Workspace creation (Personal / Team / Business types).</w:t>
      </w:r>
    </w:p>
    <w:p>
      <w:pPr>
        <w:pStyle w:val="ListParagraph"/>
        <w:numPr>
          <w:ilvl w:val="0"/>
          <w:numId w:val="2"/>
        </w:numPr>
        <w:spacing w:after="60"/>
      </w:pPr>
      <w:r>
        <w:rPr>
          <w:b w:val="false"/>
          <w:bCs w:val="false"/>
          <w:color w:val="222222"/>
          <w:sz w:val="21"/>
          <w:szCs w:val="21"/>
        </w:rPr>
        <w:t xml:space="preserve">Core Task Engine: create, edit, complete, subtasks, priority, due dates, tags.</w:t>
      </w:r>
    </w:p>
    <w:p>
      <w:pPr>
        <w:pStyle w:val="ListParagraph"/>
        <w:numPr>
          <w:ilvl w:val="0"/>
          <w:numId w:val="2"/>
        </w:numPr>
        <w:spacing w:after="60"/>
      </w:pPr>
      <w:r>
        <w:rPr>
          <w:b w:val="false"/>
          <w:bCs w:val="false"/>
          <w:color w:val="222222"/>
          <w:sz w:val="21"/>
          <w:szCs w:val="21"/>
        </w:rPr>
        <w:t xml:space="preserve">Lists / Projects with recurring task support.</w:t>
      </w:r>
    </w:p>
    <w:p>
      <w:pPr>
        <w:pStyle w:val="ListParagraph"/>
        <w:numPr>
          <w:ilvl w:val="0"/>
          <w:numId w:val="2"/>
        </w:numPr>
        <w:spacing w:after="60"/>
      </w:pPr>
      <w:r>
        <w:rPr>
          <w:b w:val="false"/>
          <w:bCs w:val="false"/>
          <w:color w:val="222222"/>
          <w:sz w:val="21"/>
          <w:szCs w:val="21"/>
        </w:rPr>
        <w:t xml:space="preserve">Reminders (email-based for V1).</w:t>
      </w:r>
    </w:p>
    <w:p>
      <w:pPr>
        <w:pStyle w:val="ListParagraph"/>
        <w:numPr>
          <w:ilvl w:val="0"/>
          <w:numId w:val="2"/>
        </w:numPr>
        <w:spacing w:after="60"/>
      </w:pPr>
      <w:r>
        <w:rPr>
          <w:b w:val="false"/>
          <w:bCs w:val="false"/>
          <w:color w:val="222222"/>
          <w:sz w:val="21"/>
          <w:szCs w:val="21"/>
        </w:rPr>
        <w:t xml:space="preserve">Calendar view — month and week.</w:t>
      </w:r>
    </w:p>
    <w:p>
      <w:pPr>
        <w:pStyle w:val="ListParagraph"/>
        <w:numPr>
          <w:ilvl w:val="0"/>
          <w:numId w:val="2"/>
        </w:numPr>
        <w:spacing w:after="60"/>
      </w:pPr>
      <w:r>
        <w:rPr>
          <w:b w:val="false"/>
          <w:bCs w:val="false"/>
          <w:color w:val="222222"/>
          <w:sz w:val="21"/>
          <w:szCs w:val="21"/>
        </w:rPr>
        <w:t xml:space="preserve">Flow Board — Kanban-style visual task board (To Do / In Progress / Done, customizable columns).</w:t>
      </w:r>
    </w:p>
    <w:p>
      <w:pPr>
        <w:pStyle w:val="ListParagraph"/>
        <w:numPr>
          <w:ilvl w:val="0"/>
          <w:numId w:val="2"/>
        </w:numPr>
        <w:spacing w:after="60"/>
      </w:pPr>
      <w:r>
        <w:rPr>
          <w:b w:val="false"/>
          <w:bCs w:val="false"/>
          <w:color w:val="222222"/>
          <w:sz w:val="21"/>
          <w:szCs w:val="21"/>
        </w:rPr>
        <w:t xml:space="preserve">Dashboard with completion %, overdue tasks, and basic filters.</w:t>
      </w:r>
    </w:p>
    <w:p>
      <w:pPr>
        <w:pStyle w:val="ListParagraph"/>
        <w:numPr>
          <w:ilvl w:val="0"/>
          <w:numId w:val="2"/>
        </w:numPr>
        <w:spacing w:after="60"/>
      </w:pPr>
      <w:r>
        <w:rPr>
          <w:b w:val="false"/>
          <w:bCs w:val="false"/>
          <w:color w:val="222222"/>
          <w:sz w:val="21"/>
          <w:szCs w:val="21"/>
        </w:rPr>
        <w:t xml:space="preserve">Subscription and billing integration (Razorpay Subscriptions) with Free, Pro, and Team tiers.</w:t>
      </w:r>
    </w:p>
    <w:p>
      <w:pPr>
        <w:pStyle w:val="ListParagraph"/>
        <w:numPr>
          <w:ilvl w:val="0"/>
          <w:numId w:val="2"/>
        </w:numPr>
        <w:spacing w:after="60"/>
      </w:pPr>
      <w:r>
        <w:rPr>
          <w:b w:val="false"/>
          <w:bCs w:val="false"/>
          <w:color w:val="222222"/>
          <w:sz w:val="21"/>
          <w:szCs w:val="21"/>
        </w:rPr>
        <w:t xml:space="preserve">Entitlement-based feature gating architecture (module/feature flags per workspace).</w:t>
      </w:r>
    </w:p>
    <w:p>
      <w:pPr>
        <w:pStyle w:val="ListParagraph"/>
        <w:numPr>
          <w:ilvl w:val="0"/>
          <w:numId w:val="2"/>
        </w:numPr>
        <w:spacing w:after="60"/>
      </w:pPr>
      <w:r>
        <w:rPr>
          <w:b w:val="false"/>
          <w:bCs w:val="false"/>
          <w:color w:val="222222"/>
          <w:sz w:val="21"/>
          <w:szCs w:val="21"/>
        </w:rPr>
        <w:t xml:space="preserve">Responsive Web App with PWA support (installable, offline-capable, home-screen icon).</w:t>
      </w:r>
    </w:p>
    <w:p>
      <w:pPr>
        <w:pStyle w:val="Heading2"/>
        <w:spacing w:after="120" w:before="260"/>
      </w:pPr>
      <w:r>
        <w:rPr>
          <w:b/>
          <w:bCs/>
          <w:color w:val="1B2A4A"/>
          <w:sz w:val="24"/>
          <w:szCs w:val="24"/>
        </w:rPr>
        <w:t xml:space="preserve">5.2 Out of Scope — Phase 1</w:t>
      </w:r>
    </w:p>
    <w:p>
      <w:pPr>
        <w:pStyle w:val="ListParagraph"/>
        <w:numPr>
          <w:ilvl w:val="0"/>
          <w:numId w:val="2"/>
        </w:numPr>
        <w:spacing w:after="60"/>
      </w:pPr>
      <w:r>
        <w:rPr>
          <w:b w:val="false"/>
          <w:bCs w:val="false"/>
          <w:color w:val="222222"/>
          <w:sz w:val="21"/>
          <w:szCs w:val="21"/>
        </w:rPr>
        <w:t xml:space="preserve">Native mobile applications (iOS/Android via React Native) — planned for a later phase once paid usage validates demand.</w:t>
      </w:r>
    </w:p>
    <w:p>
      <w:pPr>
        <w:pStyle w:val="ListParagraph"/>
        <w:numPr>
          <w:ilvl w:val="0"/>
          <w:numId w:val="2"/>
        </w:numPr>
        <w:spacing w:after="60"/>
      </w:pPr>
      <w:r>
        <w:rPr>
          <w:b w:val="false"/>
          <w:bCs w:val="false"/>
          <w:color w:val="222222"/>
          <w:sz w:val="21"/>
          <w:szCs w:val="21"/>
        </w:rPr>
        <w:t xml:space="preserve">Deep Work Sprint (Pomodoro-style focus timer) — planned for a fast-follow V1.1 release.</w:t>
      </w:r>
    </w:p>
    <w:p>
      <w:pPr>
        <w:pStyle w:val="ListParagraph"/>
        <w:numPr>
          <w:ilvl w:val="0"/>
          <w:numId w:val="2"/>
        </w:numPr>
        <w:spacing w:after="60"/>
      </w:pPr>
      <w:r>
        <w:rPr>
          <w:b w:val="false"/>
          <w:bCs w:val="false"/>
          <w:color w:val="222222"/>
          <w:sz w:val="21"/>
          <w:szCs w:val="21"/>
        </w:rPr>
        <w:t xml:space="preserve">AI Assistant features (voice-to-task, AI daily planning, AI summary) — to be released later as a separate paid add-on, not bundled into Pro.</w:t>
      </w:r>
    </w:p>
    <w:p>
      <w:pPr>
        <w:pStyle w:val="ListParagraph"/>
        <w:numPr>
          <w:ilvl w:val="0"/>
          <w:numId w:val="2"/>
        </w:numPr>
        <w:spacing w:after="60"/>
      </w:pPr>
      <w:r>
        <w:rPr>
          <w:b w:val="false"/>
          <w:bCs w:val="false"/>
          <w:color w:val="222222"/>
          <w:sz w:val="21"/>
          <w:szCs w:val="21"/>
        </w:rPr>
        <w:t xml:space="preserve">Vertical business modules (CA, Coaching, Clinic, Real Estate, Agency) — planned for later phases once the generic core is validated.</w:t>
      </w:r>
    </w:p>
    <w:p>
      <w:pPr>
        <w:pStyle w:val="ListParagraph"/>
        <w:numPr>
          <w:ilvl w:val="0"/>
          <w:numId w:val="2"/>
        </w:numPr>
        <w:spacing w:after="60"/>
      </w:pPr>
      <w:r>
        <w:rPr>
          <w:b w:val="false"/>
          <w:bCs w:val="false"/>
          <w:color w:val="222222"/>
          <w:sz w:val="21"/>
          <w:szCs w:val="21"/>
        </w:rPr>
        <w:t xml:space="preserve">WhatsApp integration, n8n-based automation workflows, and third-party calendar sync (Google/Outlook) — future phases.</w:t>
      </w:r>
    </w:p>
    <w:p>
      <w:pPr>
        <w:pStyle w:val="Heading2"/>
        <w:spacing w:after="120" w:before="260"/>
      </w:pPr>
      <w:r>
        <w:rPr>
          <w:b/>
          <w:bCs/>
          <w:color w:val="1B2A4A"/>
          <w:sz w:val="24"/>
          <w:szCs w:val="24"/>
        </w:rPr>
        <w:t xml:space="preserve">5.3 Future Phases (Indicative)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200"/>
            <w:shd w:fill="1B2A4A" w:val="clear"/>
            <w:tcMar>
              <w:top w:type="dxa" w:w="80"/>
              <w:left w:type="dxa" w:w="100"/>
              <w:bottom w:type="dxa" w:w="80"/>
              <w:right w:type="dxa" w:w="100"/>
            </w:tcMar>
            <w:vAlign w:val="center"/>
          </w:tcPr>
          <w:p>
            <w:pPr>
              <w:jc w:val="left"/>
            </w:pPr>
            <w:r>
              <w:rPr>
                <w:b/>
                <w:bCs/>
                <w:color w:val="FFFFFF"/>
                <w:sz w:val="19"/>
                <w:szCs w:val="19"/>
              </w:rPr>
              <w:t xml:space="preserve">Phase</w:t>
            </w:r>
          </w:p>
        </w:tc>
        <w:tc>
          <w:tcPr>
            <w:tcW w:type="dxa" w:w="7150"/>
            <w:shd w:fill="1B2A4A" w:val="clear"/>
            <w:tcMar>
              <w:top w:type="dxa" w:w="80"/>
              <w:left w:type="dxa" w:w="100"/>
              <w:bottom w:type="dxa" w:w="80"/>
              <w:right w:type="dxa" w:w="100"/>
            </w:tcMar>
            <w:vAlign w:val="center"/>
          </w:tcPr>
          <w:p>
            <w:pPr>
              <w:jc w:val="left"/>
            </w:pPr>
            <w:r>
              <w:rPr>
                <w:b/>
                <w:bCs/>
                <w:color w:val="FFFFFF"/>
                <w:sz w:val="19"/>
                <w:szCs w:val="19"/>
              </w:rPr>
              <w:t xml:space="preserve">Scope</w:t>
            </w:r>
          </w:p>
        </w:tc>
      </w:tr>
      <w:tr>
        <w:tc>
          <w:tcPr>
            <w:tcW w:type="dxa" w:w="2200"/>
            <w:shd w:fill="F2F4F3" w:val="clear"/>
            <w:tcMar>
              <w:top w:type="dxa" w:w="80"/>
              <w:left w:type="dxa" w:w="100"/>
              <w:bottom w:type="dxa" w:w="80"/>
              <w:right w:type="dxa" w:w="100"/>
            </w:tcMar>
            <w:vAlign w:val="center"/>
          </w:tcPr>
          <w:p>
            <w:pPr>
              <w:jc w:val="left"/>
            </w:pPr>
            <w:r>
              <w:rPr>
                <w:b w:val="false"/>
                <w:bCs w:val="false"/>
                <w:color w:val="222222"/>
                <w:sz w:val="19"/>
                <w:szCs w:val="19"/>
              </w:rPr>
              <w:t xml:space="preserve">Phase 1 — MVP</w:t>
            </w:r>
          </w:p>
        </w:tc>
        <w:tc>
          <w:tcPr>
            <w:tcW w:type="dxa" w:w="7150"/>
            <w:shd w:fill="F2F4F3" w:val="clear"/>
            <w:tcMar>
              <w:top w:type="dxa" w:w="80"/>
              <w:left w:type="dxa" w:w="100"/>
              <w:bottom w:type="dxa" w:w="80"/>
              <w:right w:type="dxa" w:w="100"/>
            </w:tcMar>
            <w:vAlign w:val="center"/>
          </w:tcPr>
          <w:p>
            <w:pPr>
              <w:jc w:val="left"/>
            </w:pPr>
            <w:r>
              <w:rPr>
                <w:b w:val="false"/>
                <w:bCs w:val="false"/>
                <w:color w:val="222222"/>
                <w:sz w:val="19"/>
                <w:szCs w:val="19"/>
              </w:rPr>
              <w:t xml:space="preserve">Generic Core Engine, Web App + PWA, Free/Pro/Team subscription</w:t>
            </w:r>
          </w:p>
        </w:tc>
      </w:tr>
      <w:tr>
        <w:tc>
          <w:tcPr>
            <w:tcW w:type="dxa" w:w="2200"/>
            <w:tcMar>
              <w:top w:type="dxa" w:w="80"/>
              <w:left w:type="dxa" w:w="100"/>
              <w:bottom w:type="dxa" w:w="80"/>
              <w:right w:type="dxa" w:w="100"/>
            </w:tcMar>
            <w:vAlign w:val="center"/>
          </w:tcPr>
          <w:p>
            <w:pPr>
              <w:jc w:val="left"/>
            </w:pPr>
            <w:r>
              <w:rPr>
                <w:b w:val="false"/>
                <w:bCs w:val="false"/>
                <w:color w:val="222222"/>
                <w:sz w:val="19"/>
                <w:szCs w:val="19"/>
              </w:rPr>
              <w:t xml:space="preserve">Phase 2 — Advanced Productivity</w:t>
            </w:r>
          </w:p>
        </w:tc>
        <w:tc>
          <w:tcPr>
            <w:tcW w:type="dxa" w:w="7150"/>
            <w:tcMar>
              <w:top w:type="dxa" w:w="80"/>
              <w:left w:type="dxa" w:w="100"/>
              <w:bottom w:type="dxa" w:w="80"/>
              <w:right w:type="dxa" w:w="100"/>
            </w:tcMar>
            <w:vAlign w:val="center"/>
          </w:tcPr>
          <w:p>
            <w:pPr>
              <w:jc w:val="left"/>
            </w:pPr>
            <w:r>
              <w:rPr>
                <w:b w:val="false"/>
                <w:bCs w:val="false"/>
                <w:color w:val="222222"/>
                <w:sz w:val="19"/>
                <w:szCs w:val="19"/>
              </w:rPr>
              <w:t xml:space="preserve">Deep Work Sprint, AI Add-on, calendar sync, student discount pricing</w:t>
            </w:r>
          </w:p>
        </w:tc>
      </w:tr>
      <w:tr>
        <w:tc>
          <w:tcPr>
            <w:tcW w:type="dxa" w:w="2200"/>
            <w:shd w:fill="F2F4F3" w:val="clear"/>
            <w:tcMar>
              <w:top w:type="dxa" w:w="80"/>
              <w:left w:type="dxa" w:w="100"/>
              <w:bottom w:type="dxa" w:w="80"/>
              <w:right w:type="dxa" w:w="100"/>
            </w:tcMar>
            <w:vAlign w:val="center"/>
          </w:tcPr>
          <w:p>
            <w:pPr>
              <w:jc w:val="left"/>
            </w:pPr>
            <w:r>
              <w:rPr>
                <w:b w:val="false"/>
                <w:bCs w:val="false"/>
                <w:color w:val="222222"/>
                <w:sz w:val="19"/>
                <w:szCs w:val="19"/>
              </w:rPr>
              <w:t xml:space="preserve">Phase 3 — Vertical Modules</w:t>
            </w:r>
          </w:p>
        </w:tc>
        <w:tc>
          <w:tcPr>
            <w:tcW w:type="dxa" w:w="7150"/>
            <w:shd w:fill="F2F4F3" w:val="clear"/>
            <w:tcMar>
              <w:top w:type="dxa" w:w="80"/>
              <w:left w:type="dxa" w:w="100"/>
              <w:bottom w:type="dxa" w:w="80"/>
              <w:right w:type="dxa" w:w="100"/>
            </w:tcMar>
            <w:vAlign w:val="center"/>
          </w:tcPr>
          <w:p>
            <w:pPr>
              <w:jc w:val="left"/>
            </w:pPr>
            <w:r>
              <w:rPr>
                <w:b w:val="false"/>
                <w:bCs w:val="false"/>
                <w:color w:val="222222"/>
                <w:sz w:val="19"/>
                <w:szCs w:val="19"/>
              </w:rPr>
              <w:t xml:space="preserve">CA / Coaching / Clinic / Real Estate / Agency modules, Custom Business Workspace framework</w:t>
            </w:r>
          </w:p>
        </w:tc>
      </w:tr>
      <w:tr>
        <w:tc>
          <w:tcPr>
            <w:tcW w:type="dxa" w:w="2200"/>
            <w:tcMar>
              <w:top w:type="dxa" w:w="80"/>
              <w:left w:type="dxa" w:w="100"/>
              <w:bottom w:type="dxa" w:w="80"/>
              <w:right w:type="dxa" w:w="100"/>
            </w:tcMar>
            <w:vAlign w:val="center"/>
          </w:tcPr>
          <w:p>
            <w:pPr>
              <w:jc w:val="left"/>
            </w:pPr>
            <w:r>
              <w:rPr>
                <w:b w:val="false"/>
                <w:bCs w:val="false"/>
                <w:color w:val="222222"/>
                <w:sz w:val="19"/>
                <w:szCs w:val="19"/>
              </w:rPr>
              <w:t xml:space="preserve">Phase 4 — Native Apps</w:t>
            </w:r>
          </w:p>
        </w:tc>
        <w:tc>
          <w:tcPr>
            <w:tcW w:type="dxa" w:w="7150"/>
            <w:tcMar>
              <w:top w:type="dxa" w:w="80"/>
              <w:left w:type="dxa" w:w="100"/>
              <w:bottom w:type="dxa" w:w="80"/>
              <w:right w:type="dxa" w:w="100"/>
            </w:tcMar>
            <w:vAlign w:val="center"/>
          </w:tcPr>
          <w:p>
            <w:pPr>
              <w:jc w:val="left"/>
            </w:pPr>
            <w:r>
              <w:rPr>
                <w:b w:val="false"/>
                <w:bCs w:val="false"/>
                <w:color w:val="222222"/>
                <w:sz w:val="19"/>
                <w:szCs w:val="19"/>
              </w:rPr>
              <w:t xml:space="preserve">React Native mobile apps for iOS and Android, App Store / Play Store presence</w:t>
            </w:r>
          </w:p>
        </w:tc>
      </w:tr>
    </w:tbl>
    <w:p>
      <w:pPr>
        <w:pStyle w:val="Heading1"/>
        <w:pBdr>
          <w:bottom w:val="single" w:color="2A9D8F" w:sz="8" w:space="4"/>
        </w:pBdr>
        <w:spacing w:after="180" w:before="360"/>
      </w:pPr>
      <w:r>
        <w:rPr>
          <w:b/>
          <w:bCs/>
          <w:color w:val="1B2A4A"/>
          <w:sz w:val="30"/>
          <w:szCs w:val="30"/>
        </w:rPr>
        <w:t xml:space="preserve">6. Functional Requirements</w:t>
      </w:r>
    </w:p>
    <w:p>
      <w:pPr>
        <w:pStyle w:val="Heading2"/>
        <w:spacing w:after="120" w:before="260"/>
      </w:pPr>
      <w:r>
        <w:rPr>
          <w:b/>
          <w:bCs/>
          <w:color w:val="1B2A4A"/>
          <w:sz w:val="24"/>
          <w:szCs w:val="24"/>
        </w:rPr>
        <w:t xml:space="preserve">6.1 Core Engine</w:t>
      </w:r>
    </w:p>
    <w:p>
      <w:pPr>
        <w:spacing w:after="140"/>
      </w:pPr>
      <w:r>
        <w:rPr>
          <w:color w:val="222222"/>
          <w:sz w:val="21"/>
          <w:szCs w:val="21"/>
        </w:rPr>
        <w:t xml:space="preserve">The Core Engine is the shared foundation reused across every workspace type and, later, every vertical module.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200"/>
            <w:shd w:fill="1B2A4A" w:val="clear"/>
            <w:tcMar>
              <w:top w:type="dxa" w:w="80"/>
              <w:left w:type="dxa" w:w="100"/>
              <w:bottom w:type="dxa" w:w="80"/>
              <w:right w:type="dxa" w:w="100"/>
            </w:tcMar>
            <w:vAlign w:val="center"/>
          </w:tcPr>
          <w:p>
            <w:pPr>
              <w:jc w:val="left"/>
            </w:pPr>
            <w:r>
              <w:rPr>
                <w:b/>
                <w:bCs/>
                <w:color w:val="FFFFFF"/>
                <w:sz w:val="19"/>
                <w:szCs w:val="19"/>
              </w:rPr>
              <w:t xml:space="preserve">Module</w:t>
            </w:r>
          </w:p>
        </w:tc>
        <w:tc>
          <w:tcPr>
            <w:tcW w:type="dxa" w:w="7150"/>
            <w:shd w:fill="1B2A4A" w:val="clear"/>
            <w:tcMar>
              <w:top w:type="dxa" w:w="80"/>
              <w:left w:type="dxa" w:w="100"/>
              <w:bottom w:type="dxa" w:w="80"/>
              <w:right w:type="dxa" w:w="100"/>
            </w:tcMar>
            <w:vAlign w:val="center"/>
          </w:tcPr>
          <w:p>
            <w:pPr>
              <w:jc w:val="left"/>
            </w:pPr>
            <w:r>
              <w:rPr>
                <w:b/>
                <w:bCs/>
                <w:color w:val="FFFFFF"/>
                <w:sz w:val="19"/>
                <w:szCs w:val="19"/>
              </w:rPr>
              <w:t xml:space="preserve">Description</w:t>
            </w:r>
          </w:p>
        </w:tc>
      </w:tr>
      <w:tr>
        <w:tc>
          <w:tcPr>
            <w:tcW w:type="dxa" w:w="2200"/>
            <w:shd w:fill="F2F4F3" w:val="clear"/>
            <w:tcMar>
              <w:top w:type="dxa" w:w="80"/>
              <w:left w:type="dxa" w:w="100"/>
              <w:bottom w:type="dxa" w:w="80"/>
              <w:right w:type="dxa" w:w="100"/>
            </w:tcMar>
            <w:vAlign w:val="center"/>
          </w:tcPr>
          <w:p>
            <w:pPr>
              <w:jc w:val="left"/>
            </w:pPr>
            <w:r>
              <w:rPr>
                <w:b w:val="false"/>
                <w:bCs w:val="false"/>
                <w:color w:val="222222"/>
                <w:sz w:val="19"/>
                <w:szCs w:val="19"/>
              </w:rPr>
              <w:t xml:space="preserve">Task</w:t>
            </w:r>
          </w:p>
        </w:tc>
        <w:tc>
          <w:tcPr>
            <w:tcW w:type="dxa" w:w="7150"/>
            <w:shd w:fill="F2F4F3" w:val="clear"/>
            <w:tcMar>
              <w:top w:type="dxa" w:w="80"/>
              <w:left w:type="dxa" w:w="100"/>
              <w:bottom w:type="dxa" w:w="80"/>
              <w:right w:type="dxa" w:w="100"/>
            </w:tcMar>
            <w:vAlign w:val="center"/>
          </w:tcPr>
          <w:p>
            <w:pPr>
              <w:jc w:val="left"/>
            </w:pPr>
            <w:r>
              <w:rPr>
                <w:b w:val="false"/>
                <w:bCs w:val="false"/>
                <w:color w:val="222222"/>
                <w:sz w:val="19"/>
                <w:szCs w:val="19"/>
              </w:rPr>
              <w:t xml:space="preserve">Core task object — title, description, priority, due date, status, subtasks</w:t>
            </w:r>
          </w:p>
        </w:tc>
      </w:tr>
      <w:tr>
        <w:tc>
          <w:tcPr>
            <w:tcW w:type="dxa" w:w="2200"/>
            <w:tcMar>
              <w:top w:type="dxa" w:w="80"/>
              <w:left w:type="dxa" w:w="100"/>
              <w:bottom w:type="dxa" w:w="80"/>
              <w:right w:type="dxa" w:w="100"/>
            </w:tcMar>
            <w:vAlign w:val="center"/>
          </w:tcPr>
          <w:p>
            <w:pPr>
              <w:jc w:val="left"/>
            </w:pPr>
            <w:r>
              <w:rPr>
                <w:b w:val="false"/>
                <w:bCs w:val="false"/>
                <w:color w:val="222222"/>
                <w:sz w:val="19"/>
                <w:szCs w:val="19"/>
              </w:rPr>
              <w:t xml:space="preserve">Project / List</w:t>
            </w:r>
          </w:p>
        </w:tc>
        <w:tc>
          <w:tcPr>
            <w:tcW w:type="dxa" w:w="7150"/>
            <w:tcMar>
              <w:top w:type="dxa" w:w="80"/>
              <w:left w:type="dxa" w:w="100"/>
              <w:bottom w:type="dxa" w:w="80"/>
              <w:right w:type="dxa" w:w="100"/>
            </w:tcMar>
            <w:vAlign w:val="center"/>
          </w:tcPr>
          <w:p>
            <w:pPr>
              <w:jc w:val="left"/>
            </w:pPr>
            <w:r>
              <w:rPr>
                <w:b w:val="false"/>
                <w:bCs w:val="false"/>
                <w:color w:val="222222"/>
                <w:sz w:val="19"/>
                <w:szCs w:val="19"/>
              </w:rPr>
              <w:t xml:space="preserve">Grouping of related tasks (a "course", a "client", a "project")</w:t>
            </w:r>
          </w:p>
        </w:tc>
      </w:tr>
      <w:tr>
        <w:tc>
          <w:tcPr>
            <w:tcW w:type="dxa" w:w="2200"/>
            <w:shd w:fill="F2F4F3" w:val="clear"/>
            <w:tcMar>
              <w:top w:type="dxa" w:w="80"/>
              <w:left w:type="dxa" w:w="100"/>
              <w:bottom w:type="dxa" w:w="80"/>
              <w:right w:type="dxa" w:w="100"/>
            </w:tcMar>
            <w:vAlign w:val="center"/>
          </w:tcPr>
          <w:p>
            <w:pPr>
              <w:jc w:val="left"/>
            </w:pPr>
            <w:r>
              <w:rPr>
                <w:b w:val="false"/>
                <w:bCs w:val="false"/>
                <w:color w:val="222222"/>
                <w:sz w:val="19"/>
                <w:szCs w:val="19"/>
              </w:rPr>
              <w:t xml:space="preserve">User</w:t>
            </w:r>
          </w:p>
        </w:tc>
        <w:tc>
          <w:tcPr>
            <w:tcW w:type="dxa" w:w="7150"/>
            <w:shd w:fill="F2F4F3" w:val="clear"/>
            <w:tcMar>
              <w:top w:type="dxa" w:w="80"/>
              <w:left w:type="dxa" w:w="100"/>
              <w:bottom w:type="dxa" w:w="80"/>
              <w:right w:type="dxa" w:w="100"/>
            </w:tcMar>
            <w:vAlign w:val="center"/>
          </w:tcPr>
          <w:p>
            <w:pPr>
              <w:jc w:val="left"/>
            </w:pPr>
            <w:r>
              <w:rPr>
                <w:b w:val="false"/>
                <w:bCs w:val="false"/>
                <w:color w:val="222222"/>
                <w:sz w:val="19"/>
                <w:szCs w:val="19"/>
              </w:rPr>
              <w:t xml:space="preserve">Account, profile, authentication</w:t>
            </w:r>
          </w:p>
        </w:tc>
      </w:tr>
      <w:tr>
        <w:tc>
          <w:tcPr>
            <w:tcW w:type="dxa" w:w="2200"/>
            <w:tcMar>
              <w:top w:type="dxa" w:w="80"/>
              <w:left w:type="dxa" w:w="100"/>
              <w:bottom w:type="dxa" w:w="80"/>
              <w:right w:type="dxa" w:w="100"/>
            </w:tcMar>
            <w:vAlign w:val="center"/>
          </w:tcPr>
          <w:p>
            <w:pPr>
              <w:jc w:val="left"/>
            </w:pPr>
            <w:r>
              <w:rPr>
                <w:b w:val="false"/>
                <w:bCs w:val="false"/>
                <w:color w:val="222222"/>
                <w:sz w:val="19"/>
                <w:szCs w:val="19"/>
              </w:rPr>
              <w:t xml:space="preserve">Team</w:t>
            </w:r>
          </w:p>
        </w:tc>
        <w:tc>
          <w:tcPr>
            <w:tcW w:type="dxa" w:w="7150"/>
            <w:tcMar>
              <w:top w:type="dxa" w:w="80"/>
              <w:left w:type="dxa" w:w="100"/>
              <w:bottom w:type="dxa" w:w="80"/>
              <w:right w:type="dxa" w:w="100"/>
            </w:tcMar>
            <w:vAlign w:val="center"/>
          </w:tcPr>
          <w:p>
            <w:pPr>
              <w:jc w:val="left"/>
            </w:pPr>
            <w:r>
              <w:rPr>
                <w:b w:val="false"/>
                <w:bCs w:val="false"/>
                <w:color w:val="222222"/>
                <w:sz w:val="19"/>
                <w:szCs w:val="19"/>
              </w:rPr>
              <w:t xml:space="preserve">Group of users collaborating within a workspace</w:t>
            </w:r>
          </w:p>
        </w:tc>
      </w:tr>
      <w:tr>
        <w:tc>
          <w:tcPr>
            <w:tcW w:type="dxa" w:w="2200"/>
            <w:shd w:fill="F2F4F3" w:val="clear"/>
            <w:tcMar>
              <w:top w:type="dxa" w:w="80"/>
              <w:left w:type="dxa" w:w="100"/>
              <w:bottom w:type="dxa" w:w="80"/>
              <w:right w:type="dxa" w:w="100"/>
            </w:tcMar>
            <w:vAlign w:val="center"/>
          </w:tcPr>
          <w:p>
            <w:pPr>
              <w:jc w:val="left"/>
            </w:pPr>
            <w:r>
              <w:rPr>
                <w:b w:val="false"/>
                <w:bCs w:val="false"/>
                <w:color w:val="222222"/>
                <w:sz w:val="19"/>
                <w:szCs w:val="19"/>
              </w:rPr>
              <w:t xml:space="preserve">Calendar</w:t>
            </w:r>
          </w:p>
        </w:tc>
        <w:tc>
          <w:tcPr>
            <w:tcW w:type="dxa" w:w="7150"/>
            <w:shd w:fill="F2F4F3" w:val="clear"/>
            <w:tcMar>
              <w:top w:type="dxa" w:w="80"/>
              <w:left w:type="dxa" w:w="100"/>
              <w:bottom w:type="dxa" w:w="80"/>
              <w:right w:type="dxa" w:w="100"/>
            </w:tcMar>
            <w:vAlign w:val="center"/>
          </w:tcPr>
          <w:p>
            <w:pPr>
              <w:jc w:val="left"/>
            </w:pPr>
            <w:r>
              <w:rPr>
                <w:b w:val="false"/>
                <w:bCs w:val="false"/>
                <w:color w:val="222222"/>
                <w:sz w:val="19"/>
                <w:szCs w:val="19"/>
              </w:rPr>
              <w:t xml:space="preserve">Date-based visualization of tasks</w:t>
            </w:r>
          </w:p>
        </w:tc>
      </w:tr>
      <w:tr>
        <w:tc>
          <w:tcPr>
            <w:tcW w:type="dxa" w:w="2200"/>
            <w:tcMar>
              <w:top w:type="dxa" w:w="80"/>
              <w:left w:type="dxa" w:w="100"/>
              <w:bottom w:type="dxa" w:w="80"/>
              <w:right w:type="dxa" w:w="100"/>
            </w:tcMar>
            <w:vAlign w:val="center"/>
          </w:tcPr>
          <w:p>
            <w:pPr>
              <w:jc w:val="left"/>
            </w:pPr>
            <w:r>
              <w:rPr>
                <w:b w:val="false"/>
                <w:bCs w:val="false"/>
                <w:color w:val="222222"/>
                <w:sz w:val="19"/>
                <w:szCs w:val="19"/>
              </w:rPr>
              <w:t xml:space="preserve">Reminder</w:t>
            </w:r>
          </w:p>
        </w:tc>
        <w:tc>
          <w:tcPr>
            <w:tcW w:type="dxa" w:w="7150"/>
            <w:tcMar>
              <w:top w:type="dxa" w:w="80"/>
              <w:left w:type="dxa" w:w="100"/>
              <w:bottom w:type="dxa" w:w="80"/>
              <w:right w:type="dxa" w:w="100"/>
            </w:tcMar>
            <w:vAlign w:val="center"/>
          </w:tcPr>
          <w:p>
            <w:pPr>
              <w:jc w:val="left"/>
            </w:pPr>
            <w:r>
              <w:rPr>
                <w:b w:val="false"/>
                <w:bCs w:val="false"/>
                <w:color w:val="222222"/>
                <w:sz w:val="19"/>
                <w:szCs w:val="19"/>
              </w:rPr>
              <w:t xml:space="preserve">Notification scheduling tied to a task</w:t>
            </w:r>
          </w:p>
        </w:tc>
      </w:tr>
      <w:tr>
        <w:tc>
          <w:tcPr>
            <w:tcW w:type="dxa" w:w="2200"/>
            <w:shd w:fill="F2F4F3" w:val="clear"/>
            <w:tcMar>
              <w:top w:type="dxa" w:w="80"/>
              <w:left w:type="dxa" w:w="100"/>
              <w:bottom w:type="dxa" w:w="80"/>
              <w:right w:type="dxa" w:w="100"/>
            </w:tcMar>
            <w:vAlign w:val="center"/>
          </w:tcPr>
          <w:p>
            <w:pPr>
              <w:jc w:val="left"/>
            </w:pPr>
            <w:r>
              <w:rPr>
                <w:b w:val="false"/>
                <w:bCs w:val="false"/>
                <w:color w:val="222222"/>
                <w:sz w:val="19"/>
                <w:szCs w:val="19"/>
              </w:rPr>
              <w:t xml:space="preserve">Notification</w:t>
            </w:r>
          </w:p>
        </w:tc>
        <w:tc>
          <w:tcPr>
            <w:tcW w:type="dxa" w:w="7150"/>
            <w:shd w:fill="F2F4F3" w:val="clear"/>
            <w:tcMar>
              <w:top w:type="dxa" w:w="80"/>
              <w:left w:type="dxa" w:w="100"/>
              <w:bottom w:type="dxa" w:w="80"/>
              <w:right w:type="dxa" w:w="100"/>
            </w:tcMar>
            <w:vAlign w:val="center"/>
          </w:tcPr>
          <w:p>
            <w:pPr>
              <w:jc w:val="left"/>
            </w:pPr>
            <w:r>
              <w:rPr>
                <w:b w:val="false"/>
                <w:bCs w:val="false"/>
                <w:color w:val="222222"/>
                <w:sz w:val="19"/>
                <w:szCs w:val="19"/>
              </w:rPr>
              <w:t xml:space="preserve">Delivery of reminders/alerts to the user</w:t>
            </w:r>
          </w:p>
        </w:tc>
      </w:tr>
      <w:tr>
        <w:tc>
          <w:tcPr>
            <w:tcW w:type="dxa" w:w="2200"/>
            <w:tcMar>
              <w:top w:type="dxa" w:w="80"/>
              <w:left w:type="dxa" w:w="100"/>
              <w:bottom w:type="dxa" w:w="80"/>
              <w:right w:type="dxa" w:w="100"/>
            </w:tcMar>
            <w:vAlign w:val="center"/>
          </w:tcPr>
          <w:p>
            <w:pPr>
              <w:jc w:val="left"/>
            </w:pPr>
            <w:r>
              <w:rPr>
                <w:b w:val="false"/>
                <w:bCs w:val="false"/>
                <w:color w:val="222222"/>
                <w:sz w:val="19"/>
                <w:szCs w:val="19"/>
              </w:rPr>
              <w:t xml:space="preserve">Attachment</w:t>
            </w:r>
          </w:p>
        </w:tc>
        <w:tc>
          <w:tcPr>
            <w:tcW w:type="dxa" w:w="7150"/>
            <w:tcMar>
              <w:top w:type="dxa" w:w="80"/>
              <w:left w:type="dxa" w:w="100"/>
              <w:bottom w:type="dxa" w:w="80"/>
              <w:right w:type="dxa" w:w="100"/>
            </w:tcMar>
            <w:vAlign w:val="center"/>
          </w:tcPr>
          <w:p>
            <w:pPr>
              <w:jc w:val="left"/>
            </w:pPr>
            <w:r>
              <w:rPr>
                <w:b w:val="false"/>
                <w:bCs w:val="false"/>
                <w:color w:val="222222"/>
                <w:sz w:val="19"/>
                <w:szCs w:val="19"/>
              </w:rPr>
              <w:t xml:space="preserve">Files/images linked to a task</w:t>
            </w:r>
          </w:p>
        </w:tc>
      </w:tr>
      <w:tr>
        <w:tc>
          <w:tcPr>
            <w:tcW w:type="dxa" w:w="2200"/>
            <w:shd w:fill="F2F4F3" w:val="clear"/>
            <w:tcMar>
              <w:top w:type="dxa" w:w="80"/>
              <w:left w:type="dxa" w:w="100"/>
              <w:bottom w:type="dxa" w:w="80"/>
              <w:right w:type="dxa" w:w="100"/>
            </w:tcMar>
            <w:vAlign w:val="center"/>
          </w:tcPr>
          <w:p>
            <w:pPr>
              <w:jc w:val="left"/>
            </w:pPr>
            <w:r>
              <w:rPr>
                <w:b w:val="false"/>
                <w:bCs w:val="false"/>
                <w:color w:val="222222"/>
                <w:sz w:val="19"/>
                <w:szCs w:val="19"/>
              </w:rPr>
              <w:t xml:space="preserve">Comment</w:t>
            </w:r>
          </w:p>
        </w:tc>
        <w:tc>
          <w:tcPr>
            <w:tcW w:type="dxa" w:w="7150"/>
            <w:shd w:fill="F2F4F3" w:val="clear"/>
            <w:tcMar>
              <w:top w:type="dxa" w:w="80"/>
              <w:left w:type="dxa" w:w="100"/>
              <w:bottom w:type="dxa" w:w="80"/>
              <w:right w:type="dxa" w:w="100"/>
            </w:tcMar>
            <w:vAlign w:val="center"/>
          </w:tcPr>
          <w:p>
            <w:pPr>
              <w:jc w:val="left"/>
            </w:pPr>
            <w:r>
              <w:rPr>
                <w:b w:val="false"/>
                <w:bCs w:val="false"/>
                <w:color w:val="222222"/>
                <w:sz w:val="19"/>
                <w:szCs w:val="19"/>
              </w:rPr>
              <w:t xml:space="preserve">Threaded discussion on a task</w:t>
            </w:r>
          </w:p>
        </w:tc>
      </w:tr>
      <w:tr>
        <w:tc>
          <w:tcPr>
            <w:tcW w:type="dxa" w:w="2200"/>
            <w:tcMar>
              <w:top w:type="dxa" w:w="80"/>
              <w:left w:type="dxa" w:w="100"/>
              <w:bottom w:type="dxa" w:w="80"/>
              <w:right w:type="dxa" w:w="100"/>
            </w:tcMar>
            <w:vAlign w:val="center"/>
          </w:tcPr>
          <w:p>
            <w:pPr>
              <w:jc w:val="left"/>
            </w:pPr>
            <w:r>
              <w:rPr>
                <w:b w:val="false"/>
                <w:bCs w:val="false"/>
                <w:color w:val="222222"/>
                <w:sz w:val="19"/>
                <w:szCs w:val="19"/>
              </w:rPr>
              <w:t xml:space="preserve">Billing</w:t>
            </w:r>
          </w:p>
        </w:tc>
        <w:tc>
          <w:tcPr>
            <w:tcW w:type="dxa" w:w="7150"/>
            <w:tcMar>
              <w:top w:type="dxa" w:w="80"/>
              <w:left w:type="dxa" w:w="100"/>
              <w:bottom w:type="dxa" w:w="80"/>
              <w:right w:type="dxa" w:w="100"/>
            </w:tcMar>
            <w:vAlign w:val="center"/>
          </w:tcPr>
          <w:p>
            <w:pPr>
              <w:jc w:val="left"/>
            </w:pPr>
            <w:r>
              <w:rPr>
                <w:b w:val="false"/>
                <w:bCs w:val="false"/>
                <w:color w:val="222222"/>
                <w:sz w:val="19"/>
                <w:szCs w:val="19"/>
              </w:rPr>
              <w:t xml:space="preserve">Subscription, plan, and payment state</w:t>
            </w:r>
          </w:p>
        </w:tc>
      </w:tr>
    </w:tbl>
    <w:p>
      <w:pPr>
        <w:pStyle w:val="Heading2"/>
        <w:spacing w:after="120" w:before="260"/>
      </w:pPr>
      <w:r>
        <w:rPr>
          <w:b/>
          <w:bCs/>
          <w:color w:val="1B2A4A"/>
          <w:sz w:val="24"/>
          <w:szCs w:val="24"/>
        </w:rPr>
        <w:t xml:space="preserve">6.2 Workspace Types</w:t>
      </w:r>
    </w:p>
    <w:p>
      <w:pPr>
        <w:pStyle w:val="ListParagraph"/>
        <w:numPr>
          <w:ilvl w:val="0"/>
          <w:numId w:val="2"/>
        </w:numPr>
        <w:spacing w:after="60"/>
      </w:pPr>
      <w:r>
        <w:rPr>
          <w:b w:val="false"/>
          <w:bCs w:val="false"/>
          <w:color w:val="222222"/>
          <w:sz w:val="21"/>
          <w:szCs w:val="21"/>
        </w:rPr>
        <w:t xml:space="preserve">Personal Workspace — single-user, individual/student use case.</w:t>
      </w:r>
    </w:p>
    <w:p>
      <w:pPr>
        <w:pStyle w:val="ListParagraph"/>
        <w:numPr>
          <w:ilvl w:val="0"/>
          <w:numId w:val="2"/>
        </w:numPr>
        <w:spacing w:after="60"/>
      </w:pPr>
      <w:r>
        <w:rPr>
          <w:b w:val="false"/>
          <w:bCs w:val="false"/>
          <w:color w:val="222222"/>
          <w:sz w:val="21"/>
          <w:szCs w:val="21"/>
        </w:rPr>
        <w:t xml:space="preserve">Team Workspace — shared workspace for small collaborative teams, up to defined member caps per plan.</w:t>
      </w:r>
    </w:p>
    <w:p>
      <w:pPr>
        <w:pStyle w:val="ListParagraph"/>
        <w:numPr>
          <w:ilvl w:val="0"/>
          <w:numId w:val="2"/>
        </w:numPr>
        <w:spacing w:after="60"/>
      </w:pPr>
      <w:r>
        <w:rPr>
          <w:b w:val="false"/>
          <w:bCs w:val="false"/>
          <w:color w:val="222222"/>
          <w:sz w:val="21"/>
          <w:szCs w:val="21"/>
        </w:rPr>
        <w:t xml:space="preserve">Business Workspace — foundation layer on which paid Vertical Modules attach.</w:t>
      </w:r>
    </w:p>
    <w:p>
      <w:pPr>
        <w:pStyle w:val="Heading2"/>
        <w:spacing w:after="120" w:before="260"/>
      </w:pPr>
      <w:r>
        <w:rPr>
          <w:b/>
          <w:bCs/>
          <w:color w:val="1B2A4A"/>
          <w:sz w:val="24"/>
          <w:szCs w:val="24"/>
        </w:rPr>
        <w:t xml:space="preserve">6.3 Flow Board (Kanban)</w:t>
      </w:r>
    </w:p>
    <w:p>
      <w:pPr>
        <w:spacing w:after="140"/>
      </w:pPr>
      <w:r>
        <w:rPr>
          <w:color w:val="222222"/>
          <w:sz w:val="21"/>
          <w:szCs w:val="21"/>
        </w:rPr>
        <w:t xml:space="preserve">A visual, drag-and-drop task board with customizable columns (default: To Do / In Progress / Done). Functionally equivalent to industry-standard Kanban boards, under PROHIT's own naming to maintain distinct brand identity.</w:t>
      </w:r>
    </w:p>
    <w:p>
      <w:pPr>
        <w:pStyle w:val="Heading2"/>
        <w:spacing w:after="120" w:before="260"/>
      </w:pPr>
      <w:r>
        <w:rPr>
          <w:b/>
          <w:bCs/>
          <w:color w:val="1B2A4A"/>
          <w:sz w:val="24"/>
          <w:szCs w:val="24"/>
        </w:rPr>
        <w:t xml:space="preserve">6.4 Vertical Modules — Add-on Layer</w:t>
      </w:r>
    </w:p>
    <w:p>
      <w:pPr>
        <w:spacing w:after="140"/>
      </w:pPr>
      <w:r>
        <w:rPr>
          <w:color w:val="222222"/>
          <w:sz w:val="21"/>
          <w:szCs w:val="21"/>
        </w:rPr>
        <w:t xml:space="preserve">Vertical modules extend the Core Engine with industry-specific metadata, terminology, and workflow rules, without modifying core code. New verticals are added as data-driven module definitions (module ID, field schema, task/client label overrides, pricing) rather than hardcoded application logic.</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117"/>
            <w:shd w:fill="1B2A4A" w:val="clear"/>
            <w:tcMar>
              <w:top w:type="dxa" w:w="80"/>
              <w:left w:type="dxa" w:w="100"/>
              <w:bottom w:type="dxa" w:w="80"/>
              <w:right w:type="dxa" w:w="100"/>
            </w:tcMar>
            <w:vAlign w:val="center"/>
          </w:tcPr>
          <w:p>
            <w:pPr>
              <w:jc w:val="left"/>
            </w:pPr>
            <w:r>
              <w:rPr>
                <w:b/>
                <w:bCs/>
                <w:color w:val="FFFFFF"/>
                <w:sz w:val="19"/>
                <w:szCs w:val="19"/>
              </w:rPr>
              <w:t xml:space="preserve">Module</w:t>
            </w:r>
          </w:p>
        </w:tc>
        <w:tc>
          <w:tcPr>
            <w:tcW w:type="dxa" w:w="3117"/>
            <w:shd w:fill="1B2A4A" w:val="clear"/>
            <w:tcMar>
              <w:top w:type="dxa" w:w="80"/>
              <w:left w:type="dxa" w:w="100"/>
              <w:bottom w:type="dxa" w:w="80"/>
              <w:right w:type="dxa" w:w="100"/>
            </w:tcMar>
            <w:vAlign w:val="center"/>
          </w:tcPr>
          <w:p>
            <w:pPr>
              <w:jc w:val="left"/>
            </w:pPr>
            <w:r>
              <w:rPr>
                <w:b/>
                <w:bCs/>
                <w:color w:val="FFFFFF"/>
                <w:sz w:val="19"/>
                <w:szCs w:val="19"/>
              </w:rPr>
              <w:t xml:space="preserve">"Task" becomes</w:t>
            </w:r>
          </w:p>
        </w:tc>
        <w:tc>
          <w:tcPr>
            <w:tcW w:type="dxa" w:w="3116"/>
            <w:shd w:fill="1B2A4A" w:val="clear"/>
            <w:tcMar>
              <w:top w:type="dxa" w:w="80"/>
              <w:left w:type="dxa" w:w="100"/>
              <w:bottom w:type="dxa" w:w="80"/>
              <w:right w:type="dxa" w:w="100"/>
            </w:tcMar>
            <w:vAlign w:val="center"/>
          </w:tcPr>
          <w:p>
            <w:pPr>
              <w:jc w:val="left"/>
            </w:pPr>
            <w:r>
              <w:rPr>
                <w:b/>
                <w:bCs/>
                <w:color w:val="FFFFFF"/>
                <w:sz w:val="19"/>
                <w:szCs w:val="19"/>
              </w:rPr>
              <w:t xml:space="preserve">"Client" becomes</w:t>
            </w:r>
          </w:p>
        </w:tc>
      </w:tr>
      <w:tr>
        <w:tc>
          <w:tcPr>
            <w:tcW w:type="dxa" w:w="3117"/>
            <w:shd w:fill="F2F4F3" w:val="clear"/>
            <w:tcMar>
              <w:top w:type="dxa" w:w="80"/>
              <w:left w:type="dxa" w:w="100"/>
              <w:bottom w:type="dxa" w:w="80"/>
              <w:right w:type="dxa" w:w="100"/>
            </w:tcMar>
            <w:vAlign w:val="center"/>
          </w:tcPr>
          <w:p>
            <w:pPr>
              <w:jc w:val="left"/>
            </w:pPr>
            <w:r>
              <w:rPr>
                <w:b w:val="false"/>
                <w:bCs w:val="false"/>
                <w:color w:val="222222"/>
                <w:sz w:val="19"/>
                <w:szCs w:val="19"/>
              </w:rPr>
              <w:t xml:space="preserve">CA Practice Management</w:t>
            </w:r>
          </w:p>
        </w:tc>
        <w:tc>
          <w:tcPr>
            <w:tcW w:type="dxa" w:w="3117"/>
            <w:shd w:fill="F2F4F3" w:val="clear"/>
            <w:tcMar>
              <w:top w:type="dxa" w:w="80"/>
              <w:left w:type="dxa" w:w="100"/>
              <w:bottom w:type="dxa" w:w="80"/>
              <w:right w:type="dxa" w:w="100"/>
            </w:tcMar>
            <w:vAlign w:val="center"/>
          </w:tcPr>
          <w:p>
            <w:pPr>
              <w:jc w:val="left"/>
            </w:pPr>
            <w:r>
              <w:rPr>
                <w:b w:val="false"/>
                <w:bCs w:val="false"/>
                <w:color w:val="222222"/>
                <w:sz w:val="19"/>
                <w:szCs w:val="19"/>
              </w:rPr>
              <w:t xml:space="preserve">GST/ITR/ROC filing, Audit assignment</w:t>
            </w:r>
          </w:p>
        </w:tc>
        <w:tc>
          <w:tcPr>
            <w:tcW w:type="dxa" w:w="3116"/>
            <w:shd w:fill="F2F4F3" w:val="clear"/>
            <w:tcMar>
              <w:top w:type="dxa" w:w="80"/>
              <w:left w:type="dxa" w:w="100"/>
              <w:bottom w:type="dxa" w:w="80"/>
              <w:right w:type="dxa" w:w="100"/>
            </w:tcMar>
            <w:vAlign w:val="center"/>
          </w:tcPr>
          <w:p>
            <w:pPr>
              <w:jc w:val="left"/>
            </w:pPr>
            <w:r>
              <w:rPr>
                <w:b w:val="false"/>
                <w:bCs w:val="false"/>
                <w:color w:val="222222"/>
                <w:sz w:val="19"/>
                <w:szCs w:val="19"/>
              </w:rPr>
              <w:t xml:space="preserve">Client (company)</w:t>
            </w:r>
          </w:p>
        </w:tc>
      </w:tr>
      <w:tr>
        <w:tc>
          <w:tcPr>
            <w:tcW w:type="dxa" w:w="3117"/>
            <w:tcMar>
              <w:top w:type="dxa" w:w="80"/>
              <w:left w:type="dxa" w:w="100"/>
              <w:bottom w:type="dxa" w:w="80"/>
              <w:right w:type="dxa" w:w="100"/>
            </w:tcMar>
            <w:vAlign w:val="center"/>
          </w:tcPr>
          <w:p>
            <w:pPr>
              <w:jc w:val="left"/>
            </w:pPr>
            <w:r>
              <w:rPr>
                <w:b w:val="false"/>
                <w:bCs w:val="false"/>
                <w:color w:val="222222"/>
                <w:sz w:val="19"/>
                <w:szCs w:val="19"/>
              </w:rPr>
              <w:t xml:space="preserve">Coaching Management</w:t>
            </w:r>
          </w:p>
        </w:tc>
        <w:tc>
          <w:tcPr>
            <w:tcW w:type="dxa" w:w="3117"/>
            <w:tcMar>
              <w:top w:type="dxa" w:w="80"/>
              <w:left w:type="dxa" w:w="100"/>
              <w:bottom w:type="dxa" w:w="80"/>
              <w:right w:type="dxa" w:w="100"/>
            </w:tcMar>
            <w:vAlign w:val="center"/>
          </w:tcPr>
          <w:p>
            <w:pPr>
              <w:jc w:val="left"/>
            </w:pPr>
            <w:r>
              <w:rPr>
                <w:b w:val="false"/>
                <w:bCs w:val="false"/>
                <w:color w:val="222222"/>
                <w:sz w:val="19"/>
                <w:szCs w:val="19"/>
              </w:rPr>
              <w:t xml:space="preserve">Batch/session prep</w:t>
            </w:r>
          </w:p>
        </w:tc>
        <w:tc>
          <w:tcPr>
            <w:tcW w:type="dxa" w:w="3116"/>
            <w:tcMar>
              <w:top w:type="dxa" w:w="80"/>
              <w:left w:type="dxa" w:w="100"/>
              <w:bottom w:type="dxa" w:w="80"/>
              <w:right w:type="dxa" w:w="100"/>
            </w:tcMar>
            <w:vAlign w:val="center"/>
          </w:tcPr>
          <w:p>
            <w:pPr>
              <w:jc w:val="left"/>
            </w:pPr>
            <w:r>
              <w:rPr>
                <w:b w:val="false"/>
                <w:bCs w:val="false"/>
                <w:color w:val="222222"/>
                <w:sz w:val="19"/>
                <w:szCs w:val="19"/>
              </w:rPr>
              <w:t xml:space="preserve">Student</w:t>
            </w:r>
          </w:p>
        </w:tc>
      </w:tr>
      <w:tr>
        <w:tc>
          <w:tcPr>
            <w:tcW w:type="dxa" w:w="3117"/>
            <w:shd w:fill="F2F4F3" w:val="clear"/>
            <w:tcMar>
              <w:top w:type="dxa" w:w="80"/>
              <w:left w:type="dxa" w:w="100"/>
              <w:bottom w:type="dxa" w:w="80"/>
              <w:right w:type="dxa" w:w="100"/>
            </w:tcMar>
            <w:vAlign w:val="center"/>
          </w:tcPr>
          <w:p>
            <w:pPr>
              <w:jc w:val="left"/>
            </w:pPr>
            <w:r>
              <w:rPr>
                <w:b w:val="false"/>
                <w:bCs w:val="false"/>
                <w:color w:val="222222"/>
                <w:sz w:val="19"/>
                <w:szCs w:val="19"/>
              </w:rPr>
              <w:t xml:space="preserve">Clinic Management</w:t>
            </w:r>
          </w:p>
        </w:tc>
        <w:tc>
          <w:tcPr>
            <w:tcW w:type="dxa" w:w="3117"/>
            <w:shd w:fill="F2F4F3" w:val="clear"/>
            <w:tcMar>
              <w:top w:type="dxa" w:w="80"/>
              <w:left w:type="dxa" w:w="100"/>
              <w:bottom w:type="dxa" w:w="80"/>
              <w:right w:type="dxa" w:w="100"/>
            </w:tcMar>
            <w:vAlign w:val="center"/>
          </w:tcPr>
          <w:p>
            <w:pPr>
              <w:jc w:val="left"/>
            </w:pPr>
            <w:r>
              <w:rPr>
                <w:b w:val="false"/>
                <w:bCs w:val="false"/>
                <w:color w:val="222222"/>
                <w:sz w:val="19"/>
                <w:szCs w:val="19"/>
              </w:rPr>
              <w:t xml:space="preserve">Patient follow-up / appointment</w:t>
            </w:r>
          </w:p>
        </w:tc>
        <w:tc>
          <w:tcPr>
            <w:tcW w:type="dxa" w:w="3116"/>
            <w:shd w:fill="F2F4F3" w:val="clear"/>
            <w:tcMar>
              <w:top w:type="dxa" w:w="80"/>
              <w:left w:type="dxa" w:w="100"/>
              <w:bottom w:type="dxa" w:w="80"/>
              <w:right w:type="dxa" w:w="100"/>
            </w:tcMar>
            <w:vAlign w:val="center"/>
          </w:tcPr>
          <w:p>
            <w:pPr>
              <w:jc w:val="left"/>
            </w:pPr>
            <w:r>
              <w:rPr>
                <w:b w:val="false"/>
                <w:bCs w:val="false"/>
                <w:color w:val="222222"/>
                <w:sz w:val="19"/>
                <w:szCs w:val="19"/>
              </w:rPr>
              <w:t xml:space="preserve">Patient</w:t>
            </w:r>
          </w:p>
        </w:tc>
      </w:tr>
      <w:tr>
        <w:tc>
          <w:tcPr>
            <w:tcW w:type="dxa" w:w="3117"/>
            <w:tcMar>
              <w:top w:type="dxa" w:w="80"/>
              <w:left w:type="dxa" w:w="100"/>
              <w:bottom w:type="dxa" w:w="80"/>
              <w:right w:type="dxa" w:w="100"/>
            </w:tcMar>
            <w:vAlign w:val="center"/>
          </w:tcPr>
          <w:p>
            <w:pPr>
              <w:jc w:val="left"/>
            </w:pPr>
            <w:r>
              <w:rPr>
                <w:b w:val="false"/>
                <w:bCs w:val="false"/>
                <w:color w:val="222222"/>
                <w:sz w:val="19"/>
                <w:szCs w:val="19"/>
              </w:rPr>
              <w:t xml:space="preserve">Real Estate Management</w:t>
            </w:r>
          </w:p>
        </w:tc>
        <w:tc>
          <w:tcPr>
            <w:tcW w:type="dxa" w:w="3117"/>
            <w:tcMar>
              <w:top w:type="dxa" w:w="80"/>
              <w:left w:type="dxa" w:w="100"/>
              <w:bottom w:type="dxa" w:w="80"/>
              <w:right w:type="dxa" w:w="100"/>
            </w:tcMar>
            <w:vAlign w:val="center"/>
          </w:tcPr>
          <w:p>
            <w:pPr>
              <w:jc w:val="left"/>
            </w:pPr>
            <w:r>
              <w:rPr>
                <w:b w:val="false"/>
                <w:bCs w:val="false"/>
                <w:color w:val="222222"/>
                <w:sz w:val="19"/>
                <w:szCs w:val="19"/>
              </w:rPr>
              <w:t xml:space="preserve">Site visit / documentation task</w:t>
            </w:r>
          </w:p>
        </w:tc>
        <w:tc>
          <w:tcPr>
            <w:tcW w:type="dxa" w:w="3116"/>
            <w:tcMar>
              <w:top w:type="dxa" w:w="80"/>
              <w:left w:type="dxa" w:w="100"/>
              <w:bottom w:type="dxa" w:w="80"/>
              <w:right w:type="dxa" w:w="100"/>
            </w:tcMar>
            <w:vAlign w:val="center"/>
          </w:tcPr>
          <w:p>
            <w:pPr>
              <w:jc w:val="left"/>
            </w:pPr>
            <w:r>
              <w:rPr>
                <w:b w:val="false"/>
                <w:bCs w:val="false"/>
                <w:color w:val="222222"/>
                <w:sz w:val="19"/>
                <w:szCs w:val="19"/>
              </w:rPr>
              <w:t xml:space="preserve">Buyer / Project</w:t>
            </w:r>
          </w:p>
        </w:tc>
      </w:tr>
      <w:tr>
        <w:tc>
          <w:tcPr>
            <w:tcW w:type="dxa" w:w="3117"/>
            <w:shd w:fill="F2F4F3" w:val="clear"/>
            <w:tcMar>
              <w:top w:type="dxa" w:w="80"/>
              <w:left w:type="dxa" w:w="100"/>
              <w:bottom w:type="dxa" w:w="80"/>
              <w:right w:type="dxa" w:w="100"/>
            </w:tcMar>
            <w:vAlign w:val="center"/>
          </w:tcPr>
          <w:p>
            <w:pPr>
              <w:jc w:val="left"/>
            </w:pPr>
            <w:r>
              <w:rPr>
                <w:b w:val="false"/>
                <w:bCs w:val="false"/>
                <w:color w:val="222222"/>
                <w:sz w:val="19"/>
                <w:szCs w:val="19"/>
              </w:rPr>
              <w:t xml:space="preserve">Agency Management</w:t>
            </w:r>
          </w:p>
        </w:tc>
        <w:tc>
          <w:tcPr>
            <w:tcW w:type="dxa" w:w="3117"/>
            <w:shd w:fill="F2F4F3" w:val="clear"/>
            <w:tcMar>
              <w:top w:type="dxa" w:w="80"/>
              <w:left w:type="dxa" w:w="100"/>
              <w:bottom w:type="dxa" w:w="80"/>
              <w:right w:type="dxa" w:w="100"/>
            </w:tcMar>
            <w:vAlign w:val="center"/>
          </w:tcPr>
          <w:p>
            <w:pPr>
              <w:jc w:val="left"/>
            </w:pPr>
            <w:r>
              <w:rPr>
                <w:b w:val="false"/>
                <w:bCs w:val="false"/>
                <w:color w:val="222222"/>
                <w:sz w:val="19"/>
                <w:szCs w:val="19"/>
              </w:rPr>
              <w:t xml:space="preserve">Vendor / campaign coordination</w:t>
            </w:r>
          </w:p>
        </w:tc>
        <w:tc>
          <w:tcPr>
            <w:tcW w:type="dxa" w:w="3116"/>
            <w:shd w:fill="F2F4F3" w:val="clear"/>
            <w:tcMar>
              <w:top w:type="dxa" w:w="80"/>
              <w:left w:type="dxa" w:w="100"/>
              <w:bottom w:type="dxa" w:w="80"/>
              <w:right w:type="dxa" w:w="100"/>
            </w:tcMar>
            <w:vAlign w:val="center"/>
          </w:tcPr>
          <w:p>
            <w:pPr>
              <w:jc w:val="left"/>
            </w:pPr>
            <w:r>
              <w:rPr>
                <w:b w:val="false"/>
                <w:bCs w:val="false"/>
                <w:color w:val="222222"/>
                <w:sz w:val="19"/>
                <w:szCs w:val="19"/>
              </w:rPr>
              <w:t xml:space="preserve">Client / Account</w:t>
            </w:r>
          </w:p>
        </w:tc>
      </w:tr>
      <w:tr>
        <w:tc>
          <w:tcPr>
            <w:tcW w:type="dxa" w:w="3117"/>
            <w:tcMar>
              <w:top w:type="dxa" w:w="80"/>
              <w:left w:type="dxa" w:w="100"/>
              <w:bottom w:type="dxa" w:w="80"/>
              <w:right w:type="dxa" w:w="100"/>
            </w:tcMar>
            <w:vAlign w:val="center"/>
          </w:tcPr>
          <w:p>
            <w:pPr>
              <w:jc w:val="left"/>
            </w:pPr>
            <w:r>
              <w:rPr>
                <w:b w:val="false"/>
                <w:bCs w:val="false"/>
                <w:color w:val="222222"/>
                <w:sz w:val="19"/>
                <w:szCs w:val="19"/>
              </w:rPr>
              <w:t xml:space="preserve">Custom Business Workspace</w:t>
            </w:r>
          </w:p>
        </w:tc>
        <w:tc>
          <w:tcPr>
            <w:tcW w:type="dxa" w:w="3117"/>
            <w:tcMar>
              <w:top w:type="dxa" w:w="80"/>
              <w:left w:type="dxa" w:w="100"/>
              <w:bottom w:type="dxa" w:w="80"/>
              <w:right w:type="dxa" w:w="100"/>
            </w:tcMar>
            <w:vAlign w:val="center"/>
          </w:tcPr>
          <w:p>
            <w:pPr>
              <w:jc w:val="left"/>
            </w:pPr>
            <w:r>
              <w:rPr>
                <w:b w:val="false"/>
                <w:bCs w:val="false"/>
                <w:color w:val="222222"/>
                <w:sz w:val="19"/>
                <w:szCs w:val="19"/>
              </w:rPr>
              <w:t xml:space="preserve">User-defined</w:t>
            </w:r>
          </w:p>
        </w:tc>
        <w:tc>
          <w:tcPr>
            <w:tcW w:type="dxa" w:w="3116"/>
            <w:tcMar>
              <w:top w:type="dxa" w:w="80"/>
              <w:left w:type="dxa" w:w="100"/>
              <w:bottom w:type="dxa" w:w="80"/>
              <w:right w:type="dxa" w:w="100"/>
            </w:tcMar>
            <w:vAlign w:val="center"/>
          </w:tcPr>
          <w:p>
            <w:pPr>
              <w:jc w:val="left"/>
            </w:pPr>
            <w:r>
              <w:rPr>
                <w:b w:val="false"/>
                <w:bCs w:val="false"/>
                <w:color w:val="222222"/>
                <w:sz w:val="19"/>
                <w:szCs w:val="19"/>
              </w:rPr>
              <w:t xml:space="preserve">User-defined</w:t>
            </w:r>
          </w:p>
        </w:tc>
      </w:tr>
    </w:tbl>
    <w:p>
      <w:pPr>
        <w:pStyle w:val="Heading2"/>
        <w:spacing w:after="120" w:before="260"/>
      </w:pPr>
      <w:r>
        <w:rPr>
          <w:b/>
          <w:bCs/>
          <w:color w:val="1B2A4A"/>
          <w:sz w:val="24"/>
          <w:szCs w:val="24"/>
        </w:rPr>
        <w:t xml:space="preserve">6.5 Subscription &amp; Billing</w:t>
      </w:r>
    </w:p>
    <w:p>
      <w:pPr>
        <w:pStyle w:val="ListParagraph"/>
        <w:numPr>
          <w:ilvl w:val="0"/>
          <w:numId w:val="2"/>
        </w:numPr>
        <w:spacing w:after="60"/>
      </w:pPr>
      <w:r>
        <w:rPr>
          <w:b w:val="false"/>
          <w:bCs w:val="false"/>
          <w:color w:val="222222"/>
          <w:sz w:val="21"/>
          <w:szCs w:val="21"/>
        </w:rPr>
        <w:t xml:space="preserve">Integration with Razorpay Subscriptions for plan purchase, renewal, and cancellation.</w:t>
      </w:r>
    </w:p>
    <w:p>
      <w:pPr>
        <w:pStyle w:val="ListParagraph"/>
        <w:numPr>
          <w:ilvl w:val="0"/>
          <w:numId w:val="2"/>
        </w:numPr>
        <w:spacing w:after="60"/>
      </w:pPr>
      <w:r>
        <w:rPr>
          <w:b w:val="false"/>
          <w:bCs w:val="false"/>
          <w:color w:val="222222"/>
          <w:sz w:val="21"/>
          <w:szCs w:val="21"/>
        </w:rPr>
        <w:t xml:space="preserve">Webhook-driven entitlement updates — payment success, renewal, and failure events update each workspace's entitlement cache.</w:t>
      </w:r>
    </w:p>
    <w:p>
      <w:pPr>
        <w:pStyle w:val="ListParagraph"/>
        <w:numPr>
          <w:ilvl w:val="0"/>
          <w:numId w:val="2"/>
        </w:numPr>
        <w:spacing w:after="60"/>
      </w:pPr>
      <w:r>
        <w:rPr>
          <w:b w:val="false"/>
          <w:bCs w:val="false"/>
          <w:color w:val="222222"/>
          <w:sz w:val="21"/>
          <w:szCs w:val="21"/>
        </w:rPr>
        <w:t xml:space="preserve">Entitlement flags determine which features/modules are unlocked per workspace at request time.</w:t>
      </w:r>
    </w:p>
    <w:p>
      <w:pPr>
        <w:pStyle w:val="ListParagraph"/>
        <w:numPr>
          <w:ilvl w:val="0"/>
          <w:numId w:val="2"/>
        </w:numPr>
        <w:spacing w:after="60"/>
      </w:pPr>
      <w:r>
        <w:rPr>
          <w:b w:val="false"/>
          <w:bCs w:val="false"/>
          <w:color w:val="222222"/>
          <w:sz w:val="21"/>
          <w:szCs w:val="21"/>
        </w:rPr>
        <w:t xml:space="preserve">Student discount path on the Pro plan via college email verification.</w:t>
      </w:r>
    </w:p>
    <w:p>
      <w:pPr>
        <w:pStyle w:val="Heading1"/>
        <w:pBdr>
          <w:bottom w:val="single" w:color="2A9D8F" w:sz="8" w:space="4"/>
        </w:pBdr>
        <w:spacing w:after="180" w:before="360"/>
      </w:pPr>
      <w:r>
        <w:rPr>
          <w:b/>
          <w:bCs/>
          <w:color w:val="1B2A4A"/>
          <w:sz w:val="30"/>
          <w:szCs w:val="30"/>
        </w:rPr>
        <w:t xml:space="preserve">7. Non-Functional Requirements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400"/>
            <w:shd w:fill="1B2A4A" w:val="clear"/>
            <w:tcMar>
              <w:top w:type="dxa" w:w="80"/>
              <w:left w:type="dxa" w:w="100"/>
              <w:bottom w:type="dxa" w:w="80"/>
              <w:right w:type="dxa" w:w="100"/>
            </w:tcMar>
            <w:vAlign w:val="center"/>
          </w:tcPr>
          <w:p>
            <w:pPr>
              <w:jc w:val="left"/>
            </w:pPr>
            <w:r>
              <w:rPr>
                <w:b/>
                <w:bCs/>
                <w:color w:val="FFFFFF"/>
                <w:sz w:val="19"/>
                <w:szCs w:val="19"/>
              </w:rPr>
              <w:t xml:space="preserve">Category</w:t>
            </w:r>
          </w:p>
        </w:tc>
        <w:tc>
          <w:tcPr>
            <w:tcW w:type="dxa" w:w="6950"/>
            <w:shd w:fill="1B2A4A" w:val="clear"/>
            <w:tcMar>
              <w:top w:type="dxa" w:w="80"/>
              <w:left w:type="dxa" w:w="100"/>
              <w:bottom w:type="dxa" w:w="80"/>
              <w:right w:type="dxa" w:w="100"/>
            </w:tcMar>
            <w:vAlign w:val="center"/>
          </w:tcPr>
          <w:p>
            <w:pPr>
              <w:jc w:val="left"/>
            </w:pPr>
            <w:r>
              <w:rPr>
                <w:b/>
                <w:bCs/>
                <w:color w:val="FFFFFF"/>
                <w:sz w:val="19"/>
                <w:szCs w:val="19"/>
              </w:rPr>
              <w:t xml:space="preserve">Requirement</w:t>
            </w:r>
          </w:p>
        </w:tc>
      </w:tr>
      <w:tr>
        <w:tc>
          <w:tcPr>
            <w:tcW w:type="dxa" w:w="2400"/>
            <w:shd w:fill="F2F4F3" w:val="clear"/>
            <w:tcMar>
              <w:top w:type="dxa" w:w="80"/>
              <w:left w:type="dxa" w:w="100"/>
              <w:bottom w:type="dxa" w:w="80"/>
              <w:right w:type="dxa" w:w="100"/>
            </w:tcMar>
            <w:vAlign w:val="center"/>
          </w:tcPr>
          <w:p>
            <w:pPr>
              <w:jc w:val="left"/>
            </w:pPr>
            <w:r>
              <w:rPr>
                <w:b w:val="false"/>
                <w:bCs w:val="false"/>
                <w:color w:val="222222"/>
                <w:sz w:val="19"/>
                <w:szCs w:val="19"/>
              </w:rPr>
              <w:t xml:space="preserve">Performance</w:t>
            </w:r>
          </w:p>
        </w:tc>
        <w:tc>
          <w:tcPr>
            <w:tcW w:type="dxa" w:w="6950"/>
            <w:shd w:fill="F2F4F3" w:val="clear"/>
            <w:tcMar>
              <w:top w:type="dxa" w:w="80"/>
              <w:left w:type="dxa" w:w="100"/>
              <w:bottom w:type="dxa" w:w="80"/>
              <w:right w:type="dxa" w:w="100"/>
            </w:tcMar>
            <w:vAlign w:val="center"/>
          </w:tcPr>
          <w:p>
            <w:pPr>
              <w:jc w:val="left"/>
            </w:pPr>
            <w:r>
              <w:rPr>
                <w:b w:val="false"/>
                <w:bCs w:val="false"/>
                <w:color w:val="222222"/>
                <w:sz w:val="19"/>
                <w:szCs w:val="19"/>
              </w:rPr>
              <w:t xml:space="preserve">Dashboard and task list views should load within 2 seconds under normal usage</w:t>
            </w:r>
          </w:p>
        </w:tc>
      </w:tr>
      <w:tr>
        <w:tc>
          <w:tcPr>
            <w:tcW w:type="dxa" w:w="2400"/>
            <w:tcMar>
              <w:top w:type="dxa" w:w="80"/>
              <w:left w:type="dxa" w:w="100"/>
              <w:bottom w:type="dxa" w:w="80"/>
              <w:right w:type="dxa" w:w="100"/>
            </w:tcMar>
            <w:vAlign w:val="center"/>
          </w:tcPr>
          <w:p>
            <w:pPr>
              <w:jc w:val="left"/>
            </w:pPr>
            <w:r>
              <w:rPr>
                <w:b w:val="false"/>
                <w:bCs w:val="false"/>
                <w:color w:val="222222"/>
                <w:sz w:val="19"/>
                <w:szCs w:val="19"/>
              </w:rPr>
              <w:t xml:space="preserve">Scalability</w:t>
            </w:r>
          </w:p>
        </w:tc>
        <w:tc>
          <w:tcPr>
            <w:tcW w:type="dxa" w:w="6950"/>
            <w:tcMar>
              <w:top w:type="dxa" w:w="80"/>
              <w:left w:type="dxa" w:w="100"/>
              <w:bottom w:type="dxa" w:w="80"/>
              <w:right w:type="dxa" w:w="100"/>
            </w:tcMar>
            <w:vAlign w:val="center"/>
          </w:tcPr>
          <w:p>
            <w:pPr>
              <w:jc w:val="left"/>
            </w:pPr>
            <w:r>
              <w:rPr>
                <w:b w:val="false"/>
                <w:bCs w:val="false"/>
                <w:color w:val="222222"/>
                <w:sz w:val="19"/>
                <w:szCs w:val="19"/>
              </w:rPr>
              <w:t xml:space="preserve">Entitlement and workspace data model must support adding new verticals without schema-breaking changes</w:t>
            </w:r>
          </w:p>
        </w:tc>
      </w:tr>
      <w:tr>
        <w:tc>
          <w:tcPr>
            <w:tcW w:type="dxa" w:w="2400"/>
            <w:shd w:fill="F2F4F3" w:val="clear"/>
            <w:tcMar>
              <w:top w:type="dxa" w:w="80"/>
              <w:left w:type="dxa" w:w="100"/>
              <w:bottom w:type="dxa" w:w="80"/>
              <w:right w:type="dxa" w:w="100"/>
            </w:tcMar>
            <w:vAlign w:val="center"/>
          </w:tcPr>
          <w:p>
            <w:pPr>
              <w:jc w:val="left"/>
            </w:pPr>
            <w:r>
              <w:rPr>
                <w:b w:val="false"/>
                <w:bCs w:val="false"/>
                <w:color w:val="222222"/>
                <w:sz w:val="19"/>
                <w:szCs w:val="19"/>
              </w:rPr>
              <w:t xml:space="preserve">Responsiveness</w:t>
            </w:r>
          </w:p>
        </w:tc>
        <w:tc>
          <w:tcPr>
            <w:tcW w:type="dxa" w:w="6950"/>
            <w:shd w:fill="F2F4F3" w:val="clear"/>
            <w:tcMar>
              <w:top w:type="dxa" w:w="80"/>
              <w:left w:type="dxa" w:w="100"/>
              <w:bottom w:type="dxa" w:w="80"/>
              <w:right w:type="dxa" w:w="100"/>
            </w:tcMar>
            <w:vAlign w:val="center"/>
          </w:tcPr>
          <w:p>
            <w:pPr>
              <w:jc w:val="left"/>
            </w:pPr>
            <w:r>
              <w:rPr>
                <w:b w:val="false"/>
                <w:bCs w:val="false"/>
                <w:color w:val="222222"/>
                <w:sz w:val="19"/>
                <w:szCs w:val="19"/>
              </w:rPr>
              <w:t xml:space="preserve">Web app must render correctly across desktop, tablet, and mobile browser widths</w:t>
            </w:r>
          </w:p>
        </w:tc>
      </w:tr>
      <w:tr>
        <w:tc>
          <w:tcPr>
            <w:tcW w:type="dxa" w:w="2400"/>
            <w:tcMar>
              <w:top w:type="dxa" w:w="80"/>
              <w:left w:type="dxa" w:w="100"/>
              <w:bottom w:type="dxa" w:w="80"/>
              <w:right w:type="dxa" w:w="100"/>
            </w:tcMar>
            <w:vAlign w:val="center"/>
          </w:tcPr>
          <w:p>
            <w:pPr>
              <w:jc w:val="left"/>
            </w:pPr>
            <w:r>
              <w:rPr>
                <w:b w:val="false"/>
                <w:bCs w:val="false"/>
                <w:color w:val="222222"/>
                <w:sz w:val="19"/>
                <w:szCs w:val="19"/>
              </w:rPr>
              <w:t xml:space="preserve">Offline capability</w:t>
            </w:r>
          </w:p>
        </w:tc>
        <w:tc>
          <w:tcPr>
            <w:tcW w:type="dxa" w:w="6950"/>
            <w:tcMar>
              <w:top w:type="dxa" w:w="80"/>
              <w:left w:type="dxa" w:w="100"/>
              <w:bottom w:type="dxa" w:w="80"/>
              <w:right w:type="dxa" w:w="100"/>
            </w:tcMar>
            <w:vAlign w:val="center"/>
          </w:tcPr>
          <w:p>
            <w:pPr>
              <w:jc w:val="left"/>
            </w:pPr>
            <w:r>
              <w:rPr>
                <w:b w:val="false"/>
                <w:bCs w:val="false"/>
                <w:color w:val="222222"/>
                <w:sz w:val="19"/>
                <w:szCs w:val="19"/>
              </w:rPr>
              <w:t xml:space="preserve">PWA should cache the current task list for basic offline viewing</w:t>
            </w:r>
          </w:p>
        </w:tc>
      </w:tr>
      <w:tr>
        <w:tc>
          <w:tcPr>
            <w:tcW w:type="dxa" w:w="2400"/>
            <w:shd w:fill="F2F4F3" w:val="clear"/>
            <w:tcMar>
              <w:top w:type="dxa" w:w="80"/>
              <w:left w:type="dxa" w:w="100"/>
              <w:bottom w:type="dxa" w:w="80"/>
              <w:right w:type="dxa" w:w="100"/>
            </w:tcMar>
            <w:vAlign w:val="center"/>
          </w:tcPr>
          <w:p>
            <w:pPr>
              <w:jc w:val="left"/>
            </w:pPr>
            <w:r>
              <w:rPr>
                <w:b w:val="false"/>
                <w:bCs w:val="false"/>
                <w:color w:val="222222"/>
                <w:sz w:val="19"/>
                <w:szCs w:val="19"/>
              </w:rPr>
              <w:t xml:space="preserve">Data integrity</w:t>
            </w:r>
          </w:p>
        </w:tc>
        <w:tc>
          <w:tcPr>
            <w:tcW w:type="dxa" w:w="6950"/>
            <w:shd w:fill="F2F4F3" w:val="clear"/>
            <w:tcMar>
              <w:top w:type="dxa" w:w="80"/>
              <w:left w:type="dxa" w:w="100"/>
              <w:bottom w:type="dxa" w:w="80"/>
              <w:right w:type="dxa" w:w="100"/>
            </w:tcMar>
            <w:vAlign w:val="center"/>
          </w:tcPr>
          <w:p>
            <w:pPr>
              <w:jc w:val="left"/>
            </w:pPr>
            <w:r>
              <w:rPr>
                <w:b w:val="false"/>
                <w:bCs w:val="false"/>
                <w:color w:val="222222"/>
                <w:sz w:val="19"/>
                <w:szCs w:val="19"/>
              </w:rPr>
              <w:t xml:space="preserve">Subscription/entitlement writes must be idempotent against duplicate Razorpay webhook deliveries</w:t>
            </w:r>
          </w:p>
        </w:tc>
      </w:tr>
      <w:tr>
        <w:tc>
          <w:tcPr>
            <w:tcW w:type="dxa" w:w="2400"/>
            <w:tcMar>
              <w:top w:type="dxa" w:w="80"/>
              <w:left w:type="dxa" w:w="100"/>
              <w:bottom w:type="dxa" w:w="80"/>
              <w:right w:type="dxa" w:w="100"/>
            </w:tcMar>
            <w:vAlign w:val="center"/>
          </w:tcPr>
          <w:p>
            <w:pPr>
              <w:jc w:val="left"/>
            </w:pPr>
            <w:r>
              <w:rPr>
                <w:b w:val="false"/>
                <w:bCs w:val="false"/>
                <w:color w:val="222222"/>
                <w:sz w:val="19"/>
                <w:szCs w:val="19"/>
              </w:rPr>
              <w:t xml:space="preserve">Security</w:t>
            </w:r>
          </w:p>
        </w:tc>
        <w:tc>
          <w:tcPr>
            <w:tcW w:type="dxa" w:w="6950"/>
            <w:tcMar>
              <w:top w:type="dxa" w:w="80"/>
              <w:left w:type="dxa" w:w="100"/>
              <w:bottom w:type="dxa" w:w="80"/>
              <w:right w:type="dxa" w:w="100"/>
            </w:tcMar>
            <w:vAlign w:val="center"/>
          </w:tcPr>
          <w:p>
            <w:pPr>
              <w:jc w:val="left"/>
            </w:pPr>
            <w:r>
              <w:rPr>
                <w:b w:val="false"/>
                <w:bCs w:val="false"/>
                <w:color w:val="222222"/>
                <w:sz w:val="19"/>
                <w:szCs w:val="19"/>
              </w:rPr>
              <w:t xml:space="preserve">Authentication tokens, payment data, and personal data handled per standard SaaS security practice; no card data stored directly</w:t>
            </w:r>
          </w:p>
        </w:tc>
      </w:tr>
      <w:tr>
        <w:tc>
          <w:tcPr>
            <w:tcW w:type="dxa" w:w="2400"/>
            <w:shd w:fill="F2F4F3" w:val="clear"/>
            <w:tcMar>
              <w:top w:type="dxa" w:w="80"/>
              <w:left w:type="dxa" w:w="100"/>
              <w:bottom w:type="dxa" w:w="80"/>
              <w:right w:type="dxa" w:w="100"/>
            </w:tcMar>
            <w:vAlign w:val="center"/>
          </w:tcPr>
          <w:p>
            <w:pPr>
              <w:jc w:val="left"/>
            </w:pPr>
            <w:r>
              <w:rPr>
                <w:b w:val="false"/>
                <w:bCs w:val="false"/>
                <w:color w:val="222222"/>
                <w:sz w:val="19"/>
                <w:szCs w:val="19"/>
              </w:rPr>
              <w:t xml:space="preserve">Branding consistency</w:t>
            </w:r>
          </w:p>
        </w:tc>
        <w:tc>
          <w:tcPr>
            <w:tcW w:type="dxa" w:w="6950"/>
            <w:shd w:fill="F2F4F3" w:val="clear"/>
            <w:tcMar>
              <w:top w:type="dxa" w:w="80"/>
              <w:left w:type="dxa" w:w="100"/>
              <w:bottom w:type="dxa" w:w="80"/>
              <w:right w:type="dxa" w:w="100"/>
            </w:tcMar>
            <w:vAlign w:val="center"/>
          </w:tcPr>
          <w:p>
            <w:pPr>
              <w:jc w:val="left"/>
            </w:pPr>
            <w:r>
              <w:rPr>
                <w:b w:val="false"/>
                <w:bCs w:val="false"/>
                <w:color w:val="222222"/>
                <w:sz w:val="19"/>
                <w:szCs w:val="19"/>
              </w:rPr>
              <w:t xml:space="preserve">All UI, naming, and color usage must follow the approved PROHIT design guidelines (Section 10)</w:t>
            </w:r>
          </w:p>
        </w:tc>
      </w:tr>
    </w:tbl>
    <w:p>
      <w:pPr>
        <w:pStyle w:val="Heading1"/>
        <w:pBdr>
          <w:bottom w:val="single" w:color="2A9D8F" w:sz="8" w:space="4"/>
        </w:pBdr>
        <w:spacing w:after="180" w:before="360"/>
      </w:pPr>
      <w:r>
        <w:rPr>
          <w:b/>
          <w:bCs/>
          <w:color w:val="1B2A4A"/>
          <w:sz w:val="30"/>
          <w:szCs w:val="30"/>
        </w:rPr>
        <w:t xml:space="preserve">8. Technical Architecture</w:t>
      </w:r>
    </w:p>
    <w:p>
      <w:pPr>
        <w:pStyle w:val="Heading2"/>
        <w:spacing w:after="120" w:before="260"/>
      </w:pPr>
      <w:r>
        <w:rPr>
          <w:b/>
          <w:bCs/>
          <w:color w:val="1B2A4A"/>
          <w:sz w:val="24"/>
          <w:szCs w:val="24"/>
        </w:rPr>
        <w:t xml:space="preserve">8.1 Technology Stack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200"/>
            <w:shd w:fill="1B2A4A" w:val="clear"/>
            <w:tcMar>
              <w:top w:type="dxa" w:w="80"/>
              <w:left w:type="dxa" w:w="100"/>
              <w:bottom w:type="dxa" w:w="80"/>
              <w:right w:type="dxa" w:w="100"/>
            </w:tcMar>
            <w:vAlign w:val="center"/>
          </w:tcPr>
          <w:p>
            <w:pPr>
              <w:jc w:val="left"/>
            </w:pPr>
            <w:r>
              <w:rPr>
                <w:b/>
                <w:bCs/>
                <w:color w:val="FFFFFF"/>
                <w:sz w:val="19"/>
                <w:szCs w:val="19"/>
              </w:rPr>
              <w:t xml:space="preserve">Layer</w:t>
            </w:r>
          </w:p>
        </w:tc>
        <w:tc>
          <w:tcPr>
            <w:tcW w:type="dxa" w:w="2600"/>
            <w:shd w:fill="1B2A4A" w:val="clear"/>
            <w:tcMar>
              <w:top w:type="dxa" w:w="80"/>
              <w:left w:type="dxa" w:w="100"/>
              <w:bottom w:type="dxa" w:w="80"/>
              <w:right w:type="dxa" w:w="100"/>
            </w:tcMar>
            <w:vAlign w:val="center"/>
          </w:tcPr>
          <w:p>
            <w:pPr>
              <w:jc w:val="left"/>
            </w:pPr>
            <w:r>
              <w:rPr>
                <w:b/>
                <w:bCs/>
                <w:color w:val="FFFFFF"/>
                <w:sz w:val="19"/>
                <w:szCs w:val="19"/>
              </w:rPr>
              <w:t xml:space="preserve">Technology</w:t>
            </w:r>
          </w:p>
        </w:tc>
        <w:tc>
          <w:tcPr>
            <w:tcW w:type="dxa" w:w="4550"/>
            <w:shd w:fill="1B2A4A" w:val="clear"/>
            <w:tcMar>
              <w:top w:type="dxa" w:w="80"/>
              <w:left w:type="dxa" w:w="100"/>
              <w:bottom w:type="dxa" w:w="80"/>
              <w:right w:type="dxa" w:w="100"/>
            </w:tcMar>
            <w:vAlign w:val="center"/>
          </w:tcPr>
          <w:p>
            <w:pPr>
              <w:jc w:val="left"/>
            </w:pPr>
            <w:r>
              <w:rPr>
                <w:b/>
                <w:bCs/>
                <w:color w:val="FFFFFF"/>
                <w:sz w:val="19"/>
                <w:szCs w:val="19"/>
              </w:rPr>
              <w:t xml:space="preserve">Rationale</w:t>
            </w:r>
          </w:p>
        </w:tc>
      </w:tr>
      <w:tr>
        <w:tc>
          <w:tcPr>
            <w:tcW w:type="dxa" w:w="2200"/>
            <w:shd w:fill="F2F4F3" w:val="clear"/>
            <w:tcMar>
              <w:top w:type="dxa" w:w="80"/>
              <w:left w:type="dxa" w:w="100"/>
              <w:bottom w:type="dxa" w:w="80"/>
              <w:right w:type="dxa" w:w="100"/>
            </w:tcMar>
            <w:vAlign w:val="center"/>
          </w:tcPr>
          <w:p>
            <w:pPr>
              <w:jc w:val="left"/>
            </w:pPr>
            <w:r>
              <w:rPr>
                <w:b w:val="false"/>
                <w:bCs w:val="false"/>
                <w:color w:val="222222"/>
                <w:sz w:val="19"/>
                <w:szCs w:val="19"/>
              </w:rPr>
              <w:t xml:space="preserve">Frontend + API</w:t>
            </w:r>
          </w:p>
        </w:tc>
        <w:tc>
          <w:tcPr>
            <w:tcW w:type="dxa" w:w="2600"/>
            <w:shd w:fill="F2F4F3" w:val="clear"/>
            <w:tcMar>
              <w:top w:type="dxa" w:w="80"/>
              <w:left w:type="dxa" w:w="100"/>
              <w:bottom w:type="dxa" w:w="80"/>
              <w:right w:type="dxa" w:w="100"/>
            </w:tcMar>
            <w:vAlign w:val="center"/>
          </w:tcPr>
          <w:p>
            <w:pPr>
              <w:jc w:val="left"/>
            </w:pPr>
            <w:r>
              <w:rPr>
                <w:b w:val="false"/>
                <w:bCs w:val="false"/>
                <w:color w:val="222222"/>
                <w:sz w:val="19"/>
                <w:szCs w:val="19"/>
              </w:rPr>
              <w:t xml:space="preserve">Next.js (TypeScript)</w:t>
            </w:r>
          </w:p>
        </w:tc>
        <w:tc>
          <w:tcPr>
            <w:tcW w:type="dxa" w:w="4550"/>
            <w:shd w:fill="F2F4F3" w:val="clear"/>
            <w:tcMar>
              <w:top w:type="dxa" w:w="80"/>
              <w:left w:type="dxa" w:w="100"/>
              <w:bottom w:type="dxa" w:w="80"/>
              <w:right w:type="dxa" w:w="100"/>
            </w:tcMar>
            <w:vAlign w:val="center"/>
          </w:tcPr>
          <w:p>
            <w:pPr>
              <w:jc w:val="left"/>
            </w:pPr>
            <w:r>
              <w:rPr>
                <w:b w:val="false"/>
                <w:bCs w:val="false"/>
                <w:color w:val="222222"/>
                <w:sz w:val="19"/>
                <w:szCs w:val="19"/>
              </w:rPr>
              <w:t xml:space="preserve">Single codebase; founder's existing proven stack</w:t>
            </w:r>
          </w:p>
        </w:tc>
      </w:tr>
      <w:tr>
        <w:tc>
          <w:tcPr>
            <w:tcW w:type="dxa" w:w="2200"/>
            <w:tcMar>
              <w:top w:type="dxa" w:w="80"/>
              <w:left w:type="dxa" w:w="100"/>
              <w:bottom w:type="dxa" w:w="80"/>
              <w:right w:type="dxa" w:w="100"/>
            </w:tcMar>
            <w:vAlign w:val="center"/>
          </w:tcPr>
          <w:p>
            <w:pPr>
              <w:jc w:val="left"/>
            </w:pPr>
            <w:r>
              <w:rPr>
                <w:b w:val="false"/>
                <w:bCs w:val="false"/>
                <w:color w:val="222222"/>
                <w:sz w:val="19"/>
                <w:szCs w:val="19"/>
              </w:rPr>
              <w:t xml:space="preserve">Database</w:t>
            </w:r>
          </w:p>
        </w:tc>
        <w:tc>
          <w:tcPr>
            <w:tcW w:type="dxa" w:w="2600"/>
            <w:tcMar>
              <w:top w:type="dxa" w:w="80"/>
              <w:left w:type="dxa" w:w="100"/>
              <w:bottom w:type="dxa" w:w="80"/>
              <w:right w:type="dxa" w:w="100"/>
            </w:tcMar>
            <w:vAlign w:val="center"/>
          </w:tcPr>
          <w:p>
            <w:pPr>
              <w:jc w:val="left"/>
            </w:pPr>
            <w:r>
              <w:rPr>
                <w:b w:val="false"/>
                <w:bCs w:val="false"/>
                <w:color w:val="222222"/>
                <w:sz w:val="19"/>
                <w:szCs w:val="19"/>
              </w:rPr>
              <w:t xml:space="preserve">MongoDB + Mongoose</w:t>
            </w:r>
          </w:p>
        </w:tc>
        <w:tc>
          <w:tcPr>
            <w:tcW w:type="dxa" w:w="4550"/>
            <w:tcMar>
              <w:top w:type="dxa" w:w="80"/>
              <w:left w:type="dxa" w:w="100"/>
              <w:bottom w:type="dxa" w:w="80"/>
              <w:right w:type="dxa" w:w="100"/>
            </w:tcMar>
            <w:vAlign w:val="center"/>
          </w:tcPr>
          <w:p>
            <w:pPr>
              <w:jc w:val="left"/>
            </w:pPr>
            <w:r>
              <w:rPr>
                <w:b w:val="false"/>
                <w:bCs w:val="false"/>
                <w:color w:val="222222"/>
                <w:sz w:val="19"/>
                <w:szCs w:val="19"/>
              </w:rPr>
              <w:t xml:space="preserve">Founder's existing stack across other PROHIT CoreTech projects</w:t>
            </w:r>
          </w:p>
        </w:tc>
      </w:tr>
      <w:tr>
        <w:tc>
          <w:tcPr>
            <w:tcW w:type="dxa" w:w="2200"/>
            <w:shd w:fill="F2F4F3" w:val="clear"/>
            <w:tcMar>
              <w:top w:type="dxa" w:w="80"/>
              <w:left w:type="dxa" w:w="100"/>
              <w:bottom w:type="dxa" w:w="80"/>
              <w:right w:type="dxa" w:w="100"/>
            </w:tcMar>
            <w:vAlign w:val="center"/>
          </w:tcPr>
          <w:p>
            <w:pPr>
              <w:jc w:val="left"/>
            </w:pPr>
            <w:r>
              <w:rPr>
                <w:b w:val="false"/>
                <w:bCs w:val="false"/>
                <w:color w:val="222222"/>
                <w:sz w:val="19"/>
                <w:szCs w:val="19"/>
              </w:rPr>
              <w:t xml:space="preserve">Authentication</w:t>
            </w:r>
          </w:p>
        </w:tc>
        <w:tc>
          <w:tcPr>
            <w:tcW w:type="dxa" w:w="2600"/>
            <w:shd w:fill="F2F4F3" w:val="clear"/>
            <w:tcMar>
              <w:top w:type="dxa" w:w="80"/>
              <w:left w:type="dxa" w:w="100"/>
              <w:bottom w:type="dxa" w:w="80"/>
              <w:right w:type="dxa" w:w="100"/>
            </w:tcMar>
            <w:vAlign w:val="center"/>
          </w:tcPr>
          <w:p>
            <w:pPr>
              <w:jc w:val="left"/>
            </w:pPr>
            <w:r>
              <w:rPr>
                <w:b w:val="false"/>
                <w:bCs w:val="false"/>
                <w:color w:val="222222"/>
                <w:sz w:val="19"/>
                <w:szCs w:val="19"/>
              </w:rPr>
              <w:t xml:space="preserve">NextAuth / Clerk</w:t>
            </w:r>
          </w:p>
        </w:tc>
        <w:tc>
          <w:tcPr>
            <w:tcW w:type="dxa" w:w="4550"/>
            <w:shd w:fill="F2F4F3" w:val="clear"/>
            <w:tcMar>
              <w:top w:type="dxa" w:w="80"/>
              <w:left w:type="dxa" w:w="100"/>
              <w:bottom w:type="dxa" w:w="80"/>
              <w:right w:type="dxa" w:w="100"/>
            </w:tcMar>
            <w:vAlign w:val="center"/>
          </w:tcPr>
          <w:p>
            <w:pPr>
              <w:jc w:val="left"/>
            </w:pPr>
            <w:r>
              <w:rPr>
                <w:b w:val="false"/>
                <w:bCs w:val="false"/>
                <w:color w:val="222222"/>
                <w:sz w:val="19"/>
                <w:szCs w:val="19"/>
              </w:rPr>
              <w:t xml:space="preserve">Supports multi-tenant workspace login out of the box</w:t>
            </w:r>
          </w:p>
        </w:tc>
      </w:tr>
      <w:tr>
        <w:tc>
          <w:tcPr>
            <w:tcW w:type="dxa" w:w="2200"/>
            <w:tcMar>
              <w:top w:type="dxa" w:w="80"/>
              <w:left w:type="dxa" w:w="100"/>
              <w:bottom w:type="dxa" w:w="80"/>
              <w:right w:type="dxa" w:w="100"/>
            </w:tcMar>
            <w:vAlign w:val="center"/>
          </w:tcPr>
          <w:p>
            <w:pPr>
              <w:jc w:val="left"/>
            </w:pPr>
            <w:r>
              <w:rPr>
                <w:b w:val="false"/>
                <w:bCs w:val="false"/>
                <w:color w:val="222222"/>
                <w:sz w:val="19"/>
                <w:szCs w:val="19"/>
              </w:rPr>
              <w:t xml:space="preserve">Billing</w:t>
            </w:r>
          </w:p>
        </w:tc>
        <w:tc>
          <w:tcPr>
            <w:tcW w:type="dxa" w:w="2600"/>
            <w:tcMar>
              <w:top w:type="dxa" w:w="80"/>
              <w:left w:type="dxa" w:w="100"/>
              <w:bottom w:type="dxa" w:w="80"/>
              <w:right w:type="dxa" w:w="100"/>
            </w:tcMar>
            <w:vAlign w:val="center"/>
          </w:tcPr>
          <w:p>
            <w:pPr>
              <w:jc w:val="left"/>
            </w:pPr>
            <w:r>
              <w:rPr>
                <w:b w:val="false"/>
                <w:bCs w:val="false"/>
                <w:color w:val="222222"/>
                <w:sz w:val="19"/>
                <w:szCs w:val="19"/>
              </w:rPr>
              <w:t xml:space="preserve">Razorpay Subscriptions</w:t>
            </w:r>
          </w:p>
        </w:tc>
        <w:tc>
          <w:tcPr>
            <w:tcW w:type="dxa" w:w="4550"/>
            <w:tcMar>
              <w:top w:type="dxa" w:w="80"/>
              <w:left w:type="dxa" w:w="100"/>
              <w:bottom w:type="dxa" w:w="80"/>
              <w:right w:type="dxa" w:w="100"/>
            </w:tcMar>
            <w:vAlign w:val="center"/>
          </w:tcPr>
          <w:p>
            <w:pPr>
              <w:jc w:val="left"/>
            </w:pPr>
            <w:r>
              <w:rPr>
                <w:b w:val="false"/>
                <w:bCs w:val="false"/>
                <w:color w:val="222222"/>
                <w:sz w:val="19"/>
                <w:szCs w:val="19"/>
              </w:rPr>
              <w:t xml:space="preserve">India-first, handles recurring billing and plan changes</w:t>
            </w:r>
          </w:p>
        </w:tc>
      </w:tr>
      <w:tr>
        <w:tc>
          <w:tcPr>
            <w:tcW w:type="dxa" w:w="2200"/>
            <w:shd w:fill="F2F4F3" w:val="clear"/>
            <w:tcMar>
              <w:top w:type="dxa" w:w="80"/>
              <w:left w:type="dxa" w:w="100"/>
              <w:bottom w:type="dxa" w:w="80"/>
              <w:right w:type="dxa" w:w="100"/>
            </w:tcMar>
            <w:vAlign w:val="center"/>
          </w:tcPr>
          <w:p>
            <w:pPr>
              <w:jc w:val="left"/>
            </w:pPr>
            <w:r>
              <w:rPr>
                <w:b w:val="false"/>
                <w:bCs w:val="false"/>
                <w:color w:val="222222"/>
                <w:sz w:val="19"/>
                <w:szCs w:val="19"/>
              </w:rPr>
              <w:t xml:space="preserve">Hosting</w:t>
            </w:r>
          </w:p>
        </w:tc>
        <w:tc>
          <w:tcPr>
            <w:tcW w:type="dxa" w:w="2600"/>
            <w:shd w:fill="F2F4F3" w:val="clear"/>
            <w:tcMar>
              <w:top w:type="dxa" w:w="80"/>
              <w:left w:type="dxa" w:w="100"/>
              <w:bottom w:type="dxa" w:w="80"/>
              <w:right w:type="dxa" w:w="100"/>
            </w:tcMar>
            <w:vAlign w:val="center"/>
          </w:tcPr>
          <w:p>
            <w:pPr>
              <w:jc w:val="left"/>
            </w:pPr>
            <w:r>
              <w:rPr>
                <w:b w:val="false"/>
                <w:bCs w:val="false"/>
                <w:color w:val="222222"/>
                <w:sz w:val="19"/>
                <w:szCs w:val="19"/>
              </w:rPr>
              <w:t xml:space="preserve">Railway / Render (app + DB) + Vercel (frontend)</w:t>
            </w:r>
          </w:p>
        </w:tc>
        <w:tc>
          <w:tcPr>
            <w:tcW w:type="dxa" w:w="4550"/>
            <w:shd w:fill="F2F4F3" w:val="clear"/>
            <w:tcMar>
              <w:top w:type="dxa" w:w="80"/>
              <w:left w:type="dxa" w:w="100"/>
              <w:bottom w:type="dxa" w:w="80"/>
              <w:right w:type="dxa" w:w="100"/>
            </w:tcMar>
            <w:vAlign w:val="center"/>
          </w:tcPr>
          <w:p>
            <w:pPr>
              <w:jc w:val="left"/>
            </w:pPr>
            <w:r>
              <w:rPr>
                <w:b w:val="false"/>
                <w:bCs w:val="false"/>
                <w:color w:val="222222"/>
                <w:sz w:val="19"/>
                <w:szCs w:val="19"/>
              </w:rPr>
              <w:t xml:space="preserve">Low-cost, fits ₹30-40k self-build budget</w:t>
            </w:r>
          </w:p>
        </w:tc>
      </w:tr>
    </w:tbl>
    <w:p>
      <w:pPr>
        <w:pStyle w:val="Heading2"/>
        <w:spacing w:after="120" w:before="260"/>
      </w:pPr>
      <w:r>
        <w:rPr>
          <w:b/>
          <w:bCs/>
          <w:color w:val="1B2A4A"/>
          <w:sz w:val="24"/>
          <w:szCs w:val="24"/>
        </w:rPr>
        <w:t xml:space="preserve">8.2 Data &amp; Entitlement Model</w:t>
      </w:r>
    </w:p>
    <w:p>
      <w:pPr>
        <w:spacing w:after="140"/>
      </w:pPr>
      <w:r>
        <w:rPr>
          <w:color w:val="222222"/>
          <w:sz w:val="21"/>
          <w:szCs w:val="21"/>
        </w:rPr>
        <w:t xml:space="preserve">Subscription and entitlement data is kept in dedicated collections separate from core Workspace data, to avoid write contention from frequent Razorpay webhook updates against a document also read on every request.</w:t>
      </w:r>
    </w:p>
    <w:p>
      <w:pPr>
        <w:pStyle w:val="ListParagraph"/>
        <w:numPr>
          <w:ilvl w:val="0"/>
          <w:numId w:val="2"/>
        </w:numPr>
        <w:spacing w:after="60"/>
      </w:pPr>
      <w:r>
        <w:rPr>
          <w:b w:val="false"/>
          <w:bCs w:val="false"/>
          <w:color w:val="222222"/>
          <w:sz w:val="21"/>
          <w:szCs w:val="21"/>
        </w:rPr>
        <w:t xml:space="preserve">workspaces — workspace identity, owner, and type (personal / team / business).</w:t>
      </w:r>
    </w:p>
    <w:p>
      <w:pPr>
        <w:pStyle w:val="ListParagraph"/>
        <w:numPr>
          <w:ilvl w:val="0"/>
          <w:numId w:val="2"/>
        </w:numPr>
        <w:spacing w:after="60"/>
      </w:pPr>
      <w:r>
        <w:rPr>
          <w:b w:val="false"/>
          <w:bCs w:val="false"/>
          <w:color w:val="222222"/>
          <w:sz w:val="21"/>
          <w:szCs w:val="21"/>
        </w:rPr>
        <w:t xml:space="preserve">subscriptions — plan, status, active modules, renewal date, keyed by workspaceId.</w:t>
      </w:r>
    </w:p>
    <w:p>
      <w:pPr>
        <w:pStyle w:val="ListParagraph"/>
        <w:numPr>
          <w:ilvl w:val="0"/>
          <w:numId w:val="2"/>
        </w:numPr>
        <w:spacing w:after="60"/>
      </w:pPr>
      <w:r>
        <w:rPr>
          <w:b w:val="false"/>
          <w:bCs w:val="false"/>
          <w:color w:val="222222"/>
          <w:sz w:val="21"/>
          <w:szCs w:val="21"/>
        </w:rPr>
        <w:t xml:space="preserve">entitlements_cache — denormalized feature flags per workspace for fast read access on every request.</w:t>
      </w:r>
    </w:p>
    <w:p>
      <w:pPr>
        <w:pStyle w:val="ListParagraph"/>
        <w:numPr>
          <w:ilvl w:val="0"/>
          <w:numId w:val="2"/>
        </w:numPr>
        <w:spacing w:after="60"/>
      </w:pPr>
      <w:r>
        <w:rPr>
          <w:b w:val="false"/>
          <w:bCs w:val="false"/>
          <w:color w:val="222222"/>
          <w:sz w:val="21"/>
          <w:szCs w:val="21"/>
        </w:rPr>
        <w:t xml:space="preserve">modules — data-driven definitions of each vertical module (field schema, task/client label overrides, pricing), enabling new verticals to be added without core code changes.</w:t>
      </w:r>
    </w:p>
    <w:p>
      <w:pPr>
        <w:pStyle w:val="Heading2"/>
        <w:spacing w:after="120" w:before="260"/>
      </w:pPr>
      <w:r>
        <w:rPr>
          <w:b/>
          <w:bCs/>
          <w:color w:val="1B2A4A"/>
          <w:sz w:val="24"/>
          <w:szCs w:val="24"/>
        </w:rPr>
        <w:t xml:space="preserve">8.3 System Architecture Overview</w:t>
      </w:r>
    </w:p>
    <w:p>
      <w:pPr>
        <w:spacing w:after="140"/>
      </w:pPr>
      <w:r>
        <w:rPr>
          <w:color w:val="222222"/>
          <w:sz w:val="21"/>
          <w:szCs w:val="21"/>
        </w:rPr>
        <w:t xml:space="preserve">The system follows a layered structure: a shared Core Engine (Task, Project, User, Team, Calendar, Reminder, Notification, Attachment, Comment, Billing) sits beneath three Workspace types (Personal, Team, Business). Business Workspaces can attach one or more Vertical Modules as paid add-ons, including an open-ended Custom Business Workspace for industries not yet formally modeled. A parallel Subscription &amp; Entitlement Flow governs plan selection, payment processing via Razorpay, webhook-driven entitlement updates, and the resulting feature unlocks in the application.</w:t>
      </w:r>
    </w:p>
    <w:p>
      <w:pPr>
        <w:pStyle w:val="Heading1"/>
        <w:pBdr>
          <w:bottom w:val="single" w:color="2A9D8F" w:sz="8" w:space="4"/>
        </w:pBdr>
        <w:spacing w:after="180" w:before="360"/>
      </w:pPr>
      <w:r>
        <w:rPr>
          <w:b/>
          <w:bCs/>
          <w:color w:val="1B2A4A"/>
          <w:sz w:val="30"/>
          <w:szCs w:val="30"/>
        </w:rPr>
        <w:t xml:space="preserve">9. Subscription &amp; Pricing Model</w:t>
      </w:r>
    </w:p>
    <w:p>
      <w:pPr>
        <w:pStyle w:val="Heading2"/>
        <w:spacing w:after="120" w:before="260"/>
      </w:pPr>
      <w:r>
        <w:rPr>
          <w:b/>
          <w:bCs/>
          <w:color w:val="1B2A4A"/>
          <w:sz w:val="24"/>
          <w:szCs w:val="24"/>
        </w:rPr>
        <w:t xml:space="preserve">9.1 Core Plans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800"/>
            <w:shd w:fill="1B2A4A" w:val="clear"/>
            <w:tcMar>
              <w:top w:type="dxa" w:w="80"/>
              <w:left w:type="dxa" w:w="100"/>
              <w:bottom w:type="dxa" w:w="80"/>
              <w:right w:type="dxa" w:w="100"/>
            </w:tcMar>
            <w:vAlign w:val="center"/>
          </w:tcPr>
          <w:p>
            <w:pPr>
              <w:jc w:val="left"/>
            </w:pPr>
            <w:r>
              <w:rPr>
                <w:b/>
                <w:bCs/>
                <w:color w:val="FFFFFF"/>
                <w:sz w:val="19"/>
                <w:szCs w:val="19"/>
              </w:rPr>
              <w:t xml:space="preserve">Tier</w:t>
            </w:r>
          </w:p>
        </w:tc>
        <w:tc>
          <w:tcPr>
            <w:tcW w:type="dxa" w:w="2200"/>
            <w:shd w:fill="1B2A4A" w:val="clear"/>
            <w:tcMar>
              <w:top w:type="dxa" w:w="80"/>
              <w:left w:type="dxa" w:w="100"/>
              <w:bottom w:type="dxa" w:w="80"/>
              <w:right w:type="dxa" w:w="100"/>
            </w:tcMar>
            <w:vAlign w:val="center"/>
          </w:tcPr>
          <w:p>
            <w:pPr>
              <w:jc w:val="left"/>
            </w:pPr>
            <w:r>
              <w:rPr>
                <w:b/>
                <w:bCs/>
                <w:color w:val="FFFFFF"/>
                <w:sz w:val="19"/>
                <w:szCs w:val="19"/>
              </w:rPr>
              <w:t xml:space="preserve">Price</w:t>
            </w:r>
          </w:p>
        </w:tc>
        <w:tc>
          <w:tcPr>
            <w:tcW w:type="dxa" w:w="5350"/>
            <w:shd w:fill="1B2A4A" w:val="clear"/>
            <w:tcMar>
              <w:top w:type="dxa" w:w="80"/>
              <w:left w:type="dxa" w:w="100"/>
              <w:bottom w:type="dxa" w:w="80"/>
              <w:right w:type="dxa" w:w="100"/>
            </w:tcMar>
            <w:vAlign w:val="center"/>
          </w:tcPr>
          <w:p>
            <w:pPr>
              <w:jc w:val="left"/>
            </w:pPr>
            <w:r>
              <w:rPr>
                <w:b/>
                <w:bCs/>
                <w:color w:val="FFFFFF"/>
                <w:sz w:val="19"/>
                <w:szCs w:val="19"/>
              </w:rPr>
              <w:t xml:space="preserve">Includes</w:t>
            </w:r>
          </w:p>
        </w:tc>
      </w:tr>
      <w:tr>
        <w:tc>
          <w:tcPr>
            <w:tcW w:type="dxa" w:w="1800"/>
            <w:shd w:fill="F2F4F3" w:val="clear"/>
            <w:tcMar>
              <w:top w:type="dxa" w:w="80"/>
              <w:left w:type="dxa" w:w="100"/>
              <w:bottom w:type="dxa" w:w="80"/>
              <w:right w:type="dxa" w:w="100"/>
            </w:tcMar>
            <w:vAlign w:val="center"/>
          </w:tcPr>
          <w:p>
            <w:pPr>
              <w:jc w:val="left"/>
            </w:pPr>
            <w:r>
              <w:rPr>
                <w:b w:val="false"/>
                <w:bCs w:val="false"/>
                <w:color w:val="222222"/>
                <w:sz w:val="19"/>
                <w:szCs w:val="19"/>
              </w:rPr>
              <w:t xml:space="preserve">Free</w:t>
            </w:r>
          </w:p>
        </w:tc>
        <w:tc>
          <w:tcPr>
            <w:tcW w:type="dxa" w:w="2200"/>
            <w:shd w:fill="F2F4F3" w:val="clear"/>
            <w:tcMar>
              <w:top w:type="dxa" w:w="80"/>
              <w:left w:type="dxa" w:w="100"/>
              <w:bottom w:type="dxa" w:w="80"/>
              <w:right w:type="dxa" w:w="100"/>
            </w:tcMar>
            <w:vAlign w:val="center"/>
          </w:tcPr>
          <w:p>
            <w:pPr>
              <w:jc w:val="left"/>
            </w:pPr>
            <w:r>
              <w:rPr>
                <w:b w:val="false"/>
                <w:bCs w:val="false"/>
                <w:color w:val="222222"/>
                <w:sz w:val="19"/>
                <w:szCs w:val="19"/>
              </w:rPr>
              <w:t xml:space="preserve">₹0</w:t>
            </w:r>
          </w:p>
        </w:tc>
        <w:tc>
          <w:tcPr>
            <w:tcW w:type="dxa" w:w="5350"/>
            <w:shd w:fill="F2F4F3" w:val="clear"/>
            <w:tcMar>
              <w:top w:type="dxa" w:w="80"/>
              <w:left w:type="dxa" w:w="100"/>
              <w:bottom w:type="dxa" w:w="80"/>
              <w:right w:type="dxa" w:w="100"/>
            </w:tcMar>
            <w:vAlign w:val="center"/>
          </w:tcPr>
          <w:p>
            <w:pPr>
              <w:jc w:val="left"/>
            </w:pPr>
            <w:r>
              <w:rPr>
                <w:b w:val="false"/>
                <w:bCs w:val="false"/>
                <w:color w:val="222222"/>
                <w:sz w:val="19"/>
                <w:szCs w:val="19"/>
              </w:rPr>
              <w:t xml:space="preserve">5 lists, 50 tasks/list, 1 reminder/task, month-view calendar only, no attachments</w:t>
            </w:r>
          </w:p>
        </w:tc>
      </w:tr>
      <w:tr>
        <w:tc>
          <w:tcPr>
            <w:tcW w:type="dxa" w:w="1800"/>
            <w:tcMar>
              <w:top w:type="dxa" w:w="80"/>
              <w:left w:type="dxa" w:w="100"/>
              <w:bottom w:type="dxa" w:w="80"/>
              <w:right w:type="dxa" w:w="100"/>
            </w:tcMar>
            <w:vAlign w:val="center"/>
          </w:tcPr>
          <w:p>
            <w:pPr>
              <w:jc w:val="left"/>
            </w:pPr>
            <w:r>
              <w:rPr>
                <w:b w:val="false"/>
                <w:bCs w:val="false"/>
                <w:color w:val="222222"/>
                <w:sz w:val="19"/>
                <w:szCs w:val="19"/>
              </w:rPr>
              <w:t xml:space="preserve">Pro (Individual)</w:t>
            </w:r>
          </w:p>
        </w:tc>
        <w:tc>
          <w:tcPr>
            <w:tcW w:type="dxa" w:w="2200"/>
            <w:tcMar>
              <w:top w:type="dxa" w:w="80"/>
              <w:left w:type="dxa" w:w="100"/>
              <w:bottom w:type="dxa" w:w="80"/>
              <w:right w:type="dxa" w:w="100"/>
            </w:tcMar>
            <w:vAlign w:val="center"/>
          </w:tcPr>
          <w:p>
            <w:pPr>
              <w:jc w:val="left"/>
            </w:pPr>
            <w:r>
              <w:rPr>
                <w:b w:val="false"/>
                <w:bCs w:val="false"/>
                <w:color w:val="222222"/>
                <w:sz w:val="19"/>
                <w:szCs w:val="19"/>
              </w:rPr>
              <w:t xml:space="preserve">₹999/year</w:t>
            </w:r>
          </w:p>
        </w:tc>
        <w:tc>
          <w:tcPr>
            <w:tcW w:type="dxa" w:w="5350"/>
            <w:tcMar>
              <w:top w:type="dxa" w:w="80"/>
              <w:left w:type="dxa" w:w="100"/>
              <w:bottom w:type="dxa" w:w="80"/>
              <w:right w:type="dxa" w:w="100"/>
            </w:tcMar>
            <w:vAlign w:val="center"/>
          </w:tcPr>
          <w:p>
            <w:pPr>
              <w:jc w:val="left"/>
            </w:pPr>
            <w:r>
              <w:rPr>
                <w:b w:val="false"/>
                <w:bCs w:val="false"/>
                <w:color w:val="222222"/>
                <w:sz w:val="19"/>
                <w:szCs w:val="19"/>
              </w:rPr>
              <w:t xml:space="preserve">Unlimited lists/tasks, multiple reminders, week/day calendar views, Flow Board, unlimited attachments, calendar sync</w:t>
            </w:r>
          </w:p>
        </w:tc>
      </w:tr>
      <w:tr>
        <w:tc>
          <w:tcPr>
            <w:tcW w:type="dxa" w:w="1800"/>
            <w:shd w:fill="F2F4F3" w:val="clear"/>
            <w:tcMar>
              <w:top w:type="dxa" w:w="80"/>
              <w:left w:type="dxa" w:w="100"/>
              <w:bottom w:type="dxa" w:w="80"/>
              <w:right w:type="dxa" w:w="100"/>
            </w:tcMar>
            <w:vAlign w:val="center"/>
          </w:tcPr>
          <w:p>
            <w:pPr>
              <w:jc w:val="left"/>
            </w:pPr>
            <w:r>
              <w:rPr>
                <w:b w:val="false"/>
                <w:bCs w:val="false"/>
                <w:color w:val="222222"/>
                <w:sz w:val="19"/>
                <w:szCs w:val="19"/>
              </w:rPr>
              <w:t xml:space="preserve">Pro (Student)</w:t>
            </w:r>
          </w:p>
        </w:tc>
        <w:tc>
          <w:tcPr>
            <w:tcW w:type="dxa" w:w="2200"/>
            <w:shd w:fill="F2F4F3" w:val="clear"/>
            <w:tcMar>
              <w:top w:type="dxa" w:w="80"/>
              <w:left w:type="dxa" w:w="100"/>
              <w:bottom w:type="dxa" w:w="80"/>
              <w:right w:type="dxa" w:w="100"/>
            </w:tcMar>
            <w:vAlign w:val="center"/>
          </w:tcPr>
          <w:p>
            <w:pPr>
              <w:jc w:val="left"/>
            </w:pPr>
            <w:r>
              <w:rPr>
                <w:b w:val="false"/>
                <w:bCs w:val="false"/>
                <w:color w:val="222222"/>
                <w:sz w:val="19"/>
                <w:szCs w:val="19"/>
              </w:rPr>
              <w:t xml:space="preserve">₹499/year</w:t>
            </w:r>
          </w:p>
        </w:tc>
        <w:tc>
          <w:tcPr>
            <w:tcW w:type="dxa" w:w="5350"/>
            <w:shd w:fill="F2F4F3" w:val="clear"/>
            <w:tcMar>
              <w:top w:type="dxa" w:w="80"/>
              <w:left w:type="dxa" w:w="100"/>
              <w:bottom w:type="dxa" w:w="80"/>
              <w:right w:type="dxa" w:w="100"/>
            </w:tcMar>
            <w:vAlign w:val="center"/>
          </w:tcPr>
          <w:p>
            <w:pPr>
              <w:jc w:val="left"/>
            </w:pPr>
            <w:r>
              <w:rPr>
                <w:b w:val="false"/>
                <w:bCs w:val="false"/>
                <w:color w:val="222222"/>
                <w:sz w:val="19"/>
                <w:szCs w:val="19"/>
              </w:rPr>
              <w:t xml:space="preserve">Same as Pro, discounted via verified college email</w:t>
            </w:r>
          </w:p>
        </w:tc>
      </w:tr>
      <w:tr>
        <w:tc>
          <w:tcPr>
            <w:tcW w:type="dxa" w:w="1800"/>
            <w:tcMar>
              <w:top w:type="dxa" w:w="80"/>
              <w:left w:type="dxa" w:w="100"/>
              <w:bottom w:type="dxa" w:w="80"/>
              <w:right w:type="dxa" w:w="100"/>
            </w:tcMar>
            <w:vAlign w:val="center"/>
          </w:tcPr>
          <w:p>
            <w:pPr>
              <w:jc w:val="left"/>
            </w:pPr>
            <w:r>
              <w:rPr>
                <w:b w:val="false"/>
                <w:bCs w:val="false"/>
                <w:color w:val="222222"/>
                <w:sz w:val="19"/>
                <w:szCs w:val="19"/>
              </w:rPr>
              <w:t xml:space="preserve">Team</w:t>
            </w:r>
          </w:p>
        </w:tc>
        <w:tc>
          <w:tcPr>
            <w:tcW w:type="dxa" w:w="2200"/>
            <w:tcMar>
              <w:top w:type="dxa" w:w="80"/>
              <w:left w:type="dxa" w:w="100"/>
              <w:bottom w:type="dxa" w:w="80"/>
              <w:right w:type="dxa" w:w="100"/>
            </w:tcMar>
            <w:vAlign w:val="center"/>
          </w:tcPr>
          <w:p>
            <w:pPr>
              <w:jc w:val="left"/>
            </w:pPr>
            <w:r>
              <w:rPr>
                <w:b w:val="false"/>
                <w:bCs w:val="false"/>
                <w:color w:val="222222"/>
                <w:sz w:val="19"/>
                <w:szCs w:val="19"/>
              </w:rPr>
              <w:t xml:space="preserve">₹149/user/month</w:t>
            </w:r>
          </w:p>
        </w:tc>
        <w:tc>
          <w:tcPr>
            <w:tcW w:type="dxa" w:w="5350"/>
            <w:tcMar>
              <w:top w:type="dxa" w:w="80"/>
              <w:left w:type="dxa" w:w="100"/>
              <w:bottom w:type="dxa" w:w="80"/>
              <w:right w:type="dxa" w:w="100"/>
            </w:tcMar>
            <w:vAlign w:val="center"/>
          </w:tcPr>
          <w:p>
            <w:pPr>
              <w:jc w:val="left"/>
            </w:pPr>
            <w:r>
              <w:rPr>
                <w:b w:val="false"/>
                <w:bCs w:val="false"/>
                <w:color w:val="222222"/>
                <w:sz w:val="19"/>
                <w:szCs w:val="19"/>
              </w:rPr>
              <w:t xml:space="preserve">Everything in Pro + shared workspace, up to 10 members, team dashboard</w:t>
            </w:r>
          </w:p>
        </w:tc>
      </w:tr>
    </w:tbl>
    <w:p>
      <w:pPr>
        <w:pStyle w:val="Heading2"/>
        <w:spacing w:after="120" w:before="260"/>
      </w:pPr>
      <w:r>
        <w:rPr>
          <w:b/>
          <w:bCs/>
          <w:color w:val="1B2A4A"/>
          <w:sz w:val="24"/>
          <w:szCs w:val="24"/>
        </w:rPr>
        <w:t xml:space="preserve">9.2 Add-on Layers (Sold Separately, Not Bundled)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600"/>
            <w:shd w:fill="1B2A4A" w:val="clear"/>
            <w:tcMar>
              <w:top w:type="dxa" w:w="80"/>
              <w:left w:type="dxa" w:w="100"/>
              <w:bottom w:type="dxa" w:w="80"/>
              <w:right w:type="dxa" w:w="100"/>
            </w:tcMar>
            <w:vAlign w:val="center"/>
          </w:tcPr>
          <w:p>
            <w:pPr>
              <w:jc w:val="left"/>
            </w:pPr>
            <w:r>
              <w:rPr>
                <w:b/>
                <w:bCs/>
                <w:color w:val="FFFFFF"/>
                <w:sz w:val="19"/>
                <w:szCs w:val="19"/>
              </w:rPr>
              <w:t xml:space="preserve">Add-on</w:t>
            </w:r>
          </w:p>
        </w:tc>
        <w:tc>
          <w:tcPr>
            <w:tcW w:type="dxa" w:w="2400"/>
            <w:shd w:fill="1B2A4A" w:val="clear"/>
            <w:tcMar>
              <w:top w:type="dxa" w:w="80"/>
              <w:left w:type="dxa" w:w="100"/>
              <w:bottom w:type="dxa" w:w="80"/>
              <w:right w:type="dxa" w:w="100"/>
            </w:tcMar>
            <w:vAlign w:val="center"/>
          </w:tcPr>
          <w:p>
            <w:pPr>
              <w:jc w:val="left"/>
            </w:pPr>
            <w:r>
              <w:rPr>
                <w:b/>
                <w:bCs/>
                <w:color w:val="FFFFFF"/>
                <w:sz w:val="19"/>
                <w:szCs w:val="19"/>
              </w:rPr>
              <w:t xml:space="preserve">Price</w:t>
            </w:r>
          </w:p>
        </w:tc>
        <w:tc>
          <w:tcPr>
            <w:tcW w:type="dxa" w:w="4350"/>
            <w:shd w:fill="1B2A4A" w:val="clear"/>
            <w:tcMar>
              <w:top w:type="dxa" w:w="80"/>
              <w:left w:type="dxa" w:w="100"/>
              <w:bottom w:type="dxa" w:w="80"/>
              <w:right w:type="dxa" w:w="100"/>
            </w:tcMar>
            <w:vAlign w:val="center"/>
          </w:tcPr>
          <w:p>
            <w:pPr>
              <w:jc w:val="left"/>
            </w:pPr>
            <w:r>
              <w:rPr>
                <w:b/>
                <w:bCs/>
                <w:color w:val="FFFFFF"/>
                <w:sz w:val="19"/>
                <w:szCs w:val="19"/>
              </w:rPr>
              <w:t xml:space="preserve">Notes</w:t>
            </w:r>
          </w:p>
        </w:tc>
      </w:tr>
      <w:tr>
        <w:tc>
          <w:tcPr>
            <w:tcW w:type="dxa" w:w="2600"/>
            <w:shd w:fill="F2F4F3" w:val="clear"/>
            <w:tcMar>
              <w:top w:type="dxa" w:w="80"/>
              <w:left w:type="dxa" w:w="100"/>
              <w:bottom w:type="dxa" w:w="80"/>
              <w:right w:type="dxa" w:w="100"/>
            </w:tcMar>
            <w:vAlign w:val="center"/>
          </w:tcPr>
          <w:p>
            <w:pPr>
              <w:jc w:val="left"/>
            </w:pPr>
            <w:r>
              <w:rPr>
                <w:b w:val="false"/>
                <w:bCs w:val="false"/>
                <w:color w:val="222222"/>
                <w:sz w:val="19"/>
                <w:szCs w:val="19"/>
              </w:rPr>
              <w:t xml:space="preserve">AI Add-on</w:t>
            </w:r>
          </w:p>
        </w:tc>
        <w:tc>
          <w:tcPr>
            <w:tcW w:type="dxa" w:w="2400"/>
            <w:shd w:fill="F2F4F3" w:val="clear"/>
            <w:tcMar>
              <w:top w:type="dxa" w:w="80"/>
              <w:left w:type="dxa" w:w="100"/>
              <w:bottom w:type="dxa" w:w="80"/>
              <w:right w:type="dxa" w:w="100"/>
            </w:tcMar>
            <w:vAlign w:val="center"/>
          </w:tcPr>
          <w:p>
            <w:pPr>
              <w:jc w:val="left"/>
            </w:pPr>
            <w:r>
              <w:rPr>
                <w:b w:val="false"/>
                <w:bCs w:val="false"/>
                <w:color w:val="222222"/>
                <w:sz w:val="19"/>
                <w:szCs w:val="19"/>
              </w:rPr>
              <w:t xml:space="preserve">₹99/user/month</w:t>
            </w:r>
          </w:p>
        </w:tc>
        <w:tc>
          <w:tcPr>
            <w:tcW w:type="dxa" w:w="4350"/>
            <w:shd w:fill="F2F4F3" w:val="clear"/>
            <w:tcMar>
              <w:top w:type="dxa" w:w="80"/>
              <w:left w:type="dxa" w:w="100"/>
              <w:bottom w:type="dxa" w:w="80"/>
              <w:right w:type="dxa" w:w="100"/>
            </w:tcMar>
            <w:vAlign w:val="center"/>
          </w:tcPr>
          <w:p>
            <w:pPr>
              <w:jc w:val="left"/>
            </w:pPr>
            <w:r>
              <w:rPr>
                <w:b w:val="false"/>
                <w:bCs w:val="false"/>
                <w:color w:val="222222"/>
                <w:sz w:val="19"/>
                <w:szCs w:val="19"/>
              </w:rPr>
              <w:t xml:space="preserve">Voice-to-task, AI planning — released after V1</w:t>
            </w:r>
          </w:p>
        </w:tc>
      </w:tr>
      <w:tr>
        <w:tc>
          <w:tcPr>
            <w:tcW w:type="dxa" w:w="2600"/>
            <w:tcMar>
              <w:top w:type="dxa" w:w="80"/>
              <w:left w:type="dxa" w:w="100"/>
              <w:bottom w:type="dxa" w:w="80"/>
              <w:right w:type="dxa" w:w="100"/>
            </w:tcMar>
            <w:vAlign w:val="center"/>
          </w:tcPr>
          <w:p>
            <w:pPr>
              <w:jc w:val="left"/>
            </w:pPr>
            <w:r>
              <w:rPr>
                <w:b w:val="false"/>
                <w:bCs w:val="false"/>
                <w:color w:val="222222"/>
                <w:sz w:val="19"/>
                <w:szCs w:val="19"/>
              </w:rPr>
              <w:t xml:space="preserve">Vertical Module (CA / Coaching / Clinic / etc.)</w:t>
            </w:r>
          </w:p>
        </w:tc>
        <w:tc>
          <w:tcPr>
            <w:tcW w:type="dxa" w:w="2400"/>
            <w:tcMar>
              <w:top w:type="dxa" w:w="80"/>
              <w:left w:type="dxa" w:w="100"/>
              <w:bottom w:type="dxa" w:w="80"/>
              <w:right w:type="dxa" w:w="100"/>
            </w:tcMar>
            <w:vAlign w:val="center"/>
          </w:tcPr>
          <w:p>
            <w:pPr>
              <w:jc w:val="left"/>
            </w:pPr>
            <w:r>
              <w:rPr>
                <w:b w:val="false"/>
                <w:bCs w:val="false"/>
                <w:color w:val="222222"/>
                <w:sz w:val="19"/>
                <w:szCs w:val="19"/>
              </w:rPr>
              <w:t xml:space="preserve">₹199/user/month</w:t>
            </w:r>
          </w:p>
        </w:tc>
        <w:tc>
          <w:tcPr>
            <w:tcW w:type="dxa" w:w="4350"/>
            <w:tcMar>
              <w:top w:type="dxa" w:w="80"/>
              <w:left w:type="dxa" w:w="100"/>
              <w:bottom w:type="dxa" w:w="80"/>
              <w:right w:type="dxa" w:w="100"/>
            </w:tcMar>
            <w:vAlign w:val="center"/>
          </w:tcPr>
          <w:p>
            <w:pPr>
              <w:jc w:val="left"/>
            </w:pPr>
            <w:r>
              <w:rPr>
                <w:b w:val="false"/>
                <w:bCs w:val="false"/>
                <w:color w:val="222222"/>
                <w:sz w:val="19"/>
                <w:szCs w:val="19"/>
              </w:rPr>
              <w:t xml:space="preserve">Requires a Team-tier workspace as base</w:t>
            </w:r>
          </w:p>
        </w:tc>
      </w:tr>
    </w:tbl>
    <w:p>
      <w:pPr>
        <w:spacing w:after="140"/>
      </w:pPr>
      <w:r>
        <w:rPr>
          <w:color w:val="222222"/>
          <w:sz w:val="21"/>
          <w:szCs w:val="21"/>
        </w:rPr>
        <w:t xml:space="preserve">This structure mirrors current market practice: Todoist, ClickUp, and TickTick all gate paid tiers primarily on volume (projects, tasks, storage) and defer AI-specific features to a separate add-on charge rather than bundling them into the base paid tier.</w:t>
      </w:r>
    </w:p>
    <w:p>
      <w:pPr>
        <w:pStyle w:val="Heading1"/>
        <w:pBdr>
          <w:bottom w:val="single" w:color="2A9D8F" w:sz="8" w:space="4"/>
        </w:pBdr>
        <w:spacing w:after="180" w:before="360"/>
      </w:pPr>
      <w:r>
        <w:rPr>
          <w:b/>
          <w:bCs/>
          <w:color w:val="1B2A4A"/>
          <w:sz w:val="30"/>
          <w:szCs w:val="30"/>
        </w:rPr>
        <w:t xml:space="preserve">10. Branding &amp; Design Guidelines</w:t>
      </w:r>
    </w:p>
    <w:p>
      <w:pPr>
        <w:spacing w:after="140"/>
      </w:pPr>
      <w:r>
        <w:rPr>
          <w:color w:val="222222"/>
          <w:sz w:val="21"/>
          <w:szCs w:val="21"/>
        </w:rPr>
        <w:t xml:space="preserve">To avoid visual and naming overlap with TickTick and other competitors, PROHIT uses an original color palette and original feature nomenclature.</w:t>
      </w:r>
    </w:p>
    <w:p>
      <w:pPr>
        <w:pStyle w:val="Heading2"/>
        <w:spacing w:after="120" w:before="260"/>
      </w:pPr>
      <w:r>
        <w:rPr>
          <w:b/>
          <w:bCs/>
          <w:color w:val="1B2A4A"/>
          <w:sz w:val="24"/>
          <w:szCs w:val="24"/>
        </w:rPr>
        <w:t xml:space="preserve">10.1 Color Palette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600"/>
            <w:shd w:fill="1B2A4A" w:val="clear"/>
            <w:tcMar>
              <w:top w:type="dxa" w:w="80"/>
              <w:left w:type="dxa" w:w="100"/>
              <w:bottom w:type="dxa" w:w="80"/>
              <w:right w:type="dxa" w:w="100"/>
            </w:tcMar>
            <w:vAlign w:val="center"/>
          </w:tcPr>
          <w:p>
            <w:pPr>
              <w:jc w:val="left"/>
            </w:pPr>
            <w:r>
              <w:rPr>
                <w:b/>
                <w:bCs/>
                <w:color w:val="FFFFFF"/>
                <w:sz w:val="19"/>
                <w:szCs w:val="19"/>
              </w:rPr>
              <w:t xml:space="preserve">Role</w:t>
            </w:r>
          </w:p>
        </w:tc>
        <w:tc>
          <w:tcPr>
            <w:tcW w:type="dxa" w:w="3200"/>
            <w:shd w:fill="1B2A4A" w:val="clear"/>
            <w:tcMar>
              <w:top w:type="dxa" w:w="80"/>
              <w:left w:type="dxa" w:w="100"/>
              <w:bottom w:type="dxa" w:w="80"/>
              <w:right w:type="dxa" w:w="100"/>
            </w:tcMar>
            <w:vAlign w:val="center"/>
          </w:tcPr>
          <w:p>
            <w:pPr>
              <w:jc w:val="left"/>
            </w:pPr>
            <w:r>
              <w:rPr>
                <w:b/>
                <w:bCs/>
                <w:color w:val="FFFFFF"/>
                <w:sz w:val="19"/>
                <w:szCs w:val="19"/>
              </w:rPr>
              <w:t xml:space="preserve">Color</w:t>
            </w:r>
          </w:p>
        </w:tc>
        <w:tc>
          <w:tcPr>
            <w:tcW w:type="dxa" w:w="3550"/>
            <w:shd w:fill="1B2A4A" w:val="clear"/>
            <w:tcMar>
              <w:top w:type="dxa" w:w="80"/>
              <w:left w:type="dxa" w:w="100"/>
              <w:bottom w:type="dxa" w:w="80"/>
              <w:right w:type="dxa" w:w="100"/>
            </w:tcMar>
            <w:vAlign w:val="center"/>
          </w:tcPr>
          <w:p>
            <w:pPr>
              <w:jc w:val="left"/>
            </w:pPr>
            <w:r>
              <w:rPr>
                <w:b/>
                <w:bCs/>
                <w:color w:val="FFFFFF"/>
                <w:sz w:val="19"/>
                <w:szCs w:val="19"/>
              </w:rPr>
              <w:t xml:space="preserve">Hex</w:t>
            </w:r>
          </w:p>
        </w:tc>
      </w:tr>
      <w:tr>
        <w:tc>
          <w:tcPr>
            <w:tcW w:type="dxa" w:w="2600"/>
            <w:shd w:fill="F2F4F3" w:val="clear"/>
            <w:tcMar>
              <w:top w:type="dxa" w:w="80"/>
              <w:left w:type="dxa" w:w="100"/>
              <w:bottom w:type="dxa" w:w="80"/>
              <w:right w:type="dxa" w:w="100"/>
            </w:tcMar>
            <w:vAlign w:val="center"/>
          </w:tcPr>
          <w:p>
            <w:pPr>
              <w:jc w:val="left"/>
            </w:pPr>
            <w:r>
              <w:rPr>
                <w:b w:val="false"/>
                <w:bCs w:val="false"/>
                <w:color w:val="222222"/>
                <w:sz w:val="19"/>
                <w:szCs w:val="19"/>
              </w:rPr>
              <w:t xml:space="preserve">Primary</w:t>
            </w:r>
          </w:p>
        </w:tc>
        <w:tc>
          <w:tcPr>
            <w:tcW w:type="dxa" w:w="3200"/>
            <w:shd w:fill="F2F4F3" w:val="clear"/>
            <w:tcMar>
              <w:top w:type="dxa" w:w="80"/>
              <w:left w:type="dxa" w:w="100"/>
              <w:bottom w:type="dxa" w:w="80"/>
              <w:right w:type="dxa" w:w="100"/>
            </w:tcMar>
            <w:vAlign w:val="center"/>
          </w:tcPr>
          <w:p>
            <w:pPr>
              <w:jc w:val="left"/>
            </w:pPr>
            <w:r>
              <w:rPr>
                <w:b w:val="false"/>
                <w:bCs w:val="false"/>
                <w:color w:val="222222"/>
                <w:sz w:val="19"/>
                <w:szCs w:val="19"/>
              </w:rPr>
              <w:t xml:space="preserve">Charcoal Navy</w:t>
            </w:r>
          </w:p>
        </w:tc>
        <w:tc>
          <w:tcPr>
            <w:tcW w:type="dxa" w:w="3550"/>
            <w:shd w:fill="F2F4F3" w:val="clear"/>
            <w:tcMar>
              <w:top w:type="dxa" w:w="80"/>
              <w:left w:type="dxa" w:w="100"/>
              <w:bottom w:type="dxa" w:w="80"/>
              <w:right w:type="dxa" w:w="100"/>
            </w:tcMar>
            <w:vAlign w:val="center"/>
          </w:tcPr>
          <w:p>
            <w:pPr>
              <w:jc w:val="left"/>
            </w:pPr>
            <w:r>
              <w:rPr>
                <w:b w:val="false"/>
                <w:bCs w:val="false"/>
                <w:color w:val="222222"/>
                <w:sz w:val="19"/>
                <w:szCs w:val="19"/>
              </w:rPr>
              <w:t xml:space="preserve">#1B2A4A</w:t>
            </w:r>
          </w:p>
        </w:tc>
      </w:tr>
      <w:tr>
        <w:tc>
          <w:tcPr>
            <w:tcW w:type="dxa" w:w="2600"/>
            <w:tcMar>
              <w:top w:type="dxa" w:w="80"/>
              <w:left w:type="dxa" w:w="100"/>
              <w:bottom w:type="dxa" w:w="80"/>
              <w:right w:type="dxa" w:w="100"/>
            </w:tcMar>
            <w:vAlign w:val="center"/>
          </w:tcPr>
          <w:p>
            <w:pPr>
              <w:jc w:val="left"/>
            </w:pPr>
            <w:r>
              <w:rPr>
                <w:b w:val="false"/>
                <w:bCs w:val="false"/>
                <w:color w:val="222222"/>
                <w:sz w:val="19"/>
                <w:szCs w:val="19"/>
              </w:rPr>
              <w:t xml:space="preserve">Accent</w:t>
            </w:r>
          </w:p>
        </w:tc>
        <w:tc>
          <w:tcPr>
            <w:tcW w:type="dxa" w:w="3200"/>
            <w:tcMar>
              <w:top w:type="dxa" w:w="80"/>
              <w:left w:type="dxa" w:w="100"/>
              <w:bottom w:type="dxa" w:w="80"/>
              <w:right w:type="dxa" w:w="100"/>
            </w:tcMar>
            <w:vAlign w:val="center"/>
          </w:tcPr>
          <w:p>
            <w:pPr>
              <w:jc w:val="left"/>
            </w:pPr>
            <w:r>
              <w:rPr>
                <w:b w:val="false"/>
                <w:bCs w:val="false"/>
                <w:color w:val="222222"/>
                <w:sz w:val="19"/>
                <w:szCs w:val="19"/>
              </w:rPr>
              <w:t xml:space="preserve">Emerald Teal</w:t>
            </w:r>
          </w:p>
        </w:tc>
        <w:tc>
          <w:tcPr>
            <w:tcW w:type="dxa" w:w="3550"/>
            <w:tcMar>
              <w:top w:type="dxa" w:w="80"/>
              <w:left w:type="dxa" w:w="100"/>
              <w:bottom w:type="dxa" w:w="80"/>
              <w:right w:type="dxa" w:w="100"/>
            </w:tcMar>
            <w:vAlign w:val="center"/>
          </w:tcPr>
          <w:p>
            <w:pPr>
              <w:jc w:val="left"/>
            </w:pPr>
            <w:r>
              <w:rPr>
                <w:b w:val="false"/>
                <w:bCs w:val="false"/>
                <w:color w:val="222222"/>
                <w:sz w:val="19"/>
                <w:szCs w:val="19"/>
              </w:rPr>
              <w:t xml:space="preserve">#2A9D8F</w:t>
            </w:r>
          </w:p>
        </w:tc>
      </w:tr>
      <w:tr>
        <w:tc>
          <w:tcPr>
            <w:tcW w:type="dxa" w:w="2600"/>
            <w:shd w:fill="F2F4F3" w:val="clear"/>
            <w:tcMar>
              <w:top w:type="dxa" w:w="80"/>
              <w:left w:type="dxa" w:w="100"/>
              <w:bottom w:type="dxa" w:w="80"/>
              <w:right w:type="dxa" w:w="100"/>
            </w:tcMar>
            <w:vAlign w:val="center"/>
          </w:tcPr>
          <w:p>
            <w:pPr>
              <w:jc w:val="left"/>
            </w:pPr>
            <w:r>
              <w:rPr>
                <w:b w:val="false"/>
                <w:bCs w:val="false"/>
                <w:color w:val="222222"/>
                <w:sz w:val="19"/>
                <w:szCs w:val="19"/>
              </w:rPr>
              <w:t xml:space="preserve">Secondary Layer</w:t>
            </w:r>
          </w:p>
        </w:tc>
        <w:tc>
          <w:tcPr>
            <w:tcW w:type="dxa" w:w="3200"/>
            <w:shd w:fill="F2F4F3" w:val="clear"/>
            <w:tcMar>
              <w:top w:type="dxa" w:w="80"/>
              <w:left w:type="dxa" w:w="100"/>
              <w:bottom w:type="dxa" w:w="80"/>
              <w:right w:type="dxa" w:w="100"/>
            </w:tcMar>
            <w:vAlign w:val="center"/>
          </w:tcPr>
          <w:p>
            <w:pPr>
              <w:jc w:val="left"/>
            </w:pPr>
            <w:r>
              <w:rPr>
                <w:b w:val="false"/>
                <w:bCs w:val="false"/>
                <w:color w:val="222222"/>
                <w:sz w:val="19"/>
                <w:szCs w:val="19"/>
              </w:rPr>
              <w:t xml:space="preserve">Slate Blue</w:t>
            </w:r>
          </w:p>
        </w:tc>
        <w:tc>
          <w:tcPr>
            <w:tcW w:type="dxa" w:w="3550"/>
            <w:shd w:fill="F2F4F3" w:val="clear"/>
            <w:tcMar>
              <w:top w:type="dxa" w:w="80"/>
              <w:left w:type="dxa" w:w="100"/>
              <w:bottom w:type="dxa" w:w="80"/>
              <w:right w:type="dxa" w:w="100"/>
            </w:tcMar>
            <w:vAlign w:val="center"/>
          </w:tcPr>
          <w:p>
            <w:pPr>
              <w:jc w:val="left"/>
            </w:pPr>
            <w:r>
              <w:rPr>
                <w:b w:val="false"/>
                <w:bCs w:val="false"/>
                <w:color w:val="222222"/>
                <w:sz w:val="19"/>
                <w:szCs w:val="19"/>
              </w:rPr>
              <w:t xml:space="preserve">#5C7A99</w:t>
            </w:r>
          </w:p>
        </w:tc>
      </w:tr>
      <w:tr>
        <w:tc>
          <w:tcPr>
            <w:tcW w:type="dxa" w:w="2600"/>
            <w:tcMar>
              <w:top w:type="dxa" w:w="80"/>
              <w:left w:type="dxa" w:w="100"/>
              <w:bottom w:type="dxa" w:w="80"/>
              <w:right w:type="dxa" w:w="100"/>
            </w:tcMar>
            <w:vAlign w:val="center"/>
          </w:tcPr>
          <w:p>
            <w:pPr>
              <w:jc w:val="left"/>
            </w:pPr>
            <w:r>
              <w:rPr>
                <w:b w:val="false"/>
                <w:bCs w:val="false"/>
                <w:color w:val="222222"/>
                <w:sz w:val="19"/>
                <w:szCs w:val="19"/>
              </w:rPr>
              <w:t xml:space="preserve">Module / Add-on Layer</w:t>
            </w:r>
          </w:p>
        </w:tc>
        <w:tc>
          <w:tcPr>
            <w:tcW w:type="dxa" w:w="3200"/>
            <w:tcMar>
              <w:top w:type="dxa" w:w="80"/>
              <w:left w:type="dxa" w:w="100"/>
              <w:bottom w:type="dxa" w:w="80"/>
              <w:right w:type="dxa" w:w="100"/>
            </w:tcMar>
            <w:vAlign w:val="center"/>
          </w:tcPr>
          <w:p>
            <w:pPr>
              <w:jc w:val="left"/>
            </w:pPr>
            <w:r>
              <w:rPr>
                <w:b w:val="false"/>
                <w:bCs w:val="false"/>
                <w:color w:val="222222"/>
                <w:sz w:val="19"/>
                <w:szCs w:val="19"/>
              </w:rPr>
              <w:t xml:space="preserve">Warm Sand</w:t>
            </w:r>
          </w:p>
        </w:tc>
        <w:tc>
          <w:tcPr>
            <w:tcW w:type="dxa" w:w="3550"/>
            <w:tcMar>
              <w:top w:type="dxa" w:w="80"/>
              <w:left w:type="dxa" w:w="100"/>
              <w:bottom w:type="dxa" w:w="80"/>
              <w:right w:type="dxa" w:w="100"/>
            </w:tcMar>
            <w:vAlign w:val="center"/>
          </w:tcPr>
          <w:p>
            <w:pPr>
              <w:jc w:val="left"/>
            </w:pPr>
            <w:r>
              <w:rPr>
                <w:b w:val="false"/>
                <w:bCs w:val="false"/>
                <w:color w:val="222222"/>
                <w:sz w:val="19"/>
                <w:szCs w:val="19"/>
              </w:rPr>
              <w:t xml:space="preserve">#D4A373</w:t>
            </w:r>
          </w:p>
        </w:tc>
      </w:tr>
      <w:tr>
        <w:tc>
          <w:tcPr>
            <w:tcW w:type="dxa" w:w="2600"/>
            <w:shd w:fill="F2F4F3" w:val="clear"/>
            <w:tcMar>
              <w:top w:type="dxa" w:w="80"/>
              <w:left w:type="dxa" w:w="100"/>
              <w:bottom w:type="dxa" w:w="80"/>
              <w:right w:type="dxa" w:w="100"/>
            </w:tcMar>
            <w:vAlign w:val="center"/>
          </w:tcPr>
          <w:p>
            <w:pPr>
              <w:jc w:val="left"/>
            </w:pPr>
            <w:r>
              <w:rPr>
                <w:b w:val="false"/>
                <w:bCs w:val="false"/>
                <w:color w:val="222222"/>
                <w:sz w:val="19"/>
                <w:szCs w:val="19"/>
              </w:rPr>
              <w:t xml:space="preserve">Background</w:t>
            </w:r>
          </w:p>
        </w:tc>
        <w:tc>
          <w:tcPr>
            <w:tcW w:type="dxa" w:w="3200"/>
            <w:shd w:fill="F2F4F3" w:val="clear"/>
            <w:tcMar>
              <w:top w:type="dxa" w:w="80"/>
              <w:left w:type="dxa" w:w="100"/>
              <w:bottom w:type="dxa" w:w="80"/>
              <w:right w:type="dxa" w:w="100"/>
            </w:tcMar>
            <w:vAlign w:val="center"/>
          </w:tcPr>
          <w:p>
            <w:pPr>
              <w:jc w:val="left"/>
            </w:pPr>
            <w:r>
              <w:rPr>
                <w:b w:val="false"/>
                <w:bCs w:val="false"/>
                <w:color w:val="222222"/>
                <w:sz w:val="19"/>
                <w:szCs w:val="19"/>
              </w:rPr>
              <w:t xml:space="preserve">Off-white</w:t>
            </w:r>
          </w:p>
        </w:tc>
        <w:tc>
          <w:tcPr>
            <w:tcW w:type="dxa" w:w="3550"/>
            <w:shd w:fill="F2F4F3" w:val="clear"/>
            <w:tcMar>
              <w:top w:type="dxa" w:w="80"/>
              <w:left w:type="dxa" w:w="100"/>
              <w:bottom w:type="dxa" w:w="80"/>
              <w:right w:type="dxa" w:w="100"/>
            </w:tcMar>
            <w:vAlign w:val="center"/>
          </w:tcPr>
          <w:p>
            <w:pPr>
              <w:jc w:val="left"/>
            </w:pPr>
            <w:r>
              <w:rPr>
                <w:b w:val="false"/>
                <w:bCs w:val="false"/>
                <w:color w:val="222222"/>
                <w:sz w:val="19"/>
                <w:szCs w:val="19"/>
              </w:rPr>
              <w:t xml:space="preserve">#F7F7F5</w:t>
            </w:r>
          </w:p>
        </w:tc>
      </w:tr>
    </w:tbl>
    <w:p>
      <w:pPr>
        <w:pStyle w:val="Heading2"/>
        <w:spacing w:after="120" w:before="260"/>
      </w:pPr>
      <w:r>
        <w:rPr>
          <w:b/>
          <w:bCs/>
          <w:color w:val="1B2A4A"/>
          <w:sz w:val="24"/>
          <w:szCs w:val="24"/>
        </w:rPr>
        <w:t xml:space="preserve">10.2 Feature Nomenclature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675"/>
            <w:shd w:fill="1B2A4A" w:val="clear"/>
            <w:tcMar>
              <w:top w:type="dxa" w:w="80"/>
              <w:left w:type="dxa" w:w="100"/>
              <w:bottom w:type="dxa" w:w="80"/>
              <w:right w:type="dxa" w:w="100"/>
            </w:tcMar>
            <w:vAlign w:val="center"/>
          </w:tcPr>
          <w:p>
            <w:pPr>
              <w:jc w:val="left"/>
            </w:pPr>
            <w:r>
              <w:rPr>
                <w:b/>
                <w:bCs/>
                <w:color w:val="FFFFFF"/>
                <w:sz w:val="19"/>
                <w:szCs w:val="19"/>
              </w:rPr>
              <w:t xml:space="preserve">Generic / Industry Term</w:t>
            </w:r>
          </w:p>
        </w:tc>
        <w:tc>
          <w:tcPr>
            <w:tcW w:type="dxa" w:w="4675"/>
            <w:shd w:fill="1B2A4A" w:val="clear"/>
            <w:tcMar>
              <w:top w:type="dxa" w:w="80"/>
              <w:left w:type="dxa" w:w="100"/>
              <w:bottom w:type="dxa" w:w="80"/>
              <w:right w:type="dxa" w:w="100"/>
            </w:tcMar>
            <w:vAlign w:val="center"/>
          </w:tcPr>
          <w:p>
            <w:pPr>
              <w:jc w:val="left"/>
            </w:pPr>
            <w:r>
              <w:rPr>
                <w:b/>
                <w:bCs/>
                <w:color w:val="FFFFFF"/>
                <w:sz w:val="19"/>
                <w:szCs w:val="19"/>
              </w:rPr>
              <w:t xml:space="preserve">PROHIT Name</w:t>
            </w:r>
          </w:p>
        </w:tc>
      </w:tr>
      <w:tr>
        <w:tc>
          <w:tcPr>
            <w:tcW w:type="dxa" w:w="4675"/>
            <w:shd w:fill="F2F4F3" w:val="clear"/>
            <w:tcMar>
              <w:top w:type="dxa" w:w="80"/>
              <w:left w:type="dxa" w:w="100"/>
              <w:bottom w:type="dxa" w:w="80"/>
              <w:right w:type="dxa" w:w="100"/>
            </w:tcMar>
            <w:vAlign w:val="center"/>
          </w:tcPr>
          <w:p>
            <w:pPr>
              <w:jc w:val="left"/>
            </w:pPr>
            <w:r>
              <w:rPr>
                <w:b w:val="false"/>
                <w:bCs w:val="false"/>
                <w:color w:val="222222"/>
                <w:sz w:val="19"/>
                <w:szCs w:val="19"/>
              </w:rPr>
              <w:t xml:space="preserve">Kanban View</w:t>
            </w:r>
          </w:p>
        </w:tc>
        <w:tc>
          <w:tcPr>
            <w:tcW w:type="dxa" w:w="4675"/>
            <w:shd w:fill="F2F4F3" w:val="clear"/>
            <w:tcMar>
              <w:top w:type="dxa" w:w="80"/>
              <w:left w:type="dxa" w:w="100"/>
              <w:bottom w:type="dxa" w:w="80"/>
              <w:right w:type="dxa" w:w="100"/>
            </w:tcMar>
            <w:vAlign w:val="center"/>
          </w:tcPr>
          <w:p>
            <w:pPr>
              <w:jc w:val="left"/>
            </w:pPr>
            <w:r>
              <w:rPr>
                <w:b w:val="false"/>
                <w:bCs w:val="false"/>
                <w:color w:val="222222"/>
                <w:sz w:val="19"/>
                <w:szCs w:val="19"/>
              </w:rPr>
              <w:t xml:space="preserve">Flow Board</w:t>
            </w:r>
          </w:p>
        </w:tc>
      </w:tr>
      <w:tr>
        <w:tc>
          <w:tcPr>
            <w:tcW w:type="dxa" w:w="4675"/>
            <w:tcMar>
              <w:top w:type="dxa" w:w="80"/>
              <w:left w:type="dxa" w:w="100"/>
              <w:bottom w:type="dxa" w:w="80"/>
              <w:right w:type="dxa" w:w="100"/>
            </w:tcMar>
            <w:vAlign w:val="center"/>
          </w:tcPr>
          <w:p>
            <w:pPr>
              <w:jc w:val="left"/>
            </w:pPr>
            <w:r>
              <w:rPr>
                <w:b w:val="false"/>
                <w:bCs w:val="false"/>
                <w:color w:val="222222"/>
                <w:sz w:val="19"/>
                <w:szCs w:val="19"/>
              </w:rPr>
              <w:t xml:space="preserve">Today Dashboard</w:t>
            </w:r>
          </w:p>
        </w:tc>
        <w:tc>
          <w:tcPr>
            <w:tcW w:type="dxa" w:w="4675"/>
            <w:tcMar>
              <w:top w:type="dxa" w:w="80"/>
              <w:left w:type="dxa" w:w="100"/>
              <w:bottom w:type="dxa" w:w="80"/>
              <w:right w:type="dxa" w:w="100"/>
            </w:tcMar>
            <w:vAlign w:val="center"/>
          </w:tcPr>
          <w:p>
            <w:pPr>
              <w:jc w:val="left"/>
            </w:pPr>
            <w:r>
              <w:rPr>
                <w:b w:val="false"/>
                <w:bCs w:val="false"/>
                <w:color w:val="222222"/>
                <w:sz w:val="19"/>
                <w:szCs w:val="19"/>
              </w:rPr>
              <w:t xml:space="preserve">My Day</w:t>
            </w:r>
          </w:p>
        </w:tc>
      </w:tr>
      <w:tr>
        <w:tc>
          <w:tcPr>
            <w:tcW w:type="dxa" w:w="4675"/>
            <w:shd w:fill="F2F4F3" w:val="clear"/>
            <w:tcMar>
              <w:top w:type="dxa" w:w="80"/>
              <w:left w:type="dxa" w:w="100"/>
              <w:bottom w:type="dxa" w:w="80"/>
              <w:right w:type="dxa" w:w="100"/>
            </w:tcMar>
            <w:vAlign w:val="center"/>
          </w:tcPr>
          <w:p>
            <w:pPr>
              <w:jc w:val="left"/>
            </w:pPr>
            <w:r>
              <w:rPr>
                <w:b w:val="false"/>
                <w:bCs w:val="false"/>
                <w:color w:val="222222"/>
                <w:sz w:val="19"/>
                <w:szCs w:val="19"/>
              </w:rPr>
              <w:t xml:space="preserve">Focus / Pomodoro Timer</w:t>
            </w:r>
          </w:p>
        </w:tc>
        <w:tc>
          <w:tcPr>
            <w:tcW w:type="dxa" w:w="4675"/>
            <w:shd w:fill="F2F4F3" w:val="clear"/>
            <w:tcMar>
              <w:top w:type="dxa" w:w="80"/>
              <w:left w:type="dxa" w:w="100"/>
              <w:bottom w:type="dxa" w:w="80"/>
              <w:right w:type="dxa" w:w="100"/>
            </w:tcMar>
            <w:vAlign w:val="center"/>
          </w:tcPr>
          <w:p>
            <w:pPr>
              <w:jc w:val="left"/>
            </w:pPr>
            <w:r>
              <w:rPr>
                <w:b w:val="false"/>
                <w:bCs w:val="false"/>
                <w:color w:val="222222"/>
                <w:sz w:val="19"/>
                <w:szCs w:val="19"/>
              </w:rPr>
              <w:t xml:space="preserve">Deep Work Sprint</w:t>
            </w:r>
          </w:p>
        </w:tc>
      </w:tr>
      <w:tr>
        <w:tc>
          <w:tcPr>
            <w:tcW w:type="dxa" w:w="4675"/>
            <w:tcMar>
              <w:top w:type="dxa" w:w="80"/>
              <w:left w:type="dxa" w:w="100"/>
              <w:bottom w:type="dxa" w:w="80"/>
              <w:right w:type="dxa" w:w="100"/>
            </w:tcMar>
            <w:vAlign w:val="center"/>
          </w:tcPr>
          <w:p>
            <w:pPr>
              <w:jc w:val="left"/>
            </w:pPr>
            <w:r>
              <w:rPr>
                <w:b w:val="false"/>
                <w:bCs w:val="false"/>
                <w:color w:val="222222"/>
                <w:sz w:val="19"/>
                <w:szCs w:val="19"/>
              </w:rPr>
              <w:t xml:space="preserve">Constant Reminder</w:t>
            </w:r>
          </w:p>
        </w:tc>
        <w:tc>
          <w:tcPr>
            <w:tcW w:type="dxa" w:w="4675"/>
            <w:tcMar>
              <w:top w:type="dxa" w:w="80"/>
              <w:left w:type="dxa" w:w="100"/>
              <w:bottom w:type="dxa" w:w="80"/>
              <w:right w:type="dxa" w:w="100"/>
            </w:tcMar>
            <w:vAlign w:val="center"/>
          </w:tcPr>
          <w:p>
            <w:pPr>
              <w:jc w:val="left"/>
            </w:pPr>
            <w:r>
              <w:rPr>
                <w:b w:val="false"/>
                <w:bCs w:val="false"/>
                <w:color w:val="222222"/>
                <w:sz w:val="19"/>
                <w:szCs w:val="19"/>
              </w:rPr>
              <w:t xml:space="preserve">Sticky Alert</w:t>
            </w:r>
          </w:p>
        </w:tc>
      </w:tr>
      <w:tr>
        <w:tc>
          <w:tcPr>
            <w:tcW w:type="dxa" w:w="4675"/>
            <w:shd w:fill="F2F4F3" w:val="clear"/>
            <w:tcMar>
              <w:top w:type="dxa" w:w="80"/>
              <w:left w:type="dxa" w:w="100"/>
              <w:bottom w:type="dxa" w:w="80"/>
              <w:right w:type="dxa" w:w="100"/>
            </w:tcMar>
            <w:vAlign w:val="center"/>
          </w:tcPr>
          <w:p>
            <w:pPr>
              <w:jc w:val="left"/>
            </w:pPr>
            <w:r>
              <w:rPr>
                <w:b w:val="false"/>
                <w:bCs w:val="false"/>
                <w:color w:val="222222"/>
                <w:sz w:val="19"/>
                <w:szCs w:val="19"/>
              </w:rPr>
              <w:t xml:space="preserve">Calendar Subscription</w:t>
            </w:r>
          </w:p>
        </w:tc>
        <w:tc>
          <w:tcPr>
            <w:tcW w:type="dxa" w:w="4675"/>
            <w:shd w:fill="F2F4F3" w:val="clear"/>
            <w:tcMar>
              <w:top w:type="dxa" w:w="80"/>
              <w:left w:type="dxa" w:w="100"/>
              <w:bottom w:type="dxa" w:w="80"/>
              <w:right w:type="dxa" w:w="100"/>
            </w:tcMar>
            <w:vAlign w:val="center"/>
          </w:tcPr>
          <w:p>
            <w:pPr>
              <w:jc w:val="left"/>
            </w:pPr>
            <w:r>
              <w:rPr>
                <w:b w:val="false"/>
                <w:bCs w:val="false"/>
                <w:color w:val="222222"/>
                <w:sz w:val="19"/>
                <w:szCs w:val="19"/>
              </w:rPr>
              <w:t xml:space="preserve">Calendar Bridge</w:t>
            </w:r>
          </w:p>
        </w:tc>
      </w:tr>
      <w:tr>
        <w:tc>
          <w:tcPr>
            <w:tcW w:type="dxa" w:w="4675"/>
            <w:tcMar>
              <w:top w:type="dxa" w:w="80"/>
              <w:left w:type="dxa" w:w="100"/>
              <w:bottom w:type="dxa" w:w="80"/>
              <w:right w:type="dxa" w:w="100"/>
            </w:tcMar>
            <w:vAlign w:val="center"/>
          </w:tcPr>
          <w:p>
            <w:pPr>
              <w:jc w:val="left"/>
            </w:pPr>
            <w:r>
              <w:rPr>
                <w:b w:val="false"/>
                <w:bCs w:val="false"/>
                <w:color w:val="222222"/>
                <w:sz w:val="19"/>
                <w:szCs w:val="19"/>
              </w:rPr>
              <w:t xml:space="preserve">Smart Lists</w:t>
            </w:r>
          </w:p>
        </w:tc>
        <w:tc>
          <w:tcPr>
            <w:tcW w:type="dxa" w:w="4675"/>
            <w:tcMar>
              <w:top w:type="dxa" w:w="80"/>
              <w:left w:type="dxa" w:w="100"/>
              <w:bottom w:type="dxa" w:w="80"/>
              <w:right w:type="dxa" w:w="100"/>
            </w:tcMar>
            <w:vAlign w:val="center"/>
          </w:tcPr>
          <w:p>
            <w:pPr>
              <w:jc w:val="left"/>
            </w:pPr>
            <w:r>
              <w:rPr>
                <w:b w:val="false"/>
                <w:bCs w:val="false"/>
                <w:color w:val="222222"/>
                <w:sz w:val="19"/>
                <w:szCs w:val="19"/>
              </w:rPr>
              <w:t xml:space="preserve">Views</w:t>
            </w:r>
          </w:p>
        </w:tc>
      </w:tr>
      <w:tr>
        <w:tc>
          <w:tcPr>
            <w:tcW w:type="dxa" w:w="4675"/>
            <w:shd w:fill="F2F4F3" w:val="clear"/>
            <w:tcMar>
              <w:top w:type="dxa" w:w="80"/>
              <w:left w:type="dxa" w:w="100"/>
              <w:bottom w:type="dxa" w:w="80"/>
              <w:right w:type="dxa" w:w="100"/>
            </w:tcMar>
            <w:vAlign w:val="center"/>
          </w:tcPr>
          <w:p>
            <w:pPr>
              <w:jc w:val="left"/>
            </w:pPr>
            <w:r>
              <w:rPr>
                <w:b w:val="false"/>
                <w:bCs w:val="false"/>
                <w:color w:val="222222"/>
                <w:sz w:val="19"/>
                <w:szCs w:val="19"/>
              </w:rPr>
              <w:t xml:space="preserve">AI Summary</w:t>
            </w:r>
          </w:p>
        </w:tc>
        <w:tc>
          <w:tcPr>
            <w:tcW w:type="dxa" w:w="4675"/>
            <w:shd w:fill="F2F4F3" w:val="clear"/>
            <w:tcMar>
              <w:top w:type="dxa" w:w="80"/>
              <w:left w:type="dxa" w:w="100"/>
              <w:bottom w:type="dxa" w:w="80"/>
              <w:right w:type="dxa" w:w="100"/>
            </w:tcMar>
            <w:vAlign w:val="center"/>
          </w:tcPr>
          <w:p>
            <w:pPr>
              <w:jc w:val="left"/>
            </w:pPr>
            <w:r>
              <w:rPr>
                <w:b w:val="false"/>
                <w:bCs w:val="false"/>
                <w:color w:val="222222"/>
                <w:sz w:val="19"/>
                <w:szCs w:val="19"/>
              </w:rPr>
              <w:t xml:space="preserve">Quick Recap (AI)</w:t>
            </w:r>
          </w:p>
        </w:tc>
      </w:tr>
      <w:tr>
        <w:tc>
          <w:tcPr>
            <w:tcW w:type="dxa" w:w="4675"/>
            <w:tcMar>
              <w:top w:type="dxa" w:w="80"/>
              <w:left w:type="dxa" w:w="100"/>
              <w:bottom w:type="dxa" w:w="80"/>
              <w:right w:type="dxa" w:w="100"/>
            </w:tcMar>
            <w:vAlign w:val="center"/>
          </w:tcPr>
          <w:p>
            <w:pPr>
              <w:jc w:val="left"/>
            </w:pPr>
            <w:r>
              <w:rPr>
                <w:b w:val="false"/>
                <w:bCs w:val="false"/>
                <w:color w:val="222222"/>
                <w:sz w:val="19"/>
                <w:szCs w:val="19"/>
              </w:rPr>
              <w:t xml:space="preserve">Habit Tracker (future)</w:t>
            </w:r>
          </w:p>
        </w:tc>
        <w:tc>
          <w:tcPr>
            <w:tcW w:type="dxa" w:w="4675"/>
            <w:tcMar>
              <w:top w:type="dxa" w:w="80"/>
              <w:left w:type="dxa" w:w="100"/>
              <w:bottom w:type="dxa" w:w="80"/>
              <w:right w:type="dxa" w:w="100"/>
            </w:tcMar>
            <w:vAlign w:val="center"/>
          </w:tcPr>
          <w:p>
            <w:pPr>
              <w:jc w:val="left"/>
            </w:pPr>
            <w:r>
              <w:rPr>
                <w:b w:val="false"/>
                <w:bCs w:val="false"/>
                <w:color w:val="222222"/>
                <w:sz w:val="19"/>
                <w:szCs w:val="19"/>
              </w:rPr>
              <w:t xml:space="preserve">Streaks</w:t>
            </w:r>
          </w:p>
        </w:tc>
      </w:tr>
    </w:tbl>
    <w:p>
      <w:pPr>
        <w:pStyle w:val="Heading1"/>
        <w:pBdr>
          <w:bottom w:val="single" w:color="2A9D8F" w:sz="8" w:space="4"/>
        </w:pBdr>
        <w:spacing w:after="180" w:before="360"/>
      </w:pPr>
      <w:r>
        <w:rPr>
          <w:b/>
          <w:bCs/>
          <w:color w:val="1B2A4A"/>
          <w:sz w:val="30"/>
          <w:szCs w:val="30"/>
        </w:rPr>
        <w:t xml:space="preserve">11. Platform Strategy</w:t>
      </w:r>
    </w:p>
    <w:p>
      <w:pPr>
        <w:spacing w:after="140"/>
      </w:pPr>
      <w:r>
        <w:rPr>
          <w:color w:val="222222"/>
          <w:sz w:val="21"/>
          <w:szCs w:val="21"/>
        </w:rPr>
        <w:t xml:space="preserve">Phase 1 ships as a responsive Next.js Web App with Progressive Web App (PWA) support — installable to a mobile home screen, with basic offline caching — rather than a native mobile app.</w:t>
      </w:r>
    </w:p>
    <w:p>
      <w:pPr>
        <w:pStyle w:val="ListParagraph"/>
        <w:numPr>
          <w:ilvl w:val="0"/>
          <w:numId w:val="2"/>
        </w:numPr>
        <w:spacing w:after="60"/>
      </w:pPr>
      <w:r>
        <w:rPr>
          <w:b w:val="false"/>
          <w:bCs w:val="false"/>
          <w:color w:val="222222"/>
          <w:sz w:val="21"/>
          <w:szCs w:val="21"/>
        </w:rPr>
        <w:t xml:space="preserve">Business-vertical users (CA firm staff, clinic front-desk, coaching admin) primarily work from desktop during office hours — a web-first approach serves this segment directly.</w:t>
      </w:r>
    </w:p>
    <w:p>
      <w:pPr>
        <w:pStyle w:val="ListParagraph"/>
        <w:numPr>
          <w:ilvl w:val="0"/>
          <w:numId w:val="2"/>
        </w:numPr>
        <w:spacing w:after="60"/>
      </w:pPr>
      <w:r>
        <w:rPr>
          <w:b w:val="false"/>
          <w:bCs w:val="false"/>
          <w:color w:val="222222"/>
          <w:sz w:val="21"/>
          <w:szCs w:val="21"/>
        </w:rPr>
        <w:t xml:space="preserve">Individual and student users primarily use mobile — covered adequately by the installable PWA experience.</w:t>
      </w:r>
    </w:p>
    <w:p>
      <w:pPr>
        <w:pStyle w:val="ListParagraph"/>
        <w:numPr>
          <w:ilvl w:val="0"/>
          <w:numId w:val="2"/>
        </w:numPr>
        <w:spacing w:after="60"/>
      </w:pPr>
      <w:r>
        <w:rPr>
          <w:b w:val="false"/>
          <w:bCs w:val="false"/>
          <w:color w:val="222222"/>
          <w:sz w:val="21"/>
          <w:szCs w:val="21"/>
        </w:rPr>
        <w:t xml:space="preserve">A native React Native app is deferred to Phase 4, once paying users validate which mobile-specific features are actually needed, avoiding premature app-store development cost and review delays.</w:t>
      </w:r>
    </w:p>
    <w:p>
      <w:pPr>
        <w:pStyle w:val="Heading1"/>
        <w:pBdr>
          <w:bottom w:val="single" w:color="2A9D8F" w:sz="8" w:space="4"/>
        </w:pBdr>
        <w:spacing w:after="180" w:before="360"/>
      </w:pPr>
      <w:r>
        <w:rPr>
          <w:b/>
          <w:bCs/>
          <w:color w:val="1B2A4A"/>
          <w:sz w:val="30"/>
          <w:szCs w:val="30"/>
        </w:rPr>
        <w:t xml:space="preserve">12. Development Budget &amp; Timeline</w:t>
      </w:r>
    </w:p>
    <w:p>
      <w:pPr>
        <w:spacing w:after="140"/>
      </w:pPr>
      <w:r>
        <w:rPr>
          <w:color w:val="222222"/>
          <w:sz w:val="21"/>
          <w:szCs w:val="21"/>
        </w:rPr>
        <w:t xml:space="preserve">Development is self-executed by the founder using an AI-assisted coding workflow. The ₹30,000–40,000 budget covers tools, hosting/infrastructure, domain, and third-party service costs — not third-party development labor.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5675"/>
            <w:shd w:fill="1B2A4A" w:val="clear"/>
            <w:tcMar>
              <w:top w:type="dxa" w:w="80"/>
              <w:left w:type="dxa" w:w="100"/>
              <w:bottom w:type="dxa" w:w="80"/>
              <w:right w:type="dxa" w:w="100"/>
            </w:tcMar>
            <w:vAlign w:val="center"/>
          </w:tcPr>
          <w:p>
            <w:pPr>
              <w:jc w:val="left"/>
            </w:pPr>
            <w:r>
              <w:rPr>
                <w:b/>
                <w:bCs/>
                <w:color w:val="FFFFFF"/>
                <w:sz w:val="19"/>
                <w:szCs w:val="19"/>
              </w:rPr>
              <w:t xml:space="preserve">Item</w:t>
            </w:r>
          </w:p>
        </w:tc>
        <w:tc>
          <w:tcPr>
            <w:tcW w:type="dxa" w:w="3675"/>
            <w:shd w:fill="1B2A4A" w:val="clear"/>
            <w:tcMar>
              <w:top w:type="dxa" w:w="80"/>
              <w:left w:type="dxa" w:w="100"/>
              <w:bottom w:type="dxa" w:w="80"/>
              <w:right w:type="dxa" w:w="100"/>
            </w:tcMar>
            <w:vAlign w:val="center"/>
          </w:tcPr>
          <w:p>
            <w:pPr>
              <w:jc w:val="left"/>
            </w:pPr>
            <w:r>
              <w:rPr>
                <w:b/>
                <w:bCs/>
                <w:color w:val="FFFFFF"/>
                <w:sz w:val="19"/>
                <w:szCs w:val="19"/>
              </w:rPr>
              <w:t xml:space="preserve">Estimated Cost</w:t>
            </w:r>
          </w:p>
        </w:tc>
      </w:tr>
      <w:tr>
        <w:tc>
          <w:tcPr>
            <w:tcW w:type="dxa" w:w="5675"/>
            <w:shd w:fill="F2F4F3" w:val="clear"/>
            <w:tcMar>
              <w:top w:type="dxa" w:w="80"/>
              <w:left w:type="dxa" w:w="100"/>
              <w:bottom w:type="dxa" w:w="80"/>
              <w:right w:type="dxa" w:w="100"/>
            </w:tcMar>
            <w:vAlign w:val="center"/>
          </w:tcPr>
          <w:p>
            <w:pPr>
              <w:jc w:val="left"/>
            </w:pPr>
            <w:r>
              <w:rPr>
                <w:b w:val="false"/>
                <w:bCs w:val="false"/>
                <w:color w:val="222222"/>
                <w:sz w:val="19"/>
                <w:szCs w:val="19"/>
              </w:rPr>
              <w:t xml:space="preserve">Hosting (Railway/Render + Vercel) — first year</w:t>
            </w:r>
          </w:p>
        </w:tc>
        <w:tc>
          <w:tcPr>
            <w:tcW w:type="dxa" w:w="3675"/>
            <w:shd w:fill="F2F4F3" w:val="clear"/>
            <w:tcMar>
              <w:top w:type="dxa" w:w="80"/>
              <w:left w:type="dxa" w:w="100"/>
              <w:bottom w:type="dxa" w:w="80"/>
              <w:right w:type="dxa" w:w="100"/>
            </w:tcMar>
            <w:vAlign w:val="center"/>
          </w:tcPr>
          <w:p>
            <w:pPr>
              <w:jc w:val="left"/>
            </w:pPr>
            <w:r>
              <w:rPr>
                <w:b w:val="false"/>
                <w:bCs w:val="false"/>
                <w:color w:val="222222"/>
                <w:sz w:val="19"/>
                <w:szCs w:val="19"/>
              </w:rPr>
              <w:t xml:space="preserve">Included within budget</w:t>
            </w:r>
          </w:p>
        </w:tc>
      </w:tr>
      <w:tr>
        <w:tc>
          <w:tcPr>
            <w:tcW w:type="dxa" w:w="5675"/>
            <w:tcMar>
              <w:top w:type="dxa" w:w="80"/>
              <w:left w:type="dxa" w:w="100"/>
              <w:bottom w:type="dxa" w:w="80"/>
              <w:right w:type="dxa" w:w="100"/>
            </w:tcMar>
            <w:vAlign w:val="center"/>
          </w:tcPr>
          <w:p>
            <w:pPr>
              <w:jc w:val="left"/>
            </w:pPr>
            <w:r>
              <w:rPr>
                <w:b w:val="false"/>
                <w:bCs w:val="false"/>
                <w:color w:val="222222"/>
                <w:sz w:val="19"/>
                <w:szCs w:val="19"/>
              </w:rPr>
              <w:t xml:space="preserve">Domain registration</w:t>
            </w:r>
          </w:p>
        </w:tc>
        <w:tc>
          <w:tcPr>
            <w:tcW w:type="dxa" w:w="3675"/>
            <w:tcMar>
              <w:top w:type="dxa" w:w="80"/>
              <w:left w:type="dxa" w:w="100"/>
              <w:bottom w:type="dxa" w:w="80"/>
              <w:right w:type="dxa" w:w="100"/>
            </w:tcMar>
            <w:vAlign w:val="center"/>
          </w:tcPr>
          <w:p>
            <w:pPr>
              <w:jc w:val="left"/>
            </w:pPr>
            <w:r>
              <w:rPr>
                <w:b w:val="false"/>
                <w:bCs w:val="false"/>
                <w:color w:val="222222"/>
                <w:sz w:val="19"/>
                <w:szCs w:val="19"/>
              </w:rPr>
              <w:t xml:space="preserve">Included within budget</w:t>
            </w:r>
          </w:p>
        </w:tc>
      </w:tr>
      <w:tr>
        <w:tc>
          <w:tcPr>
            <w:tcW w:type="dxa" w:w="5675"/>
            <w:shd w:fill="F2F4F3" w:val="clear"/>
            <w:tcMar>
              <w:top w:type="dxa" w:w="80"/>
              <w:left w:type="dxa" w:w="100"/>
              <w:bottom w:type="dxa" w:w="80"/>
              <w:right w:type="dxa" w:w="100"/>
            </w:tcMar>
            <w:vAlign w:val="center"/>
          </w:tcPr>
          <w:p>
            <w:pPr>
              <w:jc w:val="left"/>
            </w:pPr>
            <w:r>
              <w:rPr>
                <w:b w:val="false"/>
                <w:bCs w:val="false"/>
                <w:color w:val="222222"/>
                <w:sz w:val="19"/>
                <w:szCs w:val="19"/>
              </w:rPr>
              <w:t xml:space="preserve">Razorpay integration / transaction setup</w:t>
            </w:r>
          </w:p>
        </w:tc>
        <w:tc>
          <w:tcPr>
            <w:tcW w:type="dxa" w:w="3675"/>
            <w:shd w:fill="F2F4F3" w:val="clear"/>
            <w:tcMar>
              <w:top w:type="dxa" w:w="80"/>
              <w:left w:type="dxa" w:w="100"/>
              <w:bottom w:type="dxa" w:w="80"/>
              <w:right w:type="dxa" w:w="100"/>
            </w:tcMar>
            <w:vAlign w:val="center"/>
          </w:tcPr>
          <w:p>
            <w:pPr>
              <w:jc w:val="left"/>
            </w:pPr>
            <w:r>
              <w:rPr>
                <w:b w:val="false"/>
                <w:bCs w:val="false"/>
                <w:color w:val="222222"/>
                <w:sz w:val="19"/>
                <w:szCs w:val="19"/>
              </w:rPr>
              <w:t xml:space="preserve">Included within budget</w:t>
            </w:r>
          </w:p>
        </w:tc>
      </w:tr>
      <w:tr>
        <w:tc>
          <w:tcPr>
            <w:tcW w:type="dxa" w:w="5675"/>
            <w:tcMar>
              <w:top w:type="dxa" w:w="80"/>
              <w:left w:type="dxa" w:w="100"/>
              <w:bottom w:type="dxa" w:w="80"/>
              <w:right w:type="dxa" w:w="100"/>
            </w:tcMar>
            <w:vAlign w:val="center"/>
          </w:tcPr>
          <w:p>
            <w:pPr>
              <w:jc w:val="left"/>
            </w:pPr>
            <w:r>
              <w:rPr>
                <w:b w:val="false"/>
                <w:bCs w:val="false"/>
                <w:color w:val="222222"/>
                <w:sz w:val="19"/>
                <w:szCs w:val="19"/>
              </w:rPr>
              <w:t xml:space="preserve">Design &amp; AI development tools</w:t>
            </w:r>
          </w:p>
        </w:tc>
        <w:tc>
          <w:tcPr>
            <w:tcW w:type="dxa" w:w="3675"/>
            <w:tcMar>
              <w:top w:type="dxa" w:w="80"/>
              <w:left w:type="dxa" w:w="100"/>
              <w:bottom w:type="dxa" w:w="80"/>
              <w:right w:type="dxa" w:w="100"/>
            </w:tcMar>
            <w:vAlign w:val="center"/>
          </w:tcPr>
          <w:p>
            <w:pPr>
              <w:jc w:val="left"/>
            </w:pPr>
            <w:r>
              <w:rPr>
                <w:b w:val="false"/>
                <w:bCs w:val="false"/>
                <w:color w:val="222222"/>
                <w:sz w:val="19"/>
                <w:szCs w:val="19"/>
              </w:rPr>
              <w:t xml:space="preserve">Included within budget</w:t>
            </w:r>
          </w:p>
        </w:tc>
      </w:tr>
      <w:tr>
        <w:tc>
          <w:tcPr>
            <w:tcW w:type="dxa" w:w="5675"/>
            <w:shd w:fill="F2F4F3" w:val="clear"/>
            <w:tcMar>
              <w:top w:type="dxa" w:w="80"/>
              <w:left w:type="dxa" w:w="100"/>
              <w:bottom w:type="dxa" w:w="80"/>
              <w:right w:type="dxa" w:w="100"/>
            </w:tcMar>
            <w:vAlign w:val="center"/>
          </w:tcPr>
          <w:p>
            <w:pPr>
              <w:jc w:val="left"/>
            </w:pPr>
            <w:r>
              <w:rPr>
                <w:b w:val="false"/>
                <w:bCs w:val="false"/>
                <w:color w:val="222222"/>
                <w:sz w:val="19"/>
                <w:szCs w:val="19"/>
              </w:rPr>
              <w:t xml:space="preserve">Total</w:t>
            </w:r>
          </w:p>
        </w:tc>
        <w:tc>
          <w:tcPr>
            <w:tcW w:type="dxa" w:w="3675"/>
            <w:shd w:fill="F2F4F3" w:val="clear"/>
            <w:tcMar>
              <w:top w:type="dxa" w:w="80"/>
              <w:left w:type="dxa" w:w="100"/>
              <w:bottom w:type="dxa" w:w="80"/>
              <w:right w:type="dxa" w:w="100"/>
            </w:tcMar>
            <w:vAlign w:val="center"/>
          </w:tcPr>
          <w:p>
            <w:pPr>
              <w:jc w:val="left"/>
            </w:pPr>
            <w:r>
              <w:rPr>
                <w:b w:val="false"/>
                <w:bCs w:val="false"/>
                <w:color w:val="222222"/>
                <w:sz w:val="19"/>
                <w:szCs w:val="19"/>
              </w:rPr>
              <w:t xml:space="preserve">₹30,000 – ₹40,000</w:t>
            </w:r>
          </w:p>
        </w:tc>
      </w:tr>
    </w:tbl>
    <w:p>
      <w:pPr>
        <w:spacing w:after="140"/>
      </w:pPr>
      <w:r>
        <w:rPr>
          <w:color w:val="222222"/>
          <w:sz w:val="21"/>
          <w:szCs w:val="21"/>
        </w:rPr>
        <w:t xml:space="preserve">Indicative V1 (MVP core, excluding Deep Work Sprint and AI Add-on) build timeline: 6–8 weeks, solo development with AI-assisted tooling.</w:t>
      </w:r>
    </w:p>
    <w:p>
      <w:pPr>
        <w:pStyle w:val="Heading1"/>
        <w:pBdr>
          <w:bottom w:val="single" w:color="2A9D8F" w:sz="8" w:space="4"/>
        </w:pBdr>
        <w:spacing w:after="180" w:before="360"/>
      </w:pPr>
      <w:r>
        <w:rPr>
          <w:b/>
          <w:bCs/>
          <w:color w:val="1B2A4A"/>
          <w:sz w:val="30"/>
          <w:szCs w:val="30"/>
        </w:rPr>
        <w:t xml:space="preserve">13. Risks &amp; Mitigations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200"/>
            <w:shd w:fill="1B2A4A" w:val="clear"/>
            <w:tcMar>
              <w:top w:type="dxa" w:w="80"/>
              <w:left w:type="dxa" w:w="100"/>
              <w:bottom w:type="dxa" w:w="80"/>
              <w:right w:type="dxa" w:w="100"/>
            </w:tcMar>
            <w:vAlign w:val="center"/>
          </w:tcPr>
          <w:p>
            <w:pPr>
              <w:jc w:val="left"/>
            </w:pPr>
            <w:r>
              <w:rPr>
                <w:b/>
                <w:bCs/>
                <w:color w:val="FFFFFF"/>
                <w:sz w:val="19"/>
                <w:szCs w:val="19"/>
              </w:rPr>
              <w:t xml:space="preserve">Risk</w:t>
            </w:r>
          </w:p>
        </w:tc>
        <w:tc>
          <w:tcPr>
            <w:tcW w:type="dxa" w:w="5150"/>
            <w:shd w:fill="1B2A4A" w:val="clear"/>
            <w:tcMar>
              <w:top w:type="dxa" w:w="80"/>
              <w:left w:type="dxa" w:w="100"/>
              <w:bottom w:type="dxa" w:w="80"/>
              <w:right w:type="dxa" w:w="100"/>
            </w:tcMar>
            <w:vAlign w:val="center"/>
          </w:tcPr>
          <w:p>
            <w:pPr>
              <w:jc w:val="left"/>
            </w:pPr>
            <w:r>
              <w:rPr>
                <w:b/>
                <w:bCs/>
                <w:color w:val="FFFFFF"/>
                <w:sz w:val="19"/>
                <w:szCs w:val="19"/>
              </w:rPr>
              <w:t xml:space="preserve">Mitigation</w:t>
            </w:r>
          </w:p>
        </w:tc>
      </w:tr>
      <w:tr>
        <w:tc>
          <w:tcPr>
            <w:tcW w:type="dxa" w:w="4200"/>
            <w:shd w:fill="F2F4F3" w:val="clear"/>
            <w:tcMar>
              <w:top w:type="dxa" w:w="80"/>
              <w:left w:type="dxa" w:w="100"/>
              <w:bottom w:type="dxa" w:w="80"/>
              <w:right w:type="dxa" w:w="100"/>
            </w:tcMar>
            <w:vAlign w:val="center"/>
          </w:tcPr>
          <w:p>
            <w:pPr>
              <w:jc w:val="left"/>
            </w:pPr>
            <w:r>
              <w:rPr>
                <w:b w:val="false"/>
                <w:bCs w:val="false"/>
                <w:color w:val="222222"/>
                <w:sz w:val="19"/>
                <w:szCs w:val="19"/>
              </w:rPr>
              <w:t xml:space="preserve">Brand/trade-dress similarity to TickTick or other incumbents</w:t>
            </w:r>
          </w:p>
        </w:tc>
        <w:tc>
          <w:tcPr>
            <w:tcW w:type="dxa" w:w="5150"/>
            <w:shd w:fill="F2F4F3" w:val="clear"/>
            <w:tcMar>
              <w:top w:type="dxa" w:w="80"/>
              <w:left w:type="dxa" w:w="100"/>
              <w:bottom w:type="dxa" w:w="80"/>
              <w:right w:type="dxa" w:w="100"/>
            </w:tcMar>
            <w:vAlign w:val="center"/>
          </w:tcPr>
          <w:p>
            <w:pPr>
              <w:jc w:val="left"/>
            </w:pPr>
            <w:r>
              <w:rPr>
                <w:b w:val="false"/>
                <w:bCs w:val="false"/>
                <w:color w:val="222222"/>
                <w:sz w:val="19"/>
                <w:szCs w:val="19"/>
              </w:rPr>
              <w:t xml:space="preserve">Distinct color palette (Charcoal Navy/Emerald Teal) and original feature naming (Flow Board, Deep Work Sprint, etc.) adopted from the outset</w:t>
            </w:r>
          </w:p>
        </w:tc>
      </w:tr>
      <w:tr>
        <w:tc>
          <w:tcPr>
            <w:tcW w:type="dxa" w:w="4200"/>
            <w:tcMar>
              <w:top w:type="dxa" w:w="80"/>
              <w:left w:type="dxa" w:w="100"/>
              <w:bottom w:type="dxa" w:w="80"/>
              <w:right w:type="dxa" w:w="100"/>
            </w:tcMar>
            <w:vAlign w:val="center"/>
          </w:tcPr>
          <w:p>
            <w:pPr>
              <w:jc w:val="left"/>
            </w:pPr>
            <w:r>
              <w:rPr>
                <w:b w:val="false"/>
                <w:bCs w:val="false"/>
                <w:color w:val="222222"/>
                <w:sz w:val="19"/>
                <w:szCs w:val="19"/>
              </w:rPr>
              <w:t xml:space="preserve">Solo-founder development bandwidth</w:t>
            </w:r>
          </w:p>
        </w:tc>
        <w:tc>
          <w:tcPr>
            <w:tcW w:type="dxa" w:w="5150"/>
            <w:tcMar>
              <w:top w:type="dxa" w:w="80"/>
              <w:left w:type="dxa" w:w="100"/>
              <w:bottom w:type="dxa" w:w="80"/>
              <w:right w:type="dxa" w:w="100"/>
            </w:tcMar>
            <w:vAlign w:val="center"/>
          </w:tcPr>
          <w:p>
            <w:pPr>
              <w:jc w:val="left"/>
            </w:pPr>
            <w:r>
              <w:rPr>
                <w:b w:val="false"/>
                <w:bCs w:val="false"/>
                <w:color w:val="222222"/>
                <w:sz w:val="19"/>
                <w:szCs w:val="19"/>
              </w:rPr>
              <w:t xml:space="preserve">Scope tightly limited for V1; Pomodoro/AI features deferred to fast-follow releases rather than blocking launch</w:t>
            </w:r>
          </w:p>
        </w:tc>
      </w:tr>
      <w:tr>
        <w:tc>
          <w:tcPr>
            <w:tcW w:type="dxa" w:w="4200"/>
            <w:shd w:fill="F2F4F3" w:val="clear"/>
            <w:tcMar>
              <w:top w:type="dxa" w:w="80"/>
              <w:left w:type="dxa" w:w="100"/>
              <w:bottom w:type="dxa" w:w="80"/>
              <w:right w:type="dxa" w:w="100"/>
            </w:tcMar>
            <w:vAlign w:val="center"/>
          </w:tcPr>
          <w:p>
            <w:pPr>
              <w:jc w:val="left"/>
            </w:pPr>
            <w:r>
              <w:rPr>
                <w:b w:val="false"/>
                <w:bCs w:val="false"/>
                <w:color w:val="222222"/>
                <w:sz w:val="19"/>
                <w:szCs w:val="19"/>
              </w:rPr>
              <w:t xml:space="preserve">Generic productivity market is highly saturated</w:t>
            </w:r>
          </w:p>
        </w:tc>
        <w:tc>
          <w:tcPr>
            <w:tcW w:type="dxa" w:w="5150"/>
            <w:shd w:fill="F2F4F3" w:val="clear"/>
            <w:tcMar>
              <w:top w:type="dxa" w:w="80"/>
              <w:left w:type="dxa" w:w="100"/>
              <w:bottom w:type="dxa" w:w="80"/>
              <w:right w:type="dxa" w:w="100"/>
            </w:tcMar>
            <w:vAlign w:val="center"/>
          </w:tcPr>
          <w:p>
            <w:pPr>
              <w:jc w:val="left"/>
            </w:pPr>
            <w:r>
              <w:rPr>
                <w:b w:val="false"/>
                <w:bCs w:val="false"/>
                <w:color w:val="222222"/>
                <w:sz w:val="19"/>
                <w:szCs w:val="19"/>
              </w:rPr>
              <w:t xml:space="preserve">Vertical module strategy (CA, Coaching, Clinic, etc.) provides a differentiated, higher-margin path beyond generic competition</w:t>
            </w:r>
          </w:p>
        </w:tc>
      </w:tr>
      <w:tr>
        <w:tc>
          <w:tcPr>
            <w:tcW w:type="dxa" w:w="4200"/>
            <w:tcMar>
              <w:top w:type="dxa" w:w="80"/>
              <w:left w:type="dxa" w:w="100"/>
              <w:bottom w:type="dxa" w:w="80"/>
              <w:right w:type="dxa" w:w="100"/>
            </w:tcMar>
            <w:vAlign w:val="center"/>
          </w:tcPr>
          <w:p>
            <w:pPr>
              <w:jc w:val="left"/>
            </w:pPr>
            <w:r>
              <w:rPr>
                <w:b w:val="false"/>
                <w:bCs w:val="false"/>
                <w:color w:val="222222"/>
                <w:sz w:val="19"/>
                <w:szCs w:val="19"/>
              </w:rPr>
              <w:t xml:space="preserve">Low initial monetization from student segment</w:t>
            </w:r>
          </w:p>
        </w:tc>
        <w:tc>
          <w:tcPr>
            <w:tcW w:type="dxa" w:w="5150"/>
            <w:tcMar>
              <w:top w:type="dxa" w:w="80"/>
              <w:left w:type="dxa" w:w="100"/>
              <w:bottom w:type="dxa" w:w="80"/>
              <w:right w:type="dxa" w:w="100"/>
            </w:tcMar>
            <w:vAlign w:val="center"/>
          </w:tcPr>
          <w:p>
            <w:pPr>
              <w:jc w:val="left"/>
            </w:pPr>
            <w:r>
              <w:rPr>
                <w:b w:val="false"/>
                <w:bCs w:val="false"/>
                <w:color w:val="222222"/>
                <w:sz w:val="19"/>
                <w:szCs w:val="19"/>
              </w:rPr>
              <w:t xml:space="preserve">Student tier priced to build volume and brand loyalty; monetization expected to convert later via professional/vertical tiers</w:t>
            </w:r>
          </w:p>
        </w:tc>
      </w:tr>
      <w:tr>
        <w:tc>
          <w:tcPr>
            <w:tcW w:type="dxa" w:w="4200"/>
            <w:shd w:fill="F2F4F3" w:val="clear"/>
            <w:tcMar>
              <w:top w:type="dxa" w:w="80"/>
              <w:left w:type="dxa" w:w="100"/>
              <w:bottom w:type="dxa" w:w="80"/>
              <w:right w:type="dxa" w:w="100"/>
            </w:tcMar>
            <w:vAlign w:val="center"/>
          </w:tcPr>
          <w:p>
            <w:pPr>
              <w:jc w:val="left"/>
            </w:pPr>
            <w:r>
              <w:rPr>
                <w:b w:val="false"/>
                <w:bCs w:val="false"/>
                <w:color w:val="222222"/>
                <w:sz w:val="19"/>
                <w:szCs w:val="19"/>
              </w:rPr>
              <w:t xml:space="preserve">Entitlement/billing data inconsistency from webhook failures</w:t>
            </w:r>
          </w:p>
        </w:tc>
        <w:tc>
          <w:tcPr>
            <w:tcW w:type="dxa" w:w="5150"/>
            <w:shd w:fill="F2F4F3" w:val="clear"/>
            <w:tcMar>
              <w:top w:type="dxa" w:w="80"/>
              <w:left w:type="dxa" w:w="100"/>
              <w:bottom w:type="dxa" w:w="80"/>
              <w:right w:type="dxa" w:w="100"/>
            </w:tcMar>
            <w:vAlign w:val="center"/>
          </w:tcPr>
          <w:p>
            <w:pPr>
              <w:jc w:val="left"/>
            </w:pPr>
            <w:r>
              <w:rPr>
                <w:b w:val="false"/>
                <w:bCs w:val="false"/>
                <w:color w:val="222222"/>
                <w:sz w:val="19"/>
                <w:szCs w:val="19"/>
              </w:rPr>
              <w:t xml:space="preserve">Idempotent webhook handling and a dedicated entitlements cache, decoupled from core workspace data</w:t>
            </w:r>
          </w:p>
        </w:tc>
      </w:tr>
    </w:tbl>
    <w:p>
      <w:pPr>
        <w:pStyle w:val="Heading1"/>
        <w:pBdr>
          <w:bottom w:val="single" w:color="2A9D8F" w:sz="8" w:space="4"/>
        </w:pBdr>
        <w:spacing w:after="180" w:before="360"/>
      </w:pPr>
      <w:r>
        <w:rPr>
          <w:b/>
          <w:bCs/>
          <w:color w:val="1B2A4A"/>
          <w:sz w:val="30"/>
          <w:szCs w:val="30"/>
        </w:rPr>
        <w:t xml:space="preserve">14. Assumptions</w:t>
      </w:r>
    </w:p>
    <w:p>
      <w:pPr>
        <w:pStyle w:val="ListParagraph"/>
        <w:numPr>
          <w:ilvl w:val="0"/>
          <w:numId w:val="2"/>
        </w:numPr>
        <w:spacing w:after="60"/>
      </w:pPr>
      <w:r>
        <w:rPr>
          <w:b w:val="false"/>
          <w:bCs w:val="false"/>
          <w:color w:val="222222"/>
          <w:sz w:val="21"/>
          <w:szCs w:val="21"/>
        </w:rPr>
        <w:t xml:space="preserve">The founder will personally handle end-to-end development using the Next.js/MongoDB stack already used across other PROHIT CoreTech projects.</w:t>
      </w:r>
    </w:p>
    <w:p>
      <w:pPr>
        <w:pStyle w:val="ListParagraph"/>
        <w:numPr>
          <w:ilvl w:val="0"/>
          <w:numId w:val="2"/>
        </w:numPr>
        <w:spacing w:after="60"/>
      </w:pPr>
      <w:r>
        <w:rPr>
          <w:b w:val="false"/>
          <w:bCs w:val="false"/>
          <w:color w:val="222222"/>
          <w:sz w:val="21"/>
          <w:szCs w:val="21"/>
        </w:rPr>
        <w:t xml:space="preserve">No dedicated development team or agency is engaged for Phase 1.</w:t>
      </w:r>
    </w:p>
    <w:p>
      <w:pPr>
        <w:pStyle w:val="ListParagraph"/>
        <w:numPr>
          <w:ilvl w:val="0"/>
          <w:numId w:val="2"/>
        </w:numPr>
        <w:spacing w:after="60"/>
      </w:pPr>
      <w:r>
        <w:rPr>
          <w:b w:val="false"/>
          <w:bCs w:val="false"/>
          <w:color w:val="222222"/>
          <w:sz w:val="21"/>
          <w:szCs w:val="21"/>
        </w:rPr>
        <w:t xml:space="preserve">Vertical module pilot customers (CA firms, coaching centers, etc.) will be identified and onboarded after the generic MVP is live.</w:t>
      </w:r>
    </w:p>
    <w:p>
      <w:pPr>
        <w:pStyle w:val="ListParagraph"/>
        <w:numPr>
          <w:ilvl w:val="0"/>
          <w:numId w:val="2"/>
        </w:numPr>
        <w:spacing w:after="60"/>
      </w:pPr>
      <w:r>
        <w:rPr>
          <w:b w:val="false"/>
          <w:bCs w:val="false"/>
          <w:color w:val="222222"/>
          <w:sz w:val="21"/>
          <w:szCs w:val="21"/>
        </w:rPr>
        <w:t xml:space="preserve">Pricing figures are indicative and subject to revision based on market testing and Razorpay transaction cost structures.</w:t>
      </w:r>
    </w:p>
    <w:sectPr>
      <w:headerReference w:type="default" r:id="rId7"/>
      <w:footerReference w:type="default" r:id="rId8"/>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Page </w:t>
    </w:r>
    <w:r>
      <w:rPr>
        <w:color w:val="666666"/>
        <w:sz w:val="16"/>
        <w:szCs w:val="16"/>
      </w:rPr>
      <w:fldChar w:fldCharType="begin"/>
      <w:instrText xml:space="preserve">PAGE</w:instrText>
      <w:fldChar w:fldCharType="separate"/>
      <w:fldChar w:fldCharType="end"/>
    </w:r>
    <w:r>
      <w:rPr>
        <w:color w:val="666666"/>
        <w:sz w:val="16"/>
        <w:szCs w:val="16"/>
      </w:rPr>
      <w:t xml:space="preserve"> of </w:t>
    </w:r>
    <w:r>
      <w:rPr>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color w:val="666666"/>
        <w:sz w:val="16"/>
        <w:szCs w:val="16"/>
      </w:rPr>
      <w:t xml:space="preserve">PROHIT Daily Task — BRD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2026-08-31T06:25:02.777Z</dcterms:created>
  <dcterms:modified xsi:type="dcterms:W3CDTF">2026-08-31T06:25:02.791Z</dcterms:modified>
</cp:coreProperties>
</file>

<file path=docProps/custom.xml><?xml version="1.0" encoding="utf-8"?>
<Properties xmlns="http://schemas.openxmlformats.org/officeDocument/2006/custom-properties" xmlns:vt="http://schemas.openxmlformats.org/officeDocument/2006/docPropsVTypes"/>
</file>