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401E" w14:textId="366BC966" w:rsidR="00716E2C" w:rsidRDefault="00456E38" w:rsidP="00716E2C">
      <w:pPr>
        <w:jc w:val="center"/>
        <w:rPr>
          <w:rFonts w:ascii="Times New Roman" w:hAnsi="Times New Roman" w:cs="Times New Roman"/>
          <w:b/>
          <w:bCs/>
          <w:sz w:val="28"/>
          <w:szCs w:val="28"/>
        </w:rPr>
      </w:pPr>
      <w:r w:rsidRPr="00D05EC2">
        <w:rPr>
          <w:rFonts w:ascii="Times New Roman" w:hAnsi="Times New Roman" w:cs="Times New Roman"/>
          <w:b/>
          <w:bCs/>
          <w:sz w:val="28"/>
          <w:szCs w:val="28"/>
        </w:rPr>
        <w:t>F</w:t>
      </w:r>
      <w:r w:rsidR="00666DCF" w:rsidRPr="00D05EC2">
        <w:rPr>
          <w:rFonts w:ascii="Times New Roman" w:hAnsi="Times New Roman" w:cs="Times New Roman"/>
          <w:b/>
          <w:bCs/>
          <w:sz w:val="28"/>
          <w:szCs w:val="28"/>
        </w:rPr>
        <w:t xml:space="preserve">inancial </w:t>
      </w:r>
      <w:r w:rsidRPr="00D05EC2">
        <w:rPr>
          <w:rFonts w:ascii="Times New Roman" w:hAnsi="Times New Roman" w:cs="Times New Roman"/>
          <w:b/>
          <w:bCs/>
          <w:sz w:val="28"/>
          <w:szCs w:val="28"/>
        </w:rPr>
        <w:t>L</w:t>
      </w:r>
      <w:r w:rsidR="00666DCF" w:rsidRPr="00D05EC2">
        <w:rPr>
          <w:rFonts w:ascii="Times New Roman" w:hAnsi="Times New Roman" w:cs="Times New Roman"/>
          <w:b/>
          <w:bCs/>
          <w:sz w:val="28"/>
          <w:szCs w:val="28"/>
        </w:rPr>
        <w:t xml:space="preserve">iteracy </w:t>
      </w:r>
      <w:r w:rsidRPr="00D05EC2">
        <w:rPr>
          <w:rFonts w:ascii="Times New Roman" w:hAnsi="Times New Roman" w:cs="Times New Roman"/>
          <w:b/>
          <w:bCs/>
          <w:sz w:val="28"/>
          <w:szCs w:val="28"/>
        </w:rPr>
        <w:t>for Better Retirement Planning:</w:t>
      </w:r>
    </w:p>
    <w:p w14:paraId="66EFC731" w14:textId="677CB655" w:rsidR="00D97723" w:rsidRPr="00D05EC2" w:rsidRDefault="00456E38" w:rsidP="00716E2C">
      <w:pPr>
        <w:jc w:val="center"/>
        <w:rPr>
          <w:rFonts w:ascii="Times New Roman" w:hAnsi="Times New Roman" w:cs="Times New Roman"/>
          <w:b/>
          <w:bCs/>
          <w:sz w:val="28"/>
          <w:szCs w:val="28"/>
        </w:rPr>
      </w:pPr>
      <w:r w:rsidRPr="00D05EC2">
        <w:rPr>
          <w:rFonts w:ascii="Times New Roman" w:hAnsi="Times New Roman" w:cs="Times New Roman"/>
          <w:b/>
          <w:bCs/>
          <w:spacing w:val="-6"/>
          <w:sz w:val="28"/>
          <w:szCs w:val="28"/>
        </w:rPr>
        <w:t>Private Retail Employee</w:t>
      </w:r>
      <w:r w:rsidRPr="00D05EC2">
        <w:rPr>
          <w:rFonts w:ascii="Times New Roman" w:hAnsi="Times New Roman" w:cs="Times New Roman"/>
          <w:b/>
          <w:bCs/>
          <w:spacing w:val="-17"/>
          <w:sz w:val="28"/>
          <w:szCs w:val="28"/>
        </w:rPr>
        <w:t xml:space="preserve"> </w:t>
      </w:r>
      <w:r w:rsidRPr="00D05EC2">
        <w:rPr>
          <w:rFonts w:ascii="Times New Roman" w:hAnsi="Times New Roman" w:cs="Times New Roman"/>
          <w:b/>
          <w:bCs/>
          <w:spacing w:val="-6"/>
          <w:sz w:val="28"/>
          <w:szCs w:val="28"/>
        </w:rPr>
        <w:t>in</w:t>
      </w:r>
      <w:r w:rsidRPr="00D05EC2">
        <w:rPr>
          <w:rFonts w:ascii="Times New Roman" w:hAnsi="Times New Roman" w:cs="Times New Roman"/>
          <w:b/>
          <w:bCs/>
          <w:spacing w:val="-16"/>
          <w:sz w:val="28"/>
          <w:szCs w:val="28"/>
        </w:rPr>
        <w:t xml:space="preserve"> </w:t>
      </w:r>
      <w:r w:rsidRPr="00D05EC2">
        <w:rPr>
          <w:rFonts w:ascii="Times New Roman" w:hAnsi="Times New Roman" w:cs="Times New Roman"/>
          <w:b/>
          <w:bCs/>
          <w:spacing w:val="-6"/>
          <w:sz w:val="28"/>
          <w:szCs w:val="28"/>
        </w:rPr>
        <w:t>Indonesia</w:t>
      </w:r>
    </w:p>
    <w:p w14:paraId="17B99FDC" w14:textId="27F636DA" w:rsidR="00D97723" w:rsidRPr="00D05EC2" w:rsidRDefault="00456E38" w:rsidP="00716E2C">
      <w:pPr>
        <w:spacing w:line="276" w:lineRule="auto"/>
        <w:jc w:val="center"/>
        <w:rPr>
          <w:rFonts w:ascii="Times New Roman" w:hAnsi="Times New Roman" w:cs="Times New Roman"/>
          <w:sz w:val="24"/>
          <w:szCs w:val="24"/>
          <w:lang w:val="en-ID"/>
        </w:rPr>
      </w:pPr>
      <w:r w:rsidRPr="00D05EC2">
        <w:rPr>
          <w:rFonts w:ascii="Times New Roman" w:hAnsi="Times New Roman" w:cs="Times New Roman"/>
          <w:w w:val="105"/>
          <w:sz w:val="24"/>
          <w:szCs w:val="24"/>
          <w:lang w:val="en-ID"/>
        </w:rPr>
        <w:t>Kurniawati Ciputra*,</w:t>
      </w:r>
      <w:r w:rsidRPr="00D05EC2">
        <w:rPr>
          <w:rFonts w:ascii="Times New Roman" w:hAnsi="Times New Roman" w:cs="Times New Roman"/>
          <w:spacing w:val="19"/>
          <w:w w:val="105"/>
          <w:sz w:val="24"/>
          <w:szCs w:val="24"/>
          <w:lang w:val="en-ID"/>
        </w:rPr>
        <w:t xml:space="preserve"> </w:t>
      </w:r>
      <w:r w:rsidRPr="00D05EC2">
        <w:rPr>
          <w:rFonts w:ascii="Times New Roman" w:hAnsi="Times New Roman" w:cs="Times New Roman"/>
          <w:sz w:val="24"/>
          <w:szCs w:val="24"/>
          <w:lang w:val="en-ID"/>
        </w:rPr>
        <w:t xml:space="preserve">Tantri </w:t>
      </w:r>
      <w:proofErr w:type="spellStart"/>
      <w:r w:rsidRPr="00D05EC2">
        <w:rPr>
          <w:rFonts w:ascii="Times New Roman" w:hAnsi="Times New Roman" w:cs="Times New Roman"/>
          <w:sz w:val="24"/>
          <w:szCs w:val="24"/>
          <w:lang w:val="en-ID"/>
        </w:rPr>
        <w:t>Yanuar</w:t>
      </w:r>
      <w:proofErr w:type="spellEnd"/>
      <w:r w:rsidRPr="00D05EC2">
        <w:rPr>
          <w:rFonts w:ascii="Times New Roman" w:hAnsi="Times New Roman" w:cs="Times New Roman"/>
          <w:sz w:val="24"/>
          <w:szCs w:val="24"/>
          <w:lang w:val="en-ID"/>
        </w:rPr>
        <w:t xml:space="preserve"> R</w:t>
      </w:r>
      <w:r w:rsidR="004A5E0E" w:rsidRPr="00D05EC2">
        <w:rPr>
          <w:rFonts w:ascii="Times New Roman" w:hAnsi="Times New Roman" w:cs="Times New Roman"/>
          <w:sz w:val="24"/>
          <w:szCs w:val="24"/>
          <w:lang w:val="en-ID"/>
        </w:rPr>
        <w:t xml:space="preserve">ahmat </w:t>
      </w:r>
      <w:r w:rsidRPr="00D05EC2">
        <w:rPr>
          <w:rFonts w:ascii="Times New Roman" w:hAnsi="Times New Roman" w:cs="Times New Roman"/>
          <w:sz w:val="24"/>
          <w:szCs w:val="24"/>
          <w:lang w:val="en-ID"/>
        </w:rPr>
        <w:t>Syah</w:t>
      </w:r>
    </w:p>
    <w:p w14:paraId="47367477" w14:textId="77777777" w:rsidR="00D97723" w:rsidRPr="00D05EC2" w:rsidRDefault="00D97723" w:rsidP="00716E2C">
      <w:pPr>
        <w:pStyle w:val="BodyText"/>
        <w:ind w:left="0"/>
        <w:jc w:val="center"/>
        <w:rPr>
          <w:rFonts w:ascii="Times New Roman" w:hAnsi="Times New Roman" w:cs="Times New Roman"/>
          <w:sz w:val="20"/>
          <w:lang w:val="en-ID"/>
        </w:rPr>
      </w:pPr>
    </w:p>
    <w:p w14:paraId="0F1EE641" w14:textId="77777777" w:rsidR="00D97723" w:rsidRPr="00D05EC2" w:rsidRDefault="00D97723">
      <w:pPr>
        <w:pStyle w:val="BodyText"/>
        <w:spacing w:before="190"/>
        <w:ind w:left="0"/>
        <w:jc w:val="left"/>
        <w:rPr>
          <w:rFonts w:ascii="Times New Roman" w:hAnsi="Times New Roman" w:cs="Times New Roman"/>
          <w:sz w:val="20"/>
          <w:lang w:val="en-ID"/>
        </w:rPr>
      </w:pPr>
    </w:p>
    <w:p w14:paraId="2F740A1B" w14:textId="77777777" w:rsidR="00D97723" w:rsidRPr="00D05EC2" w:rsidRDefault="00D97723">
      <w:pPr>
        <w:pStyle w:val="BodyText"/>
        <w:spacing w:before="190"/>
        <w:ind w:left="0"/>
        <w:jc w:val="left"/>
        <w:rPr>
          <w:rFonts w:ascii="Times New Roman" w:hAnsi="Times New Roman" w:cs="Times New Roman"/>
          <w:sz w:val="20"/>
          <w:lang w:val="en-ID"/>
        </w:rPr>
      </w:pPr>
    </w:p>
    <w:p w14:paraId="11B47405" w14:textId="77777777" w:rsidR="00D97723" w:rsidRPr="00D05EC2" w:rsidRDefault="00456E38">
      <w:pPr>
        <w:pStyle w:val="Heading1"/>
        <w:spacing w:before="1"/>
        <w:ind w:left="53" w:firstLine="0"/>
      </w:pPr>
      <w:r w:rsidRPr="00D05EC2">
        <w:rPr>
          <w:rFonts w:ascii="Times New Roman" w:hAnsi="Times New Roman" w:cs="Times New Roman"/>
          <w:spacing w:val="-2"/>
          <w:w w:val="110"/>
        </w:rPr>
        <w:t>ABSTRACT</w:t>
      </w:r>
    </w:p>
    <w:p w14:paraId="52D39EDC" w14:textId="77777777" w:rsidR="00D97723" w:rsidRPr="00D05EC2" w:rsidRDefault="00456E38" w:rsidP="00B5208B">
      <w:pPr>
        <w:spacing w:before="169"/>
        <w:ind w:left="620"/>
        <w:jc w:val="both"/>
      </w:pPr>
      <w:r w:rsidRPr="00D05EC2">
        <w:rPr>
          <w:rFonts w:ascii="Times New Roman" w:hAnsi="Times New Roman" w:cs="Times New Roman"/>
          <w:b/>
          <w:bCs/>
          <w:spacing w:val="-2"/>
        </w:rPr>
        <w:t>Manuscript type:</w:t>
      </w:r>
      <w:r w:rsidRPr="00D05EC2">
        <w:rPr>
          <w:rFonts w:ascii="Times New Roman" w:hAnsi="Times New Roman" w:cs="Times New Roman"/>
          <w:spacing w:val="-2"/>
        </w:rPr>
        <w:t xml:space="preserve"> Research Paper</w:t>
      </w:r>
    </w:p>
    <w:p w14:paraId="1B823CDC" w14:textId="38C7116C" w:rsidR="00D97723" w:rsidRPr="00D05EC2" w:rsidRDefault="00456E38" w:rsidP="00B5208B">
      <w:pPr>
        <w:ind w:left="620" w:right="47"/>
        <w:jc w:val="both"/>
      </w:pPr>
      <w:r w:rsidRPr="00D05EC2">
        <w:rPr>
          <w:rFonts w:ascii="Times New Roman" w:hAnsi="Times New Roman" w:cs="Times New Roman"/>
        </w:rPr>
        <w:t xml:space="preserve">Research aims: The aim of this study is </w:t>
      </w:r>
      <w:r w:rsidRPr="00D05EC2">
        <w:rPr>
          <w:rFonts w:ascii="Times New Roman" w:hAnsi="Times New Roman" w:cs="Times New Roman"/>
          <w:i/>
          <w:iCs/>
        </w:rPr>
        <w:t>so that the gap</w:t>
      </w:r>
      <w:r w:rsidRPr="00D05EC2">
        <w:rPr>
          <w:rFonts w:ascii="Times New Roman" w:hAnsi="Times New Roman" w:cs="Times New Roman"/>
        </w:rPr>
        <w:t xml:space="preserve"> between retirement age and life </w:t>
      </w:r>
      <w:r w:rsidR="00D05EC2" w:rsidRPr="00D05EC2">
        <w:rPr>
          <w:rFonts w:ascii="Times New Roman" w:hAnsi="Times New Roman" w:cs="Times New Roman"/>
        </w:rPr>
        <w:t>expectancy</w:t>
      </w:r>
      <w:r w:rsidRPr="00D05EC2">
        <w:rPr>
          <w:rFonts w:ascii="Times New Roman" w:hAnsi="Times New Roman" w:cs="Times New Roman"/>
        </w:rPr>
        <w:t xml:space="preserve"> can still be prepared before retirement</w:t>
      </w:r>
      <w:r w:rsidR="00666DCF" w:rsidRPr="00D05EC2">
        <w:rPr>
          <w:rFonts w:ascii="Times New Roman" w:hAnsi="Times New Roman" w:cs="Times New Roman"/>
        </w:rPr>
        <w:t>.</w:t>
      </w:r>
      <w:r w:rsidRPr="00D05EC2">
        <w:rPr>
          <w:rFonts w:ascii="Times New Roman" w:hAnsi="Times New Roman" w:cs="Times New Roman"/>
          <w:lang w:val="en-ID"/>
        </w:rPr>
        <w:t xml:space="preserve"> </w:t>
      </w:r>
    </w:p>
    <w:p w14:paraId="6E657CB7" w14:textId="2E45F62B" w:rsidR="00D97723" w:rsidRPr="00D05EC2" w:rsidRDefault="00456E38" w:rsidP="00B5208B">
      <w:pPr>
        <w:spacing w:before="1"/>
        <w:ind w:left="620" w:right="51"/>
        <w:jc w:val="both"/>
      </w:pPr>
      <w:r w:rsidRPr="00D05EC2">
        <w:rPr>
          <w:rFonts w:ascii="Times New Roman" w:hAnsi="Times New Roman" w:cs="Times New Roman"/>
          <w:b/>
          <w:bCs/>
        </w:rPr>
        <w:t>Design/Methodology/Approach</w:t>
      </w:r>
      <w:r w:rsidRPr="00D05EC2">
        <w:rPr>
          <w:rFonts w:ascii="Times New Roman" w:hAnsi="Times New Roman" w:cs="Times New Roman"/>
        </w:rPr>
        <w:t>:</w:t>
      </w:r>
      <w:r w:rsidRPr="00D05EC2">
        <w:rPr>
          <w:rFonts w:ascii="Times New Roman" w:hAnsi="Times New Roman" w:cs="Times New Roman"/>
          <w:spacing w:val="-6"/>
        </w:rPr>
        <w:t xml:space="preserve"> </w:t>
      </w:r>
      <w:r w:rsidRPr="00D05EC2">
        <w:rPr>
          <w:rFonts w:ascii="Times New Roman" w:hAnsi="Times New Roman" w:cs="Times New Roman"/>
        </w:rPr>
        <w:t>This</w:t>
      </w:r>
      <w:r w:rsidRPr="00D05EC2">
        <w:rPr>
          <w:rFonts w:ascii="Times New Roman" w:hAnsi="Times New Roman" w:cs="Times New Roman"/>
          <w:spacing w:val="-6"/>
        </w:rPr>
        <w:t xml:space="preserve"> </w:t>
      </w:r>
      <w:r w:rsidRPr="00D05EC2">
        <w:rPr>
          <w:rFonts w:ascii="Times New Roman" w:hAnsi="Times New Roman" w:cs="Times New Roman"/>
        </w:rPr>
        <w:t>research</w:t>
      </w:r>
      <w:r w:rsidRPr="00D05EC2">
        <w:rPr>
          <w:rFonts w:ascii="Times New Roman" w:hAnsi="Times New Roman" w:cs="Times New Roman"/>
          <w:spacing w:val="-6"/>
        </w:rPr>
        <w:t xml:space="preserve"> </w:t>
      </w:r>
      <w:r w:rsidRPr="00D05EC2">
        <w:rPr>
          <w:rFonts w:ascii="Times New Roman" w:hAnsi="Times New Roman" w:cs="Times New Roman"/>
        </w:rPr>
        <w:t>used</w:t>
      </w:r>
      <w:r w:rsidRPr="00D05EC2">
        <w:rPr>
          <w:rFonts w:ascii="Times New Roman" w:hAnsi="Times New Roman" w:cs="Times New Roman"/>
          <w:spacing w:val="-6"/>
        </w:rPr>
        <w:t xml:space="preserve"> </w:t>
      </w:r>
      <w:r w:rsidRPr="00D05EC2">
        <w:rPr>
          <w:rFonts w:ascii="Times New Roman" w:hAnsi="Times New Roman" w:cs="Times New Roman"/>
        </w:rPr>
        <w:t>132</w:t>
      </w:r>
      <w:r w:rsidRPr="00D05EC2">
        <w:rPr>
          <w:rFonts w:ascii="Times New Roman" w:hAnsi="Times New Roman" w:cs="Times New Roman"/>
          <w:spacing w:val="-6"/>
        </w:rPr>
        <w:t xml:space="preserve"> </w:t>
      </w:r>
      <w:r w:rsidRPr="00D05EC2">
        <w:rPr>
          <w:rFonts w:ascii="Times New Roman" w:hAnsi="Times New Roman" w:cs="Times New Roman"/>
        </w:rPr>
        <w:t>samples</w:t>
      </w:r>
      <w:r w:rsidRPr="00D05EC2">
        <w:rPr>
          <w:rFonts w:ascii="Times New Roman" w:hAnsi="Times New Roman" w:cs="Times New Roman"/>
          <w:spacing w:val="-6"/>
        </w:rPr>
        <w:t xml:space="preserve"> </w:t>
      </w:r>
      <w:r w:rsidRPr="00D05EC2">
        <w:rPr>
          <w:rFonts w:ascii="Times New Roman" w:hAnsi="Times New Roman" w:cs="Times New Roman"/>
        </w:rPr>
        <w:t>of</w:t>
      </w:r>
      <w:r w:rsidRPr="00D05EC2">
        <w:rPr>
          <w:rFonts w:ascii="Times New Roman" w:hAnsi="Times New Roman" w:cs="Times New Roman"/>
          <w:spacing w:val="-6"/>
        </w:rPr>
        <w:t xml:space="preserve"> </w:t>
      </w:r>
      <w:r w:rsidRPr="00D05EC2">
        <w:rPr>
          <w:rFonts w:ascii="Times New Roman" w:hAnsi="Times New Roman" w:cs="Times New Roman"/>
        </w:rPr>
        <w:t xml:space="preserve">private retail employees located in Jakarta, Bogor, Tangerang, Depok, </w:t>
      </w:r>
      <w:r w:rsidR="00D05EC2" w:rsidRPr="00D05EC2">
        <w:rPr>
          <w:rFonts w:ascii="Times New Roman" w:hAnsi="Times New Roman" w:cs="Times New Roman"/>
        </w:rPr>
        <w:t>Bekasi,</w:t>
      </w:r>
      <w:r w:rsidRPr="00D05EC2">
        <w:rPr>
          <w:rFonts w:ascii="Times New Roman" w:hAnsi="Times New Roman" w:cs="Times New Roman"/>
        </w:rPr>
        <w:t xml:space="preserve"> and other cities in Indonesia,</w:t>
      </w:r>
      <w:r w:rsidRPr="00D05EC2">
        <w:rPr>
          <w:rFonts w:ascii="Times New Roman" w:hAnsi="Times New Roman" w:cs="Times New Roman"/>
          <w:spacing w:val="40"/>
        </w:rPr>
        <w:t xml:space="preserve"> </w:t>
      </w:r>
      <w:r w:rsidRPr="00D05EC2">
        <w:rPr>
          <w:rFonts w:ascii="Times New Roman" w:hAnsi="Times New Roman" w:cs="Times New Roman"/>
        </w:rPr>
        <w:t xml:space="preserve">which were analyzed using </w:t>
      </w:r>
      <w:proofErr w:type="spellStart"/>
      <w:r w:rsidRPr="00D05EC2">
        <w:rPr>
          <w:rFonts w:ascii="Times New Roman" w:hAnsi="Times New Roman" w:cs="Times New Roman"/>
        </w:rPr>
        <w:t>SmartPLS</w:t>
      </w:r>
      <w:proofErr w:type="spellEnd"/>
      <w:r w:rsidRPr="00D05EC2">
        <w:rPr>
          <w:rFonts w:ascii="Times New Roman" w:hAnsi="Times New Roman" w:cs="Times New Roman"/>
        </w:rPr>
        <w:t xml:space="preserve"> 4.0</w:t>
      </w:r>
    </w:p>
    <w:p w14:paraId="466E6C8B" w14:textId="13A0B55B" w:rsidR="00D97723" w:rsidRPr="00D05EC2" w:rsidRDefault="00456E38" w:rsidP="00B5208B">
      <w:pPr>
        <w:spacing w:before="3"/>
        <w:ind w:left="620" w:right="47"/>
        <w:jc w:val="both"/>
      </w:pPr>
      <w:r w:rsidRPr="00D05EC2">
        <w:rPr>
          <w:rFonts w:ascii="Times New Roman" w:hAnsi="Times New Roman" w:cs="Times New Roman"/>
          <w:b/>
          <w:bCs/>
        </w:rPr>
        <w:t>Research</w:t>
      </w:r>
      <w:r w:rsidRPr="00D05EC2">
        <w:rPr>
          <w:rFonts w:ascii="Times New Roman" w:hAnsi="Times New Roman" w:cs="Times New Roman"/>
          <w:b/>
          <w:bCs/>
          <w:spacing w:val="19"/>
        </w:rPr>
        <w:t xml:space="preserve"> </w:t>
      </w:r>
      <w:r w:rsidRPr="00D05EC2">
        <w:rPr>
          <w:rFonts w:ascii="Times New Roman" w:hAnsi="Times New Roman" w:cs="Times New Roman"/>
          <w:b/>
          <w:bCs/>
        </w:rPr>
        <w:t>findings</w:t>
      </w:r>
      <w:r w:rsidRPr="00D05EC2">
        <w:rPr>
          <w:rFonts w:ascii="Times New Roman" w:hAnsi="Times New Roman" w:cs="Times New Roman"/>
        </w:rPr>
        <w:t>:</w:t>
      </w:r>
      <w:r w:rsidRPr="00D05EC2">
        <w:rPr>
          <w:rFonts w:ascii="Times New Roman" w:hAnsi="Times New Roman" w:cs="Times New Roman"/>
          <w:spacing w:val="19"/>
        </w:rPr>
        <w:t xml:space="preserve"> The</w:t>
      </w:r>
      <w:r w:rsidR="00D05EC2">
        <w:rPr>
          <w:rFonts w:ascii="Times New Roman" w:hAnsi="Times New Roman" w:cs="Times New Roman"/>
          <w:spacing w:val="19"/>
        </w:rPr>
        <w:t xml:space="preserve"> </w:t>
      </w:r>
      <w:r w:rsidR="00D05EC2" w:rsidRPr="00D05EC2">
        <w:rPr>
          <w:rFonts w:ascii="Times New Roman" w:hAnsi="Times New Roman" w:cs="Times New Roman"/>
          <w:spacing w:val="19"/>
        </w:rPr>
        <w:t>results</w:t>
      </w:r>
      <w:r w:rsidRPr="00D05EC2">
        <w:rPr>
          <w:rFonts w:ascii="Times New Roman" w:hAnsi="Times New Roman" w:cs="Times New Roman"/>
          <w:spacing w:val="19"/>
        </w:rPr>
        <w:t xml:space="preserve"> of </w:t>
      </w:r>
      <w:r w:rsidR="00413760">
        <w:rPr>
          <w:rFonts w:ascii="Times New Roman" w:hAnsi="Times New Roman" w:cs="Times New Roman"/>
          <w:spacing w:val="19"/>
        </w:rPr>
        <w:t xml:space="preserve">the </w:t>
      </w:r>
      <w:r w:rsidRPr="00D05EC2">
        <w:rPr>
          <w:rFonts w:ascii="Times New Roman" w:hAnsi="Times New Roman" w:cs="Times New Roman"/>
        </w:rPr>
        <w:t>research</w:t>
      </w:r>
      <w:r w:rsidRPr="00D05EC2">
        <w:rPr>
          <w:rFonts w:ascii="Times New Roman" w:hAnsi="Times New Roman" w:cs="Times New Roman"/>
          <w:spacing w:val="19"/>
        </w:rPr>
        <w:t xml:space="preserve"> </w:t>
      </w:r>
      <w:r w:rsidRPr="00D05EC2">
        <w:rPr>
          <w:rFonts w:ascii="Times New Roman" w:hAnsi="Times New Roman" w:cs="Times New Roman"/>
        </w:rPr>
        <w:t>show that saving behavior significantly impacts financial retirement planning. Private retail employees who save consistently are more likely to secure well-being in old age confirming a strong correlation between saving habits and retirement planning.</w:t>
      </w:r>
    </w:p>
    <w:p w14:paraId="1546F846" w14:textId="77777777" w:rsidR="00D97723" w:rsidRPr="00D05EC2" w:rsidRDefault="00456E38" w:rsidP="00B5208B">
      <w:pPr>
        <w:spacing w:before="4"/>
        <w:ind w:left="620" w:right="42"/>
        <w:jc w:val="both"/>
      </w:pPr>
      <w:r w:rsidRPr="00D05EC2">
        <w:rPr>
          <w:rFonts w:ascii="Times New Roman" w:hAnsi="Times New Roman" w:cs="Times New Roman"/>
          <w:b/>
          <w:bCs/>
        </w:rPr>
        <w:t>Theoretical contribution/Originality</w:t>
      </w:r>
      <w:r w:rsidRPr="00D05EC2">
        <w:rPr>
          <w:rFonts w:ascii="Times New Roman" w:hAnsi="Times New Roman" w:cs="Times New Roman"/>
        </w:rPr>
        <w:t>: This study contributes to the theoretical development in multidisciplinary studies, specifically finance and management, and as a reference for future research regarding financial behavior, retirement planning, and herding behavior.</w:t>
      </w:r>
    </w:p>
    <w:p w14:paraId="5EAF5EDC" w14:textId="77777777" w:rsidR="00D97723" w:rsidRPr="00D05EC2" w:rsidRDefault="00456E38" w:rsidP="00B5208B">
      <w:pPr>
        <w:spacing w:before="4"/>
        <w:ind w:left="620" w:right="44"/>
        <w:jc w:val="both"/>
        <w:rPr>
          <w:rFonts w:ascii="Times New Roman" w:hAnsi="Times New Roman" w:cs="Times New Roman"/>
        </w:rPr>
      </w:pPr>
      <w:r w:rsidRPr="00D05EC2">
        <w:rPr>
          <w:rFonts w:ascii="Times New Roman" w:hAnsi="Times New Roman" w:cs="Times New Roman"/>
          <w:b/>
          <w:bCs/>
        </w:rPr>
        <w:t>Practitioner/Policy</w:t>
      </w:r>
      <w:r w:rsidRPr="00D05EC2">
        <w:rPr>
          <w:rFonts w:ascii="Times New Roman" w:hAnsi="Times New Roman" w:cs="Times New Roman"/>
          <w:b/>
          <w:bCs/>
          <w:spacing w:val="-1"/>
        </w:rPr>
        <w:t xml:space="preserve"> </w:t>
      </w:r>
      <w:r w:rsidRPr="00D05EC2">
        <w:rPr>
          <w:rFonts w:ascii="Times New Roman" w:hAnsi="Times New Roman" w:cs="Times New Roman"/>
          <w:b/>
          <w:bCs/>
        </w:rPr>
        <w:t>implications</w:t>
      </w:r>
      <w:r w:rsidRPr="00D05EC2">
        <w:rPr>
          <w:rFonts w:ascii="Times New Roman" w:hAnsi="Times New Roman" w:cs="Times New Roman"/>
        </w:rPr>
        <w:t>:</w:t>
      </w:r>
      <w:r w:rsidRPr="00D05EC2">
        <w:rPr>
          <w:rFonts w:ascii="Times New Roman" w:hAnsi="Times New Roman" w:cs="Times New Roman"/>
          <w:spacing w:val="-1"/>
        </w:rPr>
        <w:t xml:space="preserve"> </w:t>
      </w:r>
      <w:r w:rsidRPr="00D05EC2">
        <w:rPr>
          <w:rFonts w:ascii="Times New Roman" w:hAnsi="Times New Roman" w:cs="Times New Roman"/>
        </w:rPr>
        <w:t>This</w:t>
      </w:r>
      <w:r w:rsidRPr="00D05EC2">
        <w:rPr>
          <w:rFonts w:ascii="Times New Roman" w:hAnsi="Times New Roman" w:cs="Times New Roman"/>
          <w:spacing w:val="-1"/>
        </w:rPr>
        <w:t xml:space="preserve"> </w:t>
      </w:r>
      <w:r w:rsidRPr="00D05EC2">
        <w:rPr>
          <w:rFonts w:ascii="Times New Roman" w:hAnsi="Times New Roman" w:cs="Times New Roman"/>
        </w:rPr>
        <w:t>research</w:t>
      </w:r>
      <w:r w:rsidRPr="00D05EC2">
        <w:rPr>
          <w:rFonts w:ascii="Times New Roman" w:hAnsi="Times New Roman" w:cs="Times New Roman"/>
          <w:spacing w:val="-1"/>
        </w:rPr>
        <w:t xml:space="preserve"> </w:t>
      </w:r>
      <w:r w:rsidRPr="00D05EC2">
        <w:rPr>
          <w:rFonts w:ascii="Times New Roman" w:hAnsi="Times New Roman" w:cs="Times New Roman"/>
        </w:rPr>
        <w:t>implies</w:t>
      </w:r>
      <w:r w:rsidRPr="00D05EC2">
        <w:rPr>
          <w:rFonts w:ascii="Times New Roman" w:hAnsi="Times New Roman" w:cs="Times New Roman"/>
          <w:spacing w:val="-1"/>
        </w:rPr>
        <w:t xml:space="preserve"> </w:t>
      </w:r>
      <w:r w:rsidRPr="00D05EC2">
        <w:rPr>
          <w:rFonts w:ascii="Times New Roman" w:hAnsi="Times New Roman" w:cs="Times New Roman"/>
        </w:rPr>
        <w:t>that</w:t>
      </w:r>
      <w:r w:rsidRPr="00D05EC2">
        <w:rPr>
          <w:rFonts w:ascii="Times New Roman" w:hAnsi="Times New Roman" w:cs="Times New Roman"/>
          <w:spacing w:val="-1"/>
        </w:rPr>
        <w:t xml:space="preserve"> p</w:t>
      </w:r>
      <w:r w:rsidRPr="00D05EC2">
        <w:rPr>
          <w:rFonts w:ascii="Times New Roman" w:hAnsi="Times New Roman" w:cs="Times New Roman"/>
        </w:rPr>
        <w:t>rivate employees without monthly pensions should prepare for retirement early to ensure a prosperous post-retirement life. Companies can support this by helping employees manage their income effectively.</w:t>
      </w:r>
    </w:p>
    <w:p w14:paraId="08D6F810" w14:textId="6FF487FC" w:rsidR="00D97723" w:rsidRPr="00D05EC2" w:rsidRDefault="00456E38" w:rsidP="00B5208B">
      <w:pPr>
        <w:spacing w:before="3"/>
        <w:ind w:left="620" w:right="51"/>
        <w:jc w:val="both"/>
        <w:rPr>
          <w:rFonts w:ascii="Times New Roman" w:hAnsi="Times New Roman" w:cs="Times New Roman"/>
        </w:rPr>
      </w:pPr>
      <w:r w:rsidRPr="00D05EC2">
        <w:rPr>
          <w:rFonts w:ascii="Times New Roman" w:hAnsi="Times New Roman" w:cs="Times New Roman"/>
          <w:b/>
          <w:w w:val="105"/>
        </w:rPr>
        <w:t>Research</w:t>
      </w:r>
      <w:r w:rsidRPr="00D05EC2">
        <w:rPr>
          <w:rFonts w:ascii="Times New Roman" w:hAnsi="Times New Roman" w:cs="Times New Roman"/>
          <w:b/>
          <w:spacing w:val="-6"/>
          <w:w w:val="105"/>
        </w:rPr>
        <w:t xml:space="preserve"> </w:t>
      </w:r>
      <w:r w:rsidRPr="00D05EC2">
        <w:rPr>
          <w:rFonts w:ascii="Times New Roman" w:hAnsi="Times New Roman" w:cs="Times New Roman"/>
          <w:b/>
          <w:w w:val="105"/>
        </w:rPr>
        <w:t>limitation/Implication</w:t>
      </w:r>
      <w:r w:rsidRPr="00D05EC2">
        <w:rPr>
          <w:rFonts w:ascii="Times New Roman" w:hAnsi="Times New Roman" w:cs="Times New Roman"/>
          <w:w w:val="105"/>
        </w:rPr>
        <w:t>:</w:t>
      </w:r>
      <w:r w:rsidRPr="00D05EC2">
        <w:rPr>
          <w:rFonts w:ascii="Times New Roman" w:hAnsi="Times New Roman" w:cs="Times New Roman"/>
          <w:spacing w:val="-6"/>
          <w:w w:val="105"/>
        </w:rPr>
        <w:t xml:space="preserve"> </w:t>
      </w:r>
      <w:r w:rsidRPr="00D05EC2">
        <w:rPr>
          <w:rFonts w:ascii="Times New Roman" w:hAnsi="Times New Roman" w:cs="Times New Roman"/>
          <w:w w:val="105"/>
        </w:rPr>
        <w:t>This</w:t>
      </w:r>
      <w:r w:rsidRPr="00D05EC2">
        <w:rPr>
          <w:rFonts w:ascii="Times New Roman" w:hAnsi="Times New Roman" w:cs="Times New Roman"/>
          <w:spacing w:val="-6"/>
          <w:w w:val="105"/>
        </w:rPr>
        <w:t xml:space="preserve"> </w:t>
      </w:r>
      <w:r w:rsidRPr="00D05EC2">
        <w:rPr>
          <w:rFonts w:ascii="Times New Roman" w:hAnsi="Times New Roman" w:cs="Times New Roman"/>
          <w:w w:val="105"/>
        </w:rPr>
        <w:t>research</w:t>
      </w:r>
      <w:r w:rsidRPr="00D05EC2">
        <w:rPr>
          <w:rFonts w:ascii="Times New Roman" w:hAnsi="Times New Roman" w:cs="Times New Roman"/>
          <w:spacing w:val="-6"/>
          <w:w w:val="105"/>
        </w:rPr>
        <w:t xml:space="preserve"> </w:t>
      </w:r>
      <w:r w:rsidRPr="00D05EC2">
        <w:rPr>
          <w:rFonts w:ascii="Times New Roman" w:hAnsi="Times New Roman" w:cs="Times New Roman"/>
          <w:w w:val="105"/>
        </w:rPr>
        <w:t>is</w:t>
      </w:r>
      <w:r w:rsidRPr="00D05EC2">
        <w:rPr>
          <w:rFonts w:ascii="Times New Roman" w:hAnsi="Times New Roman" w:cs="Times New Roman"/>
          <w:spacing w:val="-6"/>
          <w:w w:val="105"/>
        </w:rPr>
        <w:t xml:space="preserve"> </w:t>
      </w:r>
      <w:r w:rsidRPr="00D05EC2">
        <w:rPr>
          <w:rFonts w:ascii="Times New Roman" w:hAnsi="Times New Roman" w:cs="Times New Roman"/>
          <w:w w:val="105"/>
        </w:rPr>
        <w:t>still</w:t>
      </w:r>
      <w:r w:rsidRPr="00D05EC2">
        <w:rPr>
          <w:rFonts w:ascii="Times New Roman" w:hAnsi="Times New Roman" w:cs="Times New Roman"/>
          <w:spacing w:val="-6"/>
          <w:w w:val="105"/>
        </w:rPr>
        <w:t xml:space="preserve"> </w:t>
      </w:r>
      <w:r w:rsidRPr="00D05EC2">
        <w:rPr>
          <w:rFonts w:ascii="Times New Roman" w:hAnsi="Times New Roman" w:cs="Times New Roman"/>
          <w:w w:val="105"/>
        </w:rPr>
        <w:t>limited</w:t>
      </w:r>
      <w:r w:rsidRPr="00D05EC2">
        <w:rPr>
          <w:rFonts w:ascii="Times New Roman" w:hAnsi="Times New Roman" w:cs="Times New Roman"/>
          <w:spacing w:val="-6"/>
          <w:w w:val="105"/>
        </w:rPr>
        <w:t xml:space="preserve"> </w:t>
      </w:r>
      <w:r w:rsidRPr="00D05EC2">
        <w:rPr>
          <w:rFonts w:ascii="Times New Roman" w:hAnsi="Times New Roman" w:cs="Times New Roman"/>
          <w:w w:val="105"/>
        </w:rPr>
        <w:t>to</w:t>
      </w:r>
      <w:r w:rsidRPr="00D05EC2">
        <w:rPr>
          <w:rFonts w:ascii="Times New Roman" w:hAnsi="Times New Roman" w:cs="Times New Roman"/>
          <w:spacing w:val="-6"/>
          <w:w w:val="105"/>
        </w:rPr>
        <w:t xml:space="preserve"> </w:t>
      </w:r>
      <w:r w:rsidRPr="00D05EC2">
        <w:rPr>
          <w:rFonts w:ascii="Times New Roman" w:hAnsi="Times New Roman" w:cs="Times New Roman"/>
        </w:rPr>
        <w:t xml:space="preserve">private retail employees within </w:t>
      </w:r>
      <w:r w:rsidR="00D6136B">
        <w:rPr>
          <w:rFonts w:ascii="Times New Roman" w:hAnsi="Times New Roman" w:cs="Times New Roman"/>
        </w:rPr>
        <w:t>a</w:t>
      </w:r>
      <w:r w:rsidRPr="00D05EC2">
        <w:rPr>
          <w:rFonts w:ascii="Times New Roman" w:hAnsi="Times New Roman" w:cs="Times New Roman"/>
        </w:rPr>
        <w:t xml:space="preserve"> small number of </w:t>
      </w:r>
      <w:r w:rsidR="00D05EC2" w:rsidRPr="00D05EC2">
        <w:rPr>
          <w:rFonts w:ascii="Times New Roman" w:hAnsi="Times New Roman" w:cs="Times New Roman"/>
        </w:rPr>
        <w:t>locations</w:t>
      </w:r>
      <w:r w:rsidRPr="00D05EC2">
        <w:rPr>
          <w:rFonts w:ascii="Times New Roman" w:hAnsi="Times New Roman" w:cs="Times New Roman"/>
        </w:rPr>
        <w:t xml:space="preserve"> in Indonesia.</w:t>
      </w:r>
    </w:p>
    <w:p w14:paraId="39F744FF" w14:textId="77777777" w:rsidR="00D97723" w:rsidRDefault="00D97723" w:rsidP="00B5208B">
      <w:pPr>
        <w:pStyle w:val="BodyText"/>
        <w:spacing w:before="91"/>
        <w:ind w:left="0"/>
        <w:jc w:val="left"/>
        <w:rPr>
          <w:rFonts w:ascii="Times New Roman" w:hAnsi="Times New Roman" w:cs="Times New Roman"/>
          <w:sz w:val="22"/>
          <w:szCs w:val="22"/>
        </w:rPr>
      </w:pPr>
    </w:p>
    <w:p w14:paraId="75622BDA" w14:textId="3B51F59A" w:rsidR="00AB301B" w:rsidRPr="00B5208B" w:rsidRDefault="00AB301B" w:rsidP="00B5208B">
      <w:pPr>
        <w:spacing w:before="73"/>
        <w:ind w:left="620"/>
        <w:jc w:val="both"/>
        <w:rPr>
          <w:rFonts w:ascii="Times New Roman" w:hAnsi="Times New Roman" w:cs="Times New Roman"/>
          <w:b/>
          <w:spacing w:val="9"/>
          <w:w w:val="105"/>
        </w:rPr>
      </w:pPr>
      <w:r w:rsidRPr="00AB301B">
        <w:rPr>
          <w:rFonts w:ascii="Times New Roman" w:hAnsi="Times New Roman" w:cs="Times New Roman"/>
          <w:b/>
          <w:spacing w:val="9"/>
          <w:w w:val="105"/>
        </w:rPr>
        <w:t xml:space="preserve">Keywords: </w:t>
      </w:r>
      <w:r w:rsidRPr="00AB301B">
        <w:rPr>
          <w:rFonts w:ascii="Times New Roman" w:hAnsi="Times New Roman" w:cs="Times New Roman"/>
          <w:spacing w:val="9"/>
          <w:w w:val="105"/>
        </w:rPr>
        <w:t>Financial Literacy, Saving Intentions, Saving Behavior, Social Economic Status, Herding Behavior, Retirement Planning</w:t>
      </w:r>
    </w:p>
    <w:p w14:paraId="523933D8" w14:textId="77777777" w:rsidR="00AB301B" w:rsidRPr="00D05EC2" w:rsidRDefault="00AB301B" w:rsidP="00B5208B">
      <w:pPr>
        <w:spacing w:before="5"/>
        <w:ind w:left="620"/>
        <w:rPr>
          <w:rFonts w:ascii="Times New Roman" w:hAnsi="Times New Roman" w:cs="Times New Roman"/>
          <w:strike/>
          <w:sz w:val="18"/>
        </w:rPr>
      </w:pPr>
      <w:r w:rsidRPr="00AB301B">
        <w:rPr>
          <w:rFonts w:ascii="Times New Roman" w:hAnsi="Times New Roman" w:cs="Times New Roman"/>
          <w:b/>
        </w:rPr>
        <w:t>JEL</w:t>
      </w:r>
      <w:r w:rsidRPr="00AB301B">
        <w:rPr>
          <w:rFonts w:ascii="Times New Roman" w:hAnsi="Times New Roman" w:cs="Times New Roman"/>
          <w:b/>
          <w:spacing w:val="13"/>
        </w:rPr>
        <w:t xml:space="preserve"> </w:t>
      </w:r>
      <w:r w:rsidRPr="00AB301B">
        <w:rPr>
          <w:rFonts w:ascii="Times New Roman" w:hAnsi="Times New Roman" w:cs="Times New Roman"/>
          <w:b/>
        </w:rPr>
        <w:t>Classification</w:t>
      </w:r>
      <w:r w:rsidRPr="00AB301B">
        <w:rPr>
          <w:rFonts w:ascii="Times New Roman" w:hAnsi="Times New Roman" w:cs="Times New Roman"/>
        </w:rPr>
        <w:t>:</w:t>
      </w:r>
      <w:r w:rsidRPr="00AB301B">
        <w:rPr>
          <w:rFonts w:ascii="Times New Roman" w:hAnsi="Times New Roman" w:cs="Times New Roman"/>
          <w:spacing w:val="14"/>
        </w:rPr>
        <w:t xml:space="preserve">  G.53, D.14, G.41, J.11, G.02, I.13</w:t>
      </w:r>
      <w:r w:rsidRPr="00D05EC2">
        <w:rPr>
          <w:rFonts w:ascii="Times New Roman" w:hAnsi="Times New Roman" w:cs="Times New Roman"/>
          <w:spacing w:val="14"/>
          <w:sz w:val="18"/>
        </w:rPr>
        <w:t xml:space="preserve">      </w:t>
      </w:r>
    </w:p>
    <w:p w14:paraId="4635C114" w14:textId="77777777" w:rsidR="00AB301B" w:rsidRDefault="00AB301B">
      <w:pPr>
        <w:pStyle w:val="BodyText"/>
        <w:spacing w:before="91"/>
        <w:ind w:left="0"/>
        <w:jc w:val="left"/>
        <w:rPr>
          <w:rFonts w:ascii="Times New Roman" w:hAnsi="Times New Roman" w:cs="Times New Roman"/>
          <w:sz w:val="20"/>
          <w:szCs w:val="20"/>
        </w:rPr>
      </w:pPr>
    </w:p>
    <w:p w14:paraId="173D0757" w14:textId="77777777" w:rsidR="00AB301B" w:rsidRDefault="00AB301B">
      <w:pPr>
        <w:pStyle w:val="BodyText"/>
        <w:spacing w:before="91"/>
        <w:ind w:left="0"/>
        <w:jc w:val="left"/>
        <w:rPr>
          <w:rFonts w:ascii="Times New Roman" w:hAnsi="Times New Roman" w:cs="Times New Roman"/>
          <w:sz w:val="20"/>
          <w:szCs w:val="20"/>
        </w:rPr>
      </w:pPr>
    </w:p>
    <w:p w14:paraId="1B4F5DBD" w14:textId="77777777" w:rsidR="00AB301B" w:rsidRDefault="00AB301B">
      <w:pPr>
        <w:pStyle w:val="BodyText"/>
        <w:spacing w:before="91"/>
        <w:ind w:left="0"/>
        <w:jc w:val="left"/>
        <w:rPr>
          <w:rFonts w:ascii="Times New Roman" w:hAnsi="Times New Roman" w:cs="Times New Roman"/>
          <w:sz w:val="20"/>
          <w:szCs w:val="20"/>
        </w:rPr>
      </w:pPr>
    </w:p>
    <w:p w14:paraId="24748300" w14:textId="77777777" w:rsidR="00AB301B" w:rsidRDefault="00AB301B">
      <w:pPr>
        <w:pStyle w:val="BodyText"/>
        <w:spacing w:before="91"/>
        <w:ind w:left="0"/>
        <w:jc w:val="left"/>
        <w:rPr>
          <w:rFonts w:ascii="Times New Roman" w:hAnsi="Times New Roman" w:cs="Times New Roman"/>
          <w:sz w:val="20"/>
          <w:szCs w:val="20"/>
        </w:rPr>
      </w:pPr>
    </w:p>
    <w:p w14:paraId="4FEE951D" w14:textId="77777777" w:rsidR="00AB301B" w:rsidRDefault="00AB301B">
      <w:pPr>
        <w:pStyle w:val="BodyText"/>
        <w:spacing w:before="91"/>
        <w:ind w:left="0"/>
        <w:jc w:val="left"/>
        <w:rPr>
          <w:rFonts w:ascii="Times New Roman" w:hAnsi="Times New Roman" w:cs="Times New Roman"/>
          <w:sz w:val="20"/>
          <w:szCs w:val="20"/>
        </w:rPr>
      </w:pPr>
    </w:p>
    <w:p w14:paraId="5E1EB38A" w14:textId="77777777" w:rsidR="00D97723" w:rsidRDefault="00456E38">
      <w:pPr>
        <w:pStyle w:val="BodyText"/>
        <w:spacing w:before="91"/>
        <w:ind w:left="0"/>
        <w:jc w:val="left"/>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0" distR="0" simplePos="0" relativeHeight="28" behindDoc="0" locked="0" layoutInCell="1" allowOverlap="1" wp14:anchorId="5B27445F" wp14:editId="0C76C4CF">
                <wp:simplePos x="0" y="0"/>
                <wp:positionH relativeFrom="column">
                  <wp:posOffset>9525</wp:posOffset>
                </wp:positionH>
                <wp:positionV relativeFrom="paragraph">
                  <wp:posOffset>191770</wp:posOffset>
                </wp:positionV>
                <wp:extent cx="1449070" cy="1270"/>
                <wp:effectExtent l="0" t="0" r="0" b="0"/>
                <wp:wrapNone/>
                <wp:docPr id="1" name="Straight Connector 28"/>
                <wp:cNvGraphicFramePr/>
                <a:graphic xmlns:a="http://schemas.openxmlformats.org/drawingml/2006/main">
                  <a:graphicData uri="http://schemas.microsoft.com/office/word/2010/wordprocessingShape">
                    <wps:wsp>
                      <wps:cNvCnPr/>
                      <wps:spPr>
                        <a:xfrm>
                          <a:off x="0" y="0"/>
                          <a:ext cx="1448280" cy="0"/>
                        </a:xfrm>
                        <a:prstGeom prst="line">
                          <a:avLst/>
                        </a:prstGeom>
                        <a:ln>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75pt,15.1pt" to="114.75pt,15.1pt" ID="Straight Connector 28" stroked="t" style="position:absolute" wp14:anchorId="262C563A">
                <v:stroke color="black" weight="9360" joinstyle="round" endcap="flat"/>
                <v:fill o:detectmouseclick="t" on="false"/>
              </v:line>
            </w:pict>
          </mc:Fallback>
        </mc:AlternateContent>
      </w:r>
    </w:p>
    <w:p w14:paraId="5ADAAB38" w14:textId="77777777" w:rsidR="00D97723" w:rsidRPr="00B5208B" w:rsidRDefault="00456E38">
      <w:pPr>
        <w:spacing w:before="98" w:line="252" w:lineRule="auto"/>
        <w:ind w:left="53" w:right="51"/>
        <w:jc w:val="both"/>
        <w:rPr>
          <w:sz w:val="18"/>
          <w:szCs w:val="18"/>
        </w:rPr>
      </w:pPr>
      <w:r w:rsidRPr="00B5208B">
        <w:rPr>
          <w:rFonts w:ascii="Times New Roman" w:hAnsi="Times New Roman" w:cs="Times New Roman"/>
          <w:sz w:val="18"/>
          <w:szCs w:val="18"/>
        </w:rPr>
        <w:t>*</w:t>
      </w:r>
      <w:r w:rsidRPr="00B5208B">
        <w:rPr>
          <w:rFonts w:ascii="Times New Roman" w:hAnsi="Times New Roman" w:cs="Times New Roman"/>
          <w:spacing w:val="80"/>
          <w:sz w:val="18"/>
          <w:szCs w:val="18"/>
        </w:rPr>
        <w:t xml:space="preserve"> </w:t>
      </w:r>
      <w:r w:rsidRPr="00B5208B">
        <w:rPr>
          <w:rFonts w:ascii="Times New Roman" w:hAnsi="Times New Roman" w:cs="Times New Roman"/>
          <w:sz w:val="18"/>
          <w:szCs w:val="18"/>
        </w:rPr>
        <w:t xml:space="preserve">Corresponding author Kurniawati Ciputra is a student of magister management at the Faculty of Economics and Business, Universitas Esa </w:t>
      </w:r>
      <w:proofErr w:type="spellStart"/>
      <w:r w:rsidRPr="00B5208B">
        <w:rPr>
          <w:rFonts w:ascii="Times New Roman" w:hAnsi="Times New Roman" w:cs="Times New Roman"/>
          <w:sz w:val="18"/>
          <w:szCs w:val="18"/>
        </w:rPr>
        <w:t>Unggul</w:t>
      </w:r>
      <w:proofErr w:type="spellEnd"/>
      <w:r w:rsidRPr="00B5208B">
        <w:rPr>
          <w:rFonts w:ascii="Times New Roman" w:hAnsi="Times New Roman" w:cs="Times New Roman"/>
          <w:sz w:val="18"/>
          <w:szCs w:val="18"/>
        </w:rPr>
        <w:t xml:space="preserve">, Jakarta, Indonesia. Email: </w:t>
      </w:r>
      <w:hyperlink r:id="rId9">
        <w:r w:rsidRPr="00B5208B">
          <w:rPr>
            <w:rStyle w:val="InternetLink"/>
            <w:rFonts w:ascii="Times New Roman" w:hAnsi="Times New Roman" w:cs="Times New Roman"/>
            <w:color w:val="auto"/>
            <w:sz w:val="18"/>
            <w:szCs w:val="18"/>
          </w:rPr>
          <w:t>kurniawaticiputr@gmail.com</w:t>
        </w:r>
      </w:hyperlink>
      <w:r w:rsidRPr="00B5208B">
        <w:rPr>
          <w:rFonts w:ascii="Times New Roman" w:hAnsi="Times New Roman" w:cs="Times New Roman"/>
          <w:sz w:val="18"/>
          <w:szCs w:val="18"/>
        </w:rPr>
        <w:t xml:space="preserve"> </w:t>
      </w:r>
    </w:p>
    <w:p w14:paraId="11E76760" w14:textId="4B1B8B77" w:rsidR="00D97723" w:rsidRPr="00B5208B" w:rsidRDefault="00456E38">
      <w:pPr>
        <w:spacing w:line="252" w:lineRule="auto"/>
        <w:ind w:left="53" w:right="51"/>
        <w:jc w:val="both"/>
        <w:rPr>
          <w:sz w:val="18"/>
          <w:szCs w:val="18"/>
        </w:rPr>
      </w:pPr>
      <w:r w:rsidRPr="00B5208B">
        <w:rPr>
          <w:rFonts w:ascii="Times New Roman" w:hAnsi="Times New Roman" w:cs="Times New Roman"/>
          <w:sz w:val="18"/>
          <w:szCs w:val="18"/>
        </w:rPr>
        <w:t xml:space="preserve">Tantri </w:t>
      </w:r>
      <w:proofErr w:type="spellStart"/>
      <w:r w:rsidRPr="00B5208B">
        <w:rPr>
          <w:rFonts w:ascii="Times New Roman" w:hAnsi="Times New Roman" w:cs="Times New Roman"/>
          <w:sz w:val="18"/>
          <w:szCs w:val="18"/>
        </w:rPr>
        <w:t>Yanuar</w:t>
      </w:r>
      <w:proofErr w:type="spellEnd"/>
      <w:r w:rsidRPr="00B5208B">
        <w:rPr>
          <w:rFonts w:ascii="Times New Roman" w:hAnsi="Times New Roman" w:cs="Times New Roman"/>
          <w:sz w:val="18"/>
          <w:szCs w:val="18"/>
        </w:rPr>
        <w:t xml:space="preserve"> Rahmat Syah is a Dean of the Faculty of Economics and Business, Master </w:t>
      </w:r>
      <w:r w:rsidR="00D05EC2" w:rsidRPr="00B5208B">
        <w:rPr>
          <w:rFonts w:ascii="Times New Roman" w:hAnsi="Times New Roman" w:cs="Times New Roman"/>
          <w:sz w:val="18"/>
          <w:szCs w:val="18"/>
        </w:rPr>
        <w:t>of Management</w:t>
      </w:r>
      <w:r w:rsidRPr="00B5208B">
        <w:rPr>
          <w:rFonts w:ascii="Times New Roman" w:hAnsi="Times New Roman" w:cs="Times New Roman"/>
          <w:sz w:val="18"/>
          <w:szCs w:val="18"/>
        </w:rPr>
        <w:t xml:space="preserve"> Study Program, Universitas Esa </w:t>
      </w:r>
      <w:proofErr w:type="spellStart"/>
      <w:r w:rsidRPr="00B5208B">
        <w:rPr>
          <w:rFonts w:ascii="Times New Roman" w:hAnsi="Times New Roman" w:cs="Times New Roman"/>
          <w:sz w:val="18"/>
          <w:szCs w:val="18"/>
        </w:rPr>
        <w:t>Unggul</w:t>
      </w:r>
      <w:proofErr w:type="spellEnd"/>
      <w:r w:rsidRPr="00B5208B">
        <w:rPr>
          <w:rFonts w:ascii="Times New Roman" w:hAnsi="Times New Roman" w:cs="Times New Roman"/>
          <w:sz w:val="18"/>
          <w:szCs w:val="18"/>
        </w:rPr>
        <w:t xml:space="preserve">, Jakarta, Indonesia. Email: </w:t>
      </w:r>
      <w:hyperlink r:id="rId10">
        <w:r w:rsidRPr="00B5208B">
          <w:rPr>
            <w:rStyle w:val="InternetLink"/>
            <w:rFonts w:ascii="Times New Roman" w:hAnsi="Times New Roman" w:cs="Times New Roman"/>
            <w:color w:val="auto"/>
            <w:sz w:val="18"/>
            <w:szCs w:val="18"/>
          </w:rPr>
          <w:t>tantri.yanuar@esaunggul.ac.id</w:t>
        </w:r>
      </w:hyperlink>
      <w:r w:rsidRPr="00B5208B">
        <w:rPr>
          <w:rFonts w:ascii="Times New Roman" w:hAnsi="Times New Roman" w:cs="Times New Roman"/>
          <w:sz w:val="18"/>
          <w:szCs w:val="18"/>
        </w:rPr>
        <w:t xml:space="preserve"> </w:t>
      </w:r>
    </w:p>
    <w:p w14:paraId="3AC1AAE8" w14:textId="1C40A9CD" w:rsidR="00D97723" w:rsidRDefault="00456E38">
      <w:pPr>
        <w:spacing w:line="252" w:lineRule="auto"/>
        <w:ind w:left="53" w:right="51"/>
        <w:jc w:val="both"/>
      </w:pPr>
      <w:r>
        <w:rPr>
          <w:rFonts w:ascii="Times New Roman" w:hAnsi="Times New Roman" w:cs="Times New Roman"/>
          <w:color w:val="231F20"/>
          <w:sz w:val="16"/>
          <w:szCs w:val="16"/>
        </w:rPr>
        <w:t xml:space="preserve"> </w:t>
      </w:r>
    </w:p>
    <w:p w14:paraId="32C6612C" w14:textId="77777777" w:rsidR="00D97723" w:rsidRDefault="00456E38">
      <w:pPr>
        <w:spacing w:before="151"/>
        <w:ind w:left="1700"/>
      </w:pPr>
      <w:hyperlink r:id="rId11">
        <w:r>
          <w:rPr>
            <w:rStyle w:val="InternetLink"/>
            <w:rFonts w:ascii="Times New Roman" w:hAnsi="Times New Roman" w:cs="Times New Roman"/>
            <w:spacing w:val="-2"/>
            <w:sz w:val="16"/>
            <w:lang w:val="en-ID"/>
          </w:rPr>
          <w:t>https://doi.org/...../ajba.vol</w:t>
        </w:r>
      </w:hyperlink>
      <w:r>
        <w:rPr>
          <w:rFonts w:ascii="Times New Roman" w:hAnsi="Times New Roman" w:cs="Times New Roman"/>
          <w:color w:val="231F20"/>
          <w:spacing w:val="-2"/>
          <w:sz w:val="16"/>
          <w:lang w:val="en-ID"/>
        </w:rPr>
        <w:t xml:space="preserve">.. </w:t>
      </w:r>
      <w:r>
        <w:rPr>
          <w:rFonts w:ascii="Times New Roman" w:hAnsi="Times New Roman" w:cs="Times New Roman"/>
          <w:color w:val="231F20"/>
          <w:spacing w:val="-2"/>
          <w:sz w:val="16"/>
        </w:rPr>
        <w:t>No… ….</w:t>
      </w:r>
    </w:p>
    <w:p w14:paraId="7F8A951F" w14:textId="77777777" w:rsidR="00D97723" w:rsidRDefault="00D97723">
      <w:pPr>
        <w:rPr>
          <w:rFonts w:ascii="Times New Roman" w:hAnsi="Times New Roman" w:cs="Times New Roman"/>
          <w:sz w:val="16"/>
          <w:szCs w:val="16"/>
        </w:rPr>
      </w:pPr>
    </w:p>
    <w:p w14:paraId="06C213A3" w14:textId="77777777" w:rsidR="00D97723" w:rsidRDefault="00456E38">
      <w:pPr>
        <w:pStyle w:val="BodyText"/>
        <w:tabs>
          <w:tab w:val="left" w:pos="567"/>
          <w:tab w:val="left" w:pos="1701"/>
        </w:tabs>
        <w:ind w:left="0"/>
        <w:jc w:val="left"/>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t>Orchid:0009-0007-9991-5866</w:t>
      </w:r>
    </w:p>
    <w:p w14:paraId="79E6CEF6" w14:textId="77777777" w:rsidR="00D100BA" w:rsidRPr="00D100BA" w:rsidRDefault="00D100BA" w:rsidP="00D100BA"/>
    <w:p w14:paraId="3547E5F0" w14:textId="54C8EC9F" w:rsidR="00D97723" w:rsidRDefault="00D97723" w:rsidP="00AB301B">
      <w:pPr>
        <w:widowControl/>
        <w:rPr>
          <w:rFonts w:ascii="Times New Roman" w:hAnsi="Times New Roman" w:cs="Times New Roman"/>
          <w:sz w:val="20"/>
          <w:szCs w:val="21"/>
        </w:rPr>
      </w:pPr>
    </w:p>
    <w:p w14:paraId="5247EDF6" w14:textId="77777777" w:rsidR="00B5208B" w:rsidRPr="00AB301B" w:rsidRDefault="00B5208B" w:rsidP="00AB301B">
      <w:pPr>
        <w:widowControl/>
        <w:rPr>
          <w:rFonts w:ascii="Times New Roman" w:hAnsi="Times New Roman" w:cs="Times New Roman"/>
          <w:sz w:val="20"/>
          <w:szCs w:val="21"/>
        </w:rPr>
      </w:pPr>
    </w:p>
    <w:p w14:paraId="224CE9AD" w14:textId="77777777" w:rsidR="00D97723" w:rsidRPr="00D05EC2" w:rsidRDefault="00456E38">
      <w:pPr>
        <w:pStyle w:val="Heading1"/>
        <w:numPr>
          <w:ilvl w:val="0"/>
          <w:numId w:val="1"/>
        </w:numPr>
        <w:tabs>
          <w:tab w:val="left" w:pos="618"/>
        </w:tabs>
        <w:spacing w:line="276" w:lineRule="auto"/>
        <w:ind w:left="618" w:hanging="558"/>
        <w:jc w:val="both"/>
        <w:rPr>
          <w:rFonts w:ascii="Times New Roman" w:hAnsi="Times New Roman" w:cs="Times New Roman"/>
        </w:rPr>
      </w:pPr>
      <w:r w:rsidRPr="00D05EC2">
        <w:rPr>
          <w:rFonts w:ascii="Times New Roman" w:hAnsi="Times New Roman" w:cs="Times New Roman"/>
          <w:spacing w:val="-2"/>
        </w:rPr>
        <w:lastRenderedPageBreak/>
        <w:t>Introduction</w:t>
      </w:r>
    </w:p>
    <w:p w14:paraId="72A73D82" w14:textId="175A1657" w:rsidR="004A5E0E" w:rsidRPr="00D05EC2" w:rsidRDefault="00456E38" w:rsidP="004A5E0E">
      <w:pPr>
        <w:shd w:val="clear" w:color="auto" w:fill="FFFFFF"/>
        <w:spacing w:line="276" w:lineRule="auto"/>
        <w:ind w:firstLine="618"/>
        <w:jc w:val="both"/>
        <w:rPr>
          <w:rFonts w:ascii="Times New Roman" w:hAnsi="Times New Roman" w:cs="Times New Roman"/>
        </w:rPr>
      </w:pPr>
      <w:r w:rsidRPr="00D05EC2">
        <w:rPr>
          <w:rFonts w:ascii="Times New Roman" w:hAnsi="Times New Roman" w:cs="Times New Roman"/>
          <w:lang w:val="en-ID"/>
        </w:rPr>
        <w:t xml:space="preserve">In general, Financial Literacy (FL) and financial </w:t>
      </w:r>
      <w:proofErr w:type="spellStart"/>
      <w:r w:rsidRPr="00D05EC2">
        <w:rPr>
          <w:rFonts w:ascii="Times New Roman" w:hAnsi="Times New Roman" w:cs="Times New Roman"/>
          <w:lang w:val="en-ID"/>
        </w:rPr>
        <w:t>behavior</w:t>
      </w:r>
      <w:proofErr w:type="spellEnd"/>
      <w:r w:rsidRPr="00D05EC2">
        <w:rPr>
          <w:rFonts w:ascii="Times New Roman" w:hAnsi="Times New Roman" w:cs="Times New Roman"/>
          <w:lang w:val="en-ID"/>
        </w:rPr>
        <w:t xml:space="preserve"> have an important role and significant impact on preparing for long term finance in preparation for retirement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{"citationItems":[{"id":"ITEM-1","itemData":{"DOI":"10.1108/JBSED-04-2021-0052","ISSN":"2635-1374","abstract":"Purpose&gt;The purpose of this study was to investigate the effect of financial literacy on personal retirement planning in Bukavu city in the Democratic Republic of the Congo (DRC), which is a Sub-Saharan underdeveloped country with a weak pension and social security system.Design/methodology/approach&gt;This study used a structural equation modeling and a sample of 361 public sector employees selected in Bukavu city in the DRC. The data were collected through a survey questionnaire, and the data were analyzed using SPSS and SMART PLS software.Findings&gt;The results from the study revealed that financial literacy has a significant impact on personal retirement planning. Two constructs of financial literacy, respectively, computation capability and financial knowledge were found to have a significant impact on personal retirement planning, while financial education and attitudes toward financial products were found not significant in explaining personal retirement planning.Practical implications&gt;The findings from this study can be used by policy makers in the DRC to design socioeconomic programs, aiming to increase the level of financial literacy in the country and awareness on personal retirement planning.Originality/value&gt;The reviewed studies were based mostly on developed countries, and countries were the social security system works effectively. We have not found a study on financial literacy and retirement planning that has been conducted in the DRC, which is a country with specific characteristics compared to developed countries.","author":[{"dropping-particle":"","family":"Safari","given":"Kulondwa","non-dropping-particle":"","parse-names":false,"suffix":""},{"dropping-particle":"","family":"Njoka","given":"Charity","non-dropping-particle":"","parse-names":false,"suffix":""},{"dropping-particle":"","family":"Munkwa","given":"Mugisho Guershom","non-dropping-particle":"","parse-names":false,"suffix":""}],"container-title":"Journal of Business and Socio-economic Development","id":"ITEM-1","issue":"2","issued":{"date-parts":[["2021","10","28"]]},"language":"English","note":"Name - International Bank for Reconstruction &amp;amp; Development--World Bank\n\nCopyright - © Kulondwa Safari, Charity Njoka and Mugisho Guershom Munkwa. This work is published under http://creativecommons.org/licences/by/4.0/legalcode (the “License”). Notwithstanding the ProQuest Terms and Conditions, you may use this content in accordance with the terms of the License.\n\nLast updated - 2023-12-02\n\nSubjectsTermNotLitGenreText - Congo-Democratic Republic of Congo","page":"121-134","publisher":"Emerald Group Publishing Limited PP - Manama","publisher-place":"Faculty of Economics and Management, Université Evangélique en Afrique, Bukavu, Congo (the Democratic Republic of The); Institut pour la Recherche en Statistique Appliquée (IRSA-UEA), Université Evangélique en Afrique, Bukavu, Congo (the Democratic Republ","title":"Financial literacy and personal retirement planning: a socioeconomic approach","type":"article-journal","volume":"1"},"uris":["http://www.mendeley.com/documents/?uuid=9deec3a7-2a58-4a2e-9dd9-a6f050995745"]}],"mendeley":{"formattedCitation":"(Safari et al., 2021)","plainTextFormattedCitation":"(Safari et al., 2021)","previouslyFormattedCitation":"(Safari et al., 2021)"},"properties":{"noteIndex":0},"schema":"https://github.com/citation-style-language/schema/raw/master/csl-citation.json"}</w:instrText>
      </w:r>
      <w:r w:rsidRPr="00D05EC2">
        <w:rPr>
          <w:rFonts w:ascii="Times New Roman" w:hAnsi="Times New Roman" w:cs="Times New Roman"/>
        </w:rPr>
        <w:fldChar w:fldCharType="separate"/>
      </w:r>
      <w:bookmarkStart w:id="0" w:name="Bookmark"/>
      <w:r w:rsidRPr="00D05EC2">
        <w:rPr>
          <w:rFonts w:ascii="Times New Roman" w:hAnsi="Times New Roman" w:cs="Times New Roman"/>
          <w:noProof/>
          <w:lang w:val="en-ID"/>
        </w:rPr>
        <w:t>(</w:t>
      </w:r>
      <w:bookmarkStart w:id="1" w:name="Bookmark4"/>
      <w:r w:rsidRPr="00D05EC2">
        <w:rPr>
          <w:rFonts w:ascii="Times New Roman" w:hAnsi="Times New Roman" w:cs="Times New Roman"/>
          <w:noProof/>
          <w:lang w:val="en-ID"/>
        </w:rPr>
        <w:t>Safari et al., 2021)</w:t>
      </w:r>
      <w:r w:rsidRPr="00D05EC2">
        <w:rPr>
          <w:rFonts w:ascii="Times New Roman" w:hAnsi="Times New Roman" w:cs="Times New Roman"/>
        </w:rPr>
        <w:fldChar w:fldCharType="end"/>
      </w:r>
      <w:bookmarkEnd w:id="0"/>
      <w:bookmarkEnd w:id="1"/>
      <w:r w:rsidRPr="00D05EC2">
        <w:rPr>
          <w:rFonts w:ascii="Times New Roman" w:hAnsi="Times New Roman" w:cs="Times New Roman"/>
          <w:lang w:val="en-ID"/>
        </w:rPr>
        <w:t>. According</w:t>
      </w:r>
      <w:r w:rsidR="00413760">
        <w:rPr>
          <w:rFonts w:ascii="Times New Roman" w:hAnsi="Times New Roman" w:cs="Times New Roman"/>
          <w:lang w:val="en-ID"/>
        </w:rPr>
        <w:t xml:space="preserve"> to</w:t>
      </w:r>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{"citationItems":[{"id":"ITEM-1","itemData":{"DOI":"10.1017/S0714980809090047","ISSN":"07149808","PMID":"19860967","abstract":"Because the concept of retirement is prominent in both popular thinking and academic studies, it would be helpful if the notion were analytically sound, could be measured with precision, and would make possible comparisons of patterns of retirement over time and among different populations. This paper reviews and assesses the many concepts and measures that have been proposed, summarizing them in groupings that reflect non-participation or reduced participation in the labour force, receipt of pension income, end-of-career employment, self-assessed retirement, or combinations of those characteristics. It concludes that there is no agreed measure and that no one measure dominates. Instead, new proposed measures continue to take account of additional refinements as new data sets become available, thereby further restricting possible comparisons. The confusing array of definitions reflects the practical problem that underlies the concept of retirement: It is an essentially negative notion, a notion of what people are not doing - namely, that they are not working. A more positive approach would be to focus, instead, on what people are doing, including especially their involvement in non-market activities that are socially productive, even if those activities do not contribute to national income as conventionally measured. © 2009 Canadian Association on Gerontology.","author":[{"dropping-particle":"","family":"Denton","given":"Frank T.","non-dropping-particle":"","parse-names":false,"suffix":""},{"dropping-particle":"","family":"Spencer","given":"Byron G.","non-dropping-particle":"","parse-names":false,"suffix":""}],"container-title":"Canadian Journal on Aging","id":"ITEM-1","issue":"1","issued":{"date-parts":[["2009"]]},"page":"63-76","title":"What is retirement? A review and assessment of alternative concepts and measures","type":"article-journal","volume":"28"},"uris":["http://www.mendeley.com/documents/?uuid=d42dbb3e-7a7d-421c-b1b6-993286bde872"]}],"mendeley":{"formattedCitation":"(Denton &amp; Spencer, 2009)","manualFormatting":"Denton &amp; Spencer (2009); and Xie et al. (2023)","plainTextFormattedCitation":"(Denton &amp; Spencer, 2009)","previouslyFormattedCitation":"(Denton &amp; Spencer, 2009)"},"properties":{"noteIndex":0},"schema":"https://github.com/citation-style-language/schema/raw/master/csl-citation.json"}</w:instrText>
      </w:r>
      <w:r w:rsidRPr="00D05EC2">
        <w:rPr>
          <w:rFonts w:ascii="Times New Roman" w:hAnsi="Times New Roman" w:cs="Times New Roman"/>
        </w:rPr>
        <w:fldChar w:fldCharType="separate"/>
      </w:r>
      <w:bookmarkStart w:id="2" w:name="Bookmark1"/>
      <w:r w:rsidRPr="00D05EC2">
        <w:rPr>
          <w:rFonts w:ascii="Times New Roman" w:hAnsi="Times New Roman" w:cs="Times New Roman"/>
          <w:noProof/>
          <w:lang w:val="en-ID"/>
        </w:rPr>
        <w:t>D</w:t>
      </w:r>
      <w:bookmarkStart w:id="3" w:name="Bookmark6"/>
      <w:r w:rsidRPr="00D05EC2">
        <w:rPr>
          <w:rFonts w:ascii="Times New Roman" w:hAnsi="Times New Roman" w:cs="Times New Roman"/>
          <w:noProof/>
          <w:lang w:val="en-ID"/>
        </w:rPr>
        <w:t>enton &amp; Spencer (2009); and Xie et al. (2023)</w:t>
      </w:r>
      <w:r w:rsidRPr="00D05EC2">
        <w:rPr>
          <w:rFonts w:ascii="Times New Roman" w:hAnsi="Times New Roman" w:cs="Times New Roman"/>
        </w:rPr>
        <w:fldChar w:fldCharType="end"/>
      </w:r>
      <w:bookmarkEnd w:id="2"/>
      <w:r w:rsidRPr="00D05EC2">
        <w:rPr>
          <w:rFonts w:ascii="Times New Roman" w:hAnsi="Times New Roman" w:cs="Times New Roman"/>
        </w:rPr>
        <w:t xml:space="preserve">, the Retirement Planning (RP) will be experienced when a person’s age ranges from 50 to </w:t>
      </w:r>
      <w:r w:rsidR="004A5E0E" w:rsidRPr="00D05EC2">
        <w:rPr>
          <w:rFonts w:ascii="Times New Roman" w:hAnsi="Times New Roman" w:cs="Times New Roman"/>
        </w:rPr>
        <w:t xml:space="preserve">60 </w:t>
      </w:r>
      <w:r w:rsidRPr="00D05EC2">
        <w:rPr>
          <w:rFonts w:ascii="Times New Roman" w:hAnsi="Times New Roman" w:cs="Times New Roman"/>
        </w:rPr>
        <w:t xml:space="preserve">years. If people have higher FL, the better a person’s RP will be the better their RP will be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{"citationItems":[{"id":"ITEM-1","itemData":{"DOI":"10.30596/ijbe.v1i1.3442","ISSN":"2686472X","abstract":"This study aims to determine the effect of financial literacy and financial inclusion on retirement planning. This study used a quantitative method with 236 respondents and processed by the method of multiple linear regression analysis. The results of the study show that financial literacy and financial inclusion have a significant effect on retirement planning, means that the higher financial literacy and financial inclusion of a person, the better their retirement planning. In addition, the results of the study showed that respondents were dominated by moderate financial literacy levels with a percentage of 55.08%, moderate financial inclusion levels with a percentage of 57.20% and high retirement planning levels with presentations of 52.54% of the total respondents. Researchers also conduct additional research by choosing one of the demographic factors, which is monthly income. The results that monthly earnings also influence retirement planning where the higher a person's monthly income, the better their retirement planning.","author":[{"dropping-particle":"","family":"Baskoro","given":"Rahmat Aryo","non-dropping-particle":"","parse-names":false,"suffix":""},{"dropping-particle":"","family":"Aulia","given":"Rensi","non-dropping-particle":"","parse-names":false,"suffix":""}],"container-title":"International Journal of Business Economics (IJBE)","id":"ITEM-1","issue":"1","issued":{"date-parts":[["2019","9","30"]]},"page":"49-58","title":"The Effect of Financial Literacy and Financial Inclusion on Retirement Planning","type":"article-journal","volume":"1"},"uris":["http://www.mendeley.com/documents/?uuid=03e253cd-141e-492b-9ffe-7316e8e519b7"]}],"mendeley":{"formattedCitation":"(Baskoro &amp; Aulia, 2019)","plainTextFormattedCitation":"(Baskoro &amp; Aulia, 2019)","previouslyFormattedCitation":"(Baskoro &amp; Aulia, 2019)"},"properties":{"noteIndex":0},"schema":"https://github.com/citation-style-language/schema/raw/master/csl-citation.json"}</w:instrText>
      </w:r>
      <w:r w:rsidRPr="00D05EC2">
        <w:rPr>
          <w:rFonts w:ascii="Times New Roman" w:hAnsi="Times New Roman" w:cs="Times New Roman"/>
        </w:rPr>
        <w:fldChar w:fldCharType="separate"/>
      </w:r>
      <w:bookmarkStart w:id="4" w:name="Bookmark2"/>
      <w:r w:rsidRPr="00D05EC2">
        <w:rPr>
          <w:rFonts w:ascii="Times New Roman" w:hAnsi="Times New Roman" w:cs="Times New Roman"/>
          <w:noProof/>
          <w:lang w:val="en-ID"/>
        </w:rPr>
        <w:t>(Baskoro &amp; Aulia, 2019)</w:t>
      </w:r>
      <w:r w:rsidRPr="00D05EC2">
        <w:rPr>
          <w:rFonts w:ascii="Times New Roman" w:hAnsi="Times New Roman" w:cs="Times New Roman"/>
        </w:rPr>
        <w:fldChar w:fldCharType="end"/>
      </w:r>
      <w:bookmarkEnd w:id="4"/>
      <w:r w:rsidRPr="00D05EC2">
        <w:rPr>
          <w:rFonts w:ascii="Times New Roman" w:hAnsi="Times New Roman" w:cs="Times New Roman"/>
          <w:lang w:val="en-ID"/>
        </w:rPr>
        <w:t xml:space="preserve">. High FL and a positive and healthy financial attitude can improve prosperous financial conditions </w:t>
      </w:r>
      <w:bookmarkEnd w:id="3"/>
      <w:r w:rsidR="004A5E0E"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{"citationItems":[{"id":"ITEM-1","itemData":{"ISBN":"0000000345","abstract":"This study aims to analyze how Financial Literacy, Financial Behaviour and Financial Anxiety influence Financial Well Being of Top Management Level Employees. A cross-sectional survey was employed on 256 respondents randomly selected from top management level of manufacture company. It then tests their hypothesized relationships with the use of Partial Least Squares (PLS), a structural equation modelling technique. The result reveal that financial behaviour and financial anxiety significantly influence the financial well-being of employee. Financial literacy also influences the financial anxiety, financial behaviour and financial well-being. Financial behaviour of an individual also determine the level of financial wellbeing of the respondents. Positive and healthy financial behavior leads toward the higher level of financial wellbeing. There is significant and positive effect of financial literacy to financial behaviour of top management level of employees.","author":[{"dropping-particle":"","family":"Pijoh Lidwina, Indradewa Rhian","given":"Syah TYR","non-dropping-particle":"","parse-names":false,"suffix":""}],"container-title":"Financial Literacy, Financial Behaviour and Financial Anxiety; Implication Well Being of Top Management Level Employees","id":"ITEM-1","issue":"4","issued":{"date-parts":[["2020"]]},"page":"527-534","title":"Research Article Research Article","type":"article-journal","volume":"4"},"uris":["http://www.mendeley.com/documents/?uuid=057e1fb0-8edf-4219-83ab-081523504fd2"]},{"id":"ITEM-2","itemData":{"DOI":"10.1016/j.jpolmod.2023.05.003","ISSN":"01618938","abstract":"Concerns about the population aging and global trends to shift more responsibility for future retirement from the state to the individual need policy planning to increase youth's savings for retirement. The study aims to identify behavioral, financial, demographic, and educational determinants of savings for retirement in two groups of young adults with reference to people aged 50–60. The binary logit model and pairwise comparison results showed that the probability of saving for retirement increases with age and responsibility fosters saving behavior among young adults. The observed differences allow the formulation of policy recommendations adapted to the preferences of generations Z and Y.","author":[{"dropping-particle":"","family":"Xie","given":"Xiaohong","non-dropping-particle":"","parse-names":false,"suffix":""},{"dropping-particle":"","family":"Osińska","given":"Magdalena","non-dropping-particle":"","parse-names":false,"suffix":""},{"dropping-particle":"","family":"Szczepaniak","given":"Małgorzata","non-dropping-particle":"","parse-names":false,"suffix":""}],"container-title":"Journal of Policy Modeling","id":"ITEM-2","issue":"3","issued":{"date-parts":[["2023"]]},"page":"644-668","title":"Do young generations save for retirement? Ensuring financial security of Gen Z and Gen Y","type":"article-journal","volume":"45"},"uris":["http://www.mendeley.com/documents/?uuid=437f425a-9699-46e6-82ce-3f088a035020"]}],"mendeley":{"formattedCitation":"(Pijoh Lidwina, Indradewa Rhian, 2020; Xie et al., 2023)","manualFormatting":"(Pijoh et al., 2020; and Xie et al., 2023)","plainTextFormattedCitation":"(Pijoh Lidwina, Indradewa Rhian, 2020; Xie et al., 2023)","previouslyFormattedCitation":"(Pijoh Lidwina, Indradewa Rhian, 2020; Xie et al., 2023)"},"properties":{"noteIndex":0},"schema":"https://github.com/citation-style-language/schema/raw/master/csl-citation.json"}</w:instrText>
      </w:r>
      <w:r w:rsidR="004A5E0E" w:rsidRPr="00D05EC2">
        <w:rPr>
          <w:rFonts w:ascii="Times New Roman" w:hAnsi="Times New Roman" w:cs="Times New Roman"/>
        </w:rPr>
        <w:fldChar w:fldCharType="separate"/>
      </w:r>
      <w:r w:rsidR="004A5E0E" w:rsidRPr="00D05EC2">
        <w:rPr>
          <w:rFonts w:ascii="Times New Roman" w:hAnsi="Times New Roman" w:cs="Times New Roman"/>
          <w:noProof/>
        </w:rPr>
        <w:t>(Pijoh et al., 2020; and Xie et al., 2023)</w:t>
      </w:r>
      <w:r w:rsidR="004A5E0E" w:rsidRPr="00D05EC2">
        <w:rPr>
          <w:rFonts w:ascii="Times New Roman" w:hAnsi="Times New Roman" w:cs="Times New Roman"/>
        </w:rPr>
        <w:fldChar w:fldCharType="end"/>
      </w:r>
      <w:r w:rsidR="004A5E0E" w:rsidRPr="00D05EC2">
        <w:rPr>
          <w:rFonts w:ascii="Times New Roman" w:hAnsi="Times New Roman" w:cs="Times New Roman"/>
        </w:rPr>
        <w:t>.</w:t>
      </w:r>
    </w:p>
    <w:p w14:paraId="459EE0E8" w14:textId="7617B682" w:rsidR="00D97723" w:rsidRPr="00D05EC2" w:rsidRDefault="00456E38" w:rsidP="004A5E0E">
      <w:pPr>
        <w:shd w:val="clear" w:color="auto" w:fill="FFFFFF"/>
        <w:spacing w:line="276" w:lineRule="auto"/>
        <w:ind w:firstLine="618"/>
        <w:jc w:val="both"/>
        <w:rPr>
          <w:rFonts w:ascii="Times New Roman" w:hAnsi="Times New Roman" w:cs="Times New Roman"/>
        </w:rPr>
      </w:pPr>
      <w:r w:rsidRPr="00D05EC2">
        <w:rPr>
          <w:rFonts w:ascii="Times New Roman" w:hAnsi="Times New Roman" w:cs="Times New Roman"/>
          <w:lang w:val="en-ID"/>
        </w:rPr>
        <w:t xml:space="preserve">Several studies in various countries have found a positive influence between FL and RP, including in Netherlands </w:t>
      </w:r>
      <w:r w:rsidRPr="00D05EC2">
        <w:rPr>
          <w:rFonts w:ascii="Times New Roman" w:hAnsi="Times New Roman" w:cs="Times New Roman"/>
        </w:rPr>
        <w:fldChar w:fldCharType="begin" w:fldLock="1"/>
      </w:r>
      <w:r w:rsidRPr="00D05EC2">
        <w:rPr>
          <w:rFonts w:ascii="Times New Roman" w:hAnsi="Times New Roman" w:cs="Times New Roman"/>
          <w:lang w:val="en-ID"/>
        </w:rPr>
        <w:instrText>ADDIN CSL_CITATION {"citationItems":[{"id":"ITEM-1","itemData":{"DOI":"10.1016/j.jfineco.2011.03.006","ISSN":"0304405X","abstract":"We have devised two special modules for De Nederlandsche Bank (DNB) Household Survey to measure financial literacy and study its relationship to stock market participation. We find that the majority of respondents display basic financial knowledge and have some grasp of concepts such as interest compounding, inflation, and the time value of money. However, very few go beyond these basic concepts; many respondents do not know the difference between bonds and stocks, the relationship between bond prices and interest rates, and the basics of risk diversification. Most importantly, we find that financial literacy affects financial decision-making: Those with low literacy are much less likely to invest in stocks. © 2011 Elsevier B.V.","author":[{"dropping-particle":"","family":"Rooij","given":"Maarten","non-dropping-particle":"Van","parse-names":false,"suffix":""},{"dropping-particle":"","family":"Lusardi","given":"Annamaria","non-dropping-particle":"","parse-names":false,"suffix":""},{"dropping-particle":"","family":"Alessie","given":"Rob","non-dropping-particle":"","parse-names":false,"suffix":""}],"container-title":"Journal of Financial Economics","id":"ITEM-1","issue":"2","issued":{"date-parts":[["2011","8"]]},"</w:instrText>
      </w:r>
      <w:r w:rsidRPr="00D05EC2">
        <w:rPr>
          <w:rFonts w:ascii="Times New Roman" w:hAnsi="Times New Roman" w:cs="Times New Roman"/>
        </w:rPr>
        <w:instrText>page":"449-472","publisher":"Elsevier","title":"Financial literacy and stock market participation","type":"article-journal","volume":"101"},"uris":["http://www.mendeley.com/documents/?uuid=db955c5b-560d-46ee-908d-0d97a9ac11c9"]}],"mendeley":{"formattedCitation":"(M. Van Rooij et al., 2011)","manualFormatting":"by Rooij et al. (2011)","plainTextFormattedCitation":"(M. Van Rooij et al., 2011)","previouslyFormattedCitation":"(M. Van Rooij et al., 2011)"},"properties":{"noteIndex":0},"schema":"https://github.com/citation-style-language/schema/raw/master/csl-citation.json"}</w:instrText>
      </w:r>
      <w:r w:rsidRPr="00D05EC2">
        <w:rPr>
          <w:rFonts w:ascii="Times New Roman" w:hAnsi="Times New Roman" w:cs="Times New Roman"/>
        </w:rPr>
        <w:fldChar w:fldCharType="separate"/>
      </w:r>
      <w:bookmarkStart w:id="5" w:name="Bookmark7"/>
      <w:r w:rsidRPr="00D05EC2">
        <w:rPr>
          <w:rFonts w:ascii="Times New Roman" w:hAnsi="Times New Roman" w:cs="Times New Roman"/>
          <w:noProof/>
          <w:lang w:val="en-ID"/>
        </w:rPr>
        <w:t>b</w:t>
      </w:r>
      <w:bookmarkStart w:id="6" w:name="Bookmark51"/>
      <w:r w:rsidRPr="00D05EC2">
        <w:rPr>
          <w:rFonts w:ascii="Times New Roman" w:hAnsi="Times New Roman" w:cs="Times New Roman"/>
          <w:noProof/>
          <w:lang w:val="en-ID"/>
        </w:rPr>
        <w:t>y Rooij et al. (2011)</w:t>
      </w:r>
      <w:r w:rsidRPr="00D05EC2">
        <w:rPr>
          <w:rFonts w:ascii="Times New Roman" w:hAnsi="Times New Roman" w:cs="Times New Roman"/>
        </w:rPr>
        <w:fldChar w:fldCharType="end"/>
      </w:r>
      <w:bookmarkEnd w:id="5"/>
      <w:bookmarkEnd w:id="6"/>
      <w:r w:rsidRPr="00D05EC2">
        <w:rPr>
          <w:rFonts w:ascii="Times New Roman" w:hAnsi="Times New Roman" w:cs="Times New Roman"/>
          <w:lang w:val="en-ID"/>
        </w:rPr>
        <w:t xml:space="preserve">, in Australia by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{"citationItems":[{"id":"ITEM-1","itemData":{"abstract":"We implement a customized survey to a representative sample of 1,024 Australians to examine the relationship between financial literacy and retirement planning. Overall we find aggregate levels of financial literacy similar to comparable countries with the young, least educated, unemployed and those not in the labor force most at risk. However, unlike the international norm, we find that financial skills increase with age. The role played by the Australia's mandatory private retirement arrangements, system of defaults, and interactions with the means-tested safety net pension at older ages remain open questions.","author":[{"dropping-particle":"","family":"Agnew","given":"Julie","non-dropping-particle":"","parse-names":false,"suffix":""},{"dropping-particle":"","family":"Bateman","given":"Hazel","non-dropping-particle":"","parse-names":false,"suffix":""},{"dropping-particle":"","family":"Thorp","given":"Susan","non-dropping-particle":"","parse-names":false,"suffix":""},{"dropping-particle":"","family":"Agnew","given":"Julie R","non-dropping-particle":"","parse-names":false,"suffix":""}],"container-title":"SSRN Electronic Journal","id":"ITEM-1","issue":"2012","issued":{"date-parts":[["2013"]]},"title":"Financial Literacy and Retirement Planning in Australian Australian School of Business Working Paper Financial literacy and retirement planning in Australia","type":"article-journal"},"uris":["http://www.mendeley.com/documents/?uuid=c36dee83-740f-4b1a-941c-4a954f3b5fac"]}],"mendeley":{"formattedCitation":"(Agnew et al., 2013)","manualFormatting":"Agnew et al. (2013)","plainTextFormattedCitation":"(Agnew et al., 2013)","previouslyFormattedCitation":"(Agnew et al., 2013)"},"properties":{"noteIndex":0},"schema":"https://github.com/citation-style-language/schema/raw/master/csl-citation.json"}</w:instrText>
      </w:r>
      <w:r w:rsidRPr="00D05EC2">
        <w:rPr>
          <w:rFonts w:ascii="Times New Roman" w:hAnsi="Times New Roman" w:cs="Times New Roman"/>
        </w:rPr>
        <w:fldChar w:fldCharType="separate"/>
      </w:r>
      <w:bookmarkStart w:id="7" w:name="Bookmark8"/>
      <w:r w:rsidRPr="00D05EC2">
        <w:rPr>
          <w:rFonts w:ascii="Times New Roman" w:hAnsi="Times New Roman" w:cs="Times New Roman"/>
          <w:noProof/>
          <w:lang w:val="en-ID"/>
        </w:rPr>
        <w:t>A</w:t>
      </w:r>
      <w:bookmarkStart w:id="8" w:name="Bookmark61"/>
      <w:r w:rsidRPr="00D05EC2">
        <w:rPr>
          <w:rFonts w:ascii="Times New Roman" w:hAnsi="Times New Roman" w:cs="Times New Roman"/>
          <w:noProof/>
          <w:lang w:val="en-ID"/>
        </w:rPr>
        <w:t>gnew et al.</w:t>
      </w:r>
      <w:r w:rsidR="004A5E0E" w:rsidRPr="00D05EC2">
        <w:rPr>
          <w:rFonts w:ascii="Times New Roman" w:hAnsi="Times New Roman" w:cs="Times New Roman"/>
          <w:noProof/>
          <w:lang w:val="en-ID"/>
        </w:rPr>
        <w:t xml:space="preserve"> </w:t>
      </w:r>
      <w:r w:rsidRPr="00D05EC2">
        <w:rPr>
          <w:rFonts w:ascii="Times New Roman" w:hAnsi="Times New Roman" w:cs="Times New Roman"/>
          <w:noProof/>
          <w:lang w:val="en-ID"/>
        </w:rPr>
        <w:t>(2013)</w:t>
      </w:r>
      <w:r w:rsidRPr="00D05EC2">
        <w:rPr>
          <w:rFonts w:ascii="Times New Roman" w:hAnsi="Times New Roman" w:cs="Times New Roman"/>
        </w:rPr>
        <w:fldChar w:fldCharType="end"/>
      </w:r>
      <w:bookmarkEnd w:id="7"/>
      <w:bookmarkEnd w:id="8"/>
      <w:r w:rsidRPr="00D05EC2">
        <w:rPr>
          <w:rFonts w:ascii="Times New Roman" w:hAnsi="Times New Roman" w:cs="Times New Roman"/>
          <w:lang w:val="en-ID"/>
        </w:rPr>
        <w:t xml:space="preserve">, in United States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{"citationItems":[{"id":"ITEM-1","itemData":{"DOI":"10.1017/S1474747214000031","ISSN":"1474-7472","abstract":"Using a special-purpose module implemented in the Health and Retirement Study, we evaluate financial sophistication in the American population over the age of 50. We combine several financial literacy questions into an overall index to highlight which questions best capture financial sophistication and examine the sensitivity of financial literacy responses to framing effects. Results show that many older respondents are not financially sophisticated: they fail to grasp essential aspects of risk diversification, asset valuation, portfolio choice, and investment fees. Subgroups with notable deficits include women, the least educated, non-Whites, and those age 75+. In view of the fact that retirees increasingly must take on responsibility for their own retirement security, such meager levels of knowledge have potentially serious and negative implications.","author":[{"dropping-particle":"","family":"Lusardi","given":"Annamaria","non-dropping-particle":"","parse-names":false,"suffix":""},{"dropping-particle":"","family":"Mitchell","given":"Olivia.S","non-dropping-particle":"","parse-names":false,"suffix":""},{"dropping-particle":"","family":"Curto","given":"Vilsa","non-dropping-particle":"","parse-names":false,"suffix":""}],"container-title":"Journal of Pension Economics and Finance","id":"ITEM-1","issue":"4","issued":{"date-parts":[["2011","10","26"]]},"language":"English","note":"Copyright - Copyright © Cambridge University Press 2014\n\nDocument feature - Equations; Tables\n\nLast updated - 2023-11-28\n\nSubjectsTermNotLitGenreText - United States--US","page":"347-366","publisher":"Cambridge University Press PP - Cambridge","publisher-place":"Cambridge","title":"Financial literacy and financial sophistication in the older population","type":"article-journal","volume":"13"},"uris":["http://www.mendeley.com/documents/?uuid=4b6a9184-d17e-42dc-a2e7-f50158590b18"]}],"mendeley":{"formattedCitation":"(Lusardi et al., 2011)","manualFormatting":"Lusardi &amp; Mitchell (2014","plainTextFormattedCitation":"(Lusardi et al., 2011)","previouslyFormattedCitation":"(Lusardi et al., 2011)"},"properties":{"noteIndex":0},"schema":"https://github.com/citation-style-language/schema/raw/master/csl-citation.json"}</w:instrText>
      </w:r>
      <w:r w:rsidRPr="00D05EC2">
        <w:rPr>
          <w:rFonts w:ascii="Times New Roman" w:hAnsi="Times New Roman" w:cs="Times New Roman"/>
        </w:rPr>
        <w:fldChar w:fldCharType="separate"/>
      </w:r>
      <w:bookmarkStart w:id="9" w:name="Bookmark9"/>
      <w:r w:rsidRPr="00D05EC2">
        <w:rPr>
          <w:rFonts w:ascii="Times New Roman" w:hAnsi="Times New Roman" w:cs="Times New Roman"/>
          <w:noProof/>
          <w:lang w:val="en-ID"/>
        </w:rPr>
        <w:t>L</w:t>
      </w:r>
      <w:bookmarkStart w:id="10" w:name="Bookmark71"/>
      <w:r w:rsidRPr="00D05EC2">
        <w:rPr>
          <w:rFonts w:ascii="Times New Roman" w:hAnsi="Times New Roman" w:cs="Times New Roman"/>
          <w:noProof/>
          <w:lang w:val="en-ID"/>
        </w:rPr>
        <w:t>usardi &amp; Mitchell (2014</w:t>
      </w:r>
      <w:r w:rsidRPr="00D05EC2">
        <w:rPr>
          <w:rFonts w:ascii="Times New Roman" w:hAnsi="Times New Roman" w:cs="Times New Roman"/>
        </w:rPr>
        <w:fldChar w:fldCharType="end"/>
      </w:r>
      <w:bookmarkEnd w:id="9"/>
      <w:bookmarkEnd w:id="10"/>
      <w:r w:rsidRPr="00D05EC2">
        <w:rPr>
          <w:rFonts w:ascii="Times New Roman" w:hAnsi="Times New Roman" w:cs="Times New Roman"/>
          <w:lang w:val="en-ID"/>
        </w:rPr>
        <w:t xml:space="preserve">), while similar studies in Malaysia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{"citationItems":[{"id":"ITEM-1","itemData":{"DOI":"10.14254/2071-789X.2019/12-2/18","ISSN":"2071-789X","abstract":"Many government policies contain recommendations how to improve financial literacy, particularly through programmes of financial education and personal finance. However, personal financial management is not solely related to knowledge and financial literacy; individual confidence level in own financial abilities and household differences need to be considered in this regard. This paper investigates household financial efficacy through application of psychometric instruments, financial literacy, risk preference and demographic characteristics towards saving decision behaviour. The sample covers 404 households in Peninsular Malaysia and utilises the logistic and probit empirical model. The results show that household’s financial efficacy is essential for household’s saving decision behaviour and choice of saving instrument. Financial literacy, race, education and dependence ratio and location (rural or urban) of the household also play a role in saving instruments selection. More specifically, households with higher levels of financial efficacy are more likely to use bank-based or other lower risk saving instruments as compared to non-banking-based instruments.","author":[{"dropping-particle":"","family":"Kusairi","given":"Suhal","non-dropping-particle":"","parse-names":false,"suffix":""},{"dropping-particle":"","family":"Sanusi","given":"Nur Azura","non-dropping-particle":"","parse-names":false,"suffix":""},{"dropping-particle":"","family":"Muhamad","given":"Suriyani","non-dropping-particle":"","parse-names":false,"suffix":""},{"dropping-particle":"","family":"Shukri","given":"Madihah","non-dropping-particle":"","parse-names":false,"suffix":""},{"dropping-particle":"","family":"Zamri","given":"Nadia","non-dropping-particle":"","parse-names":false,"suffix":""}],"container-title":"Economics &amp; Sociology","id":"ITEM-1","issue":"2","issued":{"date-parts":[["2019","6"]]},"page":"301-318","title":"Financial households’ efficacy, risk preference and saving behaviour: Lessons from lower-income households in Malaysia","type":"article-journal","volume":"12"},"uris":["http://www.mendeley.com/documents/?uuid=73d4418b-d468-4681-ad99-b6be5addc62f"]},{"id":"ITEM-2","itemData":{"DOI":"10.22610/imbr.v15i3(I).3543","ISSN":"2220-3796","abstract":"Financial planning for retirement for gig workers is relatively hard given their insecure employment. Factors like employer misplacement of gig workers, a lack of employer-sponsored pension plans, uncertain income, and insufficient financial guidance may make it difficult and stressful for gig workers to arrange their money for retirement. The researchers offer a relationship model in this study, with a quantitative research design chosen to validate the hypothesized elements and construct linkages between them. The main factors that may influence financial planning for retirement stated as financial literacy, retirement goals, future time perspective, social influence, and saving attitude as a mediator. To confirm that, a design questionnaire, which is reliable and acceptable, two steps of verification have followed. First, there is a validation phase in which the questionnaire is reviewed by a panel of experts. Before moving on to the next level, the feedback gathered was followed up on. Second, the pilot study proceeding to investigate the consistency of the instrument analyzed through Cronbach’s Alpha coefficient reliability screening in SPSS 26 software package. Moreover, the results found that all the items were reliable and the Cronbach’s Alpha coefficient above 0.7.","author":[{"dropping-particle":"","family":"Aizad","given":"Muhammad Eddy","non-dropping-particle":"","parse-names":false,"suffix":""},{"dropping-particle":"","family":"Ismail","given":"Shafinar","non-dropping-particle":"","parse-names":false,"suffix":""},{"dropping-particle":"","family":"Abd Samad","given":"Khairunnisa","non-dropping-particle":"","parse-names":false,"suffix":""}],"container-title":"Information Management and Business Review","id":"ITEM-2","issue":"3(I)","issued":{"date-parts":[["2023","10","8"]]},"page":"325-340","title":"Measuring Financial Planning for Retirement of Gig Workers in Malaysia: A Pilot Study","type":"article-journal","volume":"15"},"uris":["http://www.mendeley.com/documents/?uuid=e3a1369a-711f-405c-bbfd-fabedd678c6e"]}],"mendeley":{"formattedCitation":"(Aizad et al., 2023; Kusairi et al., 2019)","manualFormatting":"Anuar et al. (2023); and Kusairi et al. (2019)","plainTextFormattedCitation":"(Aizad et al., 2023; Kusairi et al., 2019)","previouslyFormattedCitation":"(Aizad et al., 2023; Kusairi et al., 2019)"},"properties":{"noteIndex":0},"schema":"https://github.com/citation-style-language/schema/raw/master/csl-citation.json"}</w:instrText>
      </w:r>
      <w:r w:rsidRPr="00D05EC2">
        <w:rPr>
          <w:rFonts w:ascii="Times New Roman" w:hAnsi="Times New Roman" w:cs="Times New Roman"/>
        </w:rPr>
        <w:fldChar w:fldCharType="separate"/>
      </w:r>
      <w:bookmarkStart w:id="11" w:name="Bookmark10"/>
      <w:r w:rsidRPr="00D05EC2">
        <w:rPr>
          <w:rFonts w:ascii="Times New Roman" w:hAnsi="Times New Roman" w:cs="Times New Roman"/>
          <w:noProof/>
          <w:lang w:val="en-ID"/>
        </w:rPr>
        <w:t>A</w:t>
      </w:r>
      <w:bookmarkStart w:id="12" w:name="Bookmark81"/>
      <w:r w:rsidRPr="00D05EC2">
        <w:rPr>
          <w:rFonts w:ascii="Times New Roman" w:hAnsi="Times New Roman" w:cs="Times New Roman"/>
          <w:noProof/>
          <w:lang w:val="en-ID"/>
        </w:rPr>
        <w:t>nuar et al. (2023); and Kusairi et al. (2019)</w:t>
      </w:r>
      <w:r w:rsidRPr="00D05EC2">
        <w:rPr>
          <w:rFonts w:ascii="Times New Roman" w:hAnsi="Times New Roman" w:cs="Times New Roman"/>
        </w:rPr>
        <w:fldChar w:fldCharType="end"/>
      </w:r>
      <w:bookmarkEnd w:id="11"/>
      <w:bookmarkEnd w:id="12"/>
      <w:r w:rsidRPr="00D05EC2">
        <w:rPr>
          <w:rFonts w:ascii="Times New Roman" w:hAnsi="Times New Roman" w:cs="Times New Roman"/>
        </w:rPr>
        <w:t>. For the same research in Indonesia by</w:t>
      </w:r>
      <w:r w:rsidRPr="00D05EC2">
        <w:rPr>
          <w:rFonts w:ascii="Times New Roman" w:hAnsi="Times New Roman" w:cs="Times New Roman"/>
          <w:lang w:val="en-ID"/>
        </w:rPr>
        <w:t xml:space="preserve"> </w:t>
      </w:r>
      <w:r w:rsidR="004A5E0E"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{"citationItems":[{"id":"ITEM-1","itemData":{"DOI":"10.30596/ijbe.v1i1.3442","ISSN":"2686472X","abstract":"This study aims to determine the effect of financial literacy and financial inclusion on retirement planning. This study used a quantitative method with 236 respondents and processed by the method of multiple linear regression analysis. The results of the study show that financial literacy and financial inclusion have a significant effect on retirement planning, means that the higher financial literacy and financial inclusion of a person, the better their retirement planning. In addition, the results of the study showed that respondents were dominated by moderate financial literacy levels with a percentage of 55.08%, moderate financial inclusion levels with a percentage of 57.20% and high retirement planning levels with presentations of 52.54% of the total respondents. Researchers also conduct additional research by choosing one of the demographic factors, which is monthly income. The results that monthly earnings also influence retirement planning where the higher a person's monthly income, the better their retirement planning.","author":[{"dropping-particle":"","family":"Baskoro","given":"Rahmat Aryo","non-dropping-particle":"","parse-names":false,"suffix":""},{"dropping-particle":"","family":"Aulia","given":"Rensi","non-dropping-particle":"","parse-names":false,"suffix":""}],"container-title":"International Journal of Business Economics (IJBE)","id":"ITEM-1","issue":"1","issued":{"date-parts":[["2019","9","30"]]},"page":"49-58","title":"The Effect of Financial Literacy and Financial Inclusion on Retirement Planning","type":"article-journal","volume":"1"},"uris":["http://www.mendeley.com/documents/?uuid=03e253cd-141e-492b-9ffe-7316e8e519b7"]},{"id":"ITEM-2","itemData":{"DOI":"10.3390/ijfs10030066","ISSN":"2227-7072","abstract":"This research examined the gist of financial literacy on the medium entrepreneurs in Indonesia, impacting the retirement planning through some mediator and moderating variables. Implementing the prospect theory and theory of planned behavior to explore these interactions, a series of hypotheses were constructed, considering financial risk tolerance and saving behavior as mediator variables and herding behavior as moderator variables. The study examined partial least square-structural equation modelling (PLS-SEM) obtained by sampling data from 388 entrepreneurs of medium-scale in the Bekasi Regency, Indonesia. The study revealed (a) how financial literacy on retirement planning is serial mediated by financial risk tolerance and saving behavior, (b) herding behavior can strengthen financial literacy’s influence on retirement planning, and (c) saving behavior as a mediator does not influence the relationship between financial literacy and retirement planning. The study confirms how financial risk tolerance and herding behavior bridge a positive relationship between financial literacy and retirement planning.","author":[{"dropping-particle":"","family":"Harahap","given":"Subur","non-dropping-particle":"","parse-names":false,"suffix":""},{"dropping-particle":"","family":"Thoyib","given":"Armanu","non-dropping-particle":"","parse-names":false,"suffix":""},{"dropping-particle":"","family":"Sumiati","given":"Sumiati","non-dropping-particle":"","parse-names":false,"suffix":""},{"dropping-particle":"","family":"Djazuli","given":"Atim","non-dropping-particle":"","parse-names":false,"suffix":""}],"container-title":"International Journal of Financial Studies","id":"ITEM-2","issue":"3","issued":{"date-parts":[["2022","8","9"]]},"page":"66","title":"The Impact of Financial Literacy on Retirement Planning with Serial Mediation of Financial Risk Tolerance and Saving Behavior: Evidence of Medium Entrepreneurs in Indonesia","type":"article-journal","volume":"10"},"uris":["http://www.mendeley.com/documents/?uuid=4e83eb41-a281-4528-8b4f-b5b5cc6e69fe"]},{"id":"ITEM-3","itemData":{"ISBN":"0000000345","abstract":"This study aims to analyze how Financial Literacy, Financial Behaviour and Financial Anxiety influence Financial Well Being of Top Management Level Employees. A cross-sectional survey was employed on 256 respondents randomly selected from top management level of manufacture company. It then tests their hypothesized relationships with the use of Partial Least Squares (PLS), a structural equation modelling technique. The result reveal that financial behaviour and financial anxiety significantly influence the financial well-being of employee. Financial literacy also influences the financial anxiety, financial behaviour and financial well-being. Financial behaviour of an individual also determine the level of financial wellbeing of the respondents. Positive and healthy financial behavior leads toward the higher level of financial wellbeing. There is significant and positive effect of financial literacy to financial behaviour of top management level of employees.","author":[{"dropping-particle":"","family":"Pijoh Lidwina, Indradewa Rhian","given":"Syah TYR","non-dropping-particle":"","parse-names":false,"suffix":""}],"container-title":"Financial Literacy, Financial Behaviour and Financial Anxiety; Implication Well Being of Top Management Level Employees","id":"ITEM-3","issue":"4","issued":{"date-parts":[["2020"]]},"page":"527-534","title":"Research Article Research Article","type":"article-journal","volume":"4"},"uris":["http://www.mendeley.com/documents/?uuid=057e1fb0-8edf-4219-83ab-081523504fd2"]}],"mendeley":{"formattedCitation":"(Baskoro &amp; Aulia, 2019; Harahap et al., 2022; Pijoh Lidwina, Indradewa Rhian, 2020)","manualFormatting":"Baskoro &amp; Aulia (2019); Harahap et al. (2022); and Pijoh et al. (2020)","plainTextFormattedCitation":"(Baskoro &amp; Aulia, 2019; Harahap et al., 2022; Pijoh Lidwina, Indradewa Rhian, 2020)"},"properties":{"noteIndex":0},"schema":"https://github.com/citation-style-language/schema/raw/master/csl-citation.json"}</w:instrText>
      </w:r>
      <w:r w:rsidR="004A5E0E" w:rsidRPr="00D05EC2">
        <w:rPr>
          <w:rFonts w:ascii="Times New Roman" w:hAnsi="Times New Roman" w:cs="Times New Roman"/>
        </w:rPr>
        <w:fldChar w:fldCharType="separate"/>
      </w:r>
      <w:r w:rsidR="004A5E0E" w:rsidRPr="00D05EC2">
        <w:rPr>
          <w:rFonts w:ascii="Times New Roman" w:hAnsi="Times New Roman" w:cs="Times New Roman"/>
          <w:noProof/>
        </w:rPr>
        <w:t>Baskoro &amp; Aulia (2019); Harahap et al. (2022); and Pijoh et al. (2020)</w:t>
      </w:r>
      <w:r w:rsidR="004A5E0E" w:rsidRPr="00D05EC2">
        <w:rPr>
          <w:rFonts w:ascii="Times New Roman" w:hAnsi="Times New Roman" w:cs="Times New Roman"/>
        </w:rPr>
        <w:fldChar w:fldCharType="end"/>
      </w:r>
      <w:r w:rsidR="004A5E0E" w:rsidRPr="00D05EC2">
        <w:rPr>
          <w:rFonts w:ascii="Times New Roman" w:hAnsi="Times New Roman" w:cs="Times New Roman"/>
          <w:lang w:val="en-ID"/>
        </w:rPr>
        <w:t xml:space="preserve"> </w:t>
      </w:r>
      <w:r w:rsidRPr="00D05EC2">
        <w:rPr>
          <w:rFonts w:ascii="Times New Roman" w:hAnsi="Times New Roman" w:cs="Times New Roman"/>
          <w:lang w:val="en-ID"/>
        </w:rPr>
        <w:t xml:space="preserve">conducted the same research. Other  researchers  who are doing something similar are </w:t>
      </w:r>
      <w:r w:rsidRPr="00D05EC2">
        <w:rPr>
          <w:rFonts w:ascii="Times New Roman" w:hAnsi="Times New Roman" w:cs="Times New Roman"/>
        </w:rPr>
        <w:fldChar w:fldCharType="begin" w:fldLock="1"/>
      </w:r>
      <w:r w:rsidR="004A5E0E" w:rsidRPr="00D05EC2">
        <w:rPr>
          <w:rFonts w:ascii="Times New Roman" w:hAnsi="Times New Roman" w:cs="Times New Roman"/>
          <w:lang w:val="en-ID"/>
        </w:rPr>
        <w:instrText>ADDIN CSL_CITATION {"citationItems":[{"id":"ITEM-1","itemData":{"DOI":"10.5539/jpl.v9n4p43","ISSN":"1913-9055","abstract":"&lt;p class=\"MsoNormal\" style=\"text-align: justify;\"&gt;Problems have been identified pertaining to retirement scheme of the private sector employees in Malaysia where there is no legislated pension system in force. As a result of that, pension scheme and savings are more of a voluntary basis; although the principle is good but in practice many retirees suffer financially during their retirement. The objectives of this study are to examine factors contributing to individual’s retirement planning behavior and the private pension system in the private sector in Malaysia. Retirement planning behaviour in this study was measured with series of questions on behaviour about retirement planning. A total of 500 working individuals from private sectors in the age group of 40 years and above had participated in this study. The results identified several significant variables in the prediction of retirement planning among working individuals in Malaysia, including individual who had higher levels of education, higher levels of income, financial literacy, retirement goal clarity and attitude towards retirement. There is a correlation between retirement planning behavior and saving for old aged. As a response to the result collected from the survey, a legal proposition is put forward to address issues of pension d</w:instrText>
      </w:r>
      <w:r w:rsidR="004A5E0E" w:rsidRPr="00D05EC2">
        <w:rPr>
          <w:rFonts w:ascii="Times New Roman" w:hAnsi="Times New Roman" w:cs="Times New Roman"/>
          <w:lang w:val="sv-SE"/>
        </w:rPr>
        <w:instrText>uring retirement among private sector’s employees.&lt;/p&gt;","author":[{"dropping-particle":"","family":"Hassan","given":"Kamal Halili","non-dropping-particle":"","parse-names":false,"suffix":""},{"dropping-particle":"","family":"Rahim","given":"Rohani Abdul","non-dropping-particle":"","parse-names":false,"suffix":""},{"dropping-particle":"","family":"Ahmad","given":"Fariza","non-dropping-particle":"","parse-names":false,"suffix":""},{"dropping-particle":"","family":"Tengku Zainuddin","given":"Tengku Noor Azira","non-dropping-particle":"","parse-names":false,"suffix":""},{"dropping-particle":"","family":"Merican","given":"Rooshida Rahim","non-dropping-particle":"","parse-names":false,"suffix":""},{"dropping-particle":"","family":"Bahari","given":"Siti Kholijah","non-dropping-particle":"","parse-names":false,"suffix":""}],"container-title":"Journal of Politics and Law","id":"ITEM-1","issue":"4","issued":{"date-parts":[["2016","5","29"]]},"page":"43","title":"Retirement Planning Behaviour of Working Individuals and Legal Proposition for New Pension System in Malaysia","type":"article-journal","volume":"9"},"uris":["http://www.mendeley.com/documents/?uuid=075416ed-bc93-4cc8-8d70-0538e55d3c61"]},{"id":"ITEM-2","itemData":{"DOI":"10.1086/690950","ISSN":"1537534X","abstract":"We show that financial knowledge is a key determinant of wealth inequality in a stochastic life cycle model with endogenous financial knowledge accumulation, where financial knowledge enables individuals to better allocate lifetime resources in a world of uncertainty and imperfect insurance. Moreover, because of how the US social insurance system works, better-educated individuals have most to gain from investing in financial knowledge. Our parsimonious specification generates substantial wealth inequality relative to a one-asset saving model and one in which returns on wealth depend on portfolio composition alone. We estimate that 30–40 percent of retirement wealth inequality is accounted for by financial knowledge.","author":[{"dropping-particle":"","family":"Lusardi","given":"Annamaria","non-dropping-particle":"","parse-names":false,"suffix":""},{"dropping-particle":"","family":"Michaud","given":"Pierre Carl","non-dropping-particle":"","parse-names":false,"suffix":""},{"dropping-particle":"","family":"Mitchell","given":"Olivia S.","non-dropping-particle":"","parse-names":false,"suffix":""}],"container-title":"Journal of Political Economy","id":"ITEM-2","issue":"2","issued":{"date-parts":[["2017"]]},"page":"431-477","title":"Optimal financial knowledge and wealth inequality","type":"article-journal","volume":"125"},"uris":["http://www.mendeley.com/documents/?uuid=07fb1e9f-32f6-4aea-84f8-173201220e3f"]},{"id":"ITEM-3","itemData":{"DOI":"10.1108/RBF-04-2020-0079","ISSN":"19405987","abstract":"Purpose: The purpose of this study is to examine the effects of demographical factors (age, education and income); psychological factors which are future time perspective (FTP) and financial risk tolerance (FRT); along with financial literacy on retirement planning among female workers in Indonesia. Design/methodology/approach: This study applies a quantitative approach, where primary data was acquired through online surveys to 529 workers in various locations in Indonesia. After data cleaning, the final sample size was 304. The PLS-SEM technique was utilised to assess the structural model in the study. Findings: The results of this study show that income affects an individual's perspective towards the future. Financial literacy is confirmed to have a direct effect on retirement planning activity. Furthermore, financial literacy appears to be a significant mediator between demographical factors and FTP in affecting retirement planning. An individual's acceptance towards risk is also affected by financial literacy. Practical implications: The general public, especially female workers group who have no retirement funds, need to be educated on financial literacy. The government might need to encourage other parties and work together to financially educate the public, specifically regarding investments for retirement planning. Originality/value: Most previous studies on retirement planning focused on demographical factors in general, and not specifically on a certain group. Filling the gap of existing studies, this study specifically discusses retirement planning done by female workers in Indonesia. Women's role as a workforce, with their psychological conditions and financial literacy, makes for an interesting topic to be studied further in terms of retirement planning.","author":[{"dropping-particle":"","family":"Larisa","given":"Linda Evelina","non-dropping-particle":"","parse-names":false,"suffix":""},{"dropping-particle":"","family":"Njo","given":"Anastasia","non-dropping-particle":"","parse-names":false,"suffix":""},{"dropping-particle":"","family":"Wijaya","given":"Serli","non-dropping-particle":"","parse-names":false,"suffix":""}],"container-title":"Review of Behavioral Finance","id":"ITEM-3","issue":"5","issued":{"date-parts":[["2020"]]},"page":"566-583","title":"Female workers' readiness for retirement planning: an evidence from Indonesia","type":"article-journal","volume":"13"},"uris":["http://www.mendeley.com/documents/?uuid=fa71b83e-b137-4477-9570-b5dd2918ad9b"]}],"mendeley":{"formattedCitation":"(Hassan et al., 2016; Larisa et al., 2020; Lusardi et al., 2017)","manualFormatting":"Hassan et al. (2016); Larisa et al. (2020); and Lusardi et al. (2017)","plainTextFormattedCitation":"(Hassan et al., 2016; Larisa et al., 2020; Lusardi et al., 2017)","previouslyFormattedCitation":"(Hassan et al., 2016; Larisa et al., 2020; Lusardi et al., 2017)"},"properties":{"noteIndex":0},"schema":"https://github.com/citation-style-language/schema/raw/master/csl-citation.json"}</w:instrText>
      </w:r>
      <w:r w:rsidRPr="00D05EC2">
        <w:rPr>
          <w:rFonts w:ascii="Times New Roman" w:hAnsi="Times New Roman" w:cs="Times New Roman"/>
        </w:rPr>
        <w:fldChar w:fldCharType="separate"/>
      </w:r>
      <w:bookmarkStart w:id="13" w:name="Bookmark13"/>
      <w:r w:rsidRPr="00D05EC2">
        <w:rPr>
          <w:rFonts w:ascii="Times New Roman" w:hAnsi="Times New Roman" w:cs="Times New Roman"/>
          <w:noProof/>
          <w:lang w:val="sv-SE"/>
        </w:rPr>
        <w:t xml:space="preserve">Hassan </w:t>
      </w:r>
      <w:r w:rsidRPr="00D05EC2">
        <w:rPr>
          <w:rFonts w:ascii="Times New Roman" w:hAnsi="Times New Roman" w:cs="Times New Roman"/>
          <w:i/>
          <w:noProof/>
          <w:lang w:val="sv-SE"/>
        </w:rPr>
        <w:t xml:space="preserve">et al. </w:t>
      </w:r>
      <w:r w:rsidRPr="00D05EC2">
        <w:rPr>
          <w:rFonts w:ascii="Times New Roman" w:hAnsi="Times New Roman" w:cs="Times New Roman"/>
          <w:noProof/>
          <w:lang w:val="sv-SE"/>
        </w:rPr>
        <w:t xml:space="preserve">(2016); Larisa </w:t>
      </w:r>
      <w:r w:rsidRPr="00D05EC2">
        <w:rPr>
          <w:rFonts w:ascii="Times New Roman" w:hAnsi="Times New Roman" w:cs="Times New Roman"/>
          <w:i/>
          <w:noProof/>
          <w:lang w:val="sv-SE"/>
        </w:rPr>
        <w:t>et al.</w:t>
      </w:r>
      <w:r w:rsidRPr="00D05EC2">
        <w:rPr>
          <w:rFonts w:ascii="Times New Roman" w:hAnsi="Times New Roman" w:cs="Times New Roman"/>
          <w:noProof/>
          <w:lang w:val="sv-SE"/>
        </w:rPr>
        <w:t xml:space="preserve"> (2020); </w:t>
      </w:r>
      <w:r w:rsidR="004A5E0E" w:rsidRPr="00D05EC2">
        <w:rPr>
          <w:rFonts w:ascii="Times New Roman" w:hAnsi="Times New Roman" w:cs="Times New Roman"/>
          <w:noProof/>
          <w:lang w:val="sv-SE"/>
        </w:rPr>
        <w:t>and</w:t>
      </w:r>
      <w:r w:rsidRPr="00D05EC2">
        <w:rPr>
          <w:rFonts w:ascii="Times New Roman" w:hAnsi="Times New Roman" w:cs="Times New Roman"/>
          <w:noProof/>
          <w:lang w:val="sv-SE"/>
        </w:rPr>
        <w:t xml:space="preserve"> Lusardi </w:t>
      </w:r>
      <w:r w:rsidRPr="00D05EC2">
        <w:rPr>
          <w:rFonts w:ascii="Times New Roman" w:hAnsi="Times New Roman" w:cs="Times New Roman"/>
          <w:i/>
          <w:iCs/>
          <w:noProof/>
          <w:lang w:val="sv-SE"/>
        </w:rPr>
        <w:t xml:space="preserve">et al. </w:t>
      </w:r>
      <w:r w:rsidRPr="00D05EC2">
        <w:rPr>
          <w:rFonts w:ascii="Times New Roman" w:hAnsi="Times New Roman" w:cs="Times New Roman"/>
          <w:noProof/>
          <w:lang w:val="en-ID"/>
        </w:rPr>
        <w:t>(2017)</w:t>
      </w:r>
      <w:r w:rsidRPr="00D05EC2">
        <w:rPr>
          <w:rFonts w:ascii="Times New Roman" w:hAnsi="Times New Roman" w:cs="Times New Roman"/>
        </w:rPr>
        <w:fldChar w:fldCharType="end"/>
      </w:r>
      <w:bookmarkEnd w:id="13"/>
      <w:r w:rsidRPr="00D05EC2">
        <w:rPr>
          <w:rFonts w:ascii="Times New Roman" w:hAnsi="Times New Roman" w:cs="Times New Roman"/>
          <w:lang w:val="en-ID"/>
        </w:rPr>
        <w:t xml:space="preserve">. Individuals who are well-literate in financial matters are considered to be more prepared in planning their future lives such as retirement, according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{"citationItems":[{"id":"ITEM-1","itemData":{"DOI":"10.2139/ssrn.1499844","abstract":"This paper analyzes new data on financial literacy and financial sophistication from the 2008 Health and Retirement Study. We show that financial literacy is lacking among older individuals and for the first time explore additional questions on financial sophistication which proves even scarcer. For this sample of older respondents over the age of 55, we find that people lack even a rudimentary understanding of stock and bond prices, risk diversification, portfolio choice, and investment fees. In view of the fact that individuals are increasingly required to take on responsibility for their own retirement security, this lack of knowledge has serious implications.","author":[{"dropping-particle":"","family":"Mitchell","given":"Olivia S.","non-dropping-particle":"","parse-names":false,"suffix":""},{"dropping-particle":"","family":"Lusardi","given":"Annamaria","non-dropping-particle":"","parse-names":false,"suffix":""},{"dropping-particle":"","family":"Curto","given":"Vilsa","non-dropping-particle":"","parse-names":false,"suffix":""}],"container-title":"SSRN Electronic Journal","id":"ITEM-1","issue":"October","issued":{"date-parts":[["2009"]]},"title":"Financial Literacy and Financial Sophistication Among Older Americans","type":"article-journal"},"uris":["http://www.mendeley.com/documents/?uuid=9c5f3571-9b84-42f8-8103-a9c3c68f22a5"]}],"mendeley":{"formattedCitation":"(Mitchell et al., 2009)","manualFormatting":"Lusardi et al. (2011)","plainTextFormattedCitation":"(Mitchell et al., 2009)","previouslyFormattedCitation":"(Mitchell et al., 2009)"},"properties":{"noteIndex":0},"schema":"https://github.com/citation-style-language/schema/raw/master/csl-citation.json"}</w:instrText>
      </w:r>
      <w:r w:rsidRPr="00D05EC2">
        <w:rPr>
          <w:rFonts w:ascii="Times New Roman" w:hAnsi="Times New Roman" w:cs="Times New Roman"/>
        </w:rPr>
        <w:fldChar w:fldCharType="separate"/>
      </w:r>
      <w:bookmarkStart w:id="14" w:name="Bookmark14"/>
      <w:r w:rsidRPr="00D05EC2">
        <w:rPr>
          <w:rFonts w:ascii="Times New Roman" w:hAnsi="Times New Roman" w:cs="Times New Roman"/>
          <w:noProof/>
          <w:lang w:val="en-ID"/>
        </w:rPr>
        <w:t>L</w:t>
      </w:r>
      <w:bookmarkStart w:id="15" w:name="Bookmark121"/>
      <w:r w:rsidRPr="00D05EC2">
        <w:rPr>
          <w:rFonts w:ascii="Times New Roman" w:hAnsi="Times New Roman" w:cs="Times New Roman"/>
          <w:noProof/>
          <w:lang w:val="en-ID"/>
        </w:rPr>
        <w:t>usardi et al. (2011)</w:t>
      </w:r>
      <w:r w:rsidRPr="00D05EC2">
        <w:rPr>
          <w:rFonts w:ascii="Times New Roman" w:hAnsi="Times New Roman" w:cs="Times New Roman"/>
        </w:rPr>
        <w:fldChar w:fldCharType="end"/>
      </w:r>
      <w:bookmarkEnd w:id="14"/>
      <w:bookmarkEnd w:id="15"/>
      <w:r w:rsidRPr="00D05EC2">
        <w:rPr>
          <w:rFonts w:ascii="Times New Roman" w:hAnsi="Times New Roman" w:cs="Times New Roman"/>
        </w:rPr>
        <w:t xml:space="preserve"> </w:t>
      </w:r>
      <w:r w:rsidRPr="00D05EC2">
        <w:rPr>
          <w:rFonts w:ascii="Times New Roman" w:hAnsi="Times New Roman" w:cs="Times New Roman"/>
          <w:lang w:val="en-ID"/>
        </w:rPr>
        <w:t xml:space="preserve">and unexpected funds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{"citationItems":[{"id":"ITEM-1","itemData":{"ISBN":"8133593557","abstract":"Financial literacy is gaining increasing importance as a policy objective in many countries. However, internationally comparable information on financial literacy is still scarce. Recently, the Bank of Japan conducted a major survey of financial literacy and financial behavior covering 25,000 individuals aged from 18 to 79. We used this database to analyze the determinants of financial literacy and the effects of financial literacy on other behaviors. Generally, our study corroborated the findings of studies on other countries, but it uncovered some differences as well. We found that the main determinants of financial literacy are the educational level, income, age, and occupational status and that both financial literacy and general education levels are related positively and significantly to savings behavior and financial inclusion.","author":[{"dropping-particle":"","family":"Yoshino","given":"Naoyuki","non-dropping-particle":"","parse-names":false,"suffix":""},{"dropping-particle":"","family":"Morgan","given":"Peter J","non-dropping-particle":"","parse-names":false,"suffix":""},{"dropping-particle":"","family":"Trinh","given":"Long Q","non-dropping-particle":"","parse-names":false,"suffix":""}],"id":"ITEM-1","issue":"796","issued":{"date-parts":[["2017"]]},"publisher":"ADBI Institute","title":"ADBI Working Paper Series Financial Literacy In Japan: Determinant And Impacts Asian Development Bank Institute","type":"book"},"uris":["http://www.mendeley.com/documents/?uuid=6d7e2ebb-3fc2-4bf3-a6c0-05b13d36d795"]}],"mendeley":{"formattedCitation":"(Yoshino et al., 2017)","manualFormatting":"(Yoshino et al.,2017)","plainTextFormattedCitation":"(Yoshino et al., 2017)","previouslyFormattedCitation":"(Yoshino et al., 2017)"},"properties":{"noteIndex":0},"schema":"https://github.com/citation-style-language/schema/raw/master/csl-citation.json"}</w:instrText>
      </w:r>
      <w:r w:rsidRPr="00D05EC2">
        <w:rPr>
          <w:rFonts w:ascii="Times New Roman" w:hAnsi="Times New Roman" w:cs="Times New Roman"/>
        </w:rPr>
        <w:fldChar w:fldCharType="separate"/>
      </w:r>
      <w:bookmarkStart w:id="16" w:name="Bookmark15"/>
      <w:r w:rsidRPr="00D05EC2">
        <w:rPr>
          <w:rFonts w:ascii="Times New Roman" w:hAnsi="Times New Roman" w:cs="Times New Roman"/>
          <w:noProof/>
          <w:lang w:val="en-ID"/>
        </w:rPr>
        <w:t>(</w:t>
      </w:r>
      <w:bookmarkStart w:id="17" w:name="Bookmark131"/>
      <w:r w:rsidRPr="00D05EC2">
        <w:rPr>
          <w:rFonts w:ascii="Times New Roman" w:hAnsi="Times New Roman" w:cs="Times New Roman"/>
          <w:noProof/>
          <w:lang w:val="en-ID"/>
        </w:rPr>
        <w:t>Yoshino et al.,2017)</w:t>
      </w:r>
      <w:r w:rsidRPr="00D05EC2">
        <w:rPr>
          <w:rFonts w:ascii="Times New Roman" w:hAnsi="Times New Roman" w:cs="Times New Roman"/>
        </w:rPr>
        <w:fldChar w:fldCharType="end"/>
      </w:r>
      <w:bookmarkEnd w:id="16"/>
      <w:bookmarkEnd w:id="17"/>
      <w:r w:rsidRPr="00D05EC2">
        <w:rPr>
          <w:rFonts w:ascii="Times New Roman" w:hAnsi="Times New Roman" w:cs="Times New Roman"/>
          <w:lang w:val="en-ID"/>
        </w:rPr>
        <w:t xml:space="preserve">. They are also usually more careful in using funds and avoiding debt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{"citationItems":[{"id":"ITEM-1","itemData":{"DOI":"10.1111/j.1470-6431.2012.01122.x","ISSN":"1470-6423","abstract":"This research investigates the relation between financial literacy and the cost of borrowing via credit cards and mortgage loans among US consumers. This is a departure from previous studies that have focused on levels of debt in relation to human capital, either financial knowledge or education. Data from the Consumer Finance Monthly ( CFM ) survey are used to specifically examine the effect of financial literacy on borrowing rates for credit cards and mortgages controlling for other human capital influences. The CFM is a national survey, rich in American consumer credit information, and includes a comprehensive instrument specifically designed to measure financial literacy. Results indicate that those who are financially literate are about twice as likely to have lower costs of borrowing for both credit cards and mortgage loans.","author":[{"dropping-particle":"","family":"Huston","given":"Sandra J.","non-dropping-particle":"","parse-names":false,"suffix":""}],"container-title":"International Journal of Consumer Studies","id":"ITEM-1","issue":"5","issued":{"date-parts":[["2012","9","21"]]},"page":"566-572","title":"Financial literacy and the cost of borrowing","type":"article-journal","volume":"36"},"uris":["http://www.mendeley.com/documents/?uuid=d43e1809-99a9-4465-85ab-857908dc21ac"]}],"mendeley":{"formattedCitation":"(Huston, 2012)","plainTextFormattedCitation":"(Huston, 2012)","previouslyFormattedCitation":"(Huston, 2012)"},"properties":{"noteIndex":0},"schema":"https://github.com/citation-style-language/schema/raw/master/csl-citation.json"}</w:instrText>
      </w:r>
      <w:r w:rsidRPr="00D05EC2">
        <w:rPr>
          <w:rFonts w:ascii="Times New Roman" w:hAnsi="Times New Roman" w:cs="Times New Roman"/>
        </w:rPr>
        <w:fldChar w:fldCharType="separate"/>
      </w:r>
      <w:bookmarkStart w:id="18" w:name="Bookmark16"/>
      <w:r w:rsidRPr="00D05EC2">
        <w:rPr>
          <w:rFonts w:ascii="Times New Roman" w:hAnsi="Times New Roman" w:cs="Times New Roman"/>
          <w:noProof/>
          <w:lang w:val="en-ID"/>
        </w:rPr>
        <w:t>(</w:t>
      </w:r>
      <w:bookmarkStart w:id="19" w:name="Bookmark141"/>
      <w:r w:rsidRPr="00D05EC2">
        <w:rPr>
          <w:rFonts w:ascii="Times New Roman" w:hAnsi="Times New Roman" w:cs="Times New Roman"/>
          <w:noProof/>
          <w:lang w:val="en-ID"/>
        </w:rPr>
        <w:t>Huston, 2012)</w:t>
      </w:r>
      <w:r w:rsidRPr="00D05EC2">
        <w:rPr>
          <w:rFonts w:ascii="Times New Roman" w:hAnsi="Times New Roman" w:cs="Times New Roman"/>
        </w:rPr>
        <w:fldChar w:fldCharType="end"/>
      </w:r>
      <w:bookmarkEnd w:id="18"/>
      <w:bookmarkEnd w:id="19"/>
      <w:r w:rsidRPr="00D05EC2">
        <w:rPr>
          <w:rFonts w:ascii="Times New Roman" w:hAnsi="Times New Roman" w:cs="Times New Roman"/>
          <w:lang w:val="en-ID"/>
        </w:rPr>
        <w:t>. High FL and a positive and healthy financial attitude ca</w:t>
      </w:r>
      <w:r w:rsidR="004A5E0E" w:rsidRPr="00D05EC2">
        <w:rPr>
          <w:rFonts w:ascii="Times New Roman" w:hAnsi="Times New Roman" w:cs="Times New Roman"/>
          <w:lang w:val="en-ID"/>
        </w:rPr>
        <w:t>n</w:t>
      </w:r>
      <w:r w:rsidRPr="00D05EC2">
        <w:rPr>
          <w:rFonts w:ascii="Times New Roman" w:hAnsi="Times New Roman" w:cs="Times New Roman"/>
          <w:lang w:val="en-ID"/>
        </w:rPr>
        <w:t xml:space="preserve"> improve prosperous financial conditions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{"citationItems":[{"id":"ITEM-1","itemData":{"ISBN":"0000000345","abstract":"This study aims to analyze how Financial Literacy, Financial Behaviour and Financial Anxiety influence Financial Well Being of Top Management Level Employees. A cross-sectional survey was employed on 256 respondents randomly selected from top management level of manufacture company. It then tests their hypothesized relationships with the use of Partial Least Squares (PLS), a structural equation modelling technique. The result reveal that financial behaviour and financial anxiety significantly influence the financial well-being of employee. Financial literacy also influences the financial anxiety, financial behaviour and financial well-being. Financial behaviour of an individual also determine the level of financial wellbeing of the respondents. Positive and healthy financial behavior leads toward the higher level of financial wellbeing. There is significant and positive effect of financial literacy to financial behaviour of top management level of employees.","author":[{"dropping-particle":"","family":"Pijoh Lidwina, Indradewa Rhian","given":"Syah TYR","non-dropping-particle":"","parse-names":false,"suffix":""}],"container-title":"Financial Literacy, Financial Behaviour and Financial Anxiety; Implication Well Being of Top Management Level Employees","id":"ITEM-1","issue":"4","issued":{"date-parts":[["2020"]]},"page":"527-534","title":"Research Article Research Article","type":"article-journal","volume":"4"},"uris":["http://www.mendeley.com/documents/?uuid=057e1fb0-8edf-4219-83ab-081523504fd2"]}],"mendeley":{"formattedCitation":"(Pijoh Lidwina, Indradewa Rhian, 2020)","manualFormatting":"(Pijoh et al.,2020)","plainTextFormattedCitation":"(Pijoh Lidwina, Indradewa Rhian, 2020)","previouslyFormattedCitation":"(Pijoh Lidwina, Indradewa Rhian, 2020)"},"properties":{"noteIndex":0},"schema":"https://github.com/citation-style-language/schema/raw/master/csl-citation.json"}</w:instrText>
      </w:r>
      <w:r w:rsidRPr="00D05EC2">
        <w:rPr>
          <w:rFonts w:ascii="Times New Roman" w:hAnsi="Times New Roman" w:cs="Times New Roman"/>
        </w:rPr>
        <w:fldChar w:fldCharType="separate"/>
      </w:r>
      <w:bookmarkStart w:id="20" w:name="Bookmark17"/>
      <w:r w:rsidRPr="00D05EC2">
        <w:rPr>
          <w:rFonts w:ascii="Times New Roman" w:hAnsi="Times New Roman" w:cs="Times New Roman"/>
          <w:noProof/>
          <w:lang w:val="en-ID"/>
        </w:rPr>
        <w:t>(</w:t>
      </w:r>
      <w:bookmarkStart w:id="21" w:name="Bookmark151"/>
      <w:r w:rsidRPr="00D05EC2">
        <w:rPr>
          <w:rFonts w:ascii="Times New Roman" w:hAnsi="Times New Roman" w:cs="Times New Roman"/>
          <w:noProof/>
          <w:lang w:val="en-ID"/>
        </w:rPr>
        <w:t>Pijoh et al.,2020)</w:t>
      </w:r>
      <w:r w:rsidRPr="00D05EC2">
        <w:rPr>
          <w:rFonts w:ascii="Times New Roman" w:hAnsi="Times New Roman" w:cs="Times New Roman"/>
        </w:rPr>
        <w:fldChar w:fldCharType="end"/>
      </w:r>
      <w:bookmarkEnd w:id="20"/>
      <w:bookmarkEnd w:id="21"/>
      <w:r w:rsidRPr="00D05EC2">
        <w:rPr>
          <w:rFonts w:ascii="Times New Roman" w:hAnsi="Times New Roman" w:cs="Times New Roman"/>
          <w:lang w:val="en-ID"/>
        </w:rPr>
        <w:t>.  Financial attitudes and FL have a significant impact on RP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{"citationItems":[{"id":"ITEM-1","itemData":{"DOI":"10.3390/su15032677","ISSN":"20711050","abstract":"Financial planning for retirement is essential to ensure that people have enough money to live the lifestyle they desire when they retire. Self-employed business owners in developed countries widely do financial retirement planning. However, in Malaysia, the percentage of self-employed individuals concerned about financial retirement planning is lower than in other countries. This study aims to identify the relationship between the financial attitude, financial literacy and health literacy of self-employed individuals toward sustainable financial retirement planning in Malaysia and find out the moderating effect of the role of financial advisors. The study utilized structural equation modelling. Data were collected through a survey questionnaire and analyzed using SMART PLS 3.3. The total sample size was 416 self-employed individuals from the northern Malaysian region. The findings revealed that financial attitude and financial literacy significantly impact retirement planning. Moreover, the role of financial advisors moderates the relationship between financial attitude–financial retirement planning and financial literacy–financial retirement planning. The result of the study will fulfil the needs of self-employed individuals to plan their retirement by including the financial planning determinants needed for a well-planned retirement.","author":[{"dropping-particle":"","family":"Mustafa","given":"Wan Mashumi Wan","non-dropping-particle":"","parse-names":false,"suffix":""},{"dropping-particle":"","family":"Islam","given":"Md Aminul","non-dropping-particle":"","parse-names":false,"suffix":""},{"dropping-particle":"","family":"Asyraf","given":"Muhammad","non-dropping-particle":"","parse-names":false,"suffix":""},{"dropping-particle":"","family":"Hassan","given":"Md Sharif","non-dropping-particle":"","parse-names":false,"suffix":""},{"dropping-particle":"","family":"Royhan","given":"Pradip","non-dropping-particle":"","parse-names":false,"suffix":""},{"dropping-particle":"","family":"Rahman","given":"Shafiqur","non-dropping-particle":"","parse-names":false,"suffix":""}],"container-title":"Sustainability (Switzerland)","id":"ITEM-1","issue":"3","issued":{"date-parts":[["2023"]]},"title":"The Effects of Financial Attitudes, Financial Literacy and Health Literacy on Sustainable Financial Retirement Planning: The Moderating Role of the Financial Advisor","type":"article-journal","volume":"15"},"uris":["http://www.mendeley.com/documents/?uuid=f56a5416-82d1-4be2-853d-c0b56121ae38"]}],"mendeley":{"formattedCitation":"(Mustafa et al., 2023)","manualFormatting":"Mustafa et al., 2023)","plainTextFormattedCitation":"(Mustafa et al., 2023)","previouslyFormattedCitation":"(Mustafa et al., 2023)"},"properties":{"noteIndex":0},"schema":"https://github.com/citation-style-language/schema/raw/master/csl-citation.json"}</w:instrText>
      </w:r>
      <w:r w:rsidRPr="00D05EC2">
        <w:rPr>
          <w:rFonts w:ascii="Times New Roman" w:hAnsi="Times New Roman" w:cs="Times New Roman"/>
        </w:rPr>
        <w:fldChar w:fldCharType="separate"/>
      </w:r>
      <w:bookmarkStart w:id="22" w:name="Bookmark18"/>
      <w:r w:rsidRPr="00D05EC2">
        <w:rPr>
          <w:rFonts w:ascii="Times New Roman" w:hAnsi="Times New Roman" w:cs="Times New Roman"/>
          <w:noProof/>
          <w:lang w:val="en-ID"/>
        </w:rPr>
        <w:t>M</w:t>
      </w:r>
      <w:bookmarkStart w:id="23" w:name="Bookmark161"/>
      <w:r w:rsidRPr="00D05EC2">
        <w:rPr>
          <w:rFonts w:ascii="Times New Roman" w:hAnsi="Times New Roman" w:cs="Times New Roman"/>
          <w:noProof/>
          <w:lang w:val="en-ID"/>
        </w:rPr>
        <w:t>ustafa et al., 2023)</w:t>
      </w:r>
      <w:r w:rsidRPr="00D05EC2">
        <w:rPr>
          <w:rFonts w:ascii="Times New Roman" w:hAnsi="Times New Roman" w:cs="Times New Roman"/>
        </w:rPr>
        <w:fldChar w:fldCharType="end"/>
      </w:r>
      <w:bookmarkEnd w:id="22"/>
      <w:bookmarkEnd w:id="23"/>
      <w:r w:rsidRPr="00D05EC2">
        <w:rPr>
          <w:rFonts w:ascii="Times New Roman" w:hAnsi="Times New Roman" w:cs="Times New Roman"/>
        </w:rPr>
        <w:t>.</w:t>
      </w:r>
    </w:p>
    <w:p w14:paraId="7B26EBD6" w14:textId="4A78B61B" w:rsidR="00D97723" w:rsidRPr="00D05EC2" w:rsidRDefault="00456E38" w:rsidP="00666DCF">
      <w:pPr>
        <w:spacing w:line="276" w:lineRule="auto"/>
        <w:ind w:firstLine="720"/>
        <w:jc w:val="both"/>
        <w:rPr>
          <w:rFonts w:ascii="Times New Roman" w:hAnsi="Times New Roman" w:cs="Times New Roman"/>
        </w:rPr>
      </w:pPr>
      <w:r w:rsidRPr="00D05EC2">
        <w:rPr>
          <w:rFonts w:ascii="Times New Roman" w:hAnsi="Times New Roman" w:cs="Times New Roman"/>
          <w:lang w:val="en-ID"/>
        </w:rPr>
        <w:t xml:space="preserve">According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ISBN":"9788530969561","author":[{"dropping-particle":"","family":"Cho","given":"Jihyun","non-dropping-particle":"","parse-names":false,"suffix":""}],"id":"ITEM-1","issued":{"date-parts":[["2016"]]},"number-of-pages":"37-39","publisher":"University of Michigan","title":"Bridge Employment and Health","type":"thesis","volume":"66"},"uris":["http://www.mendeley.com/documents/?uuid=b123e822-754a-4f16-a7e3-6e7efc0ec086"]}],"mendeley":{"formattedCitation":"(Cho, 2016)","manualFormatting":"Cho (2016)","plainTextFormattedCitation":"(Cho, 2016)","previouslyFormattedCitation":"(Cho, 2016)"},"properties":{"noteIndex":0},"schema":"https://github.com/citation-style-language/schema/raw/master/csl-citation.json"}</w:instrText>
      </w:r>
      <w:r w:rsidRPr="00D05EC2">
        <w:rPr>
          <w:rFonts w:ascii="Times New Roman" w:hAnsi="Times New Roman" w:cs="Times New Roman"/>
        </w:rPr>
        <w:fldChar w:fldCharType="separate"/>
      </w:r>
      <w:bookmarkStart w:id="24" w:name="Bookmark19"/>
      <w:r w:rsidRPr="00D05EC2">
        <w:rPr>
          <w:rFonts w:ascii="Times New Roman" w:hAnsi="Times New Roman" w:cs="Times New Roman"/>
          <w:noProof/>
          <w:lang w:val="en-ID"/>
        </w:rPr>
        <w:t>C</w:t>
      </w:r>
      <w:bookmarkStart w:id="25" w:name="Bookmark171"/>
      <w:r w:rsidRPr="00D05EC2">
        <w:rPr>
          <w:rFonts w:ascii="Times New Roman" w:hAnsi="Times New Roman" w:cs="Times New Roman"/>
          <w:noProof/>
          <w:lang w:val="en-ID"/>
        </w:rPr>
        <w:t>ho (2016)</w:t>
      </w:r>
      <w:r w:rsidRPr="00D05EC2">
        <w:rPr>
          <w:rFonts w:ascii="Times New Roman" w:hAnsi="Times New Roman" w:cs="Times New Roman"/>
        </w:rPr>
        <w:fldChar w:fldCharType="end"/>
      </w:r>
      <w:bookmarkEnd w:id="24"/>
      <w:bookmarkEnd w:id="25"/>
      <w:r w:rsidRPr="00D05EC2">
        <w:rPr>
          <w:rFonts w:ascii="Times New Roman" w:hAnsi="Times New Roman" w:cs="Times New Roman"/>
          <w:lang w:val="en-ID"/>
        </w:rPr>
        <w:t xml:space="preserve">, a person who is already retired with a high level of income and education is possible to keep working just for fun and not to earn income for his needs before retiring.  However, in Indonesia today, the phenomenon that occurs is that the elderly still work to earn income, as many as 9.4 million elderly people are still working, even 61% of the population because they are still the mainstay of family finances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{"citationItems":[{"id":"ITEM-1","itemData":{"author":[{"dropping-particle":"","family":"Kompas","given":"","non-dropping-particle":"","parse-names":false,"suffix":""}],"container-title":"Kompas","id":"ITEM-1","issued":{"date-parts":[["2024","6","3"]]},"page":"1 &amp; 15","title":"Warga Lansia Masih Bekerja untuk Menopang Generasi Z","type":"article-newspaper"},"uris":["http://www.mendeley.com/documents/?uuid=87461c9e-029d-4e1f-86c3-b9634aedacf5"]}],"mendeley":{"formattedCitation":"(Kompas, 2024)","manualFormatting":"(Kompas, 2024)","plainTextFormattedCitation":"(Kompas, 2024)","previouslyFormattedCitation":"(Kompas, 2024)"},"properties":{"noteIndex":0},"schema":"https://github.com/citation-style-language/schema/raw/master/csl-citation.json"}</w:instrText>
      </w:r>
      <w:r w:rsidRPr="00D05EC2">
        <w:rPr>
          <w:rFonts w:ascii="Times New Roman" w:hAnsi="Times New Roman" w:cs="Times New Roman"/>
        </w:rPr>
        <w:fldChar w:fldCharType="separate"/>
      </w:r>
      <w:bookmarkStart w:id="26" w:name="Bookmark20"/>
      <w:r w:rsidRPr="00D05EC2">
        <w:rPr>
          <w:rFonts w:ascii="Times New Roman" w:hAnsi="Times New Roman" w:cs="Times New Roman"/>
          <w:noProof/>
          <w:lang w:val="en-ID"/>
        </w:rPr>
        <w:t>(</w:t>
      </w:r>
      <w:bookmarkStart w:id="27" w:name="Bookmark181"/>
      <w:r w:rsidRPr="00D05EC2">
        <w:rPr>
          <w:rFonts w:ascii="Times New Roman" w:hAnsi="Times New Roman" w:cs="Times New Roman"/>
          <w:noProof/>
          <w:lang w:val="en-ID"/>
        </w:rPr>
        <w:t>Kompas, 2024)</w:t>
      </w:r>
      <w:r w:rsidRPr="00D05EC2">
        <w:rPr>
          <w:rFonts w:ascii="Times New Roman" w:hAnsi="Times New Roman" w:cs="Times New Roman"/>
        </w:rPr>
        <w:fldChar w:fldCharType="end"/>
      </w:r>
      <w:bookmarkEnd w:id="26"/>
      <w:bookmarkEnd w:id="27"/>
      <w:r w:rsidRPr="00D05EC2">
        <w:rPr>
          <w:rFonts w:ascii="Times New Roman" w:hAnsi="Times New Roman" w:cs="Times New Roman"/>
          <w:lang w:val="en-ID"/>
        </w:rPr>
        <w:t xml:space="preserve">. According to data from the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{"citationItems":[{"id":"ITEM-1","itemData":{"URL":"https://ojk.go.id/","author":[{"dropping-particle":"","family":"Otoritas Jasa Keuangan","given":"","non-dropping-particle":"","parse-names":false,"suffix":""}],"container-title":"Otoritas Jasa Keuangan","id":"ITEM-1","issued":{"date-parts":[["2023"]]},"title":"Otoritas Jasa Keuangan","type":"webpage"},"uris":["http://www.mendeley.com/documents/?uuid=5da9d103-0b8a-476b-b9f4-428fe255b069"]}],"mendeley":{"formattedCitation":"(Otoritas Jasa Keuangan, 2023)","manualFormatting":"Otoritas Jasa Keuangan (2023","plainTextFormattedCitation":"(Otoritas Jasa Keuangan, 2023)","previouslyFormattedCitation":"(Otoritas Jasa Keuangan, 2023)"},"properties":{"noteIndex":0},"schema":"https://github.com/citation-style-language/schema/raw/master/csl-citation.json"}</w:instrText>
      </w:r>
      <w:r w:rsidRPr="00D05EC2">
        <w:rPr>
          <w:rFonts w:ascii="Times New Roman" w:hAnsi="Times New Roman" w:cs="Times New Roman"/>
        </w:rPr>
        <w:fldChar w:fldCharType="separate"/>
      </w:r>
      <w:bookmarkStart w:id="28" w:name="Bookmark21"/>
      <w:r w:rsidRPr="00D05EC2">
        <w:rPr>
          <w:rFonts w:ascii="Times New Roman" w:hAnsi="Times New Roman" w:cs="Times New Roman"/>
          <w:noProof/>
          <w:lang w:val="en-ID"/>
        </w:rPr>
        <w:t>O</w:t>
      </w:r>
      <w:bookmarkStart w:id="29" w:name="Bookmark191"/>
      <w:r w:rsidRPr="00D05EC2">
        <w:rPr>
          <w:rFonts w:ascii="Times New Roman" w:hAnsi="Times New Roman" w:cs="Times New Roman"/>
          <w:noProof/>
          <w:lang w:val="en-ID"/>
        </w:rPr>
        <w:t>toritas Jasa Keuangan (2023</w:t>
      </w:r>
      <w:r w:rsidRPr="00D05EC2">
        <w:rPr>
          <w:rFonts w:ascii="Times New Roman" w:hAnsi="Times New Roman" w:cs="Times New Roman"/>
        </w:rPr>
        <w:fldChar w:fldCharType="end"/>
      </w:r>
      <w:bookmarkEnd w:id="28"/>
      <w:bookmarkEnd w:id="29"/>
      <w:r w:rsidRPr="00D05EC2">
        <w:rPr>
          <w:rFonts w:ascii="Times New Roman" w:hAnsi="Times New Roman" w:cs="Times New Roman"/>
          <w:lang w:val="en-ID"/>
        </w:rPr>
        <w:t xml:space="preserve">), the pension fund density rate reached 15.89%, which means that only 16 out of 100 working residents have a pension program. In the Asia Pacific region itself, Indonesia was even positioned as the 'most financially illiterate country' in 2015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{"citationItems":[{"id":"ITEM-1","itemData":{"author":[{"dropping-particle":"","family":"Amirio","given":"Dylan","non-dropping-particle":"","parse-names":false,"suffix":""}],"container-title":"The Jakarta Post","id":"ITEM-1","issued":{"date-parts":[["2015"]]},"title":"RI's financial literacy remains among lowest in Asia","type":"article-newspaper"},"uris":["http://www.mendeley.com/documents/?uuid=fa66c06f-8b04-441a-b649-4e9398f5b92d"]}],"mendeley":{"formattedCitation":"(Amirio, 2015)","plainTextFormattedCitation":"(Amirio, 2015)","previouslyFormattedCitation":"(Amirio, 2015)"},"properties":{"noteIndex":0},"schema":"https://github.com/citation-style-language/schema/raw/master/csl-citation.json"}</w:instrText>
      </w:r>
      <w:r w:rsidRPr="00D05EC2">
        <w:rPr>
          <w:rFonts w:ascii="Times New Roman" w:hAnsi="Times New Roman" w:cs="Times New Roman"/>
        </w:rPr>
        <w:fldChar w:fldCharType="separate"/>
      </w:r>
      <w:bookmarkStart w:id="30" w:name="Bookmark22"/>
      <w:r w:rsidRPr="00D05EC2">
        <w:rPr>
          <w:rFonts w:ascii="Times New Roman" w:hAnsi="Times New Roman" w:cs="Times New Roman"/>
          <w:noProof/>
        </w:rPr>
        <w:t>(</w:t>
      </w:r>
      <w:bookmarkStart w:id="31" w:name="Bookmark201"/>
      <w:r w:rsidRPr="00D05EC2">
        <w:rPr>
          <w:rFonts w:ascii="Times New Roman" w:hAnsi="Times New Roman" w:cs="Times New Roman"/>
          <w:noProof/>
        </w:rPr>
        <w:t>Amirio, 2015)</w:t>
      </w:r>
      <w:r w:rsidRPr="00D05EC2">
        <w:rPr>
          <w:rFonts w:ascii="Times New Roman" w:hAnsi="Times New Roman" w:cs="Times New Roman"/>
        </w:rPr>
        <w:fldChar w:fldCharType="end"/>
      </w:r>
      <w:bookmarkEnd w:id="30"/>
      <w:bookmarkEnd w:id="31"/>
      <w:r w:rsidRPr="00D05EC2">
        <w:rPr>
          <w:rFonts w:ascii="Times New Roman" w:hAnsi="Times New Roman" w:cs="Times New Roman"/>
        </w:rPr>
        <w:t xml:space="preserve">. </w:t>
      </w:r>
      <w:r w:rsidRPr="00D05EC2">
        <w:rPr>
          <w:rFonts w:ascii="Times New Roman" w:hAnsi="Times New Roman" w:cs="Times New Roman"/>
          <w:lang w:val="en-ID"/>
        </w:rPr>
        <w:t xml:space="preserve">As of 2022, at the Asia Pacific level, Indonesia is already at number 32, with a position above Thailand and below the Republic of Korea according to research results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{"citationItems":[{"id":"ITEM-1","itemData":{"author":[{"dropping-particle":"","family":"Fairer","given":"Building Forward","non-dropping-particle":"","parse-names":false,"suffix":""}],"id":"ITEM-1","issued":{"date-parts":[["2022"]]},"note":"Economic and Social Survey of Asia and the Pacific 2022 Economic Policies for an Inclusive Recovery and Development","number-of-pages":"1-6","title":"Annex 1. Financial inclusion and literacy in Asia and the Pacific Annex 2. Central banks' internal corporate actions to promote inclusive development Online Annexes Building Forward Fairer Economic and Social Survey of Asia and the Pacific 2022 Economic P","type":"report"},"uris":["http://www.mendeley.com/documents/?uuid=db217981-bc5b-452b-9f97-ab9b0105d521"]}],"mendeley":{"formattedCitation":"(Fairer, 2022)","manualFormatting":" Fairer (2022)","plainTextFormattedCitation":"(Fairer, 2022)","previouslyFormattedCitation":"(Fairer, 2022)"},"properties":{"noteIndex":0},"schema":"https://github.com/citation-style-language/schema/raw/master/csl-citation.json"}</w:instrText>
      </w:r>
      <w:r w:rsidRPr="00D05EC2">
        <w:rPr>
          <w:rFonts w:ascii="Times New Roman" w:hAnsi="Times New Roman" w:cs="Times New Roman"/>
        </w:rPr>
        <w:fldChar w:fldCharType="separate"/>
      </w:r>
      <w:bookmarkStart w:id="32" w:name="Bookmark23"/>
      <w:r w:rsidRPr="00D05EC2">
        <w:rPr>
          <w:rFonts w:ascii="Times New Roman" w:hAnsi="Times New Roman" w:cs="Times New Roman"/>
          <w:noProof/>
          <w:lang w:val="en-ID"/>
        </w:rPr>
        <w:t xml:space="preserve"> </w:t>
      </w:r>
      <w:bookmarkStart w:id="33" w:name="Bookmark211"/>
      <w:r w:rsidRPr="00D05EC2">
        <w:rPr>
          <w:rFonts w:ascii="Times New Roman" w:hAnsi="Times New Roman" w:cs="Times New Roman"/>
          <w:noProof/>
          <w:lang w:val="en-ID"/>
        </w:rPr>
        <w:t>Fairer (2022)</w:t>
      </w:r>
      <w:r w:rsidRPr="00D05EC2">
        <w:rPr>
          <w:rFonts w:ascii="Times New Roman" w:hAnsi="Times New Roman" w:cs="Times New Roman"/>
        </w:rPr>
        <w:fldChar w:fldCharType="end"/>
      </w:r>
      <w:bookmarkEnd w:id="32"/>
      <w:bookmarkEnd w:id="33"/>
      <w:r w:rsidRPr="00D05EC2">
        <w:rPr>
          <w:rFonts w:ascii="Times New Roman" w:hAnsi="Times New Roman" w:cs="Times New Roman"/>
        </w:rPr>
        <w:t xml:space="preserve"> </w:t>
      </w:r>
      <w:r w:rsidRPr="00D05EC2">
        <w:rPr>
          <w:rFonts w:ascii="Times New Roman" w:hAnsi="Times New Roman" w:cs="Times New Roman"/>
          <w:lang w:val="en-ID"/>
        </w:rPr>
        <w:t xml:space="preserve"> and is still the below average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{"citationItems":[{"id":"ITEM-1","itemData":{"DOI":"10.2139/ssrn.3743345","ISSN":"1556-5068","abstract":"This chapter is to provide an overview of financial literacy in Asia, describe financial literacy education in Asian countries, and propose recommendations for policy makers. The chapter demonstrates that: 1) Financial literacy is an important factor contributing to consumer financial capability and wellbeing in Asia; 2) Financial literacy national strategies and education programs in Asian countries are beneficial for consumer wellbeing and economic developments; and 3) Public policies promoting financial literacy education can be compatible with the socioeconomic development goals of Asian countries.","author":[{"dropping-particle":"","family":"Xiao","given":"Jing Jian","non-dropping-particle":"","parse-names":false,"suffix":""}],"container-title":"SSRN Electronic Journal","id":"ITEM-1","issue":"January 2020","issued":{"date-parts":[["2020"]]},"title":"Financial Literacy in Asia: A Scoping Review","type":"article-journal"},"uris":["http://www.mendeley.com/documents/?uuid=2a6b6ac7-fb6d-4a41-955e-742f3972e2d7"]}],"mendeley":{"formattedCitation":"(Xiao, 2020)","plainTextFormattedCitation":"(Xiao, 2020)","previouslyFormattedCitation":"(Xiao, 2020)"},"properties":{"noteIndex":0},"schema":"https://github.com/citation-style-language/schema/raw/master/csl-citation.json"}</w:instrText>
      </w:r>
      <w:r w:rsidRPr="00D05EC2">
        <w:rPr>
          <w:rFonts w:ascii="Times New Roman" w:hAnsi="Times New Roman" w:cs="Times New Roman"/>
        </w:rPr>
        <w:fldChar w:fldCharType="separate"/>
      </w:r>
      <w:bookmarkStart w:id="34" w:name="Bookmark24"/>
      <w:r w:rsidRPr="00D05EC2">
        <w:rPr>
          <w:rFonts w:ascii="Times New Roman" w:hAnsi="Times New Roman" w:cs="Times New Roman"/>
          <w:noProof/>
          <w:lang w:val="en-ID"/>
        </w:rPr>
        <w:t>(</w:t>
      </w:r>
      <w:bookmarkStart w:id="35" w:name="Bookmark221"/>
      <w:r w:rsidRPr="00D05EC2">
        <w:rPr>
          <w:rFonts w:ascii="Times New Roman" w:hAnsi="Times New Roman" w:cs="Times New Roman"/>
          <w:noProof/>
          <w:lang w:val="en-ID"/>
        </w:rPr>
        <w:t>Xiao, 2020)</w:t>
      </w:r>
      <w:r w:rsidRPr="00D05EC2">
        <w:rPr>
          <w:rFonts w:ascii="Times New Roman" w:hAnsi="Times New Roman" w:cs="Times New Roman"/>
        </w:rPr>
        <w:fldChar w:fldCharType="end"/>
      </w:r>
      <w:bookmarkEnd w:id="34"/>
      <w:bookmarkEnd w:id="35"/>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{"citationItems":[{"id":"ITEM-1","itemData":{"ISSN":"23041013","abstract":"In the workplace, it is common to encounter diverse employees spanning various generations, each with unique priorities and needs. This descriptive-correlational study aims to determine why working professionals, when grouped by generation, save and what affects their intention to save and their actual saving behavior. A researcher-developed survey questionnaire was used to gather data from 1 133 working professions. Structural equation modeling was utilized to determine the relationships among the variables. The study differentiated the effects of different factors on their saving behavior considering the generation to which they belong. Results show that working professionals consider savings for emergency needs essential. Savings for basic needs is their priority, but they start to consider saving for retirement as they age. Attitude is the most important factor affecting their intention to save. In contrast, financial literacy does not affect the intention of the Baby Boomers and Gen Z to save, just as social influence does not affect the intention of Gen Z professionals. The study also proved that working professionals do not just intend to save, but they save. Demographic factors of different generations affect the saving behavior of respondents. The study contributes to the existing literature on financial behavior and saving goals and has practical implications to promote positive saving behaviors and enhance financial well-being among all ages. Additionally, policymakers can utilize the findings to design targeted interventions and policies that encourage responsible saving and financial security across generations.","author":[{"dropping-particle":"","family":"Uy","given":"Chin","non-dropping-particle":"","parse-names":false,"suffix":""},{"dropping-particle":"","family":"Manalo","given":"Ronaldo A.","non-dropping-particle":"","parse-names":false,"suffix":""},{"dropping-particle":"","family":"Bayona","given":"Shirlene P.","non-dropping-particle":"","parse-names":false,"suffix":""}],"container-title":"Review of Integrative Business and Economics Research","id":"ITEM-1","issue":"2","issued":{"date-parts":[["2024"]]},"page":"372-390","title":"Determinants of Saving Behavior of Working Professionals: An Intergenerational Perspective","type":"article-journal","volume":"13"},"uris":["http://www.mendeley.com/documents/?uuid=7f11694a-8f70-41d5-aee1-74ec49439c5c"]}],"mendeley":{"formattedCitation":"(Uy et al., 2024)","manualFormatting":"Uy et al. (2024) ","plainTextFormattedCitation":"(Uy et al., 2024)","previouslyFormattedCitation":"(Uy et al., 2024)"},"properties":{"noteIndex":0},"schema":"https://github.com/citation-style-language/schema/raw/master/csl-citation.json"}</w:instrText>
      </w:r>
      <w:r w:rsidRPr="00D05EC2">
        <w:rPr>
          <w:rFonts w:ascii="Times New Roman" w:hAnsi="Times New Roman" w:cs="Times New Roman"/>
        </w:rPr>
        <w:fldChar w:fldCharType="separate"/>
      </w:r>
      <w:bookmarkStart w:id="36" w:name="Bookmark25"/>
      <w:r w:rsidRPr="00D05EC2">
        <w:rPr>
          <w:rFonts w:ascii="Times New Roman" w:hAnsi="Times New Roman" w:cs="Times New Roman"/>
          <w:noProof/>
          <w:lang w:val="en-ID"/>
        </w:rPr>
        <w:t>U</w:t>
      </w:r>
      <w:bookmarkStart w:id="37" w:name="Bookmark231"/>
      <w:r w:rsidRPr="00D05EC2">
        <w:rPr>
          <w:rFonts w:ascii="Times New Roman" w:hAnsi="Times New Roman" w:cs="Times New Roman"/>
          <w:noProof/>
          <w:lang w:val="en-ID"/>
        </w:rPr>
        <w:t xml:space="preserve">y et al. (2024) </w:t>
      </w:r>
      <w:r w:rsidRPr="00D05EC2">
        <w:rPr>
          <w:rFonts w:ascii="Times New Roman" w:hAnsi="Times New Roman" w:cs="Times New Roman"/>
        </w:rPr>
        <w:fldChar w:fldCharType="end"/>
      </w:r>
      <w:bookmarkEnd w:id="36"/>
      <w:bookmarkEnd w:id="37"/>
      <w:r w:rsidRPr="00D05EC2">
        <w:rPr>
          <w:rFonts w:ascii="Times New Roman" w:hAnsi="Times New Roman" w:cs="Times New Roman"/>
          <w:lang w:val="en-ID"/>
        </w:rPr>
        <w:t xml:space="preserve">also found that FL positively influences their intention to save.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{"citationItems":[{"id":"ITEM-1","itemData":{"DOI":"10.24018/ejbmr.2021.6.5.1064","ISSN":"2507-1076","abstract":"This study investigated the effect of financial literacy on savings behavior, considering the mediation effect of intention to savings. A structured questionnaire was distributed among 206 employed individuals in the Colombo district, Sri Lanka. Three Stage Least Squares technique was initially used to analyze the structural equations model fitted to measure the hypothesized mediation effect. Then the result was rousted using path analysis. The findings indicated that financial literacy has a direct and positively significant influence on savings behavior. Moreover, the mediation effect of intention was also found as positively significant in the above relationship. This indicates that the knowledge of the financial system leads to good savings behavior, and especially it creates an intention to save more. Therefore, policymakers and financial institutions can consider enhancing financial literature among individuals as a worthy strategy when encouraging savings as it both encourages savings behavior and the intention to do so.","author":[{"dropping-particle":"","family":"Peiris","given":"T. U. I.","non-dropping-particle":"","parse-names":false,"suffix":""}],"container-title":"European Journal of Business and Management Research","id":"ITEM-1","issue":"5","issued":{"date-parts":[["2021","9","12"]]},"page":"94-99","title":"Effect of Financial Literacy on Individual Savings Behavior; the Mediation Role of Intention to Saving","type":"article-journal","volume":"6"},"uris":["http://www.mendeley.com/documents/?uuid=2ee38184-7d5c-4cea-9447-dab0ea3033b8"]}],"mendeley":{"formattedCitation":"(Peiris, 2021)","manualFormatting":"From Peiris (2021)","plainTextFormattedCitation":"(Peiris, 2021)","previouslyFormattedCitation":"(Peiris, 2021)"},"properties":{"noteIndex":0},"schema":"https://github.com/citation-style-language/schema/raw/master/csl-citation.json"}</w:instrText>
      </w:r>
      <w:r w:rsidRPr="00D05EC2">
        <w:rPr>
          <w:rFonts w:ascii="Times New Roman" w:hAnsi="Times New Roman" w:cs="Times New Roman"/>
        </w:rPr>
        <w:fldChar w:fldCharType="separate"/>
      </w:r>
      <w:bookmarkStart w:id="38" w:name="Bookmark26"/>
      <w:r w:rsidRPr="00D05EC2">
        <w:rPr>
          <w:rFonts w:ascii="Times New Roman" w:hAnsi="Times New Roman" w:cs="Times New Roman"/>
          <w:noProof/>
          <w:lang w:val="en-ID"/>
        </w:rPr>
        <w:t>From Peiris (2021)</w:t>
      </w:r>
      <w:r w:rsidRPr="00D05EC2">
        <w:rPr>
          <w:rFonts w:ascii="Times New Roman" w:hAnsi="Times New Roman" w:cs="Times New Roman"/>
        </w:rPr>
        <w:fldChar w:fldCharType="end"/>
      </w:r>
      <w:bookmarkEnd w:id="38"/>
      <w:r w:rsidRPr="00D05EC2">
        <w:rPr>
          <w:rFonts w:ascii="Times New Roman" w:hAnsi="Times New Roman" w:cs="Times New Roman"/>
          <w:lang w:val="en-ID"/>
        </w:rPr>
        <w:t xml:space="preserve"> </w:t>
      </w:r>
      <w:r w:rsidR="004A5E0E" w:rsidRPr="00D05EC2">
        <w:rPr>
          <w:rFonts w:ascii="Times New Roman" w:hAnsi="Times New Roman" w:cs="Times New Roman"/>
          <w:lang w:val="en-ID"/>
        </w:rPr>
        <w:t>i</w:t>
      </w:r>
      <w:r w:rsidRPr="00D05EC2">
        <w:rPr>
          <w:rFonts w:ascii="Times New Roman" w:hAnsi="Times New Roman" w:cs="Times New Roman"/>
          <w:lang w:val="en-ID"/>
        </w:rPr>
        <w:t xml:space="preserve">t is known that this FL improves a person’s ability to decide on savings and manage money wisely and appropriately. The findings of the study are also in line with those of other researchers.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{"citationItems":[{"id":"ITEM-1","itemData":{"DOI":"10.24018/ejbmr.2021.6.5.1064","ISSN":"2507-1076","abstract":"This study investigated the effect of financial literacy on savings behavior, considering the mediation effect of intention to savings. A structured questionnaire was distributed among 206 employed individuals in the Colombo district, Sri Lanka. Three Stage Least Squares technique was initially used to analyze the structural equations model fitted to measure the hypothesized mediation effect. Then the result was rousted using path analysis. The findings indicated that financial literacy has a direct and positively significant influence on savings behavior. Moreover, the mediation effect of intention was also found as positively significant in the above relationship. This indicates that the knowledge of the financial system leads to good savings behavior, and especially it creates an intention to save more. Therefore, policymakers and financial institutions can consider enhancing financial literature among individuals as a worthy strategy when encouraging savings as it both encourages savings behavior and the intention to do so.","author":[{"dropping-particle":"","family":"Peiris","given":"T. U. I.","non-dropping-particle":"","parse-names":false,"suffix":""}],"container-title":"European Journal of Business and Management Research","id":"ITEM-1","issue":"5","issued":{"date-parts":[["2021","9","12"]]},"page":"94-99","title":"Effect of Financial Literacy on Individual Savings Behavior; the Mediation Role of Intention to Saving","type":"article-journal","volume":"6"},"uris":["http://www.mendeley.com/documents/?uuid=2ee38184-7d5c-4cea-9447-dab0ea3033b8"]},{"id":"ITEM-2","itemData":{"DOI":"10.5267/j.msl.2020.6.030","ISSN":"19239343","abstract":"This paper examines the influence of Financial Literacy on savings behavior that is improved by storing intentions and attitudes towards savings. Also, the study investigates the effect of subjective norms on saving behavior that is mediated by attitudes toward austerity. Research subjects were primary data from 469 young workers who worked in the DKI Jakarta area in 2018. Data were collected online by distributing questionnaires using Google Docs and they were analyzed using SEM-PLS. The research findings prove that financial literacy affects saving behavior, both directly and indirectly through the variables of saving intention and attitude to saving mediation. Other findings prove that subjective norms do not directly affect thrifty behavior, but had indirect effects through attitudes toward thrifty variables. This study offers alternative models of researchers associated with frugal behavior with theories of planned behavior theory with predictors of financial literacy and subjective norms to improve frugal behavior proving that saving intentions and attitudes towards saving can mediate financial literacy. Furthermore, a mediator's attitude towards savings can improve the subjective norm relationship with saving behavior. Thus, the planned behavior theory can explain the relationship between financial literacy and subjective norms by storing behavior. This is an initial empirical study that attempts to examine the relationship between financial literacy and subjective norms and their impact on savings behavior that is mediated by saving intention and attitude towards saving.","author":[{"dropping-particle":"","family":"Widjaja","given":"Indra","non-dropping-particle":"","parse-names":false,"suffix":""},{"dropping-particle":"","family":"Arifin","given":"Agus Zainul","non-dropping-particle":"","parse-names":false,"suffix":""},{"dropping-particle":"","family":"Setini","given":"Made","non-dropping-particle":"","parse-names":false,"suffix":""}],"container-title":"Management Science Letters","id":"ITEM-2","issue":"15","issued":{"date-parts":[["2020"]]},"page":"3635-3642","title":"The effects of financial literacy and subjective norms on saving behavior","type":"article-journal","volume":"10"},"uris":["http://www.mendeley.com/documents/?uuid=effbe86c-5a21-4037-8dee-07d2af606e03"]},{"id":"ITEM-3","itemData":{"DOI":"10.1016/j.childyouth.2021.106122","ISSN":"01907409","abstract":"Understanding of the determinants of saving behavior of people is important for securing the financial stability of both the person, individually, and the country, at large. The commonly accepted viewpoint here is that a higher level of financial literacy (as brought by the relevant economic education via, in particular, smarter saving) leads to increasing of financial well-being. But, as we discuss in this paper by providing an appropriate conceptual theoretical framework, this relation has a more complicated nature: in some cases, financial literacy may have an adverse effect on people's financial well-being. To secure the positive effect of financial literacy on financial well-being, specifically, via saving more actively, the appropriate programs should be introduced at the early stages of education (e.g., at school). This study aims to appropriately assess the magnitude of influence of the fact of being financially literate on the fact of making savings. To this end, we use a representative sample (n = 1,243) of Russian high school students. In order to account for the endogenous nature of the influence of financial literacy on the willingness to make savings, we employ a copula-based bivariate probit-regression approach to identify the actual magnitude of this influence. To the best of our knowledge, we are the first to apply a copula-based modeling to this problem. As a result, for the considered cohort of Russian adolescents, we demonstrate that the studied magnitude is substantially greater when the endogeneity effect is appropriately controlled for. We also reveal and discuss the factors that impact the level of financial literacy and saving behavior of a Russian teenager. Relevant recommendations are provided for Russian financial authorities and institutions.","author":[{"dropping-particle":"","family":"Gilenko","given":"Evgenii","non-dropping-particle":"","parse-names":false,"suffix":""},{"dropping-particle":"","family":"Chernova","given":"Aleksandra","non-dropping-particle":"","parse-names":false,"suffix":""}],"container-title":"Children and Youth Services Review","id":"ITEM-3","issue":"February","issued":{"date-parts":[["2021"]]},"page":"106122","publisher":"Elsevier Ltd","title":"Saving behavior and financial literacy of Russian high school students: An application of a copula-based bivariate probit-regression approach","type":"article-journal","volume":"127"},"uris":["http://www.mendeley.com/documents/?uuid=7d7ba964-bbf9-40e7-9539-f539441bb7b8"]},{"id":"ITEM-4","itemData":{"DOI":"10.1016/j.asieco.2020.101197","ISSN":"10490078","abstract":"This study examines the effects of financial literacy on financial inclusion and savings behavior in Laos. Compared to previous literature, we use a broader definition of financial literacy which covers not only financial knowledge but also financial behavior and financial attitudes. We also use a new definition of financial inclusion which goes beyond the supply-side perspective to consider the consumer's perspective. To do so, we use the survey instrument designed by the Organisation for Economic Cooperation and Development International Network on Financial Education. We also used more reliable instrumental variables to investigate the effects of financial literacy on financial inclusion (and its components) and savings behavior. We find that financial literacy has statistically positive effects on both financial inclusion and savings. Moreover, the effects of financial literacy on different measures of financial inclusion vary. Our results further show that individuals with higher financial literacy scores are more likely to hold savings in both formal and informal forms than those who have lower financial literacy scores, even when we control for income and education.","author":[{"dropping-particle":"","family":"Morgan","given":"Peter J.","non-dropping-particle":"","parse-names":false,"suffix":""},{"dropping-particle":"","family":"Long","given":"Trinh Quang","non-dropping-particle":"","parse-names":false,"suffix":""}],"container-title":"Journal of Asian Economics","id":"ITEM-4","issued":{"date-parts":[["2020","6"]]},"page":"101197","publisher":"Elsevier Inc.","title":"Financial literacy, financial inclusion, and savings behavior in Laos","type":"article-journal","volume":"68"},"uris":["http://www.mendeley.com/documents/?uuid=14a6fca6-ad87-4f4e-8e13-2a5f33231432"]},{"id":"ITEM-5","itemData":{"DOI":"10.18488/journal.aefr.2020.106.590.603","ISSN":"22226737","abstract":"This study investigated factors impacting personal saving behavior in Vietnam. By using 692 respondents from a 63-province survey, the binary regression results showed that financial literacy, finance major, married status, financial attitudes, and advanced financial behavior were factors positively and significantly influencing individual saving behavior while gender, student, and basic financial behavior were factors negatively and significantly impacting saving behavior. It highlighted the result that, women had a higher probability of saving than men. The implications for financial education in Vietnam from the policy makers as well as personal perspective are also discussed.,,,.","author":[{"dropping-particle":"","family":"Nguyen","given":"Van Tuong","non-dropping-particle":"","parse-names":false,"suffix":""},{"dropping-particle":"","family":"Doan","given":"Minh Duc","non-dropping-particle":"","parse-names":false,"suffix":""}],"container-title":"Asian Economic and Financial Review","id":"ITEM-5","issue":"6","issued":{"date-parts":[["2020"]]},"page":"590-603","title":"The Correlation between Financial Literacy and Personal Saving Behavior in Vietnam","type":"article-journal","volume":"10"},"uris":["http://www.mendeley.com/documents/?uuid=068e5ea4-c136-4624-a9af-addb0c9fe281"]},{"id":"ITEM-6","itemData":{"abstract":"The household debt in Malaysia was recorded at 83 per cent of gross domestic product in 2018. This contributed to insufficient amount of saving by household who are mostly not prepared for retirement. Meanwhile, youths in emerging countries however are reported as the main group trapped into the financial problem. The tendency of saving among individual is different from one another due to differences in financial knowledge, peers influence, parent's socialization and self-control based on Theory of Planned Behavior. A survey was conducted on 133 students in emerging country, Malaysia, to examine the factors which affected their savings behavior. Structured questionnaires were distributed using convenient sampling technique. Results revealed that financial knowledge, peer influence and parent socialization have a significant effect on students' saving behavior. Findings serve to inform policy makers who are formulating strategies to enhance students' financial knowledge and to maximize the role of parents and peers in order to encourage higher saving behavior in emerging countries.","author":[{"dropping-particle":"","family":"Kadir","given":"Juliana Mohd Abdul","non-dropping-particle":"","parse-names":false,"suffix":""},{"dropping-particle":"","family":"Shoukat","given":"Ayesha","non-dropping-particle":"","parse-names":false,"suffix":""},{"dropping-particle":"","family":"Naghavi","given":"Navaz","non-dropping-particle":"","parse-names":false,"suffix":""},{"dropping-particle":"","family":"Jamaluddin","given":"Amirul Azri","non-dropping-particle":"","parse-names":false,"suffix":""}],"container-title":"Paskistan Business Review","id":"ITEM-6","issue":"4","issued":{"date-parts":[["2021"]]},"page":"629-644","title":"Saving Behavior in Emerging Country: The Role of Financial Knowledge, Peer Influence and Parent Socialization","type":"article-journal","volume":"22"},"uris":["http://www.mendeley.com/documents/?uuid=a68e692d-7e63-4c3d-a6d0-dd3ce6cedd94"]},{"id":"ITEM-7","itemData":{"DOI":"10.5901/mjss.2016.v7n6p41","ISSN":"20399340","abstract":"One of the national agendas in Indonesia is delivering financial literacy towards its society. This movement was in response to a report that Indonesia was ranked as a country with the lowest financial literacy lever among other countries in the Asia-Pacific region. This study aims to investigate the impact of attitude, subjective norm, and financial literacy on saving intention and behaviour among teacher students in a public university in Jakarta, Indonesia. Teacher students are pre-service teachers who could promote financial literacy at schools in the future. Data was collected using an online survey. In total, there were 212 usable instruments and data was analysed using exploratory and confirmatory factor analysis. As a result, two hypotheses were rejected: financial literacy was insignificant to influence attitude towards saving and saving intention. Other results, financial literacy and saving intention significantly influenced saving behaviour. In addition, attitude and subjective norm significantly influenced saving intention. Implication for practice and future research are discussed.","author":[{"dropping-particle":"","family":"Widyastuti","given":"Umi","non-dropping-particle":"","parse-names":false,"suffix":""},{"dropping-particle":"","family":"Suhud","given":"Usep","non-dropping-particle":"","parse-names":false,"suffix":""},{"dropping-particle":"","family":"Sumiati","given":"Ati","non-dropping-particle":"","parse-names":false,"suffix":""}],"container-title":"Mediterranean Journal of Social Sciences","id":"ITEM-7","issue":"November 2016","issued":{"date-parts":[["2016","11","1"]]},"title":"The Impact of Financial Literacy on Student Teachers’ Saving Intention and Saving Behaviour","type":"article-journal"},"uris":["http://www.mendeley.com/documents/?uuid=36ec9e7d-457a-421b-b1b6-c6aefa597ffa"]},{"id":"ITEM-8","itemData":{"DOI":"10.17051/ilkonline.2021.05.801","abstract":"This study is conducted on the societal phenomenon of saving behavior and saving intentions of the people of developing countries as increment and economic stability depend upon the savings and investment of the country. This research aims to thoroughly analyze the primary determinants for saving behavior in the presence of saving intentions in Pakistan's service sector. The data were collected from 269 respondents. Employees of the service sector in Lahore, such as banks, hotels, education, and industries, were the targeted population of this study. The non-probability, convenience sampling technique was used. The pre-structured questionnaire was used to collect the data is an indication that this is a quantitative study. The researcher verified the data through AMOS version 23 and SPSS version 22. Using SEM in AMOS, the outcome of the study shows that the key determinants of saving behavior, such as financial literacy, attitude towards saving, subjective norms, and future orientation have a significant association with saving intentions. This study is helpful for the financial institutions in understanding the determinants for saving behavior of the people and making the appropriate policies.","author":[{"dropping-particle":"","family":"Danish","given":"Rizwan Qaiser","non-dropping-particle":"","parse-names":false,"suffix":""},{"dropping-particle":"","family":"Rehman","given":"Muqqadas","non-dropping-particle":"","parse-names":false,"suffix":""},{"dropping-particle":"","family":"Hasnain","given":"Muhammad","non-dropping-particle":"","parse-names":false,"suffix":""},{"dropping-particle":"","family":"Latif","given":"Aqeel","non-dropping-particle":"","parse-names":false,"suffix":""},{"dropping-particle":"","family":"Afzal","given":"Anees","non-dropping-particle":"","parse-names":false,"suffix":""}],"container-title":"Ilkoqgretim Online - Elementary Education Online ","id":"ITEM-8","issue":"5","issued":{"date-parts":[["2021"]]},"page":"7082-7094","title":"Determinants of saving behavior through saving intentions: an empirical evidence from the service sector","type":"article-journal","volume":"20"},"uris":["http://www.mendeley.com/documents/?uuid=c0d8470b-22b8-429f-baa1-6761943ff2f7"]}],"mendeley":{"formattedCitation":"(Danish et al., 2021; Gilenko &amp; Chernova, 2021; Kadir et al., 2021; Morgan &amp; Long, 2020; V. T. Nguyen &amp; Doan, 2020; Peiris, 2021; Widjaja et al., 2020; Widyastuti et al., 2016)","manualFormatting":"(Danish et al.,2021; Gilenko &amp; Chernova, 2021; Kadir et al.,2021; Morgan &amp; Long, 2020; Nguyen &amp; Doan, 2020; Widjaja et al.,2020; and Widyastuti et al.,2016)","plainTextFormattedCitation":"(Danish et al., 2021; Gilenko &amp; Chernova, 2021; Kadir et al., 2021; Morgan &amp; Long, 2020; V. T. Nguyen &amp; Doan, 2020; Peiris, 2021; Widjaja et al., 2020; Widyastuti et al., 2016)","previouslyFormattedCitation":"(Danish et al., 2021; Gilenko &amp; Chernova, 2021; Kadir et al., 2021; Morgan &amp; Long, 2020; V. T. Nguyen &amp; Doan, 2020; Peiris, 2021; Widjaja et al., 2020; Widyastuti et al., 2016)"},"properties":{"noteIndex":0},"schema":"https://github.com/citation-style-language/schema/raw/master/csl-citation.json"}</w:instrText>
      </w:r>
      <w:r w:rsidRPr="00D05EC2">
        <w:rPr>
          <w:rFonts w:ascii="Times New Roman" w:hAnsi="Times New Roman" w:cs="Times New Roman"/>
        </w:rPr>
        <w:fldChar w:fldCharType="separate"/>
      </w:r>
      <w:bookmarkStart w:id="39" w:name="Bookmark28"/>
      <w:r w:rsidRPr="00D05EC2">
        <w:rPr>
          <w:rFonts w:ascii="Times New Roman" w:hAnsi="Times New Roman" w:cs="Times New Roman"/>
          <w:noProof/>
          <w:lang w:val="en-ID"/>
        </w:rPr>
        <w:t xml:space="preserve">(Danish </w:t>
      </w:r>
      <w:r w:rsidRPr="00D05EC2">
        <w:rPr>
          <w:rFonts w:ascii="Times New Roman" w:hAnsi="Times New Roman" w:cs="Times New Roman"/>
          <w:i/>
          <w:noProof/>
          <w:lang w:val="en-ID"/>
        </w:rPr>
        <w:t>et al.,</w:t>
      </w:r>
      <w:r w:rsidRPr="00D05EC2">
        <w:rPr>
          <w:rFonts w:ascii="Times New Roman" w:hAnsi="Times New Roman" w:cs="Times New Roman"/>
          <w:noProof/>
          <w:lang w:val="en-ID"/>
        </w:rPr>
        <w:t xml:space="preserve">2021; Gilenko &amp; Chernova, 2021; Kadir </w:t>
      </w:r>
      <w:r w:rsidRPr="00D05EC2">
        <w:rPr>
          <w:rFonts w:ascii="Times New Roman" w:hAnsi="Times New Roman" w:cs="Times New Roman"/>
          <w:i/>
          <w:noProof/>
          <w:lang w:val="en-ID"/>
        </w:rPr>
        <w:t>et al.,</w:t>
      </w:r>
      <w:r w:rsidRPr="00D05EC2">
        <w:rPr>
          <w:rFonts w:ascii="Times New Roman" w:hAnsi="Times New Roman" w:cs="Times New Roman"/>
          <w:noProof/>
          <w:lang w:val="en-ID"/>
        </w:rPr>
        <w:t xml:space="preserve">2021; Morgan &amp; Long, 2020; Nguyen &amp; Doan, 2020; Widjaja </w:t>
      </w:r>
      <w:r w:rsidRPr="00D05EC2">
        <w:rPr>
          <w:rFonts w:ascii="Times New Roman" w:hAnsi="Times New Roman" w:cs="Times New Roman"/>
          <w:i/>
          <w:noProof/>
          <w:lang w:val="en-ID"/>
        </w:rPr>
        <w:t>et al.,</w:t>
      </w:r>
      <w:r w:rsidRPr="00D05EC2">
        <w:rPr>
          <w:rFonts w:ascii="Times New Roman" w:hAnsi="Times New Roman" w:cs="Times New Roman"/>
          <w:noProof/>
          <w:lang w:val="en-ID"/>
        </w:rPr>
        <w:t xml:space="preserve">2020; </w:t>
      </w:r>
      <w:r w:rsidR="004A5E0E" w:rsidRPr="00D05EC2">
        <w:rPr>
          <w:rFonts w:ascii="Times New Roman" w:hAnsi="Times New Roman" w:cs="Times New Roman"/>
          <w:noProof/>
          <w:lang w:val="en-ID"/>
        </w:rPr>
        <w:t>and</w:t>
      </w:r>
      <w:r w:rsidRPr="00D05EC2">
        <w:rPr>
          <w:rFonts w:ascii="Times New Roman" w:hAnsi="Times New Roman" w:cs="Times New Roman"/>
          <w:noProof/>
          <w:lang w:val="en-ID"/>
        </w:rPr>
        <w:t xml:space="preserve"> Widyastuti </w:t>
      </w:r>
      <w:r w:rsidRPr="00D05EC2">
        <w:rPr>
          <w:rFonts w:ascii="Times New Roman" w:hAnsi="Times New Roman" w:cs="Times New Roman"/>
          <w:i/>
          <w:noProof/>
          <w:lang w:val="en-ID"/>
        </w:rPr>
        <w:t>et al.,</w:t>
      </w:r>
      <w:r w:rsidRPr="00D05EC2">
        <w:rPr>
          <w:rFonts w:ascii="Times New Roman" w:hAnsi="Times New Roman" w:cs="Times New Roman"/>
          <w:noProof/>
          <w:lang w:val="en-ID"/>
        </w:rPr>
        <w:t>2016)</w:t>
      </w:r>
      <w:r w:rsidRPr="00D05EC2">
        <w:rPr>
          <w:rFonts w:ascii="Times New Roman" w:hAnsi="Times New Roman" w:cs="Times New Roman"/>
        </w:rPr>
        <w:fldChar w:fldCharType="end"/>
      </w:r>
      <w:bookmarkEnd w:id="39"/>
      <w:r w:rsidRPr="00D05EC2">
        <w:rPr>
          <w:rFonts w:ascii="Times New Roman" w:hAnsi="Times New Roman" w:cs="Times New Roman"/>
          <w:lang w:val="en-ID"/>
        </w:rPr>
        <w:t xml:space="preserve">. Other studies also show that usually, working professionals will save only for emergencies as their priority, and will only save for old age as they approach retirement age, and usually this saving </w:t>
      </w:r>
      <w:proofErr w:type="spellStart"/>
      <w:r w:rsidRPr="00D05EC2">
        <w:rPr>
          <w:rFonts w:ascii="Times New Roman" w:hAnsi="Times New Roman" w:cs="Times New Roman"/>
          <w:lang w:val="en-ID"/>
        </w:rPr>
        <w:t>behavior</w:t>
      </w:r>
      <w:proofErr w:type="spellEnd"/>
      <w:r w:rsidRPr="00D05EC2">
        <w:rPr>
          <w:rFonts w:ascii="Times New Roman" w:hAnsi="Times New Roman" w:cs="Times New Roman"/>
          <w:lang w:val="en-ID"/>
        </w:rPr>
        <w:t xml:space="preserve"> will be greatly influenced by their social environment </w:t>
      </w:r>
      <w:r w:rsidR="004A5E0E"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{"citationItems":[{"id":"ITEM-1","itemData":{"ISSN":"23041013","abstract":"In the workplace, it is common to encounter diverse employees spanning various generations, each with unique priorities and needs. This descriptive-correlational study aims to determine why working professionals, when grouped by generation, save and what affects their intention to save and their actual saving behavior. A researcher-developed survey questionnaire was used to gather data from 1 133 working professions. Structural equation modeling was utilized to determine the relationships among the variables. The study differentiated the effects of different factors on their saving behavior considering the generation to which they belong. Results show that working professionals consider savings for emergency needs essential. Savings for basic needs is their priority, but they start to consider saving for retirement as they age. Attitude is the most important factor affecting their intention to save. In contrast, financial literacy does not affect the intention of the Baby Boomers and Gen Z to save, just as social influence does not affect the intention of Gen Z professionals. The study also proved that working professionals do not just intend to save, but they save. Demographic factors of different generations affect the saving behavior of respondents. The study contributes to the existing literature on financial behavior and saving goals and has practical implications to promote positive saving behaviors and enhance financial well-being among all ages. Additionally, policymakers can utilize the findings to design targeted interventions and policies that encourage responsible saving and financial security across generations.","author":[{"dropping-particle":"","family":"Uy","given":"Chin","non-dropping-particle":"","parse-names":false,"suffix":""},{"dropping-particle":"","family":"Manalo","given":"Ronaldo A.","non-dropping-particle":"","parse-names":false,"suffix":""},{"dropping-particle":"","family":"Bayona","given":"Shirlene P.","non-dropping-particle":"","parse-names":false,"suffix":""}],"container-title":"Review of Integrative Business and Economics Research","id":"ITEM-1","issue":"2","issued":{"date-parts":[["2024"]]},"page":"372-390","title":"Determinants of Saving Behavior of Working Professionals: An Intergenerational Perspective","type":"article-journal","volume":"13"},"uris":["http://www.mendeley.com/documents/?uuid=7f11694a-8f70-41d5-aee1-74ec49439c5c"]},{"id":"ITEM-2","itemData":{"DOI":"10.3390/su14148780","ISSN":"2071-1050","abstract":"This study examined the impact of social influence, i.e., parents and peers, on the level of financial literacy among Saudi young adults (students). It also assessed the effect of financial literacy on the development of saving behaviour and the role of self-control as a moderator in the relationship between financial literacy and saving behaviour among the same respondents. The study’s sample included 270 respondents (male and female) from an applied college affiliated with King Faisal University. The study employed partial least squares structural equation modelling (PLS-SEM) for data analysis and interpretation. Some intriguing findings were generated. It was discovered that the influence of both parents and peers can positively predict financial literacy. Furthermore, financial literacy can positively impact young people’s saving habits. One surprising finding was that self-control negatively moderated the relationship between financial literacy and saving behaviour. Self-control was found to dampen the ties between Saudi young people’s financial literacy and saving behaviour.","author":[{"dropping-particle":"","family":"Alshebami","given":"Ali Saleh","non-dropping-particle":"","parse-names":false,"suffix":""},{"dropping-particle":"","family":"Aldhyani","given":"Theyazn H. H.","non-dropping-particle":"","parse-names":false,"suffix":""}],"container-title":"Sustainability","id":"ITEM-2","issue":"14","issued":{"date-parts":[["2022","7","18"]]},"page":"8780","title":"The Interplay of Social Influence, Financial Literacy, and Saving Behaviour among Saudi Youth and the Moderating Effect of Self-Control","type":"article-journal","volume":"14"},"uris":["http://www.mendeley.com/documents/?uuid=d46dd693-a411-4bf6-8b26-694b249b4dd5"]},{"id":"ITEM-3","itemData":{"DOI":"10.3126/irjms.v3i0.28035","ISSN":"2542-2510","abstract":"This paper explores the parental and peer factors which influence the saving behavior of the youth. This paper is based on a structured questionnaire with various dimensions of the saving behavior, parental and peer influence. Judgmental and convenience sampling techniques were used to collect the data of 390 respondents from Kathmandu Valley who have completed Master’s degree and are employed. The study reveals that there is significant relationship between peer influence and saving behavior. Similarly, there is significant relationship between parental financial teaching and saving behavior. Independence, control, habit formation, encouraging saving are mechanisms that influences saving behavior. However parent’s encouragement to save highly affects the saving behavior. Therefore receiving financial teaching from parents ensures sound saving behavior.","author":[{"dropping-particle":"","family":"Dangol","given":"Jeetendra","non-dropping-particle":"","parse-names":false,"suffix":""},{"dropping-particle":"","family":"Maharjan","given":"Saru","non-dropping-particle":"","parse-names":false,"suffix":""}],"container-title":"International Research Journal of Management Science","id":"ITEM-3","issue":"1","issued":{"date-parts":[["2018"]]},"page":"42-63","title":"Parental and Peer Influence on the Saving Behavior of the Youth","type":"article-journal","volume":"3"},"uris":["http://www.mendeley.com/documents/?uuid=2d4640cf-e9ee-4295-83fc-b991d76b74b8"]},{"id":"ITEM-4","itemData":{"DOI":"10.2139/ssrn.2358346","ISSN":"1556-5068","abstract":"-Parents are the primary community for their children, and parents are the key education of their children. Poor management income is related to how parents teach their children on doing saving. They often confident about their saving whereas they do not focus on educating their children on managing income. This research is conducted to find the influence of family \" s backgrounds toward student \" s saving behavior, which in this research college student in Jabodetabek, Indonesia is chosen as the source of information. Using quantitative data analysis, 300 questionnaires are spread to Jabodetabek area to obtain information about their saving behavior. The discussion is the correlation of family \" s background, including parents, toward their children \" s saving behavior.","author":[{"dropping-particle":"","family":"Firmansyah","given":"Danny","non-dropping-particle":"","parse-names":false,"suffix":""}],"container-title":"SSRN Electronic Journal","id":"ITEM-4","issue":"1","issued":{"date-parts":[["2014"]]},"page":"1-6","title":"The Influence of Family Backgrounds Toward Student's Saving Behavior: A Survey of College Students in Jabodetabek","type":"article-journal","volume":"4"},"uris":["http://www.mendeley.com/documents/?uuid=86eb8694-6fb8-4641-9693-e4c92b8c8b27"]},{"id":"ITEM-5","itemData":{"abstract":"Economists generally believe that higher savings will spur economic growth, thus strengthening the economy further. In Malaysia however, the sharp increase in the ratio of household debt to disposable income particularly over the past ten years has raised doubts on the ability of Malaysians to save and plan for their future. As a result, total household savings remained low and there is high risk that Malaysians would not have sufficient savings for their retirement. Even more worrying is that young adults reportedly are the main group who are trapped into this financial difficulty. The issue has raised concern on the needs to educate young Malaysian adults on the fundamental importance of savings in order to ensure financial sufficiency on their retirement. With regards to savings behavior, the needs for savings are different amongst individuals due to different mind-set, behavior, knowledge, and social environment. This study intends to explore the savings behavior amongst students of higher learning institutions in Kota Kinabalu, Sabah. Specifically, the study intends: (i) to investigate the determinants of savings behavior; and, (ii) to examine the mediating effect of attitude towards the relationship between financial literacy and savings behavior. Data was collected using structured questionnaire and analyzed using SMART-PLS, a second generation structural equation modelling software. The results indicate that family involvement plays a major role in nurturing students' savings behavior, followed by financial literacy and peer influence. In addition, students are said to have more favorable financial attitude when they are financially literate. Financial attitude however, does not mediate the relationship between financial literacy and savings behavior. This research is expected to contribute to the body of knowledge within the financial wellness and personal financial planning context.","author":[{"dropping-particle":"","family":"Jamal","given":"Abdul","non-dropping-particle":"","parse-names":false,"suffix":""},{"dropping-particle":"","family":"Azlan","given":"Amer","non-dropping-particle":"","parse-names":false,"suffix":""},{"dropping-particle":"","family":"Kamal","given":"Wijaya","non-dropping-particle":"","parse-names":false,"suffix":""},{"dropping-particle":"","family":"Mohdrahimie","given":"Ramlan","non-dropping-particle":"","parse-names":false,"suffix":""},{"dropping-particle":"","family":"Roslemohidin","given":"Abdul Karim","non-dropping-particle":"","parse-names":false,"suffix":""},{"dropping-particle":"","family":"Osman","given":"Zaiton","non-dropping-particle":"","parse-names":false,"suffix":""}],"container-title":"International Journal of Business and Social Science","id":"ITEM-5","issue":"111","issued":{"date-parts":[["2015"]]},"page":"110-119","title":"The Effects of Social Influence and Financial Literacy on Savings Behavior: A Study on Students of Higher Learning Institutions in Kota Kinabalu, Sabah","type":"article-journal","volume":"6"},"uris":["http://www.mendeley.com/documents/?uuid=bd944c69-4cd0-4a18-b9c0-9d2e6ef30af3"]},{"id":"ITEM-6","itemData":{"DOI":"10.29322/ijsrp.8.12.2018.p8440","abstract":"This study examines for evidence of peer effects in the trading decisions of individual investors from Mainland China, a country whose cultural and social structures are vastly different from those of Western countries. Cultural differences, as widely documented, play a significant role in social interactions and word-of-mouth behavior. In contrast to US studies, we find robust evidence that the trading decisions of Chinese investors are influenced, via word of mouth, by those of their peers who maintain brokerage accounts at the same branch, but not by those whose accounts are maintained at another branch located in the same city. © 2010 Financial Management Association International.","author":[{"dropping-particle":"","family":"Khatun","given":"Mabia","non-dropping-particle":"","parse-names":false,"suffix":""}],"container-title":"International Journal of Scientific and Research Publications (IJSRP)","id":"ITEM-6","issue":"12","issued":{"date-parts":[["2018"]]},"page":"296-305","title":"Effect of Financial Literacy and Parental Socialization on Students Savings Behavior of Bangladesh","type":"article-journal","volume":"8"},"uris":["http://www.mendeley.com/documents/?uuid=99a09ce4-3b85-4075-8bdb-27715630bce3"]}],"mendeley":{"formattedCitation":"(Alshebami &amp; Aldhyani, 2022; Dangol &amp; Maharjan, 2018; Firmansyah, 2014; Jamal et al., 2015; Khatun, 2018; Uy et al., 2024)","manualFormatting":"(Alshebami &amp; Aldhyani, 2022; Dangol &amp; Maharjan, 2018; Firmansyah, 2014; Jamal et al.,2015; Khatun, 2018; and Uy et al., 2024)","plainTextFormattedCitation":"(Alshebami &amp; Aldhyani, 2022; Dangol &amp; Maharjan, 2018; Firmansyah, 2014; Jamal et al., 2015; Khatun, 2018; Uy et al., 2024)","previouslyFormattedCitation":"(Alshebami &amp; Aldhyani, 2022; Dangol &amp; Maharjan, 2018; Firmansyah, 2014; Jamal et al., 2015; Khatun, 2018; Uy et al., 2024)"},"properties":{"noteIndex":0},"schema":"https://github.com/citation-style-language/schema/raw/master/csl-citation.json"}</w:instrText>
      </w:r>
      <w:r w:rsidR="004A5E0E" w:rsidRPr="00D05EC2">
        <w:rPr>
          <w:rFonts w:ascii="Times New Roman" w:hAnsi="Times New Roman" w:cs="Times New Roman"/>
        </w:rPr>
        <w:fldChar w:fldCharType="separate"/>
      </w:r>
      <w:r w:rsidR="004A5E0E" w:rsidRPr="00D05EC2">
        <w:rPr>
          <w:rFonts w:ascii="Times New Roman" w:hAnsi="Times New Roman" w:cs="Times New Roman"/>
          <w:noProof/>
          <w:lang w:val="en-ID"/>
        </w:rPr>
        <w:t>(Alshebami &amp; Aldhyani, 2022; Dangol &amp; Maharjan, 2018; Firmansyah, 2014; Jamal et al.,2015; Khatun, 2018; and Uy et al., 2024)</w:t>
      </w:r>
      <w:r w:rsidR="004A5E0E" w:rsidRPr="00D05EC2">
        <w:rPr>
          <w:rFonts w:ascii="Times New Roman" w:hAnsi="Times New Roman" w:cs="Times New Roman"/>
        </w:rPr>
        <w:fldChar w:fldCharType="end"/>
      </w:r>
      <w:r w:rsidR="004A5E0E" w:rsidRPr="00D05EC2">
        <w:rPr>
          <w:rFonts w:ascii="Times New Roman" w:hAnsi="Times New Roman" w:cs="Times New Roman"/>
          <w:lang w:val="en-ID"/>
        </w:rPr>
        <w:t xml:space="preserve">.  </w:t>
      </w:r>
      <w:r w:rsidRPr="00D05EC2">
        <w:rPr>
          <w:rFonts w:ascii="Times New Roman" w:hAnsi="Times New Roman" w:cs="Times New Roman"/>
          <w:lang w:val="en-ID"/>
        </w:rPr>
        <w:t xml:space="preserve">In addition, a person's saving </w:t>
      </w:r>
      <w:proofErr w:type="spellStart"/>
      <w:r w:rsidRPr="00D05EC2">
        <w:rPr>
          <w:rFonts w:ascii="Times New Roman" w:hAnsi="Times New Roman" w:cs="Times New Roman"/>
          <w:lang w:val="en-ID"/>
        </w:rPr>
        <w:t>behavior</w:t>
      </w:r>
      <w:proofErr w:type="spellEnd"/>
      <w:r w:rsidRPr="00D05EC2">
        <w:rPr>
          <w:rFonts w:ascii="Times New Roman" w:hAnsi="Times New Roman" w:cs="Times New Roman"/>
          <w:lang w:val="en-ID"/>
        </w:rPr>
        <w:t xml:space="preserve"> can come from the influence of family and peers </w:t>
      </w:r>
      <w:r w:rsidRPr="00D05EC2">
        <w:rPr>
          <w:rFonts w:ascii="Times New Roman" w:hAnsi="Times New Roman" w:cs="Times New Roman"/>
        </w:rPr>
        <w:fldChar w:fldCharType="begin" w:fldLock="1"/>
      </w:r>
      <w:r w:rsidR="004A5E0E" w:rsidRPr="00D05EC2">
        <w:rPr>
          <w:rFonts w:ascii="Times New Roman" w:hAnsi="Times New Roman" w:cs="Times New Roman"/>
        </w:rPr>
        <w:instrText xml:space="preserve">ADDIN CSL_CITATION {"citationItems":[{"id":"ITEM-1","itemData":{"DOI":"10.3126/irjms.v3i0.28035","ISSN":"2542-2510","abstract":"This paper explores the parental and peer factors which influence the saving behavior of the youth. This paper is based on a structured questionnaire with various dimensions of the saving behavior, parental and peer influence. Judgmental and convenience sampling techniques were used to collect the data of 390 respondents from Kathmandu Valley who have completed Master’s degree and are employed. The study reveals that there is significant relationship between peer influence and saving behavior. Similarly, there is significant relationship between parental financial teaching and saving behavior. Independence, control, habit formation, encouraging saving are mechanisms that influences saving behavior. However parent’s encouragement to save highly affects the saving behavior. Therefore receiving financial teaching from parents ensures sound saving behavior.","author":[{"dropping-particle":"","family":"Dangol","given":"Jeetendra","non-dropping-particle":"","parse-names":false,"suffix":""},{"dropping-particle":"","family":"Maharjan","given":"Saru","non-dropping-particle":"","parse-names":false,"suffix":""}],"container-title":"International Research Journal of Management Science","id":"ITEM-1","issue":"1","issued":{"date-parts":[["2018"]]},"page":"42-63","title":"Parental and Peer Influence on the Saving Behavior of the Youth","type":"article-journal","volume":"3"},"uris":["http://www.mendeley.com/documents/?uuid=2d4640cf-e9ee-4295-83fc-b991d76b74b8"]},{"id":"ITEM-2","itemData":{"DOI":"10.2991/assehr.k.220404.217","abstract":"The purpose of this study was to determine the effect of financial literacy, parental socialization, and peer influences on saving behavior. The sample selection method in this study uses convenience sampling with a sample of 316 respondents who are residents of DKI Jakarta who already have an income. The data analysis method used in this research is to use the smart partial least square (PLS) software version 3.00. The results of the data analysis conclude that there is a positive and significant influence between financial literacy, parental socialization, and peer influences on saving behavior.","author":[{"dropping-particle":"","family":"Salim","given":"Alvin Sanjaya","non-dropping-particle":"","parse-names":false,"suffix":""},{"dropping-particle":"","family":"Pamungkas","given":"Ary Satria","non-dropping-particle":"","parse-names":false,"suffix":""}],"container-title":"Proceedings of the 3rd Tarumanagara International Conference on the Applications of Social Sciences and Humanities (TICASH 2021)","id":"ITEM-2","issue":"Ticash 2021","issued":{"date-parts":[["2022"]]},"page":"1356-1361","title":"The Influence of Financial Literacy, Parental Socialization, and Peer Influences on Saving Behavior","type":"article-journal","volume":"655"},"uris":["http://www.mendeley.com/documents/?uuid=ff7332c6-ceb7-4a0a-b10b-6ae4e353c5e2"]},{"id":"ITEM-3","itemData":{"abstract":"The household debt in Malaysia was recorded at 83 per cent of gross domestic product in 2018. This contributed to insufficient amount of saving by household who are mostly not prepared for retirement. Meanwhile, youths in emerging countries however are reported as the main group trapped into the financial problem. The tendency of saving among individual is different from one another due to differences in financial knowledge, peers influence, parent's socialization and self-control based on Theory of Planned Behavior. A survey was conducted on 133 students in emerging country, Malaysia, to examine the factors which affected their savings behavior. Structured questionnaires were distributed using convenient sampling technique. Results revealed that financial knowledge, peer influence and parent socialization have a significant effect on students' saving behavior. Findings serve to inform policy makers who are formulating strategies to enhance students' financial knowledge and to maximize the role of parents and peers in order to encourage higher saving behavior in emerging countries.","author":[{"dropping-particle":"","family":"Kadir","given":"Juliana Mohd Abdul","non-dropping-particle":"","parse-names":false,"suffix":""},{"dropping-particle":"","family":"Shoukat","given":"Ayesha","non-dropping-particle":"","parse-names":false,"suffix":""},{"dropping-particle":"","family":"Naghavi","given":"Navaz","non-dropping-particle":"","parse-names":false,"suffix":""},{"dropping-particle":"","family":"Jamaluddin","given":"Amirul Azri","non-dropping-particle":"","parse-names":false,"suffix":""}],"container-title":"Paskistan Business Review","id":"ITEM-3","issue":"4","issued":{"date-parts":[["2021"]]},"page":"629-644","title":"Saving Behavior in Emerging Country: The Role of Financial Knowledge, Peer Influence and Parent Socialization","type":"article-journal","volume":"22"},"uris":["http://www.mendeley.com/documents/?uuid=a68e692d-7e63-4c3d-a6d0-dd3ce6cedd94"]},{"id":"ITEM-4","itemData":{"DOI":"10.25236/fsst.2021.030510","ISSN":"26167433","abstract":"Saving is the final manifestation of surplus in an economic cycle and it is the most common way for people to manage their wealth. In recent years, China's domestic saving rate still remains the highest level in the world. This research focuses on Guangdong province, whose saving scale ranks the top among mainland China. At present, there are few researches based on the influencing factors of Guangdong university students' saving behaviour. Therefore, this research is aims to investigate whether financial literacy (FL), parent influence (PaI), peer influence (PeI) and self-restraint (SR) have significant influence on the saving behaviour (SB) of university students in Guangdong province. Primary data are collected using self-administered questionnaire. The samples comprised 404 students from 16 different cities in Guangdong. Meanwhile, Pearson Correlations </w:instrText>
      </w:r>
      <w:r w:rsidR="004A5E0E" w:rsidRPr="00D05EC2">
        <w:rPr>
          <w:rFonts w:ascii="Times New Roman" w:hAnsi="Times New Roman" w:cs="Times New Roman"/>
          <w:lang w:val="sv-SE"/>
        </w:rPr>
        <w:instrText>and Multiple Regression Analysis are employed to identify whether the four factors have relationship with the saving behaviour of university students. The results show that all the FL, PaI, PeI and SR have positive relationship with SB while FL has the greatest impact on SB among the four independent variables. In terms of practical significance, not only this research can fills in the academic gap to a certain extent, but also can contribute to university students, parents, universities commercial banks and other relevant parties.","author":[{"dropping-particle":"","family":"Ling","given":"Hanlu","non-dropping-particle":"","parse-names":false,"suffix":""}],"container-title":"The Frontiers of Society, Science and Technology","id":"ITEM-4","issue":"5","issued":{"date-parts":[["2021"]]},"page":"51-70","title":"Determinants of Saving Behaviour among Universities Students in Guangdong Province","type":"article-journal","volume":"3"},"uris":["http://www.mendeley.com/documents/?uuid=9bcc816b-947a-48b1-ac56-6c1fe45ed5e1"]}],"mendeley":{"formattedCitation":"(Dangol &amp; Maharjan, 2018; Kadir et al., 2021; Ling, 2021; Salim &amp; Pamungkas, 2022)","plainTextFormattedCitation":"(Dangol &amp; Maharjan, 2018; Kadir et al., 2021; Ling, 2021; Salim &amp; Pamungkas, 2022)","previouslyFormattedCitation":"(Dangol &amp; Maharjan, 2018; Kadir et al., 2021; Ling, 2021; Salim &amp; Pamungkas, 2022)"},"properties":{"noteIndex":0},"schema":"https://github.com/citation-style-language/schema/raw/master/csl-citation.json"}</w:instrText>
      </w:r>
      <w:r w:rsidRPr="00D05EC2">
        <w:rPr>
          <w:rFonts w:ascii="Times New Roman" w:hAnsi="Times New Roman" w:cs="Times New Roman"/>
        </w:rPr>
        <w:fldChar w:fldCharType="end"/>
      </w:r>
      <w:r w:rsidR="004A5E0E" w:rsidRPr="00D05EC2">
        <w:fldChar w:fldCharType="begin" w:fldLock="1"/>
      </w:r>
      <w:r w:rsidR="004A5E0E" w:rsidRPr="00D05EC2">
        <w:rPr>
          <w:lang w:val="sv-SE"/>
        </w:rPr>
        <w:instrText>ADDIN CSL_CITATION {"citationItems":[{"id":"ITEM-1","itemData":{"DOI":"10.3126/irjms.v3i0.28035","ISSN":"2542-2510","abstract":"This paper explores the parental and peer factors which influence the saving behavior of the youth. This paper is based on a structured questionnaire with various dimensions of the saving behavior, parental and peer influence. Judgmental and convenience sampling techniques were used to collect the data of 390 respondents from Kathmandu Valley who have completed Master’s degree and are employed. The study reveals that there is significant relationship between peer influence and saving behavior. Similarly, there is significant relationship between parental financial teaching and saving behavior. Independence, control, habit formation, encouraging saving are mechanisms that influences saving behavior. However parent’s encouragement to save highly affects the saving behavior. Therefore receiving financial teaching from parents ensures sound saving behavior.","author":[{"dropping-particle":"","family":"Dangol","given":"Jeetendra","non-dropping-particle":"","parse-names":false,"suffix":""},{"dropping-particle":"","family":"Maharjan","given":"Saru","non-dropping-particle":"","parse-names":false,"suffix":""}],"container-title":"International Research Journal of Management Science","id":"ITEM-1","issue":"1","issued":{"date-parts":[["2018"]]},"page":"42-63","title":"P</w:instrText>
      </w:r>
      <w:r w:rsidR="004A5E0E" w:rsidRPr="00D05EC2">
        <w:instrText>arental and Peer Influence on the Saving Behavior of the Youth","type":"article-journal","volume":"3"},"uris":["http://www.mendeley.com/documents/?uuid=2d4640cf-e9ee-4295-83fc-b991d76b74b8"]},{"id":"ITEM-2","itemData":{"DOI":"10.2991/assehr.k.220404.217","abstract":"The purpose of this study was to determine the effect of financial literacy, parental socialization, and peer influences on saving behavior. The sample selection method in this study uses convenience sampling with a sample of 316 respondents who are residents of DKI Jakarta who already have an income. The data analysis method used in this research is to use the smart partial least square (PLS) software version 3.00. The results of the data analysis conclude that there is a positive and significant influence between financial literacy, parental socialization, and peer influences on saving behavior.","author":[{"dropping-particle":"","family":"Salim","given":"Alvin Sanjaya","non-dropping-particle":"","parse-names":false,"suffix":""},{"dropping-particle":"","family":"Pamungkas","given":"Ary Satria","non-dropping-particle":"","parse-names":false,"suffix":""}],"container-title":"Proceedings of the 3rd Tarumanagara International Conference on the Applications of Social Sciences and Humanities (TICASH 2021)","id":"ITEM-2","issue":"Ticash 2021","issued":{"date-parts":[["2022"]]},"page":"1356-1361","title":"The Influence of Financial Literacy, Parental Socialization, and Peer Influences on Saving Behavior","type":"article-journal","volume":"655"},"uris":["http://www.mendeley.com/documents/?uuid=ff7332c6-ceb7-4a0a-b10b-6ae4e353c5e2"]},{"id":"ITEM-3","itemData":{"abstract":"The household debt in Malaysia was recorded at 83 per cent of gross domestic product in 2018. This contributed to insufficient amount of saving by household who are mostly not prepared for retirement. Meanwhile, youths in emerging countries however are reported as the main group trapped into the financial problem. The tendency of saving among individual is different from one another due to differences in financial knowledge, peers influence, parent's socialization and self-control based on Theory of Planned Behavior. A survey was conducted on 133 students in emerging country, Malaysia, to examine the factors which affected their savings behavior. Structured questionnaires were distributed using convenient sampling technique. Results revealed that financial knowledge, peer influence and parent socialization have a significant effect on students' saving behavior. Findings serve to inform policy makers who are formulating strategies to enhance students' financial knowledge and to maximize the role of parents and peers in order to encourage higher saving behavior in emerging countries.","author":[{"dropping-particle":"","family":"Kadir","given":"Juliana Mohd Abdul","non-dropping-particle":"","parse-names":false,"suffix":""},{"dropping-particle":"","family":"Shoukat","given":"Ayesha","non-dropping-particle":"","parse-names":false,"suffix":""},{"dropping-particle":"","family":"Naghavi","given":"Navaz","non-dropping-particle":"","parse-names":false,"suffix":""},{"dropping-particle":"","family":"Jamaluddin","given":"Amirul Azri","non-dropping-particle":"","parse-names":false,"suffix":""}],"container-title":"Paskistan Business Review","id":"ITEM-3","issue":"4","issued":{"date-parts":[["2021"]]},"page":"629-644","title":"Saving Behavior in Emerging Country: The Role of Financial Knowledge, Peer Influence and Parent Socialization","type":"article-journal","volume":"22"},"uris":["http://www.mendeley.com/documents/?uuid=a68e692d-7e63-4c3d-a6d0-dd3ce6cedd94"]},{"id":"ITEM-4","itemData":{"DOI":"10.25236/fsst.2021.030510","ISSN":"26167433","abstract":"Saving is the final manifestation of surplus in an economic cycle and it is the most common way for people to manage their wealth. In recent years, China's domestic saving rate still remains the highest level in the world. This research focuses on Guangdong province, whose saving scale ranks the top among mainland China. At present, there are few researches based on the influencing factors of Guangdong university students' saving behaviour. Therefore, this research is aims to investigate whether financial literacy (FL), parent influence (PaI), peer influence (PeI) and self-restraint (SR) have significant influence on the saving behaviour (SB) of university students in Guangdong province. Primary data are collected using self-administered questionnaire. The samples comprised 404 students from 16 different cities in Guangdong. Meanwhile, Pearson Correlations and Multiple Regression Analysis are employed to identify whether the four factors have relationship with the saving behaviour of university students. The results show that all the FL, PaI, PeI and SR have positive relationship with SB while FL has the greatest impact on SB among the four independent variables. In terms of practical significance, not only this research can fills in the academic gap to a certain extent, but also can contribute to university students, parents, universities commercial banks and other relevant parties.","author":[{"dropping-particle":"","family":"Ling","given":"Hanlu","non-dropping-particle":"","parse-names":false,"suffix":""}],"container-title":"The Frontiers of Society, Science and Technology","id":"ITEM-4","issue":"5","issued":{"date-parts":[["2021"]]},"page":"51-70","title":"Determinants of Saving Behaviour among Universities Students in Guangdong Province","type":"article-journal","volume":"3"},"uris":["http://www.mendeley.com/documents/?uuid=9bcc816b-947a-48b1-ac56-6c1fe45ed5e1"]}],"mendeley":{"formattedCitation":"(Dangol &amp; Maharjan, 2018; Kadir et al., 2021; Ling, 2021; Salim &amp; Pamungkas, 2022)","manualFormatting":"(Alekam et al.,2018; Dangol &amp; Maharjan, 2018; Kadir et al.,2021; Ling, 2021; dan Salim &amp; Pamungkas, 2022)","plainTextFormattedCitation":"(Dangol &amp; Maharjan, 2018; Kadir et al., 2021; Ling, 2021; Salim &amp; Pamungkas, 2022)","previouslyFormattedCitation":"(Dangol &amp; Maharjan, 2018; Kadir et al., 2021; Ling, 2021; Salim &amp; Pamungkas, 2022)"},"properties":{"noteIndex":0},"schema":"https://github.com/citation-style-language/schema/raw/master/csl-citation.json"}</w:instrText>
      </w:r>
      <w:r w:rsidR="004A5E0E" w:rsidRPr="00D05EC2">
        <w:fldChar w:fldCharType="separate"/>
      </w:r>
      <w:r w:rsidR="004A5E0E" w:rsidRPr="00D05EC2">
        <w:rPr>
          <w:noProof/>
        </w:rPr>
        <w:fldChar w:fldCharType="begin" w:fldLock="1"/>
      </w:r>
      <w:r w:rsidR="004A5E0E" w:rsidRPr="00D05EC2">
        <w:rPr>
          <w:noProof/>
        </w:rPr>
        <w:instrText>ADDIN CSL_CITATION {"citationItems":[{"id":"ITEM-1","itemData":{"DOI":"10.33844/ijol.2018.60258","ISSN":"2345-6744","abstract":"Keywords: Family, Peer, Behavior, Saving and Spending behavior, Influence Financial Literacy Financial literacy has become a significant challenge in society especially among the young generation. Financial literacy is about distinct knowledge, behavior and normative influence towards financial literacy affairs. It will help the youthful generation to make good financial commitment. Financial literacy also involves the distinct ability to understand financial idea and interpret data. Hence, the purpose of this study is to assess the height of financial literacy amid the young generation in Malaysia. It directs to developing a unique representation of financial literacy among youthful age as assumed Family, Peer, Attitude, Saving and spending behavior significantly influence Financial Literacy among Young Generations. Considered relationships were tested using survey response from Kedah, Perlis, Perak, Johor and Kuala Lumpur, with a sample of 500 respondents. About 410 answers from the respondents were received. The questionnaire consisted of 42 items. The results revealed a significant positive relationship between Behavior and Financial Literacy. Furthermore, the findings showed that Family/Parental and Peer significantly influenced Financial Literacy. Hence, this study implies that it is related to the public, academic and university administrators, government, and financial advisor to grow the level of financial literacy by implementing several financial educational programmers. Ultimately, this study is considered one of the studies that have contributed to the literature by developing apprehensions of financial literacy.","author":[{"dropping-particle":"","family":"Mohammed Esmail Alekam","given":"Jamal","non-dropping-particle":"","parse-names":false,"suffix":""},{"dropping-particle":"","family":"Salniza Bt Md. Salleh","given":"Madya","non-dropping-particle":"","parse-names":false,"suffix":""},{"dropping-particle":"","family":"Sanuri bin Mohd. Mokhtar","given":"Sany","non-dropping-particle":"","parse-names":false,"suffix":""}],"container-title":"International Journal of Organizational Leadership","id":"ITEM-1","issue":"3","issued":{"date-parts":[["2018","7","1"]]},"page":"309-323","title":"The Effect of Family, Peer, Behavior, Saving and Spending Behavior on Financial Literacy among Young Generations","type":"article-journal","volume":"7"},"uris":["http://www.mendeley.com/documents/?uuid=045b2e8b-9de3-4b54-93fe-5c2bdbe233f6"]}],"mendeley":{"formattedCitation":"(Mohammed Esmail Alekam et al., 2018)","manualFormatting":"(Alekam et al.,2018","plainTextFormattedCitation":"(Mohammed Esmail Alekam et al., 2018)","previouslyFormattedCitation":"(Mohammed Esmail Alekam et al., 2018)"},"properties":{"noteIndex":0},"schema":"https://github.com/citation-style-language/schema/raw/master/csl-citation.json"}</w:instrText>
      </w:r>
      <w:r w:rsidR="004A5E0E" w:rsidRPr="00D05EC2">
        <w:rPr>
          <w:noProof/>
        </w:rPr>
        <w:fldChar w:fldCharType="separate"/>
      </w:r>
      <w:r w:rsidR="004A5E0E" w:rsidRPr="00D05EC2">
        <w:rPr>
          <w:noProof/>
        </w:rPr>
        <w:t xml:space="preserve">(Alekam </w:t>
      </w:r>
      <w:r w:rsidR="004A5E0E" w:rsidRPr="00D05EC2">
        <w:rPr>
          <w:i/>
          <w:iCs/>
          <w:noProof/>
        </w:rPr>
        <w:t>et al.,</w:t>
      </w:r>
      <w:r w:rsidR="004A5E0E" w:rsidRPr="00D05EC2">
        <w:rPr>
          <w:noProof/>
        </w:rPr>
        <w:t>2018</w:t>
      </w:r>
      <w:r w:rsidR="004A5E0E" w:rsidRPr="00D05EC2">
        <w:rPr>
          <w:noProof/>
        </w:rPr>
        <w:fldChar w:fldCharType="end"/>
      </w:r>
      <w:r w:rsidR="004A5E0E" w:rsidRPr="00D05EC2">
        <w:rPr>
          <w:noProof/>
        </w:rPr>
        <w:t xml:space="preserve">; Dangol &amp; Maharjan, 2018; Kadir </w:t>
      </w:r>
      <w:r w:rsidR="004A5E0E" w:rsidRPr="00D05EC2">
        <w:rPr>
          <w:i/>
          <w:noProof/>
        </w:rPr>
        <w:t>et al.,</w:t>
      </w:r>
      <w:r w:rsidR="004A5E0E" w:rsidRPr="00D05EC2">
        <w:rPr>
          <w:noProof/>
        </w:rPr>
        <w:t>2021; Ling, 2021; and  Salim &amp; Pamungkas, 2022)</w:t>
      </w:r>
      <w:r w:rsidR="004A5E0E" w:rsidRPr="00D05EC2">
        <w:fldChar w:fldCharType="end"/>
      </w:r>
      <w:r w:rsidR="004A5E0E" w:rsidRPr="00D05EC2">
        <w:t xml:space="preserve">. </w:t>
      </w:r>
      <w:r w:rsidRPr="00D05EC2">
        <w:rPr>
          <w:rFonts w:ascii="Times New Roman" w:hAnsi="Times New Roman" w:cs="Times New Roman"/>
          <w:lang w:val="en-ID"/>
        </w:rPr>
        <w:t xml:space="preserve"> </w:t>
      </w:r>
      <w:r w:rsidRPr="00F6542D">
        <w:rPr>
          <w:rFonts w:ascii="Times New Roman" w:hAnsi="Times New Roman" w:cs="Times New Roman"/>
          <w:lang w:val="en-ID"/>
        </w:rPr>
        <w:t>Finance encourages a person to have FL</w:t>
      </w:r>
      <w:r w:rsidR="00EF42B0" w:rsidRPr="00F6542D">
        <w:rPr>
          <w:rFonts w:ascii="Times New Roman" w:hAnsi="Times New Roman" w:cs="Times New Roman"/>
          <w:lang w:val="en-ID"/>
        </w:rPr>
        <w:t xml:space="preserve"> </w:t>
      </w:r>
      <w:r w:rsidRPr="00F6542D">
        <w:rPr>
          <w:rFonts w:ascii="Times New Roman" w:hAnsi="Times New Roman" w:cs="Times New Roman"/>
          <w:lang w:val="en-ID"/>
        </w:rPr>
        <w:t xml:space="preserve">and adequate knowledge in making effective financial decisions and for future planning </w:t>
      </w:r>
      <w:r w:rsidRPr="00F6542D">
        <w:rPr>
          <w:rFonts w:ascii="Times New Roman" w:hAnsi="Times New Roman" w:cs="Times New Roman"/>
        </w:rPr>
        <w:fldChar w:fldCharType="begin" w:fldLock="1"/>
      </w:r>
      <w:r w:rsidRPr="00F6542D">
        <w:rPr>
          <w:rFonts w:ascii="Times New Roman" w:hAnsi="Times New Roman" w:cs="Times New Roman"/>
        </w:rPr>
        <w:instrText>ADDIN CSL_CITATION {"citationItems":[{"id":"ITEM-1","itemData":{"ISSN":"22196145","abstract":"In this paper, we analyze the financial literacy level of individuals using socio-demographic variables, namely age, sex, education level, working in the financial sector, experience level, and income level. Next, we investigate the impact of financial literacy on retirement planning. The empirical results are based on a survey of 472 individuals from Pakistan. The results reveal that an individual's financial literacy has a positive and significant relationship with retirement planning. The findings further reveal that males are more financially literate than females. The results also show that as age increases, people become more careful in spending and concerned about their retirement life, hence start savings as a part of their retirement planning. The findings emphasize the necessity of creating more awareness to enhance the financial literacy levels to help the individuals to plan for their retirements.","author":[{"dropping-particle":"","family":"Zeb","given":"Shumaila","non-dropping-particle":"","parse-names":false,"suffix":""},{"dropping-particle":"","family":"Bilal","given":"Atif","non-dropping-particle":"","parse-names":false,"suffix":""}],"container-title":"Global Management Journal for Academic &amp; Corporate Studies","id":"ITEM-1","issue":"1","issued":{"date-parts":[["2021"]]},"language":"English","note":"Copyright - Copyright Bahria University 2021\n\nLast updated - 2023-11-24\n\nSubjectsTermNotLitGenreText - India; Australia; Pakistan","page":"1-20","publisher":"Bahria University PP - Karachi","publisher-place":"SZABIST, Islamabad ; Management Sciences, SZABIST Islamabad ; SZABIST, Islamabad","title":"Financial Literacy and Retirement Planning in Pakistan","type":"article-journal","volume":"11"},"uris":["http://www.mendeley.com/documents/?uuid=dedc7659-aa1d-4523-a5fd-f60e2a9ec617"]}],"mendeley":{"formattedCitation":"(Zeb &amp; Bilal, 2021)","plainTextFormattedCitation":"(Zeb &amp; Bilal, 2021)","previouslyFormattedCitation":"(Zeb &amp; Bilal, 2021)"},"properties":{"noteIndex":0},"schema":"https://github.com/citation-style-language/schema/raw/master/csl-citation.json"}</w:instrText>
      </w:r>
      <w:r w:rsidRPr="00F6542D">
        <w:rPr>
          <w:rFonts w:ascii="Times New Roman" w:hAnsi="Times New Roman" w:cs="Times New Roman"/>
        </w:rPr>
        <w:fldChar w:fldCharType="separate"/>
      </w:r>
      <w:bookmarkStart w:id="40" w:name="Bookmark32"/>
      <w:r w:rsidRPr="00F6542D">
        <w:rPr>
          <w:rFonts w:ascii="Times New Roman" w:hAnsi="Times New Roman" w:cs="Times New Roman"/>
          <w:noProof/>
        </w:rPr>
        <w:t>(</w:t>
      </w:r>
      <w:bookmarkStart w:id="41" w:name="Bookmark291"/>
      <w:r w:rsidRPr="00F6542D">
        <w:rPr>
          <w:rFonts w:ascii="Times New Roman" w:hAnsi="Times New Roman" w:cs="Times New Roman"/>
          <w:noProof/>
        </w:rPr>
        <w:t>Zeb &amp; Bilal, 2021)</w:t>
      </w:r>
      <w:r w:rsidRPr="00F6542D">
        <w:rPr>
          <w:rFonts w:ascii="Times New Roman" w:hAnsi="Times New Roman" w:cs="Times New Roman"/>
        </w:rPr>
        <w:fldChar w:fldCharType="end"/>
      </w:r>
      <w:bookmarkEnd w:id="40"/>
      <w:bookmarkEnd w:id="41"/>
      <w:r w:rsidRPr="00F6542D">
        <w:rPr>
          <w:rFonts w:ascii="Times New Roman" w:hAnsi="Times New Roman" w:cs="Times New Roman"/>
        </w:rPr>
        <w:t>.</w:t>
      </w:r>
      <w:r w:rsidRPr="00F6542D">
        <w:rPr>
          <w:rFonts w:ascii="Times New Roman" w:hAnsi="Times New Roman" w:cs="Times New Roman"/>
          <w:lang w:val="en-ID"/>
        </w:rPr>
        <w:t xml:space="preserve"> </w:t>
      </w:r>
      <w:r w:rsidRPr="00D05EC2">
        <w:rPr>
          <w:rFonts w:ascii="Times New Roman" w:hAnsi="Times New Roman" w:cs="Times New Roman"/>
          <w:lang w:val="en-ID"/>
        </w:rPr>
        <w:t>In addition, there is research that FL</w:t>
      </w:r>
      <w:r w:rsidR="004A5E0E" w:rsidRPr="00D05EC2">
        <w:rPr>
          <w:rFonts w:ascii="Times New Roman" w:hAnsi="Times New Roman" w:cs="Times New Roman"/>
          <w:lang w:val="en-ID"/>
        </w:rPr>
        <w:t xml:space="preserve"> </w:t>
      </w:r>
      <w:r w:rsidRPr="00D05EC2">
        <w:rPr>
          <w:rFonts w:ascii="Times New Roman" w:hAnsi="Times New Roman" w:cs="Times New Roman"/>
          <w:lang w:val="en-ID"/>
        </w:rPr>
        <w:t xml:space="preserve">has a positive effect on spending, saving and investment </w:t>
      </w:r>
      <w:proofErr w:type="spellStart"/>
      <w:r w:rsidRPr="00D05EC2">
        <w:rPr>
          <w:rFonts w:ascii="Times New Roman" w:hAnsi="Times New Roman" w:cs="Times New Roman"/>
          <w:lang w:val="en-ID"/>
        </w:rPr>
        <w:t>behavior</w:t>
      </w:r>
      <w:proofErr w:type="spellEnd"/>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{"citationItems":[{"id":"ITEM-1","itemData":{"DOI":"10.18196/jai.v23i1.13205","ISSN":"2622-6413","abstract":"Research aims: This study aims to investigate the relationship between the level of digital financial literacy (DFL) and financial behaviors, namely saving behavior, spending behavior, and investment behavior among the millennial generation in Indonesia.Design/Methodology/Approach: A survey method was performed in this study, and 741 millennial generations aged 25–40 years from several cities in Indonesia participated in this study. The Structural Equation Model using SmartPLS was employed to estimate the relationship of the latent variable.Research findings: Based on the data, it was found that DFL had a positive effect on spending behavior, saving behavior, and investment behavior. In addition, this study also revealed that social factors such as income had a significant influence on the DFL.Theoretical contribution/Originality: This research provides a map of the level of digital financial literacy among the millennial generation in Indonesia. In addition, since there is a limited study related to digital financial literacy, this research contributes to the enrichment of literature, especially related to digital financial literacy.Practitioner/Policy implication: It is expected that this result will be used by policymakers to make a policy regarding digital financial literacy, especially for millennial generations.Research limitation/Implication: Most respondents who participated in this study came from West Sumatra, affecting the generalization of the research results.","author":[{"dropping-particle":"","family":"Rahayu","given":"Rita","non-dropping-particle":"","parse-names":false,"suffix":""},{"dropping-particle":"","family":"Ali","given":"Syahril","non-dropping-particle":"","parse-names":false,"suffix":""},{"dropping-particle":"","family":"Aulia","given":"Amalda","non-dropping-particle":"","parse-names":false,"suffix":""},{"dropping-particle":"","family":"Hidayah","given":"Retnoningrum","non-dropping-particle":"","parse-names":false,"suffix":""}],"container-title":"Journal of Accounting and Investment","id":"ITEM-1","issue":"1","issued":{"date-parts":[["2022","1","24"]]},"page":"78-94","title":"The Current Digital Financial Literacy and Financial Behavior in Indonesian Millennial Generation","type":"article-journal","volume":"23"},"uris":["http://www.mendeley.com/documents/?uuid=ebe97359-07a9-492f-a3d4-4e8b84387153"]}],"mendeley":{"formattedCitation":"(Rahayu et al., 2022)","manualFormatting":"(Rahayu et al.,2022)","plainTextFormattedCitation":"(Rahayu et al., 2022)","previouslyFormattedCitation":"(Rahayu et al., 2022)"},"properties":{"noteIndex":0},"schema":"https://github.com/citation-style-language/schema/raw/master/csl-citation.json"}</w:instrText>
      </w:r>
      <w:r w:rsidRPr="00D05EC2">
        <w:rPr>
          <w:rFonts w:ascii="Times New Roman" w:hAnsi="Times New Roman" w:cs="Times New Roman"/>
        </w:rPr>
        <w:fldChar w:fldCharType="separate"/>
      </w:r>
      <w:bookmarkStart w:id="42" w:name="Bookmark33"/>
      <w:r w:rsidRPr="00D05EC2">
        <w:rPr>
          <w:rFonts w:ascii="Times New Roman" w:hAnsi="Times New Roman" w:cs="Times New Roman"/>
          <w:noProof/>
        </w:rPr>
        <w:t>(</w:t>
      </w:r>
      <w:bookmarkStart w:id="43" w:name="Bookmark301"/>
      <w:r w:rsidRPr="00D05EC2">
        <w:rPr>
          <w:rFonts w:ascii="Times New Roman" w:hAnsi="Times New Roman" w:cs="Times New Roman"/>
          <w:noProof/>
        </w:rPr>
        <w:t>Rahayu et al.,2022)</w:t>
      </w:r>
      <w:r w:rsidRPr="00D05EC2">
        <w:rPr>
          <w:rFonts w:ascii="Times New Roman" w:hAnsi="Times New Roman" w:cs="Times New Roman"/>
        </w:rPr>
        <w:fldChar w:fldCharType="end"/>
      </w:r>
      <w:bookmarkEnd w:id="42"/>
      <w:bookmarkEnd w:id="43"/>
      <w:r w:rsidRPr="00D05EC2">
        <w:rPr>
          <w:rFonts w:ascii="Times New Roman" w:hAnsi="Times New Roman" w:cs="Times New Roman"/>
        </w:rPr>
        <w:t>.</w:t>
      </w:r>
      <w:r w:rsidRPr="00D05EC2">
        <w:rPr>
          <w:rFonts w:ascii="Times New Roman" w:hAnsi="Times New Roman" w:cs="Times New Roman"/>
          <w:lang w:val="en-ID"/>
        </w:rPr>
        <w:t xml:space="preserve"> Saving gives someone the possibility to save funds for retirement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{"citationItems":[{"id":"ITEM-1","itemData":{"abstract":"This paper seeks to examine the saving behaviour among TAJ International College students. The study is used primary data by questionnaires. Convenience sampling method is used in collecting the data and the results compiled by using SPSS software system. Accordingly, this study appears for the purpose of investigating how three factors, namely financial literacy, parental socialization and peer influence affect saving behaviour based on the Theory of Planned Behaviour (TPB).","author":[{"dropping-particle":"","family":"Hashim","given":"Helmi","non-dropping-particle":"","parse-names":false,"suffix":""},{"dropping-particle":"","family":"Jamalludin","given":"","non-dropping-particle":"","parse-names":false,"suffix":""},{"dropping-particle":"","family":"Kamarudin","given":"Zurina","non-dropping-particle":"","parse-names":false,"suffix":""}],"container-title":"The Journal of Management and Science (ALQIMAH)","id":"ITEM-1","issue":"1","issued":{"date-parts":[["2018"]]},"title":"Factors Affecting the Saving Behaviour of Taj International College Students","type":"article-journal","volume":"4"},"uris":["http://www.mendeley.com/documents/?uuid=b3e88047-21b0-4a5f-ba96-0fa4c9265bd4"]}],"mendeley":{"formattedCitation":"(Hashim et al., 2018)","manualFormatting":"(Kamarudin &amp; Hashim, 2018)","plainTextFormattedCitation":"(Hashim et al., 2018)","previouslyFormattedCitation":"(Hashim et al., 2018)"},"properties":{"noteIndex":0},"schema":"https://github.com/citation-style-language/schema/raw/master/csl-citation.json"}</w:instrText>
      </w:r>
      <w:r w:rsidRPr="00D05EC2">
        <w:rPr>
          <w:rFonts w:ascii="Times New Roman" w:hAnsi="Times New Roman" w:cs="Times New Roman"/>
        </w:rPr>
        <w:fldChar w:fldCharType="separate"/>
      </w:r>
      <w:bookmarkStart w:id="44" w:name="Bookmark34"/>
      <w:r w:rsidRPr="00D05EC2">
        <w:rPr>
          <w:rFonts w:ascii="Times New Roman" w:hAnsi="Times New Roman" w:cs="Times New Roman"/>
          <w:noProof/>
          <w:lang w:val="en-ID"/>
        </w:rPr>
        <w:t>(</w:t>
      </w:r>
      <w:bookmarkStart w:id="45" w:name="Bookmark311"/>
      <w:r w:rsidRPr="00D05EC2">
        <w:rPr>
          <w:rFonts w:ascii="Times New Roman" w:hAnsi="Times New Roman" w:cs="Times New Roman"/>
          <w:noProof/>
          <w:lang w:val="en-ID"/>
        </w:rPr>
        <w:t>Kamarudin &amp; Hashim, 2018)</w:t>
      </w:r>
      <w:r w:rsidRPr="00D05EC2">
        <w:rPr>
          <w:rFonts w:ascii="Times New Roman" w:hAnsi="Times New Roman" w:cs="Times New Roman"/>
        </w:rPr>
        <w:fldChar w:fldCharType="end"/>
      </w:r>
      <w:bookmarkEnd w:id="44"/>
      <w:bookmarkEnd w:id="45"/>
      <w:r w:rsidRPr="00D05EC2">
        <w:rPr>
          <w:rFonts w:ascii="Times New Roman" w:hAnsi="Times New Roman" w:cs="Times New Roman"/>
          <w:lang w:val="en-ID"/>
        </w:rPr>
        <w:t xml:space="preserve">. From the research of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{"citationItems":[{"id":"ITEM-1","itemData":{"DOI":"10.5267/j.msl.2020.6.030","ISSN":"19239343","abstract":"This paper examines the influence of Financial Literacy on savings behavior that is improved by storing intentions and attitudes towards savings. Also, the study investigates the effect of subjective norms on saving behavior that is mediated by attitudes toward austerity. Research subjects were primary data from 469 young workers who worked in the DKI Jakarta area in 2018. Data were collected online by distributing questionnaires using Google Docs and they were analyzed using SEM-PLS. The research findings prove that financial literacy affects saving behavior, both directly and indirectly through the variables of saving intention and attitude to saving mediation. Other findings prove that subjective norms do not directly affect thrifty behavior, but had indirect effects through attitudes toward thrifty variables. This study offers alternative models of researchers associated with frugal behavior with theories of planned behavior theory with predictors of financial literacy and subjective norms to improve frugal behavior proving that saving intentions and attitudes towards saving can mediate financial literacy. Furthermore, a mediator's attitude towards savings can improve the subjective norm relationship with saving behavior. Thus, the planned behavior theory can explain the relationship between financial literacy and subjective norms by storing behavior. This is an initial empirical study that attempts to examine the relationship between financial literacy and subjective norms and their impact on savings behavior that is mediated by saving intention and attitude towards saving.","author":[{"dropping-particle":"","family":"Widjaja","given":"Indra","non-dropping-particle":"","parse-names":false,"suffix":""},{"dropping-particle":"","family":"Arifin","given":"Agus Zainul","non-dropping-particle":"","parse-names":false,"suffix":""},{"dropping-particle":"","family":"Setini","given":"Made","non-dropping-particle":"","parse-names":false,"suffix":""}],"container-title":"Management Science Letters","id":"ITEM-1","issue":"15","issued":{"date-parts":[["2020"]]},"page":"3635-3642","title":"The effects of financial literacy and subjective norms on saving behavior","type":"article-journal","volume":"10"},"uris":["http://www.mendeley.com/documents/?uuid=effbe86c-5a21-4037-8dee-07d2af606e03"]}],"mendeley":{"formattedCitation":"(Widjaja et al., 2020)","manualFormatting":"Widjaja et al. (2020) ","plainTextFormattedCitation":"(Widjaja et al., 2020)","previouslyFormattedCitation":"(Widjaja et al., 2020)"},"properties":{"noteIndex":0},"schema":"https://github.com/citation-style-language/schema/raw/master/csl-citation.json"}</w:instrText>
      </w:r>
      <w:r w:rsidRPr="00D05EC2">
        <w:rPr>
          <w:rFonts w:ascii="Times New Roman" w:hAnsi="Times New Roman" w:cs="Times New Roman"/>
        </w:rPr>
        <w:fldChar w:fldCharType="separate"/>
      </w:r>
      <w:bookmarkStart w:id="46" w:name="Bookmark35"/>
      <w:r w:rsidRPr="00D05EC2">
        <w:rPr>
          <w:rFonts w:ascii="Times New Roman" w:hAnsi="Times New Roman" w:cs="Times New Roman"/>
          <w:noProof/>
          <w:lang w:val="en-ID"/>
        </w:rPr>
        <w:t>W</w:t>
      </w:r>
      <w:bookmarkStart w:id="47" w:name="Bookmark321"/>
      <w:r w:rsidRPr="00D05EC2">
        <w:rPr>
          <w:rFonts w:ascii="Times New Roman" w:hAnsi="Times New Roman" w:cs="Times New Roman"/>
          <w:noProof/>
          <w:lang w:val="en-ID"/>
        </w:rPr>
        <w:t>idjaja et al. (2020)</w:t>
      </w:r>
      <w:r w:rsidR="00413760">
        <w:rPr>
          <w:rFonts w:ascii="Times New Roman" w:hAnsi="Times New Roman" w:cs="Times New Roman"/>
          <w:noProof/>
          <w:lang w:val="en-ID"/>
        </w:rPr>
        <w:t>,</w:t>
      </w:r>
      <w:r w:rsidRPr="00D05EC2">
        <w:rPr>
          <w:rFonts w:ascii="Times New Roman" w:hAnsi="Times New Roman" w:cs="Times New Roman"/>
          <w:noProof/>
          <w:lang w:val="en-ID"/>
        </w:rPr>
        <w:t xml:space="preserve"> </w:t>
      </w:r>
      <w:r w:rsidRPr="00D05EC2">
        <w:rPr>
          <w:rFonts w:ascii="Times New Roman" w:hAnsi="Times New Roman" w:cs="Times New Roman"/>
        </w:rPr>
        <w:fldChar w:fldCharType="end"/>
      </w:r>
      <w:bookmarkEnd w:id="46"/>
      <w:bookmarkEnd w:id="47"/>
      <w:r w:rsidRPr="00D05EC2">
        <w:rPr>
          <w:rFonts w:ascii="Times New Roman" w:hAnsi="Times New Roman" w:cs="Times New Roman"/>
          <w:lang w:val="en-ID"/>
        </w:rPr>
        <w:t xml:space="preserve">it is known </w:t>
      </w:r>
      <w:r w:rsidRPr="00D05EC2">
        <w:rPr>
          <w:rFonts w:ascii="Times New Roman" w:hAnsi="Times New Roman" w:cs="Times New Roman"/>
          <w:lang w:val="en-ID"/>
        </w:rPr>
        <w:lastRenderedPageBreak/>
        <w:t>that there is a significant positive influence between FL</w:t>
      </w:r>
      <w:r w:rsidR="00413760">
        <w:rPr>
          <w:rFonts w:ascii="Times New Roman" w:hAnsi="Times New Roman" w:cs="Times New Roman"/>
          <w:lang w:val="en-ID"/>
        </w:rPr>
        <w:t xml:space="preserve"> </w:t>
      </w:r>
      <w:r w:rsidRPr="00D05EC2">
        <w:rPr>
          <w:rFonts w:ascii="Times New Roman" w:hAnsi="Times New Roman" w:cs="Times New Roman"/>
          <w:lang w:val="en-ID"/>
        </w:rPr>
        <w:t xml:space="preserve">and the intention to save. This study was also previously conducted by other researchers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{"citationItems":[{"id":"ITEM-1","itemData":{"DOI":"10.1016/j.childyouth.2021.106122","ISSN":"01907409","abstract":"Understanding of the determinants of saving behavior of people is important for securing the financial stability of both the person, individually, and the country, at large. The commonly accepted viewpoint here is that a higher level of financial literacy (as brought by the relevant economic education via, in particular, smarter saving) leads to increasing of financial well-being. But, as we discuss in this paper by providing an appropriate conceptual theoretical framework, this relation has a more complicated nature: in some cases, financial literacy may have an adverse effect on people's financial well-being. To secure the positive effect of financial literacy on financial well-being, specifically, via saving more actively, the appropriate programs should be introduced at the early stages of education (e.g., at school). This study aims to appropriately assess the magnitude of influence of the fact of being financially literate on the fact of making savings. To this end, we use a representative sample (n = 1,243) of Russian high school students. In order to account for the endogenous nature of the influence of financial literacy on the willingness to make savings, we employ a copula-based bivariate probit-regression approach to identify the actual magnitude of this influence. To the best of our knowledge, we are the first to apply a copula-based modeling to this problem. As a result, for the considered cohort of Russian adolescents, we demonstrate that the studied magnitude is substantially greater when the endogeneity effect is appropriately controlled for. We also reveal and discuss the factors that impact the level of financial literacy and saving behavior of a Russian teenager. Relevant recommendations are provided for Russian financial authorities and institutions.","author":[{"dropping-particle":"","family":"Gilenko","given":"Evgenii","non-dropping-particle":"","parse-names":false,"suffix":""},{"dropping-particle":"","family":"Chernova","given":"Aleksandra","non-dropping-particle":"","parse-names":false,"suffix":""}],"container-title":"Children and Youth Services Review","id":"ITEM-1","issue":"February","issued":{"date-parts":[["2021"]]},"page":"106122","publisher":"Elsevier Ltd","title":"Saving behavior and financial literacy of Russian high school students: An application of a copula-based bivariate probit-regression approach","type":"article-journal","volume":"127"},"uris":["http://www.mendeley.com/documents/?uuid=7d7ba964-bbf9-40e7-9539-f539441bb7b8"]},{"id":"ITEM-2","itemData":{"DOI":"10.1016/j.asieco.2020.101197","ISSN":"10490078","abstract":"This study examines the effects of financial literacy on financial inclusion and savings behavior in Laos. Compared to previous literature, we use a broader definition of financial literacy which covers not only financial knowledge but also financial behavior and financial attitudes. We also use a new definition of financial inclusion which goes beyond the supply-side perspective to consider the consumer's perspective. To do so, we use the survey instrument designed by the Organisation for Economic Cooperation and Development International Network on Financial Education. We also used more reliable instrumental variables to investigate the effects of financial literacy on financial inclusion (and its components) and savings behavior. We find that financial literacy has statistically positive effects on both financial inclusion and savings. Moreover, the effects of financial literacy on different measures of financial inclusion vary. Our results further show that individuals with higher financial literacy scores are more likely to hold savings in both formal and informal forms than those who have lower financial literacy scores, even when we control for income and education.","author":[{"dropping-particle":"","family":"Morgan","given":"Peter J.","non-dropping-particle":"","parse-names":false,"suffix":""},{"dropping-particle":"","family":"Long","given":"Trinh Quang","non-dropping-particle":"","parse-names":false,"suffix":""}],"container-title":"Journal of Asian Economics","id":"ITEM-2","issued":{"date-parts":[["2020","6"]]},"page":"101197","publisher":"Elsevier Inc.","title":"Financial literacy, financial inclusion, and savings behavior in Laos","type":"article-journal","volume":"68"},"uris":["http://www.mendeley.com/documents/?uuid=14a6fca6-ad87-4f4e-8e13-2a5f33231432"]},{"id":"ITEM-3","itemData":{"DOI":"10.18488/journal.aefr.2020.106.590.603","ISSN":"22226737","abstract":"This study investigated factors impacting personal saving behavior in Vietnam. By using 692 respondents from a 63-province survey, the binary regression results showed that financial literacy, finance major, married status, financial attitudes, and advanced financial behavior were factors positively and significantly influencing individual saving behavior while gender, student, and basic financial behavior were factors negatively and significantly impacting saving behavior. It highlighted the result that, women had a higher probability of saving than men. The implications for financial education in Vietnam from the policy makers as well as personal perspective are also discussed.,,,.","author":[{"dropping-particle":"","family":"Nguyen","given":"Van Tuong","non-dropping-particle":"","parse-names":false,"suffix":""},{"dropping-particle":"","family":"Doan","given":"Minh Duc","non-dropping-particle":"","parse-names":false,"suffix":""}],"container-title":"Asian Economic and Financial Review","id":"ITEM-3","issue":"6","issued":{"date-parts":[["2020"]]},"page":"590-603","title":"The Correlation between Financial Literacy and Personal Saving Behavior in Vietnam","type":"article-journal","volume":"10"},"uris":["http://www.mendeley.com/documents/?uuid=068e5ea4-c136-4624-a9af-addb0c9fe281"]},{"id":"ITEM-4","itemData":{"abstract":"The household debt in Malaysia was recorded at 83 per cent of gross domestic product in 2018. This contributed to insufficient amount of saving by household who are mostly not prepared for retirement. Meanwhile, youths in emerging countries however are reported as the main group trapped into the financial problem. The tendency of saving among individual is different from one another due to differences in financial knowledge, peers influence, parent's socialization and self-control based on Theory of Planned Behavior. A survey was conducted on 133 students in emerging country, Malaysia, to examine the factors which affected their savings behavior. Structured questionnaires were distributed using convenient sampling technique. Results revealed that financial knowledge, peer influence and parent socialization have a significant effect on students' saving behavior. Findings serve to inform policy makers who are formulating strategies to enhance students' financial knowledge and to maximize the role of parents and peers in order to encourage higher saving behavior in emerging countries.","author":[{"dropping-particle":"","family":"Kadir","given":"Juliana Mohd Abdul","non-dropping-particle":"","parse-names":false,"suffix":""},{"dropping-particle":"","family":"Shoukat","given":"Ayesha","non-dropping-particle":"","parse-names":false,"suffix":""},{"dropping-particle":"","family":"Naghavi","given":"Navaz","non-dropping-particle":"","parse-names":false,"suffix":""},{"dropping-particle":"","family":"Jamaluddin","given":"Amirul Azri","non-dropping-particle":"","parse-names":false,"suffix":""}],"container-title":"Paskistan Business Review","id":"ITEM-4","issue":"4","issued":{"date-parts":[["2021"]]},"page":"629-644","title":"Saving Behavior in Emerging Country: The Role of Financial Knowledge, Peer Influence and Parent Socialization","type":"article-journal","volume":"22"},"uris":["http://www.mendeley.com/documents/?uuid=a68e692d-7e63-4c3d-a6d0-dd3ce6cedd94"]}],"mendeley":{"formattedCitation":"(Gilenko &amp; Chernova, 2021; Kadir et al., 2021; Morgan &amp; Long, 2020; V. T. Nguyen &amp; Doan, 2020)","manualFormatting":"(Gilenko &amp; Chernova, 2021; Kadir et al.,2021; Morgan &amp; Long, 2020; and Nguyen &amp; Doan, 2020)","plainTextFormattedCitation":"(Gilenko &amp; Chernova, 2021; Kadir et al., 2021; Morgan &amp; Long, 2020; V. T. Nguyen &amp; Doan, 2020)","previouslyFormattedCitation":"(Gilenko &amp; Chernova, 2021; Kadir et al., 2021; Morgan &amp; Long, 2020; V. T. Nguyen &amp; Doan, 2020)"},"properties":{"noteIndex":0},"schema":"https://github.com/citation-style-language/schema/raw/master/csl-citation.json"}</w:instrText>
      </w:r>
      <w:r w:rsidRPr="00D05EC2">
        <w:rPr>
          <w:rFonts w:ascii="Times New Roman" w:hAnsi="Times New Roman" w:cs="Times New Roman"/>
        </w:rPr>
        <w:fldChar w:fldCharType="separate"/>
      </w:r>
      <w:bookmarkStart w:id="48" w:name="Bookmark36"/>
      <w:r w:rsidRPr="00D05EC2">
        <w:rPr>
          <w:rFonts w:ascii="Times New Roman" w:hAnsi="Times New Roman" w:cs="Times New Roman"/>
          <w:noProof/>
        </w:rPr>
        <w:t>(</w:t>
      </w:r>
      <w:bookmarkStart w:id="49" w:name="Bookmark331"/>
      <w:r w:rsidRPr="00D05EC2">
        <w:rPr>
          <w:rFonts w:ascii="Times New Roman" w:hAnsi="Times New Roman" w:cs="Times New Roman"/>
          <w:noProof/>
        </w:rPr>
        <w:t>Gilenko &amp; Chernova, 2021; Kadir et al.,2021; Morgan &amp; Long, 2020; and Nguyen &amp; Doan, 2020)</w:t>
      </w:r>
      <w:r w:rsidRPr="00D05EC2">
        <w:rPr>
          <w:rFonts w:ascii="Times New Roman" w:hAnsi="Times New Roman" w:cs="Times New Roman"/>
        </w:rPr>
        <w:fldChar w:fldCharType="end"/>
      </w:r>
      <w:bookmarkEnd w:id="48"/>
      <w:bookmarkEnd w:id="49"/>
      <w:r w:rsidRPr="00D05EC2">
        <w:rPr>
          <w:rFonts w:ascii="Times New Roman" w:hAnsi="Times New Roman" w:cs="Times New Roman"/>
          <w:lang w:val="en-ID"/>
        </w:rPr>
        <w:t xml:space="preserve">. Other studies have found that people with low incomes have less savings because most of the income received is used to meet basic needs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{"citationItems":[{"id":"ITEM-1","itemData":{"DOI":"10.5958/2321-5763.2018.00010.0","ISSN":"0976-495X","abstract":"Saving is a very important component which is responsible for meeting or helps in preventing any emergency met by the individuals or the households or any other users, as well as essential for capital formation of any Economy. Savings is defined as the amount of money which we keep aside from our income. Saving is a significant macroeconomic variable which is studied under the economic scenario of any individual as well as household. In a developing country like India, where the income standard is almost uncertain which leads to more consumption and less Saving is a Major problem of our economy. If saving is low, then the investment will also be low resulting in low capital formation. In this paper an attempt is made to determine the Socio-Economic factors which affect the saving pattern of People in Delhi during Inflation. For analyzing the effect a questionnaire was prepared to study the impact of income, family Size etc. The sample selected involved 50 Respondents. Regression Analysis was used to analyze the rating given by the respondents. Findings revealed that people earning low income have less savings because major part of their income is contributed in fulfilling their basic needs.","author":[{"dropping-particle":"","family":"Bhatia","given":"Gagneet K.","non-dropping-particle":"","parse-names":false,"suffix":""},{"dropping-particle":"","family":"Tyagi","given":"Meenakshi","non-dropping-particle":"","parse-names":false,"suffix":""}],"container-title":"Asian Journal of Management","id":"ITEM-1","issue":"1","issued":{"date-parts":[["2018"]]},"page":"64","title":"An Impact of Socio-Economic Factors on Saving Behaviour of Individuals","type":"article-journal","volume":"9"},"uris":["http://www.mendeley.com/documents/?uuid=2e3cfbd6-e6be-4b11-ada9-f15a8d6f4b26"]}],"mendeley":{"formattedCitation":"(Bhatia &amp; Tyagi, 2018)","plainTextFormattedCitation":"(Bhatia &amp; Tyagi, 2018)","previouslyFormattedCitation":"(Bhatia &amp; Tyagi, 2018)"},"properties":{"noteIndex":0},"schema":"https://github.com/citation-style-language/schema/raw/master/csl-citation.json"}</w:instrText>
      </w:r>
      <w:r w:rsidRPr="00D05EC2">
        <w:rPr>
          <w:rFonts w:ascii="Times New Roman" w:hAnsi="Times New Roman" w:cs="Times New Roman"/>
        </w:rPr>
        <w:fldChar w:fldCharType="separate"/>
      </w:r>
      <w:bookmarkStart w:id="50" w:name="Bookmark37"/>
      <w:r w:rsidRPr="00D05EC2">
        <w:rPr>
          <w:rFonts w:ascii="Times New Roman" w:hAnsi="Times New Roman" w:cs="Times New Roman"/>
          <w:noProof/>
        </w:rPr>
        <w:t>(</w:t>
      </w:r>
      <w:bookmarkStart w:id="51" w:name="Bookmark341"/>
      <w:r w:rsidRPr="00D05EC2">
        <w:rPr>
          <w:rFonts w:ascii="Times New Roman" w:hAnsi="Times New Roman" w:cs="Times New Roman"/>
          <w:noProof/>
        </w:rPr>
        <w:t>Bhatia &amp; Tyagi, 2018)</w:t>
      </w:r>
      <w:r w:rsidRPr="00D05EC2">
        <w:rPr>
          <w:rFonts w:ascii="Times New Roman" w:hAnsi="Times New Roman" w:cs="Times New Roman"/>
        </w:rPr>
        <w:fldChar w:fldCharType="end"/>
      </w:r>
      <w:bookmarkEnd w:id="50"/>
      <w:bookmarkEnd w:id="51"/>
      <w:r w:rsidRPr="00D05EC2">
        <w:rPr>
          <w:rFonts w:ascii="Times New Roman" w:hAnsi="Times New Roman" w:cs="Times New Roman"/>
        </w:rPr>
        <w:t xml:space="preserve">.  </w:t>
      </w:r>
    </w:p>
    <w:p w14:paraId="1F325C7E" w14:textId="0BF18CB5" w:rsidR="00D97723" w:rsidRPr="00D05EC2" w:rsidRDefault="00456E38" w:rsidP="00666DCF">
      <w:pPr>
        <w:spacing w:line="276" w:lineRule="auto"/>
        <w:ind w:firstLine="720"/>
        <w:jc w:val="both"/>
        <w:rPr>
          <w:rFonts w:ascii="Times New Roman" w:hAnsi="Times New Roman" w:cs="Times New Roman"/>
        </w:rPr>
      </w:pPr>
      <w:r w:rsidRPr="00D05EC2">
        <w:rPr>
          <w:rFonts w:ascii="Times New Roman" w:hAnsi="Times New Roman" w:cs="Times New Roman"/>
        </w:rPr>
        <w:t xml:space="preserve">So far, there have been many </w:t>
      </w:r>
      <w:r w:rsidR="00D05EC2" w:rsidRPr="00D05EC2">
        <w:rPr>
          <w:rFonts w:ascii="Times New Roman" w:hAnsi="Times New Roman" w:cs="Times New Roman"/>
        </w:rPr>
        <w:t>research</w:t>
      </w:r>
      <w:r w:rsidRPr="00D05EC2">
        <w:rPr>
          <w:rFonts w:ascii="Times New Roman" w:hAnsi="Times New Roman" w:cs="Times New Roman"/>
        </w:rPr>
        <w:t xml:space="preserve"> on FL towards financial investment for retirement preparation, however, research on herding behavior moderation </w:t>
      </w:r>
      <w:r w:rsidRPr="00D05EC2">
        <w:rPr>
          <w:rStyle w:val="ts-alignment-element"/>
          <w:rFonts w:ascii="Times New Roman" w:hAnsi="Times New Roman" w:cs="Times New Roman"/>
        </w:rPr>
        <w:t>on FL in relation to RP</w:t>
      </w:r>
      <w:r w:rsidRPr="00D05EC2">
        <w:rPr>
          <w:rFonts w:ascii="Times New Roman" w:hAnsi="Times New Roman" w:cs="Times New Roman"/>
        </w:rPr>
        <w:t xml:space="preserve"> still relatively rare in Indonesia. Another study that examines herding behavior moderation conducted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{"citationItems":[{"id":"ITEM-1","itemData":{"abstract":"Objectives: This study aims to determine the sales growth and firm size impact of the firm value, and the return on assets as the moderating variable. These independent variables are the sales growth and firm size, where the dependent variable is firm value. The objects of this study are the consumer goods companies which was listed on the Indonesia Stock Exchange market from 2015 to 2020. Methodology: The amount of sample is ten consumer goods companies based on the purposive sampling technique. The research method is using SPSS application to run the regression analysis and which covered the descriptive statistics, classical assumption tests, multiple linear regression analysis, moderation regression analysis, and the hypotheses tests. The data of the study are normally distributed, free from multicollinearity and heteroscedasticity. Finding: The hypothesis results show that sales growth results have negative impact and not significant to the firm value; the total assets have positive impact and not significant on the firm value; sales growth and total assets have impact on the firm value which is not significant simultaneously. Investors have to be careful on investing in the company because if they are taking sales growth and firm size into the account to invest, this may make mistakes. The variable of ROA also cannot moderate the model. Conclusion: A company with high sales growth and large firm size does not guarantee to operate efficiently to generate profit and increase the firm value. Keywords:","author":[{"dropping-particle":"","family":"Bertuah","given":"Eka","non-dropping-particle":"","parse-names":false,"suffix":""},{"dropping-particle":"","family":"Oppusunggu","given":"Hotman Dufeb","non-dropping-particle":"","parse-names":false,"suffix":""}],"container-title":"MIX: Jurnal Ilmiah Manajemen","id":"ITEM-1","issue":"1","issued":{"date-parts":[["2022"]]},"page":"31-43","title":"MIX : Jurnal Ilmiah Manajemen Jurnal Ilmiah Manajemen","type":"article-journal","volume":"18"},"uris":["http://www.mendeley.com/documents/?uuid=bc32d863-3f66-4241-b464-2ff105d4aeb1"]}],"mendeley":{"formattedCitation":"(Bertuah &amp; Oppusunggu, 2022)","manualFormatting":"Bertuah &amp; Oppusunggu, (2022)","plainTextFormattedCitation":"(Bertuah &amp; Oppusunggu, 2022)","previouslyFormattedCitation":"(Bertuah &amp; Oppusunggu, 2022)"},"properties":{"noteIndex":0},"schema":"https://github.com/citation-style-language/schema/raw/master/csl-citation.json"}</w:instrText>
      </w:r>
      <w:r w:rsidRPr="00D05EC2">
        <w:rPr>
          <w:rFonts w:ascii="Times New Roman" w:hAnsi="Times New Roman" w:cs="Times New Roman"/>
        </w:rPr>
        <w:fldChar w:fldCharType="separate"/>
      </w:r>
      <w:bookmarkStart w:id="52" w:name="Bookmark38"/>
      <w:r w:rsidRPr="00D05EC2">
        <w:rPr>
          <w:rFonts w:ascii="Times New Roman" w:hAnsi="Times New Roman" w:cs="Times New Roman"/>
          <w:noProof/>
          <w:lang w:val="en-ID"/>
        </w:rPr>
        <w:t>B</w:t>
      </w:r>
      <w:bookmarkStart w:id="53" w:name="Bookmark351"/>
      <w:r w:rsidRPr="00D05EC2">
        <w:rPr>
          <w:rFonts w:ascii="Times New Roman" w:hAnsi="Times New Roman" w:cs="Times New Roman"/>
          <w:noProof/>
          <w:lang w:val="en-ID"/>
        </w:rPr>
        <w:t>ertuah &amp; Oppusunggu, (2022)</w:t>
      </w:r>
      <w:r w:rsidRPr="00D05EC2">
        <w:rPr>
          <w:rFonts w:ascii="Times New Roman" w:hAnsi="Times New Roman" w:cs="Times New Roman"/>
        </w:rPr>
        <w:fldChar w:fldCharType="end"/>
      </w:r>
      <w:bookmarkEnd w:id="52"/>
      <w:bookmarkEnd w:id="53"/>
      <w:r w:rsidRPr="00D05EC2">
        <w:rPr>
          <w:rFonts w:ascii="Times New Roman" w:hAnsi="Times New Roman" w:cs="Times New Roman"/>
        </w:rPr>
        <w:t xml:space="preserve"> is related to individual investment activities on the Indonesia Stock Exchange. Herding behavior is important to help improve individual FL through input and guidance from other individuals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{"citationItems":[{"id":"ITEM-1","itemData":{"DOI":"10.1016/j.jbankfin.2013.01.013","ISSN":"03784266","abstract":"We use survey data from a sample of UK households to analyse the relationship between financial literacy and consumer credit portfolios. We show that individuals who borrow on consumer credit exhibit worse financial literacy than those who do not. Borrowers with poor financial literacy hold higher shares of high cost credit (such as home collected credit, mail order catalogue debt and payday loans) than those with higher literacy. We also show that individuals with poor financial literacy are more likely to lack confidence when interpreting credit terms, and to exhibit confusion over financial concepts. They are also less likely to engage in behaviour which might help them to improve their awareness of the credit market. © 2013 Elsevier B.V.","author":[{"dropping-particle":"","family":"Disney","given":"Richard","non-dropping-particle":"","parse-names":false,"suffix":""},{"dropping-particle":"","family":"Gathergood","given":"John","non-dropping-particle":"","parse-names":false,"suffix":""}],"container-title":"Journal of Banking &amp; Finance","id":"ITEM-1","issue":"7","issued":{"date-parts":[["2013","7"]]},"page":"2246-2254","publisher":"Elsevier B.V.","title":"Financial literacy and consumer credit portfolios","type":"article-journal","volume":"37"},"uris":["http://www.mendeley.com/documents/?uuid=c5e4278d-b801-4f9d-8e78-f62d5f3bef2e"]},{"id":"ITEM-2","itemData":{"DOI":"10.1177/0047287520919515","ISSN":"0047-2875","abstract":"Communications can be integral in persuading funders to invest in visitor economy crowdfunding. Despite the important role of diverse communications on consumer persuasion, research on the effectiveness of persuasive communications related to crowdfunding ventures has been limited. To bridge the gap, this study aims to verify an elaboration likelihood model to better understand the role of dual-route persuasive communications. Seven hypotheses related to argument quality, source credibility, benefit of crowdfunding, attachment to fundraiser and platform, and continued crowdfunding were examined, using herding behavior as a moderator. The findings revealed that argument quality had a substantial impact on benefit. Further, source credibility was found to have positive impacts on benefit and attachment; benefit had a significant effect on attachment and continued crowdfunding, and attachment had the strongest influence on continued crowdfunding. Additionally, herding behavior was found to moderate five of the six hypotheses.","author":[{"dropping-particle":"","family":"Kim","given":"Myung Ja","non-dropping-particle":"","parse-names":false,"suffix":""},{"dropping-particle":"","family":"Petrick","given":"James F.","non-dropping-particle":"","parse-names":false,"suffix":""}],"container-title":"Journal of Travel Research","id":"ITEM-2","issue":"5","issued":{"date-parts":[["2021","5","21"]]},"page":"947-964","title":"The Effect of Herding Behaviors on Dual-Route Processing of Communications Aimed at Tourism Crowdfunding Ventures","type":"article-journal","volume":"60"},"uris":["http://www.mendeley.com/documents/?uuid=e0237168-975a-4fc6-affa-70a5e0b24160"]}],"mendeley":{"formattedCitation":"(Disney &amp; Gathergood, 2013; Kim &amp; Petrick, 2021)","manualFormatting":"(Disney &amp; Gathergood, 2013; and Kim &amp; Petrick, 2021)","plainTextFormattedCitation":"(Disney &amp; Gathergood, 2013; Kim &amp; Petrick, 2021)","previouslyFormattedCitation":"(Disney &amp; Gathergood, 2013; Kim &amp; Petrick, 2021)"},"properties":{"noteIndex":0},"schema":"https://github.com/citation-style-language/schema/raw/master/csl-citation.json"}</w:instrText>
      </w:r>
      <w:r w:rsidRPr="00D05EC2">
        <w:rPr>
          <w:rFonts w:ascii="Times New Roman" w:hAnsi="Times New Roman" w:cs="Times New Roman"/>
        </w:rPr>
        <w:fldChar w:fldCharType="separate"/>
      </w:r>
      <w:bookmarkStart w:id="54" w:name="Bookmark39"/>
      <w:r w:rsidRPr="00D05EC2">
        <w:rPr>
          <w:rFonts w:ascii="Times New Roman" w:hAnsi="Times New Roman" w:cs="Times New Roman"/>
          <w:noProof/>
        </w:rPr>
        <w:t>(</w:t>
      </w:r>
      <w:bookmarkStart w:id="55" w:name="Bookmark361"/>
      <w:r w:rsidRPr="00D05EC2">
        <w:rPr>
          <w:rFonts w:ascii="Times New Roman" w:hAnsi="Times New Roman" w:cs="Times New Roman"/>
          <w:noProof/>
        </w:rPr>
        <w:t>Disney &amp; Gathergood, 2013; and Kim &amp; Petrick, 2021)</w:t>
      </w:r>
      <w:r w:rsidRPr="00D05EC2">
        <w:rPr>
          <w:rFonts w:ascii="Times New Roman" w:hAnsi="Times New Roman" w:cs="Times New Roman"/>
        </w:rPr>
        <w:fldChar w:fldCharType="end"/>
      </w:r>
      <w:bookmarkEnd w:id="54"/>
      <w:bookmarkEnd w:id="55"/>
      <w:r w:rsidRPr="00D05EC2">
        <w:rPr>
          <w:rFonts w:ascii="Times New Roman" w:hAnsi="Times New Roman" w:cs="Times New Roman"/>
        </w:rPr>
        <w:t xml:space="preserve">. Previous research conducted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{"citationItems":[{"id":"ITEM-1","itemData":{"DOI":"10.3390/ijfs10030066","ISSN":"2227-7072","abstract":"This research examined the gist of financial literacy on the medium entrepreneurs in Indonesia, impacting the retirement planning through some mediator and moderating variables. Implementing the prospect theory and theory of planned behavior to explore these interactions, a series of hypotheses were constructed, considering financial risk tolerance and saving behavior as mediator variables and herding behavior as moderator variables. The study examined partial least square-structural equation modelling (PLS-SEM) obtained by sampling data from 388 entrepreneurs of medium-scale in the Bekasi Regency, Indonesia. The study revealed (a) how financial literacy on retirement planning is serial mediated by financial risk tolerance and saving behavior, (b) herding behavior can strengthen financial literacy’s influence on retirement planning, and (c) saving behavior as a mediator does not influence the relationship between financial literacy and retirement planning. The study confirms how financial risk tolerance and herding behavior bridge a positive relationship between financial literacy and retirement planning.","author":[{"dropping-particle":"","family":"Harahap","given":"Subur","non-dropping-particle":"","parse-names":false,"suffix":""},{"dropping-particle":"","family":"Thoyib","given":"Armanu","non-dropping-particle":"","parse-names":false,"suffix":""},{"dropping-particle":"","family":"Sumiati","given":"Sumiati","non-dropping-particle":"","parse-names":false,"suffix":""},{"dropping-particle":"","family":"Djazuli","given":"Atim","non-dropping-particle":"","parse-names":false,"suffix":""}],"container-title":"International Journal of Financial Studies","id":"ITEM-1","issue":"3","issued":{"date-parts":[["2022","8","9"]]},"page":"66","title":"The Impact of Financial Literacy on Retirement Planning with Serial Mediation of Financial Risk Tolerance and Saving Behavior: Evidence of Medium Entrepreneurs in Indonesia","type":"article-journal","volume":"10"},"uris":["http://www.mendeley.com/documents/?uuid=4e83eb41-a281-4528-8b4f-b5b5cc6e69fe"]}],"mendeley":{"formattedCitation":"(Harahap et al., 2022)","manualFormatting":"Harahap et al. (2022)","plainTextFormattedCitation":"(Harahap et al., 2022)","previouslyFormattedCitation":"(Harahap et al., 2022)"},"properties":{"noteIndex":0},"schema":"https://github.com/citation-style-language/schema/raw/master/csl-citation.json"}</w:instrText>
      </w:r>
      <w:r w:rsidRPr="00D05EC2">
        <w:rPr>
          <w:rFonts w:ascii="Times New Roman" w:hAnsi="Times New Roman" w:cs="Times New Roman"/>
        </w:rPr>
        <w:fldChar w:fldCharType="separate"/>
      </w:r>
      <w:bookmarkStart w:id="56" w:name="Bookmark40"/>
      <w:r w:rsidRPr="00D05EC2">
        <w:rPr>
          <w:rFonts w:ascii="Times New Roman" w:hAnsi="Times New Roman" w:cs="Times New Roman"/>
          <w:noProof/>
        </w:rPr>
        <w:t>H</w:t>
      </w:r>
      <w:bookmarkStart w:id="57" w:name="Bookmark371"/>
      <w:r w:rsidRPr="00D05EC2">
        <w:rPr>
          <w:rFonts w:ascii="Times New Roman" w:hAnsi="Times New Roman" w:cs="Times New Roman"/>
          <w:noProof/>
        </w:rPr>
        <w:t>arahap et al. (2022)</w:t>
      </w:r>
      <w:r w:rsidRPr="00D05EC2">
        <w:rPr>
          <w:rFonts w:ascii="Times New Roman" w:hAnsi="Times New Roman" w:cs="Times New Roman"/>
        </w:rPr>
        <w:fldChar w:fldCharType="end"/>
      </w:r>
      <w:bookmarkEnd w:id="56"/>
      <w:bookmarkEnd w:id="57"/>
      <w:r w:rsidR="004A5E0E" w:rsidRPr="00D05EC2">
        <w:rPr>
          <w:rFonts w:ascii="Times New Roman" w:hAnsi="Times New Roman" w:cs="Times New Roman"/>
        </w:rPr>
        <w:t xml:space="preserve"> </w:t>
      </w:r>
      <w:r w:rsidRPr="00D05EC2">
        <w:rPr>
          <w:rFonts w:ascii="Times New Roman" w:hAnsi="Times New Roman" w:cs="Times New Roman"/>
        </w:rPr>
        <w:t xml:space="preserve">on medium-sized entrepreneurs, it is known that herding behavior can strengthen FL and have a significant impact on RP in Indonesia, where the determination of investment fund allocation for their old age is driven by fellow entrepreneurs or business partners. The update in this study will be conducted on private employees in retail companies in the age group above 40 to 55 years at the manager level and below in the </w:t>
      </w:r>
      <w:proofErr w:type="spellStart"/>
      <w:r w:rsidRPr="00D05EC2">
        <w:rPr>
          <w:rFonts w:ascii="Times New Roman" w:hAnsi="Times New Roman" w:cs="Times New Roman"/>
        </w:rPr>
        <w:t>Jabodetabek</w:t>
      </w:r>
      <w:proofErr w:type="spellEnd"/>
      <w:r w:rsidRPr="00D05EC2">
        <w:rPr>
          <w:rFonts w:ascii="Times New Roman" w:hAnsi="Times New Roman" w:cs="Times New Roman"/>
        </w:rPr>
        <w:t xml:space="preserve"> area and other regions of Indonesia. The group approaching retirement at least 10 years in the future is an important period for managing their retirement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{"citationItems":[{"id":"ITEM-1","itemData":{"DOI":"10.1108/IJSSP-09-2019-0193","ISSN":"0144-333X","abstract":"Purpose: Despite the inclusion of financial literacy in retirement studies, there are limited studies that look into retirement concerns and how financial literacy plays a role in managing retirement concerns. Understanding retirement concerns prior to retirement is important given how it affects retirement satisfaction. Therefore, this paper aims at assessing the retirement concerns in Brunei and the role of financial literacy in managing those concerns. Design/methodology/approach: 700 government employees, divided into three groups, were interviewed: Defined Contribution Plan (DCP) employees retiring in the next 10–15 years, DCP employees retiring in 20–30 years' time and Defined Benefit Plan (DBP) employees retiring in the next 10 years. Pearson's chi-square tests and logistic regressions were used to ascertain significant relationships. Findings: The results indicate the relatively younger DCP group is more likely to be financially literate compared to senior groups however, these respondents are more inclined to focus on private home ownership at this juncture. The findings also indicate the importance of knowing how much to save for retirement towards determining those with an additional retirement plan, and consequently reducing their retirement concerns. The value of financial advice is also significant in determining the amount to save for retirement and in possessing an additional retirement plan. Research limitations/implications: Results cannot be generalised to the population, as purposive sampling was utilised due to the absence of a population frame. Practical implications: The implications of the paper may provide value to policymakers to consider approaches to enhance the quality of financial advice and provide sound knowledge in computing the amount needed for retirement. Understanding the role of financial literacy vis-à-vis retirement concerns may also be useful for neighbouring countries with similar socio-cultural aspects such as Malaysia. Originality/value: Given the limited research on retirement concerns and financial literacy, this paper is one of the few to emphasise on the importance of knowing how much is needed to save for retirement, in relation to retirement concerns. This may also be useful in other countries/communities with similar retirement context such as those with relatively low retirement planning or with similar retirement schemes. Further, with the 1993 pension reform, there is no known publication on retireme…","author":[{"dropping-particle":"","family":"Pg Hj Md Salleh","given":"Pg Md Hasnol Alwee","non-dropping-particle":"","parse-names":false,"suffix":""},{"dropping-particle":"","family":"Baha","given":"Roslee","non-dropping-particle":"","parse-names":false,"suffix":""}],"container-title":"International Journal of Sociology and Social Policy","id":"ITEM-1","issue":"3/4","issued":{"date-parts":[["2020","4","9"]]},"page":"342-365","title":"Retirement concerns and financial literacy in Brunei","type":"article-journal","volume":"40"},"uris":["http://www.mendeley.com/documents/?uuid=132d314e-884a-4ce4-b04f-311e268781d8"]}],"mendeley":{"formattedCitation":"(Pg Hj Md Salleh &amp; Baha, 2020)","manualFormatting":"(Salleh &amp; Baha, 2020)","plainTextFormattedCitation":"(Pg Hj Md Salleh &amp; Baha, 2020)","previouslyFormattedCitation":"(Pg Hj Md Salleh &amp; Baha, 2020)"},"properties":{"noteIndex":0},"schema":"https://github.com/citation-style-language/schema/raw/master/csl-citation.json"}</w:instrText>
      </w:r>
      <w:r w:rsidRPr="00D05EC2">
        <w:rPr>
          <w:rFonts w:ascii="Times New Roman" w:hAnsi="Times New Roman" w:cs="Times New Roman"/>
        </w:rPr>
        <w:fldChar w:fldCharType="separate"/>
      </w:r>
      <w:bookmarkStart w:id="58" w:name="Bookmark41"/>
      <w:r w:rsidRPr="00D05EC2">
        <w:rPr>
          <w:rFonts w:ascii="Times New Roman" w:hAnsi="Times New Roman" w:cs="Times New Roman"/>
          <w:noProof/>
          <w:lang w:val="en-ID"/>
        </w:rPr>
        <w:t>(</w:t>
      </w:r>
      <w:bookmarkStart w:id="59" w:name="Bookmark381"/>
      <w:r w:rsidRPr="00D05EC2">
        <w:rPr>
          <w:rFonts w:ascii="Times New Roman" w:hAnsi="Times New Roman" w:cs="Times New Roman"/>
          <w:noProof/>
          <w:lang w:val="en-ID"/>
        </w:rPr>
        <w:t>Salleh &amp; Baha, 2020)</w:t>
      </w:r>
      <w:r w:rsidRPr="00D05EC2">
        <w:rPr>
          <w:rFonts w:ascii="Times New Roman" w:hAnsi="Times New Roman" w:cs="Times New Roman"/>
        </w:rPr>
        <w:fldChar w:fldCharType="end"/>
      </w:r>
      <w:bookmarkEnd w:id="58"/>
      <w:bookmarkEnd w:id="59"/>
      <w:r w:rsidRPr="00D05EC2">
        <w:rPr>
          <w:rFonts w:ascii="Times New Roman" w:hAnsi="Times New Roman" w:cs="Times New Roman"/>
          <w:lang w:val="en-ID"/>
        </w:rPr>
        <w:t>.</w:t>
      </w:r>
    </w:p>
    <w:p w14:paraId="6A13090A" w14:textId="51A8517C" w:rsidR="00D97723" w:rsidRPr="00D05EC2" w:rsidRDefault="00456E38" w:rsidP="00666DCF">
      <w:pPr>
        <w:spacing w:line="276" w:lineRule="auto"/>
        <w:ind w:firstLine="560"/>
        <w:jc w:val="both"/>
        <w:rPr>
          <w:rFonts w:ascii="Times New Roman" w:hAnsi="Times New Roman" w:cs="Times New Roman"/>
        </w:rPr>
      </w:pPr>
      <w:r w:rsidRPr="00D05EC2">
        <w:rPr>
          <w:rStyle w:val="ts-alignment-element"/>
          <w:rFonts w:ascii="Times New Roman" w:hAnsi="Times New Roman" w:cs="Times New Roman"/>
        </w:rPr>
        <w:t xml:space="preserve">This research aims is to fill the gap of research through the explanation of the influence of following others on FL in relation to RP.  </w:t>
      </w:r>
      <w:r w:rsidRPr="00D05EC2">
        <w:rPr>
          <w:rFonts w:ascii="Times New Roman" w:hAnsi="Times New Roman" w:cs="Times New Roman"/>
        </w:rPr>
        <w:t xml:space="preserve">It is hoped that the results that will be obtained at the end of this study will provide implications for better retirement preparation with a more prosperous quality of life even though they retire earlier. According to data from the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{"citationItems":[{"id":"ITEM-1","itemData":{"URL":"https://bps.go.id","author":[{"dropping-particle":"","family":"Badan Pusat Statistik","given":"","non-dropping-particle":"","parse-names":false,"suffix":""}],"container-title":"Badan Pusat Statistik","id":"ITEM-1","issued":{"date-parts":[["2024"]]},"title":"Badan Pusat Statistik","type":"webpage"},"uris":["http://www.mendeley.com/documents/?uuid=943a7f29-7950-41cd-b799-0fa0bdea26de"]}],"mendeley":{"formattedCitation":"(Badan Pusat Statistik, 2024)","manualFormatting":"Badan Pusat Statistik (2024)","plainTextFormattedCitation":"(Badan Pusat Statistik, 2024)","previouslyFormattedCitation":"(Badan Pusat Statistik, 2024)"},"properties":{"noteIndex":0},"schema":"https://github.com/citation-style-language/schema/raw/master/csl-citation.json"}</w:instrText>
      </w:r>
      <w:r w:rsidRPr="00D05EC2">
        <w:rPr>
          <w:rFonts w:ascii="Times New Roman" w:hAnsi="Times New Roman" w:cs="Times New Roman"/>
        </w:rPr>
        <w:fldChar w:fldCharType="separate"/>
      </w:r>
      <w:bookmarkStart w:id="60" w:name="Bookmark42"/>
      <w:r w:rsidRPr="00D05EC2">
        <w:rPr>
          <w:rFonts w:ascii="Times New Roman" w:hAnsi="Times New Roman" w:cs="Times New Roman"/>
          <w:noProof/>
          <w:lang w:val="en-ID"/>
        </w:rPr>
        <w:t>B</w:t>
      </w:r>
      <w:bookmarkStart w:id="61" w:name="Bookmark391"/>
      <w:r w:rsidRPr="00D05EC2">
        <w:rPr>
          <w:rFonts w:ascii="Times New Roman" w:hAnsi="Times New Roman" w:cs="Times New Roman"/>
          <w:noProof/>
          <w:lang w:val="en-ID"/>
        </w:rPr>
        <w:t>adan Pusat Statistik (2024)</w:t>
      </w:r>
      <w:r w:rsidRPr="00D05EC2">
        <w:rPr>
          <w:rFonts w:ascii="Times New Roman" w:hAnsi="Times New Roman" w:cs="Times New Roman"/>
        </w:rPr>
        <w:fldChar w:fldCharType="end"/>
      </w:r>
      <w:bookmarkEnd w:id="60"/>
      <w:bookmarkEnd w:id="61"/>
      <w:r w:rsidRPr="00D05EC2">
        <w:rPr>
          <w:rFonts w:ascii="Times New Roman" w:hAnsi="Times New Roman" w:cs="Times New Roman"/>
          <w:lang w:val="en-ID"/>
        </w:rPr>
        <w:t>,</w:t>
      </w:r>
      <w:r w:rsidR="004A5E0E" w:rsidRPr="00D05EC2">
        <w:rPr>
          <w:rFonts w:ascii="Times New Roman" w:hAnsi="Times New Roman" w:cs="Times New Roman"/>
          <w:lang w:val="en-ID"/>
        </w:rPr>
        <w:t xml:space="preserve"> </w:t>
      </w:r>
      <w:r w:rsidRPr="00D05EC2">
        <w:rPr>
          <w:rFonts w:ascii="Times New Roman" w:hAnsi="Times New Roman" w:cs="Times New Roman"/>
        </w:rPr>
        <w:t>it is known that the life expectancy of the Indonesian population in 2023 is 74 years for women and  7</w:t>
      </w:r>
      <w:r w:rsidR="004A5E0E" w:rsidRPr="00D05EC2">
        <w:rPr>
          <w:rFonts w:ascii="Times New Roman" w:hAnsi="Times New Roman" w:cs="Times New Roman"/>
        </w:rPr>
        <w:t>1</w:t>
      </w:r>
      <w:r w:rsidRPr="00D05EC2">
        <w:rPr>
          <w:rFonts w:ascii="Times New Roman" w:hAnsi="Times New Roman" w:cs="Times New Roman"/>
        </w:rPr>
        <w:t xml:space="preserve"> years for men. Therefore, this is considered important because private companies do not provide pension guarantees to support the survival of their employees until the end of their live.</w:t>
      </w:r>
    </w:p>
    <w:p w14:paraId="774EB878" w14:textId="77777777" w:rsidR="00D97723" w:rsidRPr="00D05EC2" w:rsidRDefault="00D97723">
      <w:pPr>
        <w:spacing w:line="276" w:lineRule="auto"/>
        <w:ind w:firstLine="560"/>
        <w:jc w:val="both"/>
        <w:rPr>
          <w:rFonts w:ascii="Times New Roman" w:hAnsi="Times New Roman" w:cs="Times New Roman"/>
          <w:sz w:val="24"/>
          <w:szCs w:val="24"/>
        </w:rPr>
      </w:pPr>
    </w:p>
    <w:p w14:paraId="2207CCC1" w14:textId="77777777" w:rsidR="00D97723" w:rsidRPr="00D05EC2" w:rsidRDefault="00D97723">
      <w:pPr>
        <w:spacing w:line="276" w:lineRule="auto"/>
        <w:ind w:firstLine="560"/>
        <w:jc w:val="both"/>
        <w:rPr>
          <w:rFonts w:ascii="Times New Roman" w:hAnsi="Times New Roman" w:cs="Times New Roman"/>
          <w:sz w:val="24"/>
          <w:szCs w:val="24"/>
        </w:rPr>
      </w:pPr>
    </w:p>
    <w:p w14:paraId="2046D704" w14:textId="77777777" w:rsidR="00D97723" w:rsidRPr="00D05EC2" w:rsidRDefault="00456E38">
      <w:pPr>
        <w:pStyle w:val="Heading1"/>
        <w:numPr>
          <w:ilvl w:val="0"/>
          <w:numId w:val="1"/>
        </w:numPr>
        <w:tabs>
          <w:tab w:val="left" w:pos="620"/>
        </w:tabs>
        <w:spacing w:line="276" w:lineRule="auto"/>
        <w:ind w:left="560"/>
        <w:rPr>
          <w:rFonts w:ascii="Times New Roman" w:hAnsi="Times New Roman" w:cs="Times New Roman"/>
        </w:rPr>
      </w:pPr>
      <w:r w:rsidRPr="00D05EC2">
        <w:rPr>
          <w:rFonts w:ascii="Times New Roman" w:hAnsi="Times New Roman" w:cs="Times New Roman"/>
          <w:color w:val="231F20"/>
          <w:spacing w:val="-2"/>
        </w:rPr>
        <w:t>Theoretical</w:t>
      </w:r>
      <w:r w:rsidRPr="00D05EC2">
        <w:rPr>
          <w:rFonts w:ascii="Times New Roman" w:hAnsi="Times New Roman" w:cs="Times New Roman"/>
          <w:color w:val="231F20"/>
          <w:spacing w:val="-4"/>
        </w:rPr>
        <w:t xml:space="preserve"> </w:t>
      </w:r>
      <w:r w:rsidRPr="00D05EC2">
        <w:rPr>
          <w:rFonts w:ascii="Times New Roman" w:hAnsi="Times New Roman" w:cs="Times New Roman"/>
          <w:color w:val="231F20"/>
          <w:spacing w:val="-2"/>
        </w:rPr>
        <w:t>Literature</w:t>
      </w:r>
    </w:p>
    <w:p w14:paraId="58B37231" w14:textId="13EF0E84" w:rsidR="00D97723" w:rsidRPr="00D05EC2" w:rsidRDefault="00456E38" w:rsidP="00666DCF">
      <w:pPr>
        <w:pStyle w:val="Heading2"/>
        <w:tabs>
          <w:tab w:val="left" w:pos="620"/>
        </w:tabs>
        <w:spacing w:before="93" w:line="276" w:lineRule="auto"/>
        <w:ind w:left="60" w:firstLine="0"/>
        <w:jc w:val="both"/>
        <w:rPr>
          <w:rFonts w:ascii="Times New Roman" w:hAnsi="Times New Roman" w:cs="Times New Roman"/>
          <w:b w:val="0"/>
          <w:bCs w:val="0"/>
          <w:i w:val="0"/>
          <w:iCs w:val="0"/>
        </w:rPr>
      </w:pPr>
      <w:r w:rsidRPr="00D05EC2">
        <w:rPr>
          <w:rFonts w:ascii="Times New Roman" w:hAnsi="Times New Roman" w:cs="Times New Roman"/>
          <w:b w:val="0"/>
          <w:bCs w:val="0"/>
          <w:i w:val="0"/>
          <w:iCs w:val="0"/>
          <w:sz w:val="24"/>
          <w:szCs w:val="24"/>
        </w:rPr>
        <w:tab/>
      </w:r>
      <w:r w:rsidRPr="00D05EC2">
        <w:rPr>
          <w:rFonts w:ascii="Times New Roman" w:hAnsi="Times New Roman" w:cs="Times New Roman"/>
          <w:b w:val="0"/>
          <w:bCs w:val="0"/>
          <w:i w:val="0"/>
          <w:iCs w:val="0"/>
        </w:rPr>
        <w:t xml:space="preserve">The Grand Theory </w:t>
      </w:r>
      <w:r w:rsidR="00413760">
        <w:rPr>
          <w:rFonts w:ascii="Times New Roman" w:hAnsi="Times New Roman" w:cs="Times New Roman"/>
          <w:b w:val="0"/>
          <w:bCs w:val="0"/>
          <w:i w:val="0"/>
          <w:iCs w:val="0"/>
        </w:rPr>
        <w:t xml:space="preserve">of </w:t>
      </w:r>
      <w:r w:rsidRPr="00D05EC2">
        <w:rPr>
          <w:rFonts w:ascii="Times New Roman" w:hAnsi="Times New Roman" w:cs="Times New Roman"/>
          <w:b w:val="0"/>
          <w:bCs w:val="0"/>
          <w:i w:val="0"/>
          <w:iCs w:val="0"/>
        </w:rPr>
        <w:t>Financial Behavior was used by the author for research on FL</w:t>
      </w:r>
      <w:r w:rsidR="00D100BA" w:rsidRPr="00D05EC2">
        <w:rPr>
          <w:rFonts w:ascii="Times New Roman" w:hAnsi="Times New Roman" w:cs="Times New Roman"/>
          <w:b w:val="0"/>
          <w:bCs w:val="0"/>
          <w:i w:val="0"/>
          <w:iCs w:val="0"/>
        </w:rPr>
        <w:t xml:space="preserve"> </w:t>
      </w:r>
      <w:r w:rsidRPr="00D05EC2">
        <w:rPr>
          <w:rFonts w:ascii="Times New Roman" w:hAnsi="Times New Roman" w:cs="Times New Roman"/>
          <w:b w:val="0"/>
          <w:bCs w:val="0"/>
          <w:i w:val="0"/>
          <w:iCs w:val="0"/>
        </w:rPr>
        <w:t>related to saving intentions and behaviors as well as financial management for retirement preparation.</w:t>
      </w:r>
    </w:p>
    <w:p w14:paraId="7730B569" w14:textId="44AF2025" w:rsidR="00D97723" w:rsidRPr="00D6136B" w:rsidRDefault="00456E38">
      <w:pPr>
        <w:pStyle w:val="Heading2"/>
        <w:numPr>
          <w:ilvl w:val="1"/>
          <w:numId w:val="1"/>
        </w:numPr>
        <w:tabs>
          <w:tab w:val="left" w:pos="620"/>
        </w:tabs>
        <w:spacing w:before="93" w:line="276" w:lineRule="auto"/>
        <w:ind w:left="993" w:hanging="851"/>
        <w:rPr>
          <w:rFonts w:ascii="Times New Roman" w:hAnsi="Times New Roman" w:cs="Times New Roman"/>
          <w:sz w:val="24"/>
          <w:szCs w:val="24"/>
        </w:rPr>
      </w:pPr>
      <w:r w:rsidRPr="00D6136B">
        <w:rPr>
          <w:rFonts w:ascii="Times New Roman" w:hAnsi="Times New Roman" w:cs="Times New Roman"/>
          <w:sz w:val="24"/>
          <w:szCs w:val="24"/>
        </w:rPr>
        <w:t>Financial Literacy (FL)</w:t>
      </w:r>
      <w:r w:rsidR="000F755A">
        <w:rPr>
          <w:rFonts w:ascii="Times New Roman" w:hAnsi="Times New Roman" w:cs="Times New Roman"/>
          <w:sz w:val="24"/>
          <w:szCs w:val="24"/>
        </w:rPr>
        <w:t xml:space="preserve"> </w:t>
      </w:r>
      <w:r w:rsidRPr="00D6136B">
        <w:rPr>
          <w:rFonts w:ascii="Times New Roman" w:hAnsi="Times New Roman" w:cs="Times New Roman"/>
          <w:sz w:val="24"/>
          <w:szCs w:val="24"/>
        </w:rPr>
        <w:t>- X1</w:t>
      </w:r>
    </w:p>
    <w:p w14:paraId="22AC87C4" w14:textId="1CBD6B3F" w:rsidR="00D97723" w:rsidRPr="00D05EC2" w:rsidRDefault="00456E38">
      <w:pPr>
        <w:pStyle w:val="Heading2"/>
        <w:tabs>
          <w:tab w:val="left" w:pos="620"/>
        </w:tabs>
        <w:spacing w:before="93" w:line="276" w:lineRule="auto"/>
        <w:ind w:left="60" w:firstLine="0"/>
        <w:jc w:val="both"/>
        <w:rPr>
          <w:rFonts w:ascii="Times New Roman" w:hAnsi="Times New Roman" w:cs="Times New Roman"/>
          <w:strike/>
        </w:rPr>
      </w:pPr>
      <w:r w:rsidRPr="00D05EC2">
        <w:rPr>
          <w:rFonts w:ascii="Times New Roman" w:hAnsi="Times New Roman" w:cs="Times New Roman"/>
          <w:b w:val="0"/>
          <w:bCs w:val="0"/>
          <w:i w:val="0"/>
          <w:iCs w:val="0"/>
          <w:sz w:val="24"/>
          <w:szCs w:val="24"/>
        </w:rPr>
        <w:tab/>
      </w:r>
      <w:r w:rsidRPr="00D05EC2">
        <w:rPr>
          <w:rFonts w:ascii="Times New Roman" w:hAnsi="Times New Roman" w:cs="Times New Roman"/>
          <w:b w:val="0"/>
          <w:bCs w:val="0"/>
          <w:i w:val="0"/>
          <w:iCs w:val="0"/>
          <w:sz w:val="24"/>
          <w:szCs w:val="24"/>
        </w:rPr>
        <w:tab/>
      </w:r>
      <w:r w:rsidRPr="00D05EC2">
        <w:rPr>
          <w:rFonts w:ascii="Times New Roman" w:hAnsi="Times New Roman" w:cs="Times New Roman"/>
          <w:b w:val="0"/>
          <w:bCs w:val="0"/>
          <w:i w:val="0"/>
          <w:iCs w:val="0"/>
        </w:rPr>
        <w:t xml:space="preserve">FL or here after referred to as finance is </w:t>
      </w:r>
      <w:r w:rsidR="0012328B" w:rsidRPr="00D05EC2">
        <w:rPr>
          <w:rFonts w:ascii="Times New Roman" w:hAnsi="Times New Roman" w:cs="Times New Roman"/>
          <w:b w:val="0"/>
          <w:bCs w:val="0"/>
          <w:i w:val="0"/>
          <w:iCs w:val="0"/>
        </w:rPr>
        <w:t xml:space="preserve">the expertise </w:t>
      </w:r>
      <w:r w:rsidRPr="00D05EC2">
        <w:rPr>
          <w:rFonts w:ascii="Times New Roman" w:hAnsi="Times New Roman" w:cs="Times New Roman"/>
          <w:b w:val="0"/>
          <w:bCs w:val="0"/>
          <w:i w:val="0"/>
          <w:iCs w:val="0"/>
        </w:rPr>
        <w:t xml:space="preserve">and </w:t>
      </w:r>
      <w:r w:rsidR="0012328B" w:rsidRPr="00D05EC2">
        <w:rPr>
          <w:rFonts w:ascii="Times New Roman" w:hAnsi="Times New Roman" w:cs="Times New Roman"/>
          <w:b w:val="0"/>
          <w:bCs w:val="0"/>
          <w:i w:val="0"/>
          <w:iCs w:val="0"/>
        </w:rPr>
        <w:t xml:space="preserve">a person’s </w:t>
      </w:r>
      <w:r w:rsidRPr="00D05EC2">
        <w:rPr>
          <w:rFonts w:ascii="Times New Roman" w:hAnsi="Times New Roman" w:cs="Times New Roman"/>
          <w:b w:val="0"/>
          <w:bCs w:val="0"/>
          <w:i w:val="0"/>
          <w:iCs w:val="0"/>
        </w:rPr>
        <w:t xml:space="preserve">knowledge in managing their financial resources to be used effectively and efficiently in order to live a prosperous life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{"citationItems":[{"id":"ITEM-1","itemData":{"abstract":"The present paper introduces a new dataset, the Rand American Life Panel (ALP), which offers several appealing features for an analysis of financial literacy and retirement planning. It allows us to evaluate financial knowledge during workers’ prime earning years when they are making key financial decisions, and it offers detailed financial literacy and retirement planning questions, permitting a finer assessment of respondents’ financial literacy than heretofore feasible. We can also compare respondents’ self- assessed financial knowledge levels with objective measures of financial literacy, and most valuably, we can investigate prior financial training which permits us to identify key causal links. By every measure, and in every sample we examine, financial literacy proves to be a key determinant of retirement planning. We also find that respondent literacy is higher when they were exposed to economics in school and to company-based financial education programs. Authors’","author":[{"dropping-particle":"","family":"Lusardi","given":"Annamaria","non-dropping-particle":"","parse-names":false,"suffix":""},{"dropping-particle":"","family":"Mitchell","given":"Olivia S","non-dropping-particle":"","parse-names":false,"suffix":""}],"id":"ITEM-1","issued":{"date-parts":[["2007"]]},"title":"Financial Literacy and Retirement Planning: New Evidence from the Rand American Life Panel","type":"article-journal"},"uris":["http://www.mendeley.com/documents/?uuid=5bfada0c-5fd9-4345-a01d-cd1dfe13cac1"]}],"mendeley":{"formattedCitation":"(Lusardi &amp; Mitchell, 2007)","plainTextFormattedCitation":"(Lusardi &amp; Mitchell, 2007)","previouslyFormattedCitation":"(Lusardi &amp; Mitchell, 2007)"},"properties":{"noteIndex":0},"schema":"https://github.com/citation-style-language/schema/raw/master/csl-citation.json"}</w:instrText>
      </w:r>
      <w:r w:rsidRPr="00D05EC2">
        <w:rPr>
          <w:rFonts w:ascii="Times New Roman" w:hAnsi="Times New Roman" w:cs="Times New Roman"/>
        </w:rPr>
        <w:fldChar w:fldCharType="separate"/>
      </w:r>
      <w:bookmarkStart w:id="62" w:name="Bookmark43"/>
      <w:r w:rsidRPr="00D05EC2">
        <w:rPr>
          <w:rFonts w:ascii="Times New Roman" w:hAnsi="Times New Roman" w:cs="Times New Roman"/>
          <w:b w:val="0"/>
          <w:bCs w:val="0"/>
          <w:i w:val="0"/>
          <w:iCs w:val="0"/>
          <w:noProof/>
          <w:lang w:val="en-ID"/>
        </w:rPr>
        <w:t>(</w:t>
      </w:r>
      <w:bookmarkStart w:id="63" w:name="Bookmark401"/>
      <w:r w:rsidRPr="00D05EC2">
        <w:rPr>
          <w:rFonts w:ascii="Times New Roman" w:hAnsi="Times New Roman" w:cs="Times New Roman"/>
          <w:b w:val="0"/>
          <w:bCs w:val="0"/>
          <w:i w:val="0"/>
          <w:iCs w:val="0"/>
          <w:noProof/>
          <w:lang w:val="en-ID"/>
        </w:rPr>
        <w:t>Lusardi &amp; Mitchell, 2007)</w:t>
      </w:r>
      <w:r w:rsidRPr="00D05EC2">
        <w:rPr>
          <w:rFonts w:ascii="Times New Roman" w:hAnsi="Times New Roman" w:cs="Times New Roman"/>
        </w:rPr>
        <w:fldChar w:fldCharType="end"/>
      </w:r>
      <w:bookmarkEnd w:id="62"/>
      <w:bookmarkEnd w:id="63"/>
      <w:r w:rsidRPr="00D05EC2">
        <w:rPr>
          <w:rFonts w:ascii="Times New Roman" w:hAnsi="Times New Roman" w:cs="Times New Roman"/>
          <w:b w:val="0"/>
          <w:bCs w:val="0"/>
          <w:i w:val="0"/>
          <w:iCs w:val="0"/>
          <w:lang w:val="en-ID"/>
        </w:rPr>
        <w:t>. According</w:t>
      </w:r>
      <w:r w:rsidR="00413760">
        <w:rPr>
          <w:rFonts w:ascii="Times New Roman" w:hAnsi="Times New Roman" w:cs="Times New Roman"/>
          <w:b w:val="0"/>
          <w:bCs w:val="0"/>
          <w:i w:val="0"/>
          <w:iCs w:val="0"/>
          <w:lang w:val="en-ID"/>
        </w:rPr>
        <w:t xml:space="preserve"> to</w:t>
      </w:r>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rPr>
        <w:fldChar w:fldCharType="begin" w:fldLock="1"/>
      </w:r>
      <w:r w:rsidR="00D05EC2">
        <w:rPr>
          <w:rFonts w:ascii="Times New Roman" w:hAnsi="Times New Roman" w:cs="Times New Roman"/>
        </w:rPr>
        <w:instrText>ADDIN CSL_CITATION {"citationItems":[{"id":"ITEM-1","itemData":{"DOI":"10.1111/j.1745-6606.2010.01169.x","ISSN":"0022-0078","abstract":"This study explicates the concept of financial literacy, which has blossomed in use this century. Scholars, policy officials, financial experts and consumer advocates have used the phrase loosely to describe the knowledge, skills, confidence and motivation necessary to effectively manage money. As a result, financial literacy has varying conceptual definitions in existing research, as well as diverse operational definitions and values. This study dissects the differing financial literacy definitions and measures, urging researchers toward common ground. A clearer definition should improve future research, in turn helping consumers better understand and adapt to changing life events and an increasingly complex economy.","author":[{"dropping-particle":"","family":"Remund","given":"David L.","non-dropping-particle":"","parse-names":false,"suffix":""}],"container-title":"Journal of Consumer Affairs","id":"ITEM-1","issue":"2","issued":{"date-parts":[["2010","6"]]},"page":"276-295","title":"Financial Literacy Explicated: The Case for a Clearer Definition in an Increasingly Complex Economy","type":"article-journal","volume":"44"},"uris":["http://www.mendeley.com/documents/?uuid=1323d561-de23-4634-a7c5-4703c2c0b2e9"]}],"mendeley":{"formattedCitation":"(Remund, 2010)","manualFormatting":"Remund (2010","plainTextFormattedCitation":"(Remund, 2010)","previouslyFormattedCitation":"(Remund, 2010)"},"properties":{"noteIndex":0},"schema":"https://github.com/citation-style-language/schema/raw/master/csl-citation.json"}</w:instrText>
      </w:r>
      <w:r w:rsidRPr="00D05EC2">
        <w:rPr>
          <w:rFonts w:ascii="Times New Roman" w:hAnsi="Times New Roman" w:cs="Times New Roman"/>
        </w:rPr>
        <w:fldChar w:fldCharType="separate"/>
      </w:r>
      <w:bookmarkStart w:id="64" w:name="Bookmark44"/>
      <w:r w:rsidRPr="00D05EC2">
        <w:rPr>
          <w:rFonts w:ascii="Times New Roman" w:hAnsi="Times New Roman" w:cs="Times New Roman"/>
          <w:b w:val="0"/>
          <w:bCs w:val="0"/>
          <w:i w:val="0"/>
          <w:iCs w:val="0"/>
          <w:noProof/>
          <w:lang w:val="en-ID"/>
        </w:rPr>
        <w:t>R</w:t>
      </w:r>
      <w:bookmarkStart w:id="65" w:name="Bookmark411"/>
      <w:r w:rsidRPr="00D05EC2">
        <w:rPr>
          <w:rFonts w:ascii="Times New Roman" w:hAnsi="Times New Roman" w:cs="Times New Roman"/>
          <w:b w:val="0"/>
          <w:bCs w:val="0"/>
          <w:i w:val="0"/>
          <w:iCs w:val="0"/>
          <w:noProof/>
          <w:lang w:val="en-ID"/>
        </w:rPr>
        <w:t>emund</w:t>
      </w:r>
      <w:r w:rsidR="00D05EC2">
        <w:rPr>
          <w:rFonts w:ascii="Times New Roman" w:hAnsi="Times New Roman" w:cs="Times New Roman"/>
          <w:b w:val="0"/>
          <w:bCs w:val="0"/>
          <w:i w:val="0"/>
          <w:iCs w:val="0"/>
          <w:noProof/>
          <w:lang w:val="en-ID"/>
        </w:rPr>
        <w:t xml:space="preserve"> </w:t>
      </w:r>
      <w:r w:rsidRPr="00D05EC2">
        <w:rPr>
          <w:rFonts w:ascii="Times New Roman" w:hAnsi="Times New Roman" w:cs="Times New Roman"/>
          <w:b w:val="0"/>
          <w:bCs w:val="0"/>
          <w:i w:val="0"/>
          <w:iCs w:val="0"/>
          <w:noProof/>
          <w:lang w:val="en-ID"/>
        </w:rPr>
        <w:t>(2010</w:t>
      </w:r>
      <w:r w:rsidRPr="00D05EC2">
        <w:rPr>
          <w:rFonts w:ascii="Times New Roman" w:hAnsi="Times New Roman" w:cs="Times New Roman"/>
        </w:rPr>
        <w:fldChar w:fldCharType="end"/>
      </w:r>
      <w:bookmarkEnd w:id="64"/>
      <w:bookmarkEnd w:id="65"/>
      <w:r w:rsidRPr="00D05EC2">
        <w:rPr>
          <w:rFonts w:ascii="Times New Roman" w:hAnsi="Times New Roman" w:cs="Times New Roman"/>
          <w:b w:val="0"/>
          <w:bCs w:val="0"/>
          <w:i w:val="0"/>
          <w:iCs w:val="0"/>
          <w:lang w:val="en-ID"/>
        </w:rPr>
        <w:t>), FL detailing into five senses, namely conceptual financial understanding, communication skills related to finance conceptually, being able to manage money personally, being skilled in deciding the right finances and believing that making an effective financial needs plan for the future. FL experts believe that the ability to obtain and understand financial information is very crucial</w:t>
      </w:r>
      <w:r w:rsidRPr="00D05EC2">
        <w:rPr>
          <w:rFonts w:ascii="Times New Roman" w:hAnsi="Times New Roman" w:cs="Times New Roman"/>
          <w:b w:val="0"/>
          <w:bCs w:val="0"/>
          <w:i w:val="0"/>
          <w:iCs w:val="0"/>
          <w:strike/>
        </w:rPr>
        <w:t>,</w:t>
      </w:r>
      <w:r w:rsidRPr="00D05EC2">
        <w:rPr>
          <w:rFonts w:ascii="Times New Roman" w:hAnsi="Times New Roman" w:cs="Times New Roman"/>
          <w:b w:val="0"/>
          <w:bCs w:val="0"/>
          <w:i w:val="0"/>
          <w:iCs w:val="0"/>
        </w:rPr>
        <w:t xml:space="preserve"> the ability to obtain and understand financial information becomes essential for making informed decisions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{"citationItems":[{"id":"ITEM-1","itemData":{"abstract":"The present paper introduces a new dataset, the Rand American Life Panel (ALP), which offers several appealing features for an analysis of financial literacy and retirement planning. It allows us to evaluate financial knowledge during workers’ prime earning years when they are making key financial decisions, and it offers detailed financial literacy and retirement planning questions, permitting a finer assessment of respondents’ financial literacy than heretofore feasible. We can also compare respondents’ self- assessed financial knowledge levels with objective measures of financial literacy, and most valuably, we can investigate prior financial training which permits us to identify key causal links. By every measure, and in every sample we examine, financial literacy proves to be a key determinant of retirement planning. We also find that respondent literacy is higher when they were exposed to economics in school and to company-based financial education programs. Authors’","author":[{"dropping-particle":"","family":"Lusardi","given":"Annamaria","non-dropping-particle":"","parse-names":false,"suffix":""},{"dropping-particle":"","family":"Mitchell","given":"Olivia S","non-dropping-particle":"","parse-names":false,"suffix":""}],"id":"ITEM-1","issued":{"date-parts":[["2007"]]},"title":"Financial Literacy and Retirement Planning: New Evidence from the Rand American Life Panel","type":"article-journal"},"uris":["http://www.mendeley.com/documents/?uuid=5bfada0c-5fd9-4345-a01d-cd1dfe13cac1"]},{"id":"ITEM-2","itemData":{"DOI":"10.1016/j.jfineco.2011.03.006","ISSN":"0304405X","abstract":"We have devised two special modules for De Nederlandsche Bank (DNB) Household Survey to measure financial literacy and study its relationship to stock market participation. We find that the majority of respondents display basic financial knowledge and have some grasp of concepts such as interest compounding, inflation, and the time value of money. However, very few go beyond these basic concepts; many respondents do not know the difference between bonds and stocks, the relationship between bond prices and interest rates, and the basics of risk diversification. Most importantly, we find that financial literacy affects financial decision-making: Those with low literacy are much less likely to invest in stocks. © 2011 Elsevier B.V.","author":[{"dropping-particle":"","family":"Rooij","given":"Maarten","non-dropping-particle":"Van","parse-names":false,"suffix":""},{"dropping-particle":"","family":"Lusardi","given":"Annamaria","non-dropping-particle":"","parse-names":false,"suffix":""},{"dropping-particle":"","family":"Alessie","given":"Rob","non-dropping-particle":"","parse-names":false,"suffix":""}],"container-title":"Journal of Financial Economics","id":"ITEM-2","issue":"2","issued":{"date-parts":[["2011","8"]]},"page":"449-472","publisher":"Elsevier","title":"Financial literacy and stock market participation","type":"article-journal","volume":"101"},"uris":["http://www.mendeley.com/documents/?uuid=db955c5b-560d-46ee-908d-0d97a9ac11c9"]}],"mendeley":{"formattedCitation":"(Lusardi &amp; Mitchell, 2007; M. Van Rooij et al., 2011)","manualFormatting":"(Lusardi &amp; Mitchell, 2007; and Rooij et al., 2011)","plainTextFormattedCitation":"(Lusardi &amp; Mitchell, 2007; M. Van Rooij et al., 2011)","previouslyFormattedCitation":"(Lusardi &amp; Mitchell, 2007; M. Van Rooij et al., 2011)"},"properties":{"noteIndex":0},"schema":"https://github.com/citation-style-language/schema/raw/master/csl-citation.json"}</w:instrText>
      </w:r>
      <w:r w:rsidRPr="00D05EC2">
        <w:rPr>
          <w:rFonts w:ascii="Times New Roman" w:hAnsi="Times New Roman" w:cs="Times New Roman"/>
        </w:rPr>
        <w:fldChar w:fldCharType="separate"/>
      </w:r>
      <w:bookmarkStart w:id="66" w:name="Bookmark45"/>
      <w:r w:rsidRPr="00D05EC2">
        <w:rPr>
          <w:rFonts w:ascii="Times New Roman" w:hAnsi="Times New Roman" w:cs="Times New Roman"/>
          <w:b w:val="0"/>
          <w:bCs w:val="0"/>
          <w:i w:val="0"/>
          <w:iCs w:val="0"/>
          <w:noProof/>
          <w:lang w:val="en-ID"/>
        </w:rPr>
        <w:t>(</w:t>
      </w:r>
      <w:bookmarkStart w:id="67" w:name="Bookmark421"/>
      <w:r w:rsidRPr="00D05EC2">
        <w:rPr>
          <w:rFonts w:ascii="Times New Roman" w:hAnsi="Times New Roman" w:cs="Times New Roman"/>
          <w:b w:val="0"/>
          <w:bCs w:val="0"/>
          <w:i w:val="0"/>
          <w:iCs w:val="0"/>
          <w:noProof/>
          <w:lang w:val="en-ID"/>
        </w:rPr>
        <w:t>Lusardi &amp; Mitchell, 2007; and Rooij et al., 2011)</w:t>
      </w:r>
      <w:r w:rsidRPr="00D05EC2">
        <w:rPr>
          <w:rFonts w:ascii="Times New Roman" w:hAnsi="Times New Roman" w:cs="Times New Roman"/>
        </w:rPr>
        <w:fldChar w:fldCharType="end"/>
      </w:r>
      <w:bookmarkEnd w:id="66"/>
      <w:bookmarkEnd w:id="67"/>
      <w:r w:rsidRPr="00D05EC2">
        <w:rPr>
          <w:rFonts w:ascii="Times New Roman" w:hAnsi="Times New Roman" w:cs="Times New Roman"/>
          <w:b w:val="0"/>
          <w:bCs w:val="0"/>
          <w:i w:val="0"/>
          <w:iCs w:val="0"/>
        </w:rPr>
        <w:t xml:space="preserve">.  FL can make a person choose to be frugal in spending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{"citationItems":[{"id":"ITEM-1","itemData":{"DOI":"10.5539/ass.v10n14p40","ISSN":"1911-2025","abstract":"Awareness of retirement confidence has been found to be low in many people, especially in women. Much of past research has revealed that women consistently perform a poor level of retirement confidence compared to men. This study aims to examine the influence of financial literacy, saving behaviour, and financial management on retirement confidence among women working in the Malaysian public sector. Multi-stage random sampling technique was applied as the sampling technique in this study. 708 respondents participated in this study. This study applied Pearson Correlational analysis to determine the relationship between the variables. The findings reveal that retirement confidence is positively correlated with financial literacy, saving behaviour, and financial management. Furthermore, multiple regression analysis was applied to determine the predictors of retirement confidence. This study concludes that financial literacy, saving behaviour, financial management, and financial status are significant predictors of retirement confidence among working women, with financial management as the major factor contributing towards retirement confidence. The findings of this study have practical implications for financial advisors in helping working women to be more aware of their future retirement life financial needs and to prevent financial crisis in later years.","author":[{"dropping-particle":"","family":"Fazli Sabri","given":"Mohamad","non-dropping-particle":"","parse-names":false,"suffix":""},{"dropping-particle":"","family":"Tze Juen","given":"Teo","non-dropping-particle":"","parse-names":false,"suffix":""}],"container-title":"Asian Social Science","id":"ITEM-1","issue":"14","issued":{"date-parts":[["2014","6","24"]]},"page":"40-51","title":"The Influence of Financial Literacy, Saving Behaviour, and Financial Management on Retirement Confidence among Women Working in the Malaysian Public Sector","type":"article-journal","volume":"10"},"uris":["http://www.mendeley.com/documents/?uuid=76e8fc4f-5c00-4ebb-890d-f63a95f933d4"]}],"mendeley":{"formattedCitation":"(Fazli Sabri &amp; Tze Juen, 2014)","manualFormatting":"(Sabri &amp; Juen, 2014)","plainTextFormattedCitation":"(Fazli Sabri &amp; Tze Juen, 2014)","previouslyFormattedCitation":"(Fazli Sabri &amp; Tze Juen, 2014)"},"properties":{"noteIndex":0},"schema":"https://github.com/citation-style-language/schema/raw/master/csl-citation.json"}</w:instrText>
      </w:r>
      <w:r w:rsidRPr="00D05EC2">
        <w:rPr>
          <w:rFonts w:ascii="Times New Roman" w:hAnsi="Times New Roman" w:cs="Times New Roman"/>
        </w:rPr>
        <w:fldChar w:fldCharType="separate"/>
      </w:r>
      <w:bookmarkStart w:id="68" w:name="Bookmark46"/>
      <w:r w:rsidRPr="00D05EC2">
        <w:rPr>
          <w:rFonts w:ascii="Times New Roman" w:hAnsi="Times New Roman" w:cs="Times New Roman"/>
          <w:b w:val="0"/>
          <w:bCs w:val="0"/>
          <w:i w:val="0"/>
          <w:iCs w:val="0"/>
          <w:noProof/>
          <w:lang w:val="en-ID"/>
        </w:rPr>
        <w:t>(</w:t>
      </w:r>
      <w:bookmarkStart w:id="69" w:name="Bookmark431"/>
      <w:r w:rsidRPr="00D05EC2">
        <w:rPr>
          <w:rFonts w:ascii="Times New Roman" w:hAnsi="Times New Roman" w:cs="Times New Roman"/>
          <w:b w:val="0"/>
          <w:bCs w:val="0"/>
          <w:i w:val="0"/>
          <w:iCs w:val="0"/>
          <w:noProof/>
          <w:lang w:val="en-ID"/>
        </w:rPr>
        <w:t>Sabri &amp; Juen, 2014)</w:t>
      </w:r>
      <w:r w:rsidRPr="00D05EC2">
        <w:rPr>
          <w:rFonts w:ascii="Times New Roman" w:hAnsi="Times New Roman" w:cs="Times New Roman"/>
        </w:rPr>
        <w:fldChar w:fldCharType="end"/>
      </w:r>
      <w:bookmarkEnd w:id="68"/>
      <w:bookmarkEnd w:id="69"/>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 xml:space="preserve">Things included in the financial context here are knowledge of personal finance, the ability to manage money, knowledge of credit, savings, investments, and risks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{"citationItems":[{"id":"ITEM-1","itemData":{"DOI":"10.30596/ijbe.v1i1.3442","ISSN":"2686472X","abstract":"This study aims to determine the effect of financial literacy and financial inclusion on retirement planning. This study used a quantitative method with 236 respondents and processed by the method of multiple linear regression analysis. The results of the study show that financial literacy and financial inclusion have a significant effect on retirement planning, means that the higher financial literacy and financial inclusion of a person, the better their retirement planning. In addition, the results of the study showed that respondents were dominated by moderate financial literacy levels with a percentage of 55.08%, moderate financial inclusion levels with a percentage of 57.20% and high retirement planning levels with presentations of 52.54% of the total respondents. Researchers also conduct additional research by choosing one of the demographic factors, which is monthly income. The results that monthly earnings also influence retirement planning where the higher a person's monthly income, the better their retirement planning.","author":[{"dropping-particle":"","family":"Baskoro","given":"Rahmat Aryo","non-dropping-particle":"","parse-names":false,"suffix":""},{"dropping-particle":"","family":"Aulia","given":"Rensi","non-dropping-particle":"","parse-names":false,"suffix":""}],"container-title":"International Journal of Business Economics (IJBE)","id":"ITEM-1","issue":"1","issued":{"date-parts":[["2019","9","30"]]},"page":"49-58","title":"The Effect of Financial Literacy and Financial Inclusion on Retirement Planning","type":"article-journal","volume":"1"},"uris":["http://www.mendeley.com/documents/?uuid=03e253cd-141e-492b-9ffe-7316e8e519b7"]}],"mendeley":{"formattedCitation":"(Baskoro &amp; Aulia, 2019)","plainTextFormattedCitation":"(Baskoro &amp; Aulia, 2019)","previouslyFormattedCitation":"(Baskoro &amp; Aulia, 2019)"},"properties":{"noteIndex":0},"schema":"https://github.com/citation-style-language/schema/raw/master/csl-citation.json"}</w:instrText>
      </w:r>
      <w:r w:rsidRPr="00D05EC2">
        <w:rPr>
          <w:rFonts w:ascii="Times New Roman" w:hAnsi="Times New Roman" w:cs="Times New Roman"/>
        </w:rPr>
        <w:fldChar w:fldCharType="separate"/>
      </w:r>
      <w:bookmarkStart w:id="70" w:name="Bookmark47"/>
      <w:r w:rsidRPr="00D05EC2">
        <w:rPr>
          <w:rFonts w:ascii="Times New Roman" w:hAnsi="Times New Roman" w:cs="Times New Roman"/>
          <w:b w:val="0"/>
          <w:bCs w:val="0"/>
          <w:i w:val="0"/>
          <w:iCs w:val="0"/>
          <w:noProof/>
          <w:lang w:val="en-ID"/>
        </w:rPr>
        <w:t>(</w:t>
      </w:r>
      <w:bookmarkStart w:id="71" w:name="Bookmark441"/>
      <w:r w:rsidRPr="00D05EC2">
        <w:rPr>
          <w:rFonts w:ascii="Times New Roman" w:hAnsi="Times New Roman" w:cs="Times New Roman"/>
          <w:b w:val="0"/>
          <w:bCs w:val="0"/>
          <w:i w:val="0"/>
          <w:iCs w:val="0"/>
          <w:noProof/>
          <w:lang w:val="en-ID"/>
        </w:rPr>
        <w:t>Baskoro &amp; Aulia, 2019)</w:t>
      </w:r>
      <w:r w:rsidRPr="00D05EC2">
        <w:rPr>
          <w:rFonts w:ascii="Times New Roman" w:hAnsi="Times New Roman" w:cs="Times New Roman"/>
        </w:rPr>
        <w:fldChar w:fldCharType="end"/>
      </w:r>
      <w:bookmarkEnd w:id="70"/>
      <w:bookmarkEnd w:id="71"/>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 xml:space="preserve">FL is the ability to understand how money operates in the world, how </w:t>
      </w:r>
      <w:r w:rsidRPr="00D05EC2">
        <w:rPr>
          <w:rFonts w:ascii="Times New Roman" w:hAnsi="Times New Roman" w:cs="Times New Roman"/>
          <w:b w:val="0"/>
          <w:bCs w:val="0"/>
          <w:i w:val="0"/>
          <w:iCs w:val="0"/>
        </w:rPr>
        <w:lastRenderedPageBreak/>
        <w:t xml:space="preserve">people acquire or create it, how people manage it, how people make it more and how people donate it to support others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{"citationItems":[{"id":"ITEM-1","itemData":{"DOI":"10.14254/2071-789X.2019/12-2/18","ISSN":"2071-789X","abstract":"Many government policies contain recommendations how to improve financial literacy, particularly through programmes of financial education and personal finance. However, personal financial management is not solely related to knowledge and financial literacy; individual confidence level in own financial abilities and household differences need to be considered in this regard. This paper investigates household financial efficacy through application of psychometric instruments, financial literacy, risk preference and demographic characteristics towards saving decision behaviour. The sample covers 404 households in Peninsular Malaysia and utilises the logistic and probit empirical model. The results show that household’s financial efficacy is essential for household’s saving decision behaviour and choice of saving instrument. Financial literacy, race, education and dependence ratio and location (rural or urban) of the household also play a role in saving instruments selection. More specifically, households with higher levels of financial efficacy are more likely to use bank-based or other lower risk saving instruments as compared to non-banking-based instruments.","author":[{"dropping-particle":"","family":"Kusairi","given":"Suhal","non-dropping-particle":"","parse-names":false,"suffix":""},{"dropping-particle":"","family":"Sanusi","given":"Nur Azura","non-dropping-particle":"","parse-names":false,"suffix":""},{"dropping-particle":"","family":"Muhamad","given":"Suriyani","non-dropping-particle":"","parse-names":false,"suffix":""},{"dropping-particle":"","family":"Shukri","given":"Madihah","non-dropping-particle":"","parse-names":false,"suffix":""},{"dropping-particle":"","family":"Zamri","given":"Nadia","non-dropping-particle":"","parse-names":false,"suffix":""}],"container-title":"Economics &amp; Sociology","id":"ITEM-1","issue":"2","issued":{"date-parts":[["2019","6"]]},"page":"301-318","title":"Financial households’ efficacy, risk preference and saving behaviour: Lessons from lower-income households in Malaysia","type":"article-journal","volume":"12"},"uris":["http://www.mendeley.com/documents/?uuid=73d4418b-d468-4681-ad99-b6be5addc62f"]}],"mendeley":{"formattedCitation":"(Kusairi et al., 2019)","manualFormatting":"(Kusairi et al.,2019)","plainTextFormattedCitation":"(Kusairi et al., 2019)","previouslyFormattedCitation":"(Kusairi et al., 2019)"},"properties":{"noteIndex":0},"schema":"https://github.com/citation-style-language/schema/raw/master/csl-citation.json"}</w:instrText>
      </w:r>
      <w:r w:rsidRPr="00D05EC2">
        <w:rPr>
          <w:rFonts w:ascii="Times New Roman" w:hAnsi="Times New Roman" w:cs="Times New Roman"/>
        </w:rPr>
        <w:fldChar w:fldCharType="separate"/>
      </w:r>
      <w:bookmarkStart w:id="72" w:name="Bookmark48"/>
      <w:r w:rsidRPr="00D05EC2">
        <w:rPr>
          <w:rFonts w:ascii="Times New Roman" w:hAnsi="Times New Roman" w:cs="Times New Roman"/>
          <w:b w:val="0"/>
          <w:bCs w:val="0"/>
          <w:i w:val="0"/>
          <w:iCs w:val="0"/>
          <w:noProof/>
          <w:lang w:val="en-ID"/>
        </w:rPr>
        <w:t>(</w:t>
      </w:r>
      <w:bookmarkStart w:id="73" w:name="Bookmark451"/>
      <w:r w:rsidRPr="00D05EC2">
        <w:rPr>
          <w:rFonts w:ascii="Times New Roman" w:hAnsi="Times New Roman" w:cs="Times New Roman"/>
          <w:b w:val="0"/>
          <w:bCs w:val="0"/>
          <w:i w:val="0"/>
          <w:iCs w:val="0"/>
          <w:noProof/>
          <w:lang w:val="en-ID"/>
        </w:rPr>
        <w:t>Kusairi et al.,2019)</w:t>
      </w:r>
      <w:r w:rsidRPr="00D05EC2">
        <w:rPr>
          <w:rFonts w:ascii="Times New Roman" w:hAnsi="Times New Roman" w:cs="Times New Roman"/>
        </w:rPr>
        <w:fldChar w:fldCharType="end"/>
      </w:r>
      <w:bookmarkEnd w:id="72"/>
      <w:bookmarkEnd w:id="73"/>
      <w:r w:rsidRPr="00D05EC2">
        <w:rPr>
          <w:rFonts w:ascii="Times New Roman" w:hAnsi="Times New Roman" w:cs="Times New Roman"/>
          <w:b w:val="0"/>
          <w:bCs w:val="0"/>
          <w:i w:val="0"/>
          <w:iCs w:val="0"/>
          <w:lang w:val="en-ID"/>
        </w:rPr>
        <w:t>.</w:t>
      </w:r>
      <w:r w:rsidRPr="00D05EC2">
        <w:rPr>
          <w:rFonts w:ascii="Times New Roman" w:hAnsi="Times New Roman" w:cs="Times New Roman"/>
          <w:i w:val="0"/>
          <w:iCs w:val="0"/>
          <w:lang w:val="en-ID"/>
        </w:rPr>
        <w:t xml:space="preserve"> </w:t>
      </w:r>
      <w:r w:rsidR="00283183" w:rsidRPr="00D05EC2">
        <w:rPr>
          <w:rFonts w:ascii="Times New Roman" w:hAnsi="Times New Roman" w:cs="Times New Roman"/>
          <w:b w:val="0"/>
          <w:i w:val="0"/>
          <w:iCs w:val="0"/>
          <w:lang w:val="en-ID"/>
        </w:rPr>
        <w:t xml:space="preserve">Financial prosperity can be defined as a person’s condition where they are able to </w:t>
      </w:r>
      <w:proofErr w:type="spellStart"/>
      <w:r w:rsidR="00283183" w:rsidRPr="00D05EC2">
        <w:rPr>
          <w:rFonts w:ascii="Times New Roman" w:hAnsi="Times New Roman" w:cs="Times New Roman"/>
          <w:b w:val="0"/>
          <w:i w:val="0"/>
          <w:iCs w:val="0"/>
          <w:lang w:val="en-ID"/>
        </w:rPr>
        <w:t>fulfi</w:t>
      </w:r>
      <w:r w:rsidR="00413760">
        <w:rPr>
          <w:rFonts w:ascii="Times New Roman" w:hAnsi="Times New Roman" w:cs="Times New Roman"/>
          <w:b w:val="0"/>
          <w:i w:val="0"/>
          <w:iCs w:val="0"/>
          <w:lang w:val="en-ID"/>
        </w:rPr>
        <w:t>l</w:t>
      </w:r>
      <w:r w:rsidR="00283183" w:rsidRPr="00D05EC2">
        <w:rPr>
          <w:rFonts w:ascii="Times New Roman" w:hAnsi="Times New Roman" w:cs="Times New Roman"/>
          <w:b w:val="0"/>
          <w:i w:val="0"/>
          <w:iCs w:val="0"/>
          <w:lang w:val="en-ID"/>
        </w:rPr>
        <w:t>l</w:t>
      </w:r>
      <w:proofErr w:type="spellEnd"/>
      <w:r w:rsidR="00283183" w:rsidRPr="00D05EC2">
        <w:rPr>
          <w:rFonts w:ascii="Times New Roman" w:hAnsi="Times New Roman" w:cs="Times New Roman"/>
          <w:b w:val="0"/>
          <w:i w:val="0"/>
          <w:iCs w:val="0"/>
          <w:lang w:val="en-ID"/>
        </w:rPr>
        <w:t xml:space="preserve"> their current obligations and have a sense of security for the future and have the ability to choose their pleasures in life</w:t>
      </w:r>
      <w:r w:rsidR="004A5E0E" w:rsidRPr="00D05EC2">
        <w:rPr>
          <w:rFonts w:ascii="Times New Roman" w:hAnsi="Times New Roman" w:cs="Times New Roman"/>
          <w:b w:val="0"/>
          <w:i w:val="0"/>
          <w:iCs w:val="0"/>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{"citationItems":[{"id":"ITEM-1","itemData":{"ISBN":"0000000345","abstract":"This study aims to analyze how Financial Literacy, Financial Behaviour and Financial Anxiety influence Financial Well Being of Top Management Level Employees. A cross-sectional survey was employed on 256 respondents randomly selected from top management level of manufacture company. It then tests their hypothesized relationships with the use of Partial Least Squares (PLS), a structural equation modelling technique. The result reveal that financial behaviour and financial anxiety significantly influence the financial well-being of employee. Financial literacy also influences the financial anxiety, financial behaviour and financial well-being. Financial behaviour of an individual also determine the level of financial wellbeing of the respondents. Positive and healthy financial behavior leads toward the higher level of financial wellbeing. There is significant and positive effect of financial literacy to financial behaviour of top management level of employees.","author":[{"dropping-particle":"","family":"Pijoh Lidwina, Indradewa Rhian","given":"Syah TYR","non-dropping-particle":"","parse-names":false,"suffix":""}],"container-title":"Financial Literacy, Financial Behaviour and Financial Anxiety; Implication Well Being of Top Management Level Employees","id":"ITEM-1","issue":"4","issued":{"date-parts":[["2020"]]},"page":"527-534","title":"Research Article Research Article","type":"article-journal","volume":"4"},"uris":["http://www.mendeley.com/documents/?uuid=057e1fb0-8edf-4219-83ab-081523504fd2"]}],"mendeley":{"formattedCitation":"(Pijoh Lidwina, Indradewa Rhian, 2020)","manualFormatting":"(Syah et al., 2020)","plainTextFormattedCitation":"(Pijoh Lidwina, Indradewa Rhian, 2020)","previouslyFormattedCitation":"(Pijoh Lidwina, Indradewa Rhian, 2020)"},"properties":{"noteIndex":0},"schema":"https://github.com/citation-style-language/schema/raw/master/csl-citation.json"}</w:instrText>
      </w:r>
      <w:r w:rsidRPr="00D05EC2">
        <w:rPr>
          <w:rFonts w:ascii="Times New Roman" w:hAnsi="Times New Roman" w:cs="Times New Roman"/>
        </w:rPr>
        <w:fldChar w:fldCharType="separate"/>
      </w:r>
      <w:bookmarkStart w:id="74" w:name="Bookmark49"/>
      <w:r w:rsidRPr="00D05EC2">
        <w:rPr>
          <w:rFonts w:ascii="Times New Roman" w:hAnsi="Times New Roman" w:cs="Times New Roman"/>
          <w:b w:val="0"/>
          <w:bCs w:val="0"/>
          <w:i w:val="0"/>
          <w:iCs w:val="0"/>
          <w:noProof/>
          <w:lang w:val="en-ID"/>
        </w:rPr>
        <w:t>(</w:t>
      </w:r>
      <w:bookmarkStart w:id="75" w:name="Bookmark461"/>
      <w:r w:rsidRPr="00D05EC2">
        <w:rPr>
          <w:rFonts w:ascii="Times New Roman" w:hAnsi="Times New Roman" w:cs="Times New Roman"/>
          <w:b w:val="0"/>
          <w:bCs w:val="0"/>
          <w:i w:val="0"/>
          <w:iCs w:val="0"/>
          <w:noProof/>
          <w:lang w:val="en-ID"/>
        </w:rPr>
        <w:t>Syah et al., 2020)</w:t>
      </w:r>
      <w:r w:rsidRPr="00D05EC2">
        <w:rPr>
          <w:rFonts w:ascii="Times New Roman" w:hAnsi="Times New Roman" w:cs="Times New Roman"/>
        </w:rPr>
        <w:fldChar w:fldCharType="end"/>
      </w:r>
      <w:bookmarkEnd w:id="74"/>
      <w:bookmarkEnd w:id="75"/>
      <w:r w:rsidRPr="00D05EC2">
        <w:rPr>
          <w:rFonts w:ascii="Times New Roman" w:hAnsi="Times New Roman" w:cs="Times New Roman"/>
          <w:b w:val="0"/>
          <w:bCs w:val="0"/>
          <w:i w:val="0"/>
          <w:iCs w:val="0"/>
          <w:lang w:val="en-ID"/>
        </w:rPr>
        <w:t>.</w:t>
      </w:r>
      <w:r w:rsidRPr="00D05EC2">
        <w:rPr>
          <w:rFonts w:ascii="Times New Roman" w:hAnsi="Times New Roman" w:cs="Times New Roman"/>
          <w:b w:val="0"/>
          <w:bCs w:val="0"/>
          <w:i w:val="0"/>
          <w:iCs w:val="0"/>
        </w:rPr>
        <w:t xml:space="preserve"> FL</w:t>
      </w:r>
      <w:r w:rsidR="00283183" w:rsidRPr="00D05EC2">
        <w:rPr>
          <w:rFonts w:ascii="Times New Roman" w:hAnsi="Times New Roman" w:cs="Times New Roman"/>
          <w:b w:val="0"/>
          <w:bCs w:val="0"/>
          <w:i w:val="0"/>
          <w:iCs w:val="0"/>
        </w:rPr>
        <w:t xml:space="preserve"> </w:t>
      </w:r>
      <w:r w:rsidRPr="00D05EC2">
        <w:rPr>
          <w:rFonts w:ascii="Times New Roman" w:hAnsi="Times New Roman" w:cs="Times New Roman"/>
          <w:b w:val="0"/>
          <w:bCs w:val="0"/>
          <w:i w:val="0"/>
          <w:iCs w:val="0"/>
        </w:rPr>
        <w:t xml:space="preserve">can provide a background for success in economic activities by increasing savings, buying things with the right decisions and making the right investments and all related to investments, managing property and insurance, and improving financial well-being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{"citationItems":[{"id":"ITEM-1","itemData":{"ISBN":"0000000345","abstract":"This study aims to analyze how Financial Literacy, Financial Behaviour and Financial Anxiety influence Financial Well Being of Top Management Level Employees. A cross-sectional survey was employed on 256 respondents randomly selected from top management level of manufacture company. It then tests their hypothesized relationships with the use of Partial Least Squares (PLS), a structural equation modelling technique. The result reveal that financial behaviour and financial anxiety significantly influence the financial well-being of employee. Financial literacy also influences the financial anxiety, financial behaviour and financial well-being. Financial behaviour of an individual also determine the level of financial wellbeing of the respondents. Positive and healthy financial behavior leads toward the higher level of financial wellbeing. There is significant and positive effect of financial literacy to financial behaviour of top management level of employees.","author":[{"dropping-particle":"","family":"Pijoh Lidwina, Indradewa Rhian","given":"Syah TYR","non-dropping-particle":"","parse-names":false,"suffix":""}],"container-title":"Financial Literacy, Financial Behaviour and Financial Anxiety; Implication Well Being of Top Management Level Employees","id":"ITEM-1","issue":"4","issued":{"date-parts":[["2020"]]},"page":"527-534","title":"Research Article Research Article","type":"article-journal","volume":"4"},"uris":["http://www.mendeley.com/documents/?uuid=057e1fb0-8edf-4219-83ab-081523504fd2"]}],"mendeley":{"formattedCitation":"(Pijoh Lidwina, Indradewa Rhian, 2020)","manualFormatting":"(Pijoh et al., 2020)","plainTextFormattedCitation":"(Pijoh Lidwina, Indradewa Rhian, 2020)","previouslyFormattedCitation":"(Pijoh Lidwina, Indradewa Rhian, 2020)"},"properties":{"noteIndex":0},"schema":"https://github.com/citation-style-language/schema/raw/master/csl-citation.json"}</w:instrText>
      </w:r>
      <w:r w:rsidRPr="00D05EC2">
        <w:rPr>
          <w:rFonts w:ascii="Times New Roman" w:hAnsi="Times New Roman" w:cs="Times New Roman"/>
        </w:rPr>
        <w:fldChar w:fldCharType="separate"/>
      </w:r>
      <w:bookmarkStart w:id="76" w:name="Bookmark50"/>
      <w:r w:rsidRPr="00D05EC2">
        <w:rPr>
          <w:rFonts w:ascii="Times New Roman" w:hAnsi="Times New Roman" w:cs="Times New Roman"/>
          <w:b w:val="0"/>
          <w:bCs w:val="0"/>
          <w:i w:val="0"/>
          <w:iCs w:val="0"/>
          <w:noProof/>
          <w:lang w:val="en-ID"/>
        </w:rPr>
        <w:t>(</w:t>
      </w:r>
      <w:bookmarkStart w:id="77" w:name="Bookmark471"/>
      <w:r w:rsidRPr="00D05EC2">
        <w:rPr>
          <w:rFonts w:ascii="Times New Roman" w:hAnsi="Times New Roman" w:cs="Times New Roman"/>
          <w:b w:val="0"/>
          <w:bCs w:val="0"/>
          <w:i w:val="0"/>
          <w:iCs w:val="0"/>
          <w:noProof/>
          <w:lang w:val="en-ID"/>
        </w:rPr>
        <w:t>Pijoh et al., 2020)</w:t>
      </w:r>
      <w:r w:rsidRPr="00D05EC2">
        <w:rPr>
          <w:rFonts w:ascii="Times New Roman" w:hAnsi="Times New Roman" w:cs="Times New Roman"/>
        </w:rPr>
        <w:fldChar w:fldCharType="end"/>
      </w:r>
      <w:bookmarkEnd w:id="76"/>
      <w:bookmarkEnd w:id="77"/>
      <w:r w:rsidRPr="00D05EC2">
        <w:rPr>
          <w:rFonts w:ascii="Times New Roman" w:hAnsi="Times New Roman" w:cs="Times New Roman"/>
          <w:b w:val="0"/>
          <w:bCs w:val="0"/>
          <w:i w:val="0"/>
          <w:iCs w:val="0"/>
          <w:lang w:val="en-ID"/>
        </w:rPr>
        <w:t>.</w:t>
      </w:r>
      <w:r w:rsidRPr="00D05EC2">
        <w:rPr>
          <w:rFonts w:ascii="Times New Roman" w:hAnsi="Times New Roman" w:cs="Times New Roman"/>
          <w:i w:val="0"/>
          <w:iCs w:val="0"/>
          <w:lang w:val="en-ID"/>
        </w:rPr>
        <w:t xml:space="preserve"> </w:t>
      </w:r>
      <w:r w:rsidRPr="00D05EC2">
        <w:rPr>
          <w:rFonts w:ascii="Times New Roman" w:hAnsi="Times New Roman" w:cs="Times New Roman"/>
          <w:b w:val="0"/>
          <w:bCs w:val="0"/>
          <w:i w:val="0"/>
          <w:iCs w:val="0"/>
        </w:rPr>
        <w:t xml:space="preserve">Financial literacy, namely knowledge and </w:t>
      </w:r>
      <w:r w:rsidR="0012328B" w:rsidRPr="00D05EC2">
        <w:rPr>
          <w:rFonts w:ascii="Times New Roman" w:hAnsi="Times New Roman" w:cs="Times New Roman"/>
          <w:b w:val="0"/>
          <w:bCs w:val="0"/>
          <w:i w:val="0"/>
          <w:iCs w:val="0"/>
        </w:rPr>
        <w:t xml:space="preserve">capability </w:t>
      </w:r>
      <w:r w:rsidRPr="00D05EC2">
        <w:rPr>
          <w:rFonts w:ascii="Times New Roman" w:hAnsi="Times New Roman" w:cs="Times New Roman"/>
          <w:b w:val="0"/>
          <w:bCs w:val="0"/>
          <w:i w:val="0"/>
          <w:iCs w:val="0"/>
        </w:rPr>
        <w:t xml:space="preserve"> in managing personal money, plays a very important role because it </w:t>
      </w:r>
      <w:r w:rsidR="0012328B" w:rsidRPr="00D05EC2">
        <w:rPr>
          <w:rFonts w:ascii="Times New Roman" w:hAnsi="Times New Roman" w:cs="Times New Roman"/>
          <w:b w:val="0"/>
          <w:bCs w:val="0"/>
          <w:i w:val="0"/>
          <w:iCs w:val="0"/>
        </w:rPr>
        <w:t>have a crucial impact on their retirement preparations</w:t>
      </w:r>
      <w:r w:rsidRPr="00D05EC2">
        <w:rPr>
          <w:rFonts w:ascii="Times New Roman" w:hAnsi="Times New Roman" w:cs="Times New Roman"/>
          <w:b w:val="0"/>
          <w:bCs w:val="0"/>
          <w:i w:val="0"/>
          <w:iCs w:val="0"/>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{"citationItems":[{"id":"ITEM-1","itemData":{"DOI":"10.1108/JBSED-04-2021-0052","ISSN":"2635-1374","abstract":"Purpose&gt;The purpose of this study was to investigate the effect of financial literacy on personal retirement planning in Bukavu city in the Democratic Republic of the Congo (DRC), which is a Sub-Saharan underdeveloped country with a weak pension and social security system.Design/methodology/approach&gt;This study used a structural equation modeling and a sample of 361 public sector employees selected in Bukavu city in the DRC. The data were collected through a survey questionnaire, and the data were analyzed using SPSS and SMART PLS software.Findings&gt;The results from the study revealed that financial literacy has a significant impact on personal retirement planning. Two constructs of financial literacy, respectively, computation capability and financial knowledge were found to have a significant impact on personal retirement planning, while financial education and attitudes toward financial products were found not significant in explaining personal retirement planning.Practical implications&gt;The findings from this study can be used by policy makers in the DRC to design socioeconomic programs, aiming to increase the level of financial literacy in the country and awareness on personal retirement planning.Originality/value&gt;The reviewed studies were based mostly on developed countries, and countries were the social security system works effectively. We have not found a study on financial literacy and retirement planning that has been conducted in the DRC, which is a country with specific characteristics compared to developed countries.","author":[{"dropping-particle":"","family":"Safari","given":"Kulondwa","non-dropping-particle":"","parse-names":false,"suffix":""},{"dropping-particle":"","family":"Njoka","given":"Charity","non-dropping-particle":"","parse-names":false,"suffix":""},{"dropping-particle":"","family":"Munkwa","given":"Mugisho Guershom","non-dropping-particle":"","parse-names":false,"suffix":""}],"container-title":"Journal of Business and Socio-economic Development","id":"ITEM-1","issue":"2","issued":{"date-parts":[["2021","10","28"]]},"language":"English","note":"Name - International Bank for Reconstruction &amp;amp; Development--World Bank\n\nCopyright - © Kulondwa Safari, Charity Njoka and Mugisho Guershom Munkwa. This work is published under http://creativecommons.org/licences/by/4.0/legalcode (the “License”). Notwithstanding the ProQuest Terms and Conditions, you may use this content in accordance with the terms of the License.\n\nLast updated - 2023-12-02\n\nSubjectsTermNotLitGenreText - Congo-Democratic Republic of Congo","page":"121-134","publisher":"Emerald Group Publishing Limited PP - Manama","publisher-place":"Faculty of Economics and Management, Université Evangélique en Afrique, Bukavu, Congo (the Democratic Republic of The); Institut pour la Recherche en Statistique Appliquée (IRSA-UEA), Université Evangélique en Afrique, Bukavu, Congo (the Democratic Republ","title":"Financial literacy and personal retirement planning: a socioeconomic approach","type":"article-journal","volume":"1"},"uris":["http://www.mendeley.com/documents/?uuid=9deec3a7-2a58-4a2e-9dd9-a6f050995745"]}],"mendeley":{"formattedCitation":"(Safari et al., 2021)","plainTextFormattedCitation":"(Safari et al., 2021)","previouslyFormattedCitation":"(Safari et al., 2021)"},"properties":{"noteIndex":0},"schema":"https://github.com/citation-style-language/schema/raw/master/csl-citation.json"}</w:instrText>
      </w:r>
      <w:r w:rsidRPr="00D05EC2">
        <w:rPr>
          <w:rFonts w:ascii="Times New Roman" w:hAnsi="Times New Roman" w:cs="Times New Roman"/>
        </w:rPr>
        <w:fldChar w:fldCharType="separate"/>
      </w:r>
      <w:bookmarkStart w:id="78" w:name="Bookmark52"/>
      <w:r w:rsidRPr="00D05EC2">
        <w:rPr>
          <w:rFonts w:ascii="Times New Roman" w:hAnsi="Times New Roman" w:cs="Times New Roman"/>
          <w:b w:val="0"/>
          <w:bCs w:val="0"/>
          <w:i w:val="0"/>
          <w:iCs w:val="0"/>
          <w:noProof/>
        </w:rPr>
        <w:t>(</w:t>
      </w:r>
      <w:bookmarkStart w:id="79" w:name="Bookmark481"/>
      <w:r w:rsidRPr="00D05EC2">
        <w:rPr>
          <w:rFonts w:ascii="Times New Roman" w:hAnsi="Times New Roman" w:cs="Times New Roman"/>
          <w:b w:val="0"/>
          <w:bCs w:val="0"/>
          <w:i w:val="0"/>
          <w:iCs w:val="0"/>
          <w:noProof/>
        </w:rPr>
        <w:t>Safari et al., 2021)</w:t>
      </w:r>
      <w:r w:rsidRPr="00D05EC2">
        <w:rPr>
          <w:rFonts w:ascii="Times New Roman" w:hAnsi="Times New Roman" w:cs="Times New Roman"/>
        </w:rPr>
        <w:fldChar w:fldCharType="end"/>
      </w:r>
      <w:bookmarkEnd w:id="78"/>
      <w:bookmarkEnd w:id="79"/>
      <w:r w:rsidRPr="00D05EC2">
        <w:rPr>
          <w:rFonts w:ascii="Times New Roman" w:hAnsi="Times New Roman" w:cs="Times New Roman"/>
          <w:b w:val="0"/>
          <w:bCs w:val="0"/>
          <w:i w:val="0"/>
          <w:iCs w:val="0"/>
        </w:rPr>
        <w:t>.</w:t>
      </w:r>
      <w:r w:rsidRPr="00D05EC2">
        <w:rPr>
          <w:rFonts w:ascii="Times New Roman" w:hAnsi="Times New Roman" w:cs="Times New Roman"/>
          <w:i w:val="0"/>
          <w:iCs w:val="0"/>
        </w:rPr>
        <w:t xml:space="preserve"> </w:t>
      </w:r>
      <w:r w:rsidRPr="00D05EC2">
        <w:rPr>
          <w:rFonts w:ascii="Times New Roman" w:hAnsi="Times New Roman" w:cs="Times New Roman"/>
          <w:b w:val="0"/>
          <w:bCs w:val="0"/>
          <w:i w:val="0"/>
          <w:iCs w:val="0"/>
        </w:rPr>
        <w:t xml:space="preserve">According to the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{"citationItems":[{"id":"ITEM-1","itemData":{"URL":"https://ojk.go.id/","author":[{"dropping-particle":"","family":"Otoritas Jasa Keuangan","given":"","non-dropping-particle":"","parse-names":false,"suffix":""}],"container-title":"Otoritas Jasa Keuangan","id":"ITEM-1","issued":{"date-parts":[["2023"]]},"title":"Otoritas Jasa Keuangan","type":"webpage"},"uris":["http://www.mendeley.com/documents/?uuid=5da9d103-0b8a-476b-b9f4-428fe255b069"]}],"mendeley":{"formattedCitation":"(Otoritas Jasa Keuangan, 2023)","manualFormatting":"Otoritas Jasa Keuangan (2023","plainTextFormattedCitation":"(Otoritas Jasa Keuangan, 2023)","previouslyFormattedCitation":"(Otoritas Jasa Keuangan, 2023)"},"properties":{"noteIndex":0},"schema":"https://github.com/citation-style-language/schema/raw/master/csl-citation.json"}</w:instrText>
      </w:r>
      <w:r w:rsidRPr="00D05EC2">
        <w:rPr>
          <w:rFonts w:ascii="Times New Roman" w:hAnsi="Times New Roman" w:cs="Times New Roman"/>
        </w:rPr>
        <w:fldChar w:fldCharType="separate"/>
      </w:r>
      <w:bookmarkStart w:id="80" w:name="Bookmark53"/>
      <w:r w:rsidRPr="00D05EC2">
        <w:rPr>
          <w:rFonts w:ascii="Times New Roman" w:hAnsi="Times New Roman" w:cs="Times New Roman"/>
          <w:b w:val="0"/>
          <w:bCs w:val="0"/>
          <w:i w:val="0"/>
          <w:iCs w:val="0"/>
          <w:noProof/>
        </w:rPr>
        <w:t>O</w:t>
      </w:r>
      <w:bookmarkStart w:id="81" w:name="Bookmark491"/>
      <w:r w:rsidRPr="00D05EC2">
        <w:rPr>
          <w:rFonts w:ascii="Times New Roman" w:hAnsi="Times New Roman" w:cs="Times New Roman"/>
          <w:b w:val="0"/>
          <w:bCs w:val="0"/>
          <w:i w:val="0"/>
          <w:iCs w:val="0"/>
          <w:noProof/>
        </w:rPr>
        <w:t>toritas Jasa Keuangan (2023</w:t>
      </w:r>
      <w:r w:rsidRPr="00D05EC2">
        <w:rPr>
          <w:rFonts w:ascii="Times New Roman" w:hAnsi="Times New Roman" w:cs="Times New Roman"/>
        </w:rPr>
        <w:fldChar w:fldCharType="end"/>
      </w:r>
      <w:bookmarkEnd w:id="80"/>
      <w:bookmarkEnd w:id="81"/>
      <w:r w:rsidRPr="00D05EC2">
        <w:rPr>
          <w:rFonts w:ascii="Times New Roman" w:hAnsi="Times New Roman" w:cs="Times New Roman"/>
          <w:b w:val="0"/>
          <w:bCs w:val="0"/>
          <w:i w:val="0"/>
          <w:iCs w:val="0"/>
        </w:rPr>
        <w:t xml:space="preserve">), FL is </w:t>
      </w:r>
      <w:r w:rsidR="0012328B" w:rsidRPr="00D05EC2">
        <w:rPr>
          <w:rFonts w:ascii="Times New Roman" w:hAnsi="Times New Roman" w:cs="Times New Roman"/>
          <w:b w:val="0"/>
          <w:bCs w:val="0"/>
          <w:i w:val="0"/>
          <w:iCs w:val="0"/>
        </w:rPr>
        <w:t xml:space="preserve">defined as something to know, ability, belief that can influence attitudes and is related to financial activities so that the quality of deciding and managing their finances is improved so that they can be more prosperous, where it is known that high FL will be estimated to have better finances. </w:t>
      </w:r>
    </w:p>
    <w:p w14:paraId="4FE11F2D" w14:textId="77777777" w:rsidR="00D97723" w:rsidRPr="00D05EC2" w:rsidRDefault="00D97723">
      <w:pPr>
        <w:pStyle w:val="Heading2"/>
        <w:tabs>
          <w:tab w:val="left" w:pos="620"/>
        </w:tabs>
        <w:spacing w:before="93" w:line="276" w:lineRule="auto"/>
        <w:ind w:left="60" w:firstLine="0"/>
        <w:jc w:val="both"/>
        <w:rPr>
          <w:rFonts w:ascii="Times New Roman" w:hAnsi="Times New Roman" w:cs="Times New Roman"/>
          <w:b w:val="0"/>
          <w:bCs w:val="0"/>
          <w:i w:val="0"/>
          <w:iCs w:val="0"/>
          <w:sz w:val="24"/>
          <w:szCs w:val="24"/>
        </w:rPr>
      </w:pPr>
    </w:p>
    <w:p w14:paraId="0A75EB4D" w14:textId="441DEA3E" w:rsidR="00D97723" w:rsidRPr="00D6136B" w:rsidRDefault="00D05EC2">
      <w:pPr>
        <w:pStyle w:val="Heading2"/>
        <w:numPr>
          <w:ilvl w:val="1"/>
          <w:numId w:val="1"/>
        </w:numPr>
        <w:tabs>
          <w:tab w:val="left" w:pos="620"/>
        </w:tabs>
        <w:spacing w:before="93" w:line="276" w:lineRule="auto"/>
        <w:ind w:hanging="986"/>
        <w:jc w:val="both"/>
        <w:rPr>
          <w:rFonts w:ascii="Times New Roman" w:hAnsi="Times New Roman" w:cs="Times New Roman"/>
          <w:sz w:val="24"/>
          <w:szCs w:val="24"/>
        </w:rPr>
      </w:pPr>
      <w:r w:rsidRPr="00D6136B">
        <w:rPr>
          <w:rFonts w:ascii="Times New Roman" w:hAnsi="Times New Roman" w:cs="Times New Roman"/>
          <w:sz w:val="24"/>
          <w:szCs w:val="24"/>
        </w:rPr>
        <w:t>Intention</w:t>
      </w:r>
      <w:r w:rsidR="00456E38" w:rsidRPr="00D6136B">
        <w:rPr>
          <w:rFonts w:ascii="Times New Roman" w:hAnsi="Times New Roman" w:cs="Times New Roman"/>
          <w:sz w:val="24"/>
          <w:szCs w:val="24"/>
        </w:rPr>
        <w:t xml:space="preserve"> to Save (IS)</w:t>
      </w:r>
      <w:r w:rsidR="000F755A">
        <w:rPr>
          <w:rFonts w:ascii="Times New Roman" w:hAnsi="Times New Roman" w:cs="Times New Roman"/>
          <w:sz w:val="24"/>
          <w:szCs w:val="24"/>
        </w:rPr>
        <w:t xml:space="preserve"> </w:t>
      </w:r>
      <w:r w:rsidRPr="00D6136B">
        <w:rPr>
          <w:rFonts w:ascii="Times New Roman" w:hAnsi="Times New Roman" w:cs="Times New Roman"/>
          <w:sz w:val="24"/>
          <w:szCs w:val="24"/>
        </w:rPr>
        <w:t>-</w:t>
      </w:r>
      <w:r w:rsidR="00456E38" w:rsidRPr="00D6136B">
        <w:rPr>
          <w:rFonts w:ascii="Times New Roman" w:hAnsi="Times New Roman" w:cs="Times New Roman"/>
          <w:sz w:val="24"/>
          <w:szCs w:val="24"/>
        </w:rPr>
        <w:t xml:space="preserve"> X2</w:t>
      </w:r>
    </w:p>
    <w:p w14:paraId="68D0964D" w14:textId="7B10231D" w:rsidR="00D97723" w:rsidRPr="00D05EC2" w:rsidRDefault="00456E38" w:rsidP="004A5E0E">
      <w:pPr>
        <w:pStyle w:val="Heading2"/>
        <w:tabs>
          <w:tab w:val="left" w:pos="620"/>
        </w:tabs>
        <w:spacing w:before="93" w:line="276" w:lineRule="auto"/>
        <w:ind w:left="60" w:firstLine="0"/>
        <w:jc w:val="both"/>
        <w:rPr>
          <w:rFonts w:ascii="Times New Roman" w:hAnsi="Times New Roman" w:cs="Times New Roman"/>
          <w:strike/>
        </w:rPr>
      </w:pPr>
      <w:r w:rsidRPr="00D05EC2">
        <w:rPr>
          <w:rFonts w:ascii="Times New Roman" w:hAnsi="Times New Roman" w:cs="Times New Roman"/>
          <w:b w:val="0"/>
          <w:bCs w:val="0"/>
          <w:i w:val="0"/>
          <w:iCs w:val="0"/>
          <w:sz w:val="24"/>
          <w:szCs w:val="24"/>
        </w:rPr>
        <w:tab/>
      </w:r>
      <w:r w:rsidR="00413760">
        <w:rPr>
          <w:rFonts w:ascii="Times New Roman" w:hAnsi="Times New Roman" w:cs="Times New Roman"/>
          <w:b w:val="0"/>
          <w:bCs w:val="0"/>
          <w:i w:val="0"/>
          <w:iCs w:val="0"/>
        </w:rPr>
        <w:t>The i</w:t>
      </w:r>
      <w:r w:rsidRPr="00D05EC2">
        <w:rPr>
          <w:rFonts w:ascii="Times New Roman" w:hAnsi="Times New Roman" w:cs="Times New Roman"/>
          <w:b w:val="0"/>
          <w:bCs w:val="0"/>
          <w:i w:val="0"/>
          <w:iCs w:val="0"/>
        </w:rPr>
        <w:t xml:space="preserve">ntention may be the precede of the implementation of the activity which is real depends on several factors that affect it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{"citationItems":[{"id":"ITEM-1","itemData":{"DOI":"10.47985/dcidj.475","ISSN":"2211-5242","abstract":"Research dealing with various aspects of the theory of planned behavior (Ajzen, 1985, 1987) is reviewed, and some unresolved issues are discussed. In broad terms, the theory is found to be well supported by empirical evidence. Intentions to perform behaviors of different kinds can be predicted with high accuracy from attitudes toward the behavior, subjective norms, and perceived behavioral control; and these intentions, together with perceptions of behavioral control, account for considerable variance in actual behavior. Attitudes, subjective norms, and perceived behavioral control are shown to be related to appropriate sets of salient behavioral, normative, and control beliefs about the behavior, but the exact nature of these relations is still uncertain. Expectancyvalue formulations are found to be only partly successful in dealing with these relations. Optimal rescahng of expectancy and value measures is offered as a means of dealing with measurement limitations. Finally, inclusion of past behavior in the prediction equation is shown to provide a means of testing the theory’s sufficiency, another issue that remains unresolved. The limited available evidence concerning this question shows that the theory is predicting behavior quite well in comparison to the ceiling imposed by behavioral reliability.","author":[{"dropping-particle":"","family":"Ajzen","given":"Icek","non-dropping-particle":"","parse-names":false,"suffix":""}],"container-title":"Organizational Behavior and Human Decision Processes","id":"ITEM-1","issue":"1","issued":{"date-parts":[["1991","5","15"]]},"page":"52","title":"The Theory of Planned Behavior","type":"article-journal","volume":"33"},"uris":["http://www.mendeley.com/documents/?uuid=11d8eb31-6517-4e7c-b26e-b8503fb565c8"]}],"mendeley":{"formattedCitation":"(Ajzen, 1991)","plainTextFormattedCitation":"(Ajzen, 1991)","previouslyFormattedCitation":"(Ajzen, 1991)"},"properties":{"noteIndex":0},"schema":"https://github.com/citation-style-language/schema/raw/master/csl-citation.json"}</w:instrText>
      </w:r>
      <w:r w:rsidRPr="00D05EC2">
        <w:rPr>
          <w:rFonts w:ascii="Times New Roman" w:hAnsi="Times New Roman" w:cs="Times New Roman"/>
        </w:rPr>
        <w:fldChar w:fldCharType="separate"/>
      </w:r>
      <w:bookmarkStart w:id="82" w:name="Bookmark54"/>
      <w:r w:rsidRPr="00D05EC2">
        <w:rPr>
          <w:rFonts w:ascii="Times New Roman" w:hAnsi="Times New Roman" w:cs="Times New Roman"/>
          <w:b w:val="0"/>
          <w:bCs w:val="0"/>
          <w:i w:val="0"/>
          <w:iCs w:val="0"/>
          <w:noProof/>
          <w:lang w:val="en-ID"/>
        </w:rPr>
        <w:t>(</w:t>
      </w:r>
      <w:bookmarkStart w:id="83" w:name="Bookmark501"/>
      <w:r w:rsidRPr="00D05EC2">
        <w:rPr>
          <w:rFonts w:ascii="Times New Roman" w:hAnsi="Times New Roman" w:cs="Times New Roman"/>
          <w:b w:val="0"/>
          <w:bCs w:val="0"/>
          <w:i w:val="0"/>
          <w:iCs w:val="0"/>
          <w:noProof/>
          <w:lang w:val="en-ID"/>
        </w:rPr>
        <w:t>Ajzen, 1991)</w:t>
      </w:r>
      <w:r w:rsidRPr="00D05EC2">
        <w:rPr>
          <w:rFonts w:ascii="Times New Roman" w:hAnsi="Times New Roman" w:cs="Times New Roman"/>
        </w:rPr>
        <w:fldChar w:fldCharType="end"/>
      </w:r>
      <w:bookmarkEnd w:id="82"/>
      <w:bookmarkEnd w:id="83"/>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 xml:space="preserve">According to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{"citationItems":[{"id":"ITEM-1","itemData":{"DOI":"10.47985/dcidj.475","ISSN":"2211-5242","abstract":"Research dealing with various aspects of the theory of planned behavior (Ajzen, 1985, 1987) is reviewed, and some unresolved issues are discussed. In broad terms, the theory is found to be well supported by empirical evidence. Intentions to perform behaviors of different kinds can be predicted with high accuracy from attitudes toward the behavior, subjective norms, and perceived behavioral control; and these intentions, together with perceptions of behavioral control, account for considerable variance in actual behavior. Attitudes, subjective norms, and perceived behavioral control are shown to be related to appropriate sets of salient behavioral, normative, and control beliefs about the behavior, but the exact nature of these relations is still uncertain. Expectancyvalue formulations are found to be only partly successful in dealing with these relations. Optimal rescahng of expectancy and value measures is offered as a means of dealing with measurement limitations. Finally, inclusion of past behavior in the prediction equation is shown to provide a means of testing the theory’s sufficiency, another issue that remains unresolved. The limited available evidence concerning this question shows that the theory is predicting behavior quite well in comparison to the ceiling imposed by behavioral reliability.","author":[{"dropping-particle":"","family":"Ajzen","given":"Icek","non-dropping-particle":"","parse-names":false,"suffix":""}],"container-title":"Organizational Behavior and Human Decision Processes","id":"ITEM-1","issue":"1","issued":{"date-parts":[["1991","5","15"]]},"page":"52","title":"The Theory of Planned Behavior","type":"article-journal","volume":"33"},"uris":["http://www.mendeley.com/documents/?uuid=11d8eb31-6517-4e7c-b26e-b8503fb565c8"]}],"mendeley":{"formattedCitation":"(Ajzen, 1991)","manualFormatting":"Ajzen (1991)","plainTextFormattedCitation":"(Ajzen, 1991)","previouslyFormattedCitation":"(Ajzen, 1991)"},"properties":{"noteIndex":0},"schema":"https://github.com/citation-style-language/schema/raw/master/csl-citation.json"}</w:instrText>
      </w:r>
      <w:r w:rsidRPr="00D05EC2">
        <w:rPr>
          <w:rFonts w:ascii="Times New Roman" w:hAnsi="Times New Roman" w:cs="Times New Roman"/>
        </w:rPr>
        <w:fldChar w:fldCharType="separate"/>
      </w:r>
      <w:bookmarkStart w:id="84" w:name="Bookmark55"/>
      <w:bookmarkStart w:id="85" w:name="Bookmark511"/>
      <w:r w:rsidRPr="00D05EC2">
        <w:rPr>
          <w:rFonts w:ascii="Times New Roman" w:hAnsi="Times New Roman" w:cs="Times New Roman"/>
          <w:b w:val="0"/>
          <w:bCs w:val="0"/>
          <w:i w:val="0"/>
          <w:iCs w:val="0"/>
          <w:noProof/>
          <w:lang w:val="en-ID"/>
        </w:rPr>
        <w:t xml:space="preserve">Ajzen </w:t>
      </w:r>
      <w:r w:rsidR="004A5E0E" w:rsidRPr="00D05EC2">
        <w:rPr>
          <w:rFonts w:ascii="Times New Roman" w:hAnsi="Times New Roman" w:cs="Times New Roman"/>
          <w:b w:val="0"/>
          <w:bCs w:val="0"/>
          <w:i w:val="0"/>
          <w:iCs w:val="0"/>
          <w:noProof/>
          <w:lang w:val="en-ID"/>
        </w:rPr>
        <w:t>(</w:t>
      </w:r>
      <w:r w:rsidRPr="00D05EC2">
        <w:rPr>
          <w:rFonts w:ascii="Times New Roman" w:hAnsi="Times New Roman" w:cs="Times New Roman"/>
          <w:b w:val="0"/>
          <w:bCs w:val="0"/>
          <w:i w:val="0"/>
          <w:iCs w:val="0"/>
          <w:noProof/>
          <w:lang w:val="en-ID"/>
        </w:rPr>
        <w:t>1991)</w:t>
      </w:r>
      <w:r w:rsidRPr="00D05EC2">
        <w:rPr>
          <w:rFonts w:ascii="Times New Roman" w:hAnsi="Times New Roman" w:cs="Times New Roman"/>
        </w:rPr>
        <w:fldChar w:fldCharType="end"/>
      </w:r>
      <w:bookmarkEnd w:id="84"/>
      <w:bookmarkEnd w:id="85"/>
      <w:r w:rsidRPr="00D05EC2">
        <w:rPr>
          <w:rFonts w:ascii="Times New Roman" w:hAnsi="Times New Roman" w:cs="Times New Roman"/>
          <w:b w:val="0"/>
          <w:bCs w:val="0"/>
          <w:i w:val="0"/>
          <w:iCs w:val="0"/>
        </w:rPr>
        <w:t xml:space="preserve">, it is known that employees who work </w:t>
      </w:r>
      <w:r w:rsidR="007D6321" w:rsidRPr="00D05EC2">
        <w:rPr>
          <w:rFonts w:ascii="Times New Roman" w:hAnsi="Times New Roman" w:cs="Times New Roman"/>
          <w:b w:val="0"/>
          <w:bCs w:val="0"/>
          <w:i w:val="0"/>
          <w:iCs w:val="0"/>
        </w:rPr>
        <w:t xml:space="preserve">saving is motivated to do it if they behave correctly and have goals. </w:t>
      </w:r>
      <w:r w:rsidRPr="00D05EC2">
        <w:rPr>
          <w:rFonts w:ascii="Times New Roman" w:hAnsi="Times New Roman" w:cs="Times New Roman"/>
          <w:b w:val="0"/>
          <w:bCs w:val="0"/>
          <w:i w:val="0"/>
          <w:iCs w:val="0"/>
        </w:rPr>
        <w:t>As we get older,</w:t>
      </w:r>
      <w:r w:rsidR="007D6321" w:rsidRPr="00D05EC2">
        <w:rPr>
          <w:rFonts w:ascii="Times New Roman" w:hAnsi="Times New Roman" w:cs="Times New Roman"/>
          <w:b w:val="0"/>
          <w:bCs w:val="0"/>
          <w:i w:val="0"/>
          <w:iCs w:val="0"/>
        </w:rPr>
        <w:t xml:space="preserve"> saving funds for use after retirement becomes the main goal that can be implemented.</w:t>
      </w:r>
      <w:r w:rsidRPr="00D05EC2">
        <w:rPr>
          <w:rFonts w:ascii="Times New Roman" w:hAnsi="Times New Roman" w:cs="Times New Roman"/>
          <w:b w:val="0"/>
          <w:bCs w:val="0"/>
          <w:i w:val="0"/>
          <w:iCs w:val="0"/>
        </w:rPr>
        <w:t xml:space="preserve"> Certain factors that influence the intention to do something include attitudes, subjective norms and </w:t>
      </w:r>
      <w:r w:rsidR="0012328B" w:rsidRPr="00D05EC2">
        <w:rPr>
          <w:rFonts w:ascii="Times New Roman" w:hAnsi="Times New Roman" w:cs="Times New Roman"/>
          <w:b w:val="0"/>
          <w:bCs w:val="0"/>
          <w:i w:val="0"/>
          <w:iCs w:val="0"/>
        </w:rPr>
        <w:t xml:space="preserve">control over activities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{"citationItems":[{"id":"ITEM-1","itemData":{"abstract":"Practical data structures for the edit-sensitive parsing (ESP) are proposed. Given a string S, its ESP tree is equivalent to a context-free grammar G generating just S, which is represented by a DAG. Using the succinct data structures for trees and permutations, G is decomposed to two LOUDS bit strings and single array in (1+\\epsilon)n\\log n+4n+o(n) bits for any 0&lt;\\epsilon &lt;1 and the number n of variables in G. The time to count occurrences of P in S is in O(\\frac{1}{\\epsilon}(m\\log n+occ_c(\\log m\\log u)), whereas m = |P|, u = |S|, and occ_c is the number of occurrences of a maximal common subtree in ESPs of P and S. The efficiency of the proposed index is evaluated by the experiments conducted on several benchmarks complying with the other compressed indexes.","author":[{"dropping-particle":"","family":"Holst","given":"Anne","non-dropping-particle":"","parse-names":false,"suffix":""},{"dropping-particle":"","family":"Iversen","given":"Julie Maria","non-dropping-particle":"","parse-names":false,"suffix":""}],"container-title":"Copenhagen Business School","id":"ITEM-1","issued":{"date-parts":[["2011"]]},"title":"An Application of a Revised Theory of Planned Behavior : Predicting the Intention to Use Personal Care Products without Endocrine Disrupting Chemicals","type":"article-journal"},"uris":["http://www.mendeley.com/documents/?uuid=b9b3fbd6-e46c-457a-8803-85316d454068"]}],"mendeley":{"formattedCitation":"(Holst &amp; Iversen, 2011)","plainTextFormattedCitation":"(Holst &amp; Iversen, 2011)","previouslyFormattedCitation":"(Holst &amp; Iversen, 2011)"},"properties":{"noteIndex":0},"schema":"https://github.com/citation-style-language/schema/raw/master/csl-citation.json"}</w:instrText>
      </w:r>
      <w:r w:rsidRPr="00D05EC2">
        <w:rPr>
          <w:rFonts w:ascii="Times New Roman" w:hAnsi="Times New Roman" w:cs="Times New Roman"/>
        </w:rPr>
        <w:fldChar w:fldCharType="separate"/>
      </w:r>
      <w:bookmarkStart w:id="86" w:name="Bookmark56"/>
      <w:r w:rsidRPr="00D05EC2">
        <w:rPr>
          <w:rFonts w:ascii="Times New Roman" w:hAnsi="Times New Roman" w:cs="Times New Roman"/>
          <w:b w:val="0"/>
          <w:bCs w:val="0"/>
          <w:i w:val="0"/>
          <w:iCs w:val="0"/>
          <w:noProof/>
          <w:lang w:val="en-ID"/>
        </w:rPr>
        <w:t>(</w:t>
      </w:r>
      <w:bookmarkStart w:id="87" w:name="Bookmark521"/>
      <w:r w:rsidRPr="00D05EC2">
        <w:rPr>
          <w:rFonts w:ascii="Times New Roman" w:hAnsi="Times New Roman" w:cs="Times New Roman"/>
          <w:b w:val="0"/>
          <w:bCs w:val="0"/>
          <w:i w:val="0"/>
          <w:iCs w:val="0"/>
          <w:noProof/>
          <w:lang w:val="en-ID"/>
        </w:rPr>
        <w:t>Holst &amp; Iversen, 2011)</w:t>
      </w:r>
      <w:r w:rsidRPr="00D05EC2">
        <w:rPr>
          <w:rFonts w:ascii="Times New Roman" w:hAnsi="Times New Roman" w:cs="Times New Roman"/>
        </w:rPr>
        <w:fldChar w:fldCharType="end"/>
      </w:r>
      <w:bookmarkEnd w:id="86"/>
      <w:bookmarkEnd w:id="87"/>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 xml:space="preserve">Saving means </w:t>
      </w:r>
      <w:r w:rsidR="0012328B" w:rsidRPr="00D05EC2">
        <w:rPr>
          <w:rFonts w:ascii="Times New Roman" w:hAnsi="Times New Roman" w:cs="Times New Roman"/>
          <w:b w:val="0"/>
          <w:bCs w:val="0"/>
          <w:i w:val="0"/>
          <w:iCs w:val="0"/>
        </w:rPr>
        <w:t xml:space="preserve">save some of your income so that it can be used later, </w:t>
      </w:r>
      <w:r w:rsidRPr="00D05EC2">
        <w:rPr>
          <w:rFonts w:ascii="Times New Roman" w:hAnsi="Times New Roman" w:cs="Times New Roman"/>
          <w:b w:val="0"/>
          <w:bCs w:val="0"/>
          <w:i w:val="0"/>
          <w:iCs w:val="0"/>
        </w:rPr>
        <w:t xml:space="preserve">where the real reason is to accumulate savings for future consumption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{"citationItems":[{"id":"ITEM-1","itemData":{"DOI":"10.24136/eq.2019.027","ISSN":"2353-3293","abstract":"Research background: Preparation for retirement is a major concern for the people in the workforce as they have to encounter considerable difficulties in making the right investment decisions for their retirement. Purpose of the article: This research extends the literature on personal finance by investigating the impact of both financial literacy levels and pension knowledge on employees? investment choice decision for their retirement, while in previous literature the role of these factors has mainly been explored separately. Methods: To conduct the research, a survey questionnaire was applied to collect data in three main regions of Vietnam comprising Northern, Central and Southern Vietnam. Data collection was made in 2018, in which 427 valid questionnaires were used for data analysis from 700 questionnaires. Two estimation methods are employed for analysis in this study, including a linear probability model (LPM) and two-stage least squares (2SLS) model. The findings of this research remain significant after the Two-Stage Least Squares (2SLS) regression model is used as an estimation technique to eliminate potential bias caused by endogenous problems. Finding &amp; Value added: The results show that basic financial literacy level and pension knowledge are principal factors which significantly increase the probability of exercising retirement investment choice of employees, while advanced financial literacy level factor has a significant effect on choosing growth investing options for their retirement. Further, this research finds that there is no correlation between employees? financial risk tolerance and their retirement investment choice. Furthermore, the study proposes and offers new evidence that pension knowledge is a decisive factor providing employees with encouragement to exercise retirement investment choice and those who consult with financial advisors tend to take part in growth investing option.","author":[{"dropping-particle":"","family":"Nguyen","given":"Thi Anh Nhu","non-dropping-particle":"","parse-names":false,"suffix":""},{"dropping-particle":"","family":"Polách","given":"Jiří","non-dropping-particle":"","parse-names":false,"suffix":""},{"dropping-particle":"","family":"Vozňáková","given":"Iveta","non-dropping-particle":"","parse-names":false,"suffix":""}],"container-title":"Equilibrium. Quarterly Journal of Economics and Economic Policy","id":"ITEM-1","issue":"4","issued":{"date-parts":[["2019","12","31"]]},"page":"569-589","title":"The role of financial literacy in retirement investment choice","type":"article-journal","volume":"14"},"uris":["http://www.mendeley.com/documents/?uuid=e2ff1fa7-8804-40ec-8fc5-be3c66341385"]}],"mendeley":{"formattedCitation":"(T. A. N. Nguyen et al., 2019)","manualFormatting":"(Nguyen et al., 2019)","plainTextFormattedCitation":"(T. A. N. Nguyen et al., 2019)","previouslyFormattedCitation":"(T. A. N. Nguyen et al., 2019)"},"properties":{"noteIndex":0},"schema":"https://github.com/citation-style-language/schema/raw/master/csl-citation.json"}</w:instrText>
      </w:r>
      <w:r w:rsidRPr="00D05EC2">
        <w:rPr>
          <w:rFonts w:ascii="Times New Roman" w:hAnsi="Times New Roman" w:cs="Times New Roman"/>
        </w:rPr>
        <w:fldChar w:fldCharType="separate"/>
      </w:r>
      <w:bookmarkStart w:id="88" w:name="Bookmark57"/>
      <w:r w:rsidRPr="00D05EC2">
        <w:rPr>
          <w:rFonts w:ascii="Times New Roman" w:hAnsi="Times New Roman" w:cs="Times New Roman"/>
          <w:b w:val="0"/>
          <w:bCs w:val="0"/>
          <w:i w:val="0"/>
          <w:iCs w:val="0"/>
          <w:noProof/>
        </w:rPr>
        <w:t>(</w:t>
      </w:r>
      <w:bookmarkStart w:id="89" w:name="Bookmark531"/>
      <w:r w:rsidRPr="00D05EC2">
        <w:rPr>
          <w:rFonts w:ascii="Times New Roman" w:hAnsi="Times New Roman" w:cs="Times New Roman"/>
          <w:b w:val="0"/>
          <w:bCs w:val="0"/>
          <w:i w:val="0"/>
          <w:iCs w:val="0"/>
          <w:noProof/>
        </w:rPr>
        <w:t>Nguyen et al., 2019)</w:t>
      </w:r>
      <w:r w:rsidRPr="00D05EC2">
        <w:rPr>
          <w:rFonts w:ascii="Times New Roman" w:hAnsi="Times New Roman" w:cs="Times New Roman"/>
        </w:rPr>
        <w:fldChar w:fldCharType="end"/>
      </w:r>
      <w:bookmarkEnd w:id="88"/>
      <w:bookmarkEnd w:id="89"/>
      <w:r w:rsidRPr="00D05EC2">
        <w:rPr>
          <w:rFonts w:ascii="Times New Roman" w:hAnsi="Times New Roman" w:cs="Times New Roman"/>
          <w:b w:val="0"/>
          <w:bCs w:val="0"/>
          <w:i w:val="0"/>
          <w:iCs w:val="0"/>
        </w:rPr>
        <w:t xml:space="preserve">.  Saving has a purpose, some aim to invest and have a target to get a return, but others also aim to buy something you want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{"citationItems":[{"id":"ITEM-1","itemData":{"DOI":"10.1891/1052-3073.27.1.3","ISSN":"1052-3073","abstract":"The purpose of this study was to examine the relationship between financial literacy and financial behaviors among various age groups. Financial literacy was measured in three ways: objective financial knowledge, subjective financial knowledge or confidence, and subjective financial management ability. The age groups were 18–24, 25–34, 35–44, 45–54, 55–64, and 65 and older. Long-term financial behavior referred to retirement saving and investing behavior, whereas short-term financial behavior referred to spending and emergency saving behavior. In the full sample, both objective and subjective financial literacy variables were positively associated with long- and short-term financial behaviors. In the age subsamples, subjective financial knowledge or confidence was more strongly related to long- and short-term financial behavior than either objective financial knowledge or subjective financial management ability in the younger age groups. In the older age groups, objective financial knowledge was more strongly related to long-term financial behavior than either of the other two measures of financial literacy.","author":[{"dropping-particle":"","family":"Henager","given":"Robin","non-dropping-particle":"","parse-names":false,"suffix":""},{"dropping-particle":"","family":"Cude","given":"Brenda J.","non-dropping-particle":"","parse-names":false,"suffix":""}],"container-title":"Journal of Financial Counseling and Planning","id":"ITEM-1","issue":"1","issued":{"date-parts":[["2016"]]},"page":"3-19","title":"Financial Literacy and Long- and Short-Term Financial Behavior in Different Age Groups","type":"article-journal","volume":"27"},"uris":["http://www.mendeley.com/documents/?uuid=c08631ec-009a-4332-a144-5a35e08dabb1"]},{"id":"ITEM-2","itemData":{"ISSN":"18157556","abstract":"We study saving motives and household saving behavior in fifteen euro-area countries using the first wave of the Household Finance and Consumption Survey that covers the years 2008–11. We find that precautionary saving is the most commonly reported motive in all countries, followed by saving for old-age provision. Preferences for other motives are then rather heterogeneous across countries. Saving for home purchase and precautionary saving are monotonically decreasingly important with age. Variables related to the structure of the tax system and to the generosity of the social security and welfare systems are important determinants of household saving. As for actual saving behavior, we find that most households in the euro area perceived their expenses over the last twelve months to be about the same as expenses in a “normal” year in the past and about the same as income over the last twelve months. The analysis by country reveals some degree of heterogeneity for this measure of self-assessed household saving: the countries that were hit most severely by the financial crisis display higher financial stress.","author":[{"dropping-particle":"","family":"Blanc","given":"Julie","non-dropping-particle":"Le","parse-names":false,"suffix":""},{"dropping-particle":"","family":"Porpiglia","given":"Alessandro","non-dropping-particle":"","parse-names":false,"suffix":""},{"dropping-particle":"","family":"Teppa","given":"Federica","non-dropping-particle":"","parse-names":false,"suffix":""},{"dropping-particle":"","family":"Zhu","given":"Junyi","non-dropping-particle":"","parse-names":false,"suffix":""},{"dropping-particle":"","family":"Ziegelmeyer","given":"Michael","non-dropping-particle":"","parse-names":false,"suffix":""}],"container-title":"International Journal of Central Banking","id":"ITEM-2","issue":"2","issued":{"date-parts":[["2016"]]},"page":"15-69","title":"Household saving behavior in the Euro area","type":"article-journal","volume":"12"},"uris":["http://www.mendeley.com/documents/?uuid=579141ba-3288-47fe-867f-65623ed15c69"]}],"mendeley":{"formattedCitation":"(Henager &amp; Cude, 2016; Le Blanc et al., 2016)","manualFormatting":"(Henager &amp; Cude, 2016; and Le Blanc et al.,2016)","plainTextFormattedCitation":"(Henager &amp; Cude, 2016; Le Blanc et al., 2016)","previouslyFormattedCitation":"(Henager &amp; Cude, 2016; Le Blanc et al., 2016)"},"properties":{"noteIndex":0},"schema":"https://github.com/citation-style-language/schema/raw/master/csl-citation.json"}</w:instrText>
      </w:r>
      <w:r w:rsidRPr="00D05EC2">
        <w:rPr>
          <w:rFonts w:ascii="Times New Roman" w:hAnsi="Times New Roman" w:cs="Times New Roman"/>
        </w:rPr>
        <w:fldChar w:fldCharType="separate"/>
      </w:r>
      <w:bookmarkStart w:id="90" w:name="Bookmark58"/>
      <w:r w:rsidRPr="00D05EC2">
        <w:rPr>
          <w:rFonts w:ascii="Times New Roman" w:hAnsi="Times New Roman" w:cs="Times New Roman"/>
          <w:b w:val="0"/>
          <w:bCs w:val="0"/>
          <w:i w:val="0"/>
          <w:iCs w:val="0"/>
          <w:noProof/>
          <w:lang w:val="en-ID"/>
        </w:rPr>
        <w:t>(</w:t>
      </w:r>
      <w:bookmarkStart w:id="91" w:name="Bookmark541"/>
      <w:r w:rsidRPr="00D05EC2">
        <w:rPr>
          <w:rFonts w:ascii="Times New Roman" w:hAnsi="Times New Roman" w:cs="Times New Roman"/>
          <w:b w:val="0"/>
          <w:bCs w:val="0"/>
          <w:i w:val="0"/>
          <w:iCs w:val="0"/>
          <w:noProof/>
          <w:lang w:val="en-ID"/>
        </w:rPr>
        <w:t>Henager &amp; Cude, 2016; and Le Blanc et al.,2016)</w:t>
      </w:r>
      <w:r w:rsidRPr="00D05EC2">
        <w:rPr>
          <w:rFonts w:ascii="Times New Roman" w:hAnsi="Times New Roman" w:cs="Times New Roman"/>
        </w:rPr>
        <w:fldChar w:fldCharType="end"/>
      </w:r>
      <w:bookmarkEnd w:id="90"/>
      <w:bookmarkEnd w:id="91"/>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 xml:space="preserve">There are also those who save in order to overcome emergency conditions that were previously unable to overcome before saving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{"citationItems":[{"id":"ITEM-1","itemData":{"DOI":"10.22630/ASPE.2021.20.1.4","ISSN":"2450-047X","abstract":"To reflect the financial situation of households, especially for emergencies, the main purpose of this research is to analyze financial behavior in relation to savings. This research explains the interaction of minimum savings rules and committed forms of saving, which means that the use of personal budgets depends on financial behavior due to insecurity and the financial situation of families. The research is consistent with some empirical findings on financial behavior in relation to savings, which affect the growth or decline of the economy, because the lower the well-being of families the lower the economic growth or vice versa. The validation of the hypotheses was realized through the analysis of field findings, using the econometric model of savings in relation to financial behavior through factor analysis, reliability analysis and multiple regression analysis. The main finding of this research is the lack of financial behavior to save for emergencies. These findings are important in order for households to be aware of financial behavior in relation to savings, because there is no emergency fund to cover their needs.","author":[{"dropping-particle":"","family":"Lulaj","given":"Enkeleda","non-dropping-particle":"","parse-names":false,"suffix":""},{"dropping-particle":"","family":"Dragusha","given":"Blerta","non-dropping-particle":"","parse-names":false,"suffix":""},{"dropping-particle":"","family":"Lulaj","given":"Donjeta","non-dropping-particle":"","parse-names":false,"suffix":""},{"dropping-particle":"","family":"Rustaj","given":"Vjollca","non-dropping-particle":"","parse-names":false,"suffix":""},{"dropping-particle":"","family":"Gashi","given":"Albiona","non-dropping-particle":"","parse-names":false,"suffix":""}],"container-title":"Acta Scientiarum Polonorum. Oeconomia","id":"ITEM-1","issue":"1","issued":{"date-parts":[["2021","3","31"]]},"page":"35-48","title":"Households Savings And Financial Behavior In Relation To The Ability To Handle Financial Emergencies: Case Study Of Kosovo","type":"article-journal","volume":"20"},"uris":["http://www.mendeley.com/documents/?uuid=b83e257d-a206-4c5d-b17a-d7fb1961369e"]}],"mendeley":{"formattedCitation":"(Lulaj et al., 2021)","manualFormatting":"(Lulaj et al., 2021)","plainTextFormattedCitation":"(Lulaj et al., 2021)","previouslyFormattedCitation":"(Lulaj et al., 2021)"},"properties":{"noteIndex":0},"schema":"https://github.com/citation-style-language/schema/raw/master/csl-citation.json"}</w:instrText>
      </w:r>
      <w:r w:rsidRPr="00D05EC2">
        <w:rPr>
          <w:rFonts w:ascii="Times New Roman" w:hAnsi="Times New Roman" w:cs="Times New Roman"/>
        </w:rPr>
        <w:fldChar w:fldCharType="separate"/>
      </w:r>
      <w:bookmarkStart w:id="92" w:name="Bookmark59"/>
      <w:r w:rsidRPr="00D05EC2">
        <w:rPr>
          <w:rFonts w:ascii="Times New Roman" w:hAnsi="Times New Roman" w:cs="Times New Roman"/>
          <w:b w:val="0"/>
          <w:bCs w:val="0"/>
          <w:i w:val="0"/>
          <w:iCs w:val="0"/>
          <w:noProof/>
          <w:lang w:val="en-ID"/>
        </w:rPr>
        <w:t>(</w:t>
      </w:r>
      <w:bookmarkStart w:id="93" w:name="Bookmark551"/>
      <w:r w:rsidRPr="00D05EC2">
        <w:rPr>
          <w:rFonts w:ascii="Times New Roman" w:hAnsi="Times New Roman" w:cs="Times New Roman"/>
          <w:b w:val="0"/>
          <w:bCs w:val="0"/>
          <w:i w:val="0"/>
          <w:iCs w:val="0"/>
          <w:noProof/>
          <w:lang w:val="en-ID"/>
        </w:rPr>
        <w:t>Lulaj et al., 2021)</w:t>
      </w:r>
      <w:r w:rsidRPr="00D05EC2">
        <w:rPr>
          <w:rFonts w:ascii="Times New Roman" w:hAnsi="Times New Roman" w:cs="Times New Roman"/>
        </w:rPr>
        <w:fldChar w:fldCharType="end"/>
      </w:r>
      <w:bookmarkEnd w:id="92"/>
      <w:bookmarkEnd w:id="93"/>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 xml:space="preserve">Saving varies according to age and gender. Each individual saves according to their own goals, there are individuals who save for retirement funds, invest, or to buy what they want such as equipment. In addition, there is a variety of individuals who have a tendency to save, such as those who have recently worked or who have had more extensive work experience </w:t>
      </w:r>
      <w:r w:rsidRPr="00D05EC2">
        <w:rPr>
          <w:rFonts w:ascii="Times New Roman" w:hAnsi="Times New Roman" w:cs="Times New Roman"/>
          <w:b w:val="0"/>
          <w:bCs w:val="0"/>
          <w:i w:val="0"/>
          <w:iCs w:val="0"/>
          <w:lang w:val="en-ID"/>
        </w:rPr>
        <w:t>(</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{"citationItems":[{"id":"ITEM-1","itemData":{"ISSN":"23041013","abstract":"In the workplace, it is common to encounter diverse employees spanning various generations, each with unique priorities and needs. This descriptive-correlational study aims to determine why working professionals, when grouped by generation, save and what affects their intention to save and their actual saving behavior. A researcher-developed survey questionnaire was used to gather data from 1 133 working professions. Structural equation modeling was utilized to determine the relationships among the variables. The study differentiated the effects of different factors on their saving behavior considering the generation to which they belong. Results show that working professionals consider savings for emergency needs essential. Savings for basic needs is their priority, but they start to consider saving for retirement as they age. Attitude is the most important factor affecting their intention to save. In contrast, financial literacy does not affect the intention of the Baby Boomers and Gen Z to save, just as social influence does not affect the intention of Gen Z professionals. The study also proved that working professionals do not just intend to save, but they save. Demographic factors of different generations affect the saving behavior of respondents. The study contributes to the existing literature on financial behavior and saving goals and has practical implications to promote positive saving behaviors and enhance financial well-being among all ages. Additionally, policymakers can utilize the findings to design targeted interventions and policies that encourage responsible saving and financial security across generations.","author":[{"dropping-particle":"","family":"Uy","given":"Chin","non-dropping-particle":"","parse-names":false,"suffix":""},{"dropping-particle":"","family":"Manalo","given":"Ronaldo A.","non-dropping-particle":"","parse-names":false,"suffix":""},{"dropping-particle":"","family":"Bayona","given":"Shirlene P.","non-dropping-particle":"","parse-names":false,"suffix":""}],"container-title":"Review of Integrative Business and Economics Research","id":"ITEM-1","issue":"2","issued":{"date-parts":[["2024"]]},"page":"372-390","title":"Determinants of Saving Behavior of Working Professionals: An Intergenerational Perspective","type":"article-journal","volume":"13"},"uris":["http://www.mendeley.com/documents/?uuid=7f11694a-8f70-41d5-aee1-74ec49439c5c"]}],"mendeley":{"formattedCitation":"(Uy et al., 2024)","manualFormatting":"Uy et al.,2024 ","plainTextFormattedCitation":"(Uy et al., 2024)","previouslyFormattedCitation":"(Uy et al., 2024)"},"properties":{"noteIndex":0},"schema":"https://github.com/citation-style-language/schema/raw/master/csl-citation.json"}</w:instrText>
      </w:r>
      <w:r w:rsidRPr="00D05EC2">
        <w:rPr>
          <w:rFonts w:ascii="Times New Roman" w:hAnsi="Times New Roman" w:cs="Times New Roman"/>
        </w:rPr>
        <w:fldChar w:fldCharType="separate"/>
      </w:r>
      <w:bookmarkStart w:id="94" w:name="Bookmark60"/>
      <w:r w:rsidRPr="00D05EC2">
        <w:rPr>
          <w:rFonts w:ascii="Times New Roman" w:hAnsi="Times New Roman" w:cs="Times New Roman"/>
          <w:b w:val="0"/>
          <w:bCs w:val="0"/>
          <w:i w:val="0"/>
          <w:iCs w:val="0"/>
          <w:noProof/>
          <w:lang w:val="en-ID"/>
        </w:rPr>
        <w:t>U</w:t>
      </w:r>
      <w:bookmarkStart w:id="95" w:name="Bookmark561"/>
      <w:r w:rsidRPr="00D05EC2">
        <w:rPr>
          <w:rFonts w:ascii="Times New Roman" w:hAnsi="Times New Roman" w:cs="Times New Roman"/>
          <w:b w:val="0"/>
          <w:bCs w:val="0"/>
          <w:i w:val="0"/>
          <w:iCs w:val="0"/>
          <w:noProof/>
          <w:lang w:val="en-ID"/>
        </w:rPr>
        <w:t xml:space="preserve">y et al.,2024 </w:t>
      </w:r>
      <w:r w:rsidRPr="00D05EC2">
        <w:rPr>
          <w:rFonts w:ascii="Times New Roman" w:hAnsi="Times New Roman" w:cs="Times New Roman"/>
        </w:rPr>
        <w:fldChar w:fldCharType="end"/>
      </w:r>
      <w:bookmarkEnd w:id="94"/>
      <w:bookmarkEnd w:id="95"/>
      <w:r w:rsidRPr="00D05EC2">
        <w:rPr>
          <w:rFonts w:ascii="Times New Roman" w:hAnsi="Times New Roman" w:cs="Times New Roman"/>
          <w:b w:val="0"/>
          <w:bCs w:val="0"/>
          <w:i w:val="0"/>
          <w:iCs w:val="0"/>
          <w:lang w:val="en-ID"/>
        </w:rPr>
        <w:t>)</w:t>
      </w:r>
      <w:r w:rsidRPr="00D05EC2">
        <w:rPr>
          <w:rFonts w:ascii="Times New Roman" w:hAnsi="Times New Roman" w:cs="Times New Roman"/>
          <w:b w:val="0"/>
          <w:bCs w:val="0"/>
          <w:i w:val="0"/>
          <w:iCs w:val="0"/>
        </w:rPr>
        <w:t xml:space="preserve">. According to research by </w:t>
      </w:r>
      <w:r w:rsidRPr="00D05EC2">
        <w:rPr>
          <w:rFonts w:ascii="Times New Roman" w:hAnsi="Times New Roman" w:cs="Times New Roman"/>
          <w:b w:val="0"/>
          <w:bCs w:val="0"/>
          <w:i w:val="0"/>
          <w:iCs w:val="0"/>
          <w:lang w:val="en-ID"/>
        </w:rPr>
        <w:t xml:space="preserve">Uy et al. (2024) </w:t>
      </w:r>
      <w:r w:rsidR="0012328B" w:rsidRPr="00D05EC2">
        <w:rPr>
          <w:rFonts w:ascii="Times New Roman" w:hAnsi="Times New Roman" w:cs="Times New Roman"/>
          <w:b w:val="0"/>
          <w:bCs w:val="0"/>
          <w:i w:val="0"/>
          <w:iCs w:val="0"/>
          <w:lang w:val="en-ID"/>
        </w:rPr>
        <w:t>can prove the results of his research where FL affects a person’s intention to save their money in savings</w:t>
      </w:r>
      <w:r w:rsidR="004A5E0E" w:rsidRPr="00D05EC2">
        <w:rPr>
          <w:rFonts w:ascii="Times New Roman" w:hAnsi="Times New Roman" w:cs="Times New Roman"/>
          <w:b w:val="0"/>
          <w:bCs w:val="0"/>
          <w:i w:val="0"/>
          <w:iCs w:val="0"/>
          <w:lang w:val="en-ID"/>
        </w:rPr>
        <w:t>.</w:t>
      </w:r>
    </w:p>
    <w:p w14:paraId="2523040E" w14:textId="77777777" w:rsidR="00D97723" w:rsidRPr="00D05EC2" w:rsidRDefault="00D97723">
      <w:pPr>
        <w:pStyle w:val="Heading2"/>
        <w:tabs>
          <w:tab w:val="left" w:pos="620"/>
        </w:tabs>
        <w:spacing w:before="93" w:line="276" w:lineRule="auto"/>
        <w:ind w:left="60" w:firstLine="0"/>
        <w:jc w:val="both"/>
        <w:rPr>
          <w:rFonts w:ascii="Times New Roman" w:hAnsi="Times New Roman" w:cs="Times New Roman"/>
          <w:b w:val="0"/>
          <w:bCs w:val="0"/>
          <w:i w:val="0"/>
          <w:iCs w:val="0"/>
          <w:sz w:val="24"/>
          <w:szCs w:val="24"/>
        </w:rPr>
      </w:pPr>
    </w:p>
    <w:p w14:paraId="4B5F5F22" w14:textId="0D7106C8" w:rsidR="00D97723" w:rsidRPr="00D6136B" w:rsidRDefault="00456E38">
      <w:pPr>
        <w:pStyle w:val="Heading2"/>
        <w:numPr>
          <w:ilvl w:val="1"/>
          <w:numId w:val="1"/>
        </w:numPr>
        <w:tabs>
          <w:tab w:val="left" w:pos="620"/>
        </w:tabs>
        <w:spacing w:before="93" w:line="276" w:lineRule="auto"/>
        <w:ind w:hanging="986"/>
        <w:rPr>
          <w:rFonts w:ascii="Times New Roman" w:hAnsi="Times New Roman" w:cs="Times New Roman"/>
          <w:sz w:val="24"/>
          <w:szCs w:val="24"/>
        </w:rPr>
      </w:pPr>
      <w:r w:rsidRPr="00D6136B">
        <w:rPr>
          <w:rFonts w:ascii="Times New Roman" w:hAnsi="Times New Roman" w:cs="Times New Roman"/>
          <w:sz w:val="24"/>
          <w:szCs w:val="24"/>
        </w:rPr>
        <w:t>Saving Behavior (SB)</w:t>
      </w:r>
      <w:r w:rsidR="000F755A">
        <w:rPr>
          <w:rFonts w:ascii="Times New Roman" w:hAnsi="Times New Roman" w:cs="Times New Roman"/>
          <w:sz w:val="24"/>
          <w:szCs w:val="24"/>
        </w:rPr>
        <w:t xml:space="preserve"> </w:t>
      </w:r>
      <w:r w:rsidRPr="00D6136B">
        <w:rPr>
          <w:rFonts w:ascii="Times New Roman" w:hAnsi="Times New Roman" w:cs="Times New Roman"/>
          <w:sz w:val="24"/>
          <w:szCs w:val="24"/>
        </w:rPr>
        <w:t>- X3</w:t>
      </w:r>
    </w:p>
    <w:p w14:paraId="24D17139" w14:textId="3B55BFA1" w:rsidR="00D97723" w:rsidRPr="00D05EC2" w:rsidRDefault="00456E38">
      <w:pPr>
        <w:pStyle w:val="Heading2"/>
        <w:tabs>
          <w:tab w:val="left" w:pos="620"/>
        </w:tabs>
        <w:spacing w:before="93" w:line="276" w:lineRule="auto"/>
        <w:ind w:left="60" w:firstLine="0"/>
        <w:jc w:val="both"/>
        <w:rPr>
          <w:rFonts w:ascii="Times New Roman" w:hAnsi="Times New Roman" w:cs="Times New Roman"/>
        </w:rPr>
      </w:pPr>
      <w:r w:rsidRPr="00D05EC2">
        <w:rPr>
          <w:rFonts w:ascii="Times New Roman" w:hAnsi="Times New Roman" w:cs="Times New Roman"/>
          <w:b w:val="0"/>
          <w:bCs w:val="0"/>
          <w:i w:val="0"/>
          <w:iCs w:val="0"/>
          <w:sz w:val="24"/>
          <w:szCs w:val="24"/>
        </w:rPr>
        <w:tab/>
      </w:r>
      <w:r w:rsidRPr="00D05EC2">
        <w:rPr>
          <w:rFonts w:ascii="Times New Roman" w:hAnsi="Times New Roman" w:cs="Times New Roman"/>
          <w:b w:val="0"/>
          <w:bCs w:val="0"/>
          <w:i w:val="0"/>
          <w:iCs w:val="0"/>
        </w:rPr>
        <w:t xml:space="preserve">Saving Behavior from a financial point of view, saving behavior will develop if the amount of money spent to spend is less than the income earned and monthly expenses that have been limited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{"citationItems":[{"id":"ITEM-1","itemData":{"DOI":"10.2991/iceb-15.2015.35","abstract":"This paper analyses the relationship of saving behavior to financial\\nmanagement practice, financial distress, and financial literacy. This\\npaper utilized questionnaire-based surveys to obtain information about\\nsaving behavior. The sample comprised of 150 KUIS staffs in academic and\\nadministration department. The study provides an in-depth analysis of\\nrespondents' financial management practice, financial distress, and\\nfinancial literacy was measured with a 5-point Likert scale. The\\nfindings show that all the financial management practice, financial\\ndistress, and financial literacy have positive association with the\\nsaving behavior. All these 3 independent variables significantly\\npredicted saving behavior. Furthermore, financial management practiceis\\nthe major determinants of saving behavior due to the strongest\\nrelationship with saving behavior. The results also indicate that KUIS\\nneed for financial education programs for staff to be directed at\\nfacilitating changes in financial management practices, diminish\\nfinancial distress and improving financial knowledge. We have\\nrecommended that workplace financial education programs could improve\\nstaffs' financial constraints by reducing financial distress.","author":[{"dropping-particle":"","family":"Ahmad","given":"Nurul Wajhi","non-dropping-particle":"","parse-names":false,"suffix":""},{"dropping-particle":"","family":"Yunus","given":"Mawar Murni","non-dropping-particle":"","parse-names":false,"suffix":""},{"dropping-particle":"","family":"Baharudin","given":"Nuzul Akhtar","non-dropping-particle":"","parse-names":false,"suffix":""},{"dropping-particle":"","family":"Johari","given":"Norhanizah","non-dropping-particle":"","parse-names":false,"suffix":""},{"dropping-particle":"","family":"Ripain","given":"Norazlina","non-dropping-particle":"","parse-names":false,"suffix":""}],"container-title":"Proceedings of the International Conference on Economics and Banking 2015","id":"ITEM-1","issue":"January","issued":{"date-parts":[["2015"]]},"title":"Determinant of Saving Behavior among Staff in International Islamic University College Selangor","type":"article-journal","volume":"5"},"uris":["http://www.mendeley.com/documents/?uuid=ff86ce0b-44f4-4813-b112-7bbbc3b7f284"]}],"mendeley":{"formattedCitation":"(Ahmad et al., 2015)","manualFormatting":"(Ahmad et al.,2015)","plainTextFormattedCitation":"(Ahmad et al., 2015)","previouslyFormattedCitation":"(Ahmad et al., 2015)"},"properties":{"noteIndex":0},"schema":"https://github.com/citation-style-language/schema/raw/master/csl-citation.json"}</w:instrText>
      </w:r>
      <w:r w:rsidRPr="00D05EC2">
        <w:rPr>
          <w:rFonts w:ascii="Times New Roman" w:hAnsi="Times New Roman" w:cs="Times New Roman"/>
        </w:rPr>
        <w:fldChar w:fldCharType="separate"/>
      </w:r>
      <w:bookmarkStart w:id="96" w:name="Bookmark62"/>
      <w:r w:rsidRPr="00D05EC2">
        <w:rPr>
          <w:rFonts w:ascii="Times New Roman" w:hAnsi="Times New Roman" w:cs="Times New Roman"/>
          <w:b w:val="0"/>
          <w:bCs w:val="0"/>
          <w:i w:val="0"/>
          <w:iCs w:val="0"/>
          <w:noProof/>
          <w:lang w:val="en-ID"/>
        </w:rPr>
        <w:t>(</w:t>
      </w:r>
      <w:bookmarkStart w:id="97" w:name="Bookmark571"/>
      <w:r w:rsidRPr="00D05EC2">
        <w:rPr>
          <w:rFonts w:ascii="Times New Roman" w:hAnsi="Times New Roman" w:cs="Times New Roman"/>
          <w:b w:val="0"/>
          <w:bCs w:val="0"/>
          <w:i w:val="0"/>
          <w:iCs w:val="0"/>
          <w:noProof/>
          <w:lang w:val="en-ID"/>
        </w:rPr>
        <w:t>Ahmad et al.,2015)</w:t>
      </w:r>
      <w:r w:rsidRPr="00D05EC2">
        <w:rPr>
          <w:rFonts w:ascii="Times New Roman" w:hAnsi="Times New Roman" w:cs="Times New Roman"/>
        </w:rPr>
        <w:fldChar w:fldCharType="end"/>
      </w:r>
      <w:bookmarkEnd w:id="96"/>
      <w:bookmarkEnd w:id="97"/>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 xml:space="preserve">Saving is the main thing in avoiding debt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{"citationItems":[{"id":"ITEM-1","itemData":{"ISSN":"2455-8834","abstract":"This study examines the perennial conflicts between herdsmen and farmers in Nigeria with a view to unravelling the historical trajectory, causes, dynamics and consequences of the conflict. The paper adopts Frustration and Aggression Theory as the theoretical frameworks upon which the study is anchored and it discovered that beyond environmental scarcity, expansive use of land for non-agricultural reasons, land ownership system, ethno-religious intolerance, quest for cost minimisation, unregulated transhumance, security threats from Boko Haram attacks, lack of effective institutional mechanism of conflict mediation among others are some of the causes of agro-pastoral conflicts in Nigeria. The study extensively relies on secondary sources of data such as newspapers, journal articles, and policy brief Papers. It also argues in favour Ranching rather than the establishment grazing reserves and routes across the states in Nigeria as the solution to this perennial conflict.","author":[{"dropping-particle":"","family":"Alexandra","given":"Luksander","non-dropping-particle":"","parse-names":false,"suffix":""},{"dropping-particle":"","family":"Erzsébet","given":"Németh","non-dropping-particle":"","parse-names":false,"suffix":""},{"dropping-particle":"","family":"Boglárka","given":"Zsótér","non-dropping-particle":"","parse-names":false,"suffix":""}],"container-title":"International Journal of Social Science and Economic Research","id":"ITEM-1","issue":"09","issued":{"date-parts":[["2017"]]},"page":"4687-4704","title":"Financial Personality Types and Attitudes that Affect Financial Indebtedness","type":"article-journal","volume":"02"},"uris":["http://www.mendeley.com/documents/?uuid=a8501def-8392-4c74-9a86-543bdf867a6d"]}],"mendeley":{"formattedCitation":"(Alexandra et al., 2017)","manualFormatting":"(Alexandra et al.,2017)","plainTextFormattedCitation":"(Alexandra et al., 2017)","previouslyFormattedCitation":"(Alexandra et al., 2017)"},"properties":{"noteIndex":0},"schema":"https://github.com/citation-style-language/schema/raw/master/csl-citation.json"}</w:instrText>
      </w:r>
      <w:r w:rsidRPr="00D05EC2">
        <w:rPr>
          <w:rFonts w:ascii="Times New Roman" w:hAnsi="Times New Roman" w:cs="Times New Roman"/>
        </w:rPr>
        <w:fldChar w:fldCharType="separate"/>
      </w:r>
      <w:bookmarkStart w:id="98" w:name="Bookmark63"/>
      <w:r w:rsidRPr="00D05EC2">
        <w:rPr>
          <w:rFonts w:ascii="Times New Roman" w:hAnsi="Times New Roman" w:cs="Times New Roman"/>
          <w:b w:val="0"/>
          <w:bCs w:val="0"/>
          <w:i w:val="0"/>
          <w:iCs w:val="0"/>
          <w:noProof/>
          <w:lang w:val="en-ID"/>
        </w:rPr>
        <w:t>(</w:t>
      </w:r>
      <w:bookmarkStart w:id="99" w:name="Bookmark581"/>
      <w:r w:rsidRPr="00D05EC2">
        <w:rPr>
          <w:rFonts w:ascii="Times New Roman" w:hAnsi="Times New Roman" w:cs="Times New Roman"/>
          <w:b w:val="0"/>
          <w:bCs w:val="0"/>
          <w:i w:val="0"/>
          <w:iCs w:val="0"/>
          <w:noProof/>
          <w:lang w:val="en-ID"/>
        </w:rPr>
        <w:t>Alexandra et al.,2017)</w:t>
      </w:r>
      <w:r w:rsidRPr="00D05EC2">
        <w:rPr>
          <w:rFonts w:ascii="Times New Roman" w:hAnsi="Times New Roman" w:cs="Times New Roman"/>
        </w:rPr>
        <w:fldChar w:fldCharType="end"/>
      </w:r>
      <w:bookmarkEnd w:id="98"/>
      <w:bookmarkEnd w:id="99"/>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{"citationItems":[{"id":"ITEM-1","itemData":{"abstract":"This paper seeks to examine the saving behaviour among TAJ International College students. The study is used primary data by questionnaires. Convenience sampling method is used in collecting the data and the results compiled by using SPSS software system. Accordingly, this study appears for the purpose of investigating how three factors, namely financial literacy, parental socialization and peer influence affect saving behaviour based on the Theory of Planned Behaviour (TPB).","author":[{"dropping-particle":"","family":"Hashim","given":"Helmi","non-dropping-particle":"","parse-names":false,"suffix":""},{"dropping-particle":"","family":"Jamalludin","given":"","non-dropping-particle":"","parse-names":false,"suffix":""},{"dropping-particle":"","family":"Kamarudin","given":"Zurina","non-dropping-particle":"","parse-names":false,"suffix":""}],"container-title":"The Journal of Management and Science (ALQIMAH)","id":"ITEM-1","issue":"1","issued":{"date-parts":[["2018"]]},"title":"Factors Affecting the Saving Behaviour of Taj International College Students","type":"article-journal","volume":"4"},"uris":["http://www.mendeley.com/documents/?uuid=b3e88047-21b0-4a5f-ba96-0fa4c9265bd4"]}],"mendeley":{"formattedCitation":"(Hashim et al., 2018)","manualFormatting":"Kamarudin &amp; Hashim (2018","plainTextFormattedCitation":"(Hashim et al., 2018)","previouslyFormattedCitation":"(Hashim et al., 2018)"},"properties":{"noteIndex":0},"schema":"https://github.com/citation-style-language/schema/raw/master/csl-citation.json"}</w:instrText>
      </w:r>
      <w:r w:rsidRPr="00D05EC2">
        <w:rPr>
          <w:rFonts w:ascii="Times New Roman" w:hAnsi="Times New Roman" w:cs="Times New Roman"/>
        </w:rPr>
        <w:fldChar w:fldCharType="separate"/>
      </w:r>
      <w:bookmarkStart w:id="100" w:name="Bookmark64"/>
      <w:r w:rsidRPr="00D05EC2">
        <w:rPr>
          <w:rFonts w:ascii="Times New Roman" w:hAnsi="Times New Roman" w:cs="Times New Roman"/>
          <w:b w:val="0"/>
          <w:bCs w:val="0"/>
          <w:i w:val="0"/>
          <w:iCs w:val="0"/>
          <w:noProof/>
          <w:lang w:val="en-ID"/>
        </w:rPr>
        <w:t>K</w:t>
      </w:r>
      <w:bookmarkStart w:id="101" w:name="Bookmark591"/>
      <w:r w:rsidRPr="00D05EC2">
        <w:rPr>
          <w:rFonts w:ascii="Times New Roman" w:hAnsi="Times New Roman" w:cs="Times New Roman"/>
          <w:b w:val="0"/>
          <w:bCs w:val="0"/>
          <w:i w:val="0"/>
          <w:iCs w:val="0"/>
          <w:noProof/>
          <w:lang w:val="en-ID"/>
        </w:rPr>
        <w:t>amarudin &amp; Hashim (2018</w:t>
      </w:r>
      <w:r w:rsidRPr="00D05EC2">
        <w:rPr>
          <w:rFonts w:ascii="Times New Roman" w:hAnsi="Times New Roman" w:cs="Times New Roman"/>
        </w:rPr>
        <w:fldChar w:fldCharType="end"/>
      </w:r>
      <w:bookmarkEnd w:id="100"/>
      <w:bookmarkEnd w:id="101"/>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b w:val="0"/>
          <w:bCs w:val="0"/>
          <w:i w:val="0"/>
          <w:iCs w:val="0"/>
        </w:rPr>
        <w:t>define saving behavior as a psychological action so as not to use the money for current shopping and save it for future</w:t>
      </w:r>
      <w:r w:rsidRPr="00D05EC2">
        <w:rPr>
          <w:rFonts w:ascii="Times New Roman" w:hAnsi="Times New Roman" w:cs="Times New Roman"/>
          <w:b w:val="0"/>
          <w:bCs w:val="0"/>
          <w:i w:val="0"/>
          <w:iCs w:val="0"/>
          <w:sz w:val="24"/>
          <w:szCs w:val="24"/>
        </w:rPr>
        <w:t xml:space="preserve"> use. </w:t>
      </w:r>
      <w:r w:rsidR="0003346C" w:rsidRPr="00D05EC2">
        <w:rPr>
          <w:rFonts w:ascii="Times New Roman" w:hAnsi="Times New Roman" w:cs="Times New Roman"/>
          <w:b w:val="0"/>
          <w:bCs w:val="0"/>
          <w:i w:val="0"/>
          <w:iCs w:val="0"/>
        </w:rPr>
        <w:t xml:space="preserve">From </w:t>
      </w:r>
      <w:r w:rsidR="005B42B8" w:rsidRPr="00D05EC2">
        <w:rPr>
          <w:rFonts w:ascii="Times New Roman" w:hAnsi="Times New Roman" w:cs="Times New Roman"/>
        </w:rPr>
        <w:fldChar w:fldCharType="begin" w:fldLock="1"/>
      </w:r>
      <w:r w:rsidR="005B42B8" w:rsidRPr="00D05EC2">
        <w:rPr>
          <w:rFonts w:ascii="Times New Roman" w:hAnsi="Times New Roman" w:cs="Times New Roman"/>
        </w:rPr>
        <w:instrText>ADDIN CSL_CITATION {"citationItems":[{"id":"ITEM-1","itemData":{"DOI":"10.24018/ejbmr.2021.6.5.1064","ISSN":"2507-1076","abstract":"This study investigated the effect of financial literacy on savings behavior, considering the mediation effect of intention to savings. A structured questionnaire was distributed among 206 employed individuals in the Colombo district, Sri Lanka. Three Stage Least Squares technique was initially used to analyze the structural equations model fitted to measure the hypothesized mediation effect. Then the result was rousted using path analysis. The findings indicated that financial literacy has a direct and positively significant influence on savings behavior. Moreover, the mediation effect of intention was also found as positively significant in the above relationship. This indicates that the knowledge of the financial system leads to good savings behavior, and especially it creates an intention to save more. Therefore, policymakers and financial institutions can consider enhancing financial literature among individuals as a worthy strategy when encouraging savings as it both encourages savings behavior and the intention to do so.","author":[{"dropping-particle":"","family":"Peiris","given":"T. U. I.","non-dropping-particle":"","parse-names":false,"suffix":""}],"container-title":"European Journal of Business and Management Research","id":"ITEM-1","issue":"5","issued":{"date-parts":[["2021","9","12"]]},"page":"94-99","title":"Effect of Financial Literacy on Individual Savings Behavior; the Mediation Role of Intention to Saving","type":"article-journal","volume":"6"},"uris":["http://www.mendeley.com/documents/?uuid=2ee38184-7d5c-4cea-9447-dab0ea3033b8"]}],"mendeley":{"formattedCitation":"(Peiris, 2021)","manualFormatting":"Peiris (2021)","plainTextFormattedCitation":"(Peiris, 2021)","previouslyFormattedCitation":"(Peiris, 2021)"},"properties":{"noteIndex":0},"schema":"https://github.com/citation-style-language/schema/raw/master/csl-citation.json"}</w:instrText>
      </w:r>
      <w:r w:rsidR="005B42B8" w:rsidRPr="00D05EC2">
        <w:rPr>
          <w:rFonts w:ascii="Times New Roman" w:hAnsi="Times New Roman" w:cs="Times New Roman"/>
        </w:rPr>
        <w:fldChar w:fldCharType="separate"/>
      </w:r>
      <w:r w:rsidR="005B42B8" w:rsidRPr="00D05EC2">
        <w:rPr>
          <w:rFonts w:ascii="Times New Roman" w:hAnsi="Times New Roman" w:cs="Times New Roman"/>
          <w:b w:val="0"/>
          <w:bCs w:val="0"/>
          <w:i w:val="0"/>
          <w:iCs w:val="0"/>
          <w:noProof/>
          <w:lang w:val="en-ID"/>
        </w:rPr>
        <w:t>Peiris (2021)</w:t>
      </w:r>
      <w:r w:rsidR="005B42B8" w:rsidRPr="00D05EC2">
        <w:rPr>
          <w:rFonts w:ascii="Times New Roman" w:hAnsi="Times New Roman" w:cs="Times New Roman"/>
        </w:rPr>
        <w:fldChar w:fldCharType="end"/>
      </w:r>
      <w:r w:rsidR="005B42B8" w:rsidRPr="00D05EC2">
        <w:rPr>
          <w:rFonts w:ascii="Times New Roman" w:hAnsi="Times New Roman" w:cs="Times New Roman"/>
        </w:rPr>
        <w:t xml:space="preserve"> </w:t>
      </w:r>
      <w:r w:rsidR="0003346C" w:rsidRPr="00D05EC2">
        <w:rPr>
          <w:rFonts w:ascii="Times New Roman" w:hAnsi="Times New Roman" w:cs="Times New Roman"/>
          <w:b w:val="0"/>
          <w:bCs w:val="0"/>
          <w:i w:val="0"/>
          <w:iCs w:val="0"/>
        </w:rPr>
        <w:t xml:space="preserve">research, it is </w:t>
      </w:r>
      <w:r w:rsidR="00C9418A" w:rsidRPr="00D05EC2">
        <w:rPr>
          <w:rFonts w:ascii="Times New Roman" w:hAnsi="Times New Roman" w:cs="Times New Roman"/>
          <w:b w:val="0"/>
          <w:bCs w:val="0"/>
          <w:i w:val="0"/>
          <w:iCs w:val="0"/>
        </w:rPr>
        <w:t>known that increasing financial system</w:t>
      </w:r>
      <w:r w:rsidR="005B42B8" w:rsidRPr="00D05EC2">
        <w:rPr>
          <w:rFonts w:ascii="Times New Roman" w:hAnsi="Times New Roman" w:cs="Times New Roman"/>
          <w:b w:val="0"/>
          <w:bCs w:val="0"/>
          <w:i w:val="0"/>
          <w:iCs w:val="0"/>
        </w:rPr>
        <w:t xml:space="preserve"> capabilities makes it easier for employees to make effective financial decisions to manage money and save.</w:t>
      </w:r>
      <w:r w:rsidR="00C9418A" w:rsidRPr="00D05EC2">
        <w:rPr>
          <w:rFonts w:ascii="Times New Roman" w:hAnsi="Times New Roman" w:cs="Times New Roman"/>
          <w:b w:val="0"/>
          <w:bCs w:val="0"/>
          <w:i w:val="0"/>
          <w:iCs w:val="0"/>
        </w:rPr>
        <w:t xml:space="preserve"> </w:t>
      </w:r>
      <w:r w:rsidR="005B42B8" w:rsidRPr="00D05EC2">
        <w:rPr>
          <w:rFonts w:ascii="Times New Roman" w:hAnsi="Times New Roman" w:cs="Times New Roman"/>
          <w:b w:val="0"/>
          <w:bCs w:val="0"/>
          <w:i w:val="0"/>
          <w:iCs w:val="0"/>
        </w:rPr>
        <w:t xml:space="preserve">The interaction of internal and external factors influences the activity of saving for retirement, not only because of the inability or unwillingness to save </w:t>
      </w:r>
      <w:r w:rsidR="005B42B8" w:rsidRPr="00D05EC2">
        <w:rPr>
          <w:rFonts w:ascii="Times New Roman" w:hAnsi="Times New Roman" w:cs="Times New Roman"/>
        </w:rPr>
        <w:fldChar w:fldCharType="begin" w:fldLock="1"/>
      </w:r>
      <w:r w:rsidR="005B42B8" w:rsidRPr="00D05EC2">
        <w:rPr>
          <w:rFonts w:ascii="Times New Roman" w:hAnsi="Times New Roman" w:cs="Times New Roman"/>
        </w:rPr>
        <w:instrText>ADDIN CSL_CITATION {"citationItems":[{"id":"ITEM-1","itemData":{"DOI":"10.1017/S0144686X21000337","ISSN":"0144-686X","abstract":"This study examines retirement saving activity outside the state and workplace pension saving schemes among British adults aged between 30 and 49 on the premise that individuals are increasingly encouraged to save for their retirement in the new pension policy structure in Britain. The issue of under-saving among the younger adults has been studied with the focus on internal characteristics, such as undesirable attitudinal or behavioural tendencies (‘won't save’), or on external factors, such as income (‘can't save’). Building on these discussions, this study tests the role of internal characteristics and further examines the interplay between internal and external factors. The decision-making process for retirement saving is mapped based on the Model of Financial Planning with minor modifications. The analysis utilises the fourth wave of the Wealth and Assets Survey (2012/2014), and is conducted in the structural equation modelling framework. Results show that younger adults’ discretionary retirement saving is an outcome of a complex interplay between internal and external factors. Financial resilience , which indicates current financial behaviours and wellbeing, is found to be the strongest predictor for identifying a discretionary retirement saver, but it is closely connected to individuals’ income and home-ownership. The findings also suggest that social and economic arrangements are important to consider as social ageing , individuals’ projection on their lifestages, may be more informative than age per se for understanding younger adults’ retirement saving behaviour. These findings have important implications for the policies that aim to increase retirement saving participation.","author":[{"dropping-particle":"","family":"Suh","given":"Ellie","non-dropping-particle":"","parse-names":false,"suffix":""}],"container-title":"Ageing and Society","id":"ITEM-1","issue":"12","issued":{"date-parts":[["2021","12","23"]]},"page":"2940-2967","title":"Can't save or won't save: financial resilience and discretionary retirement saving among British adults in their thirties and forties","type":"article-journal","volume":"42"},"uris":["http://www.mendeley.com/documents/?uuid=e036dc2b-401f-4d47-9411-b870daba0087"]}],"mendeley":{"formattedCitation":"(Suh, 2021)","plainTextFormattedCitation":"(Suh, 2021)","previouslyFormattedCitation":"(Suh, 2021)"},"properties":{"noteIndex":0},"schema":"https://github.com/citation-style-language/schema/raw/master/csl-citation.json"}</w:instrText>
      </w:r>
      <w:r w:rsidR="005B42B8" w:rsidRPr="00D05EC2">
        <w:rPr>
          <w:rFonts w:ascii="Times New Roman" w:hAnsi="Times New Roman" w:cs="Times New Roman"/>
        </w:rPr>
        <w:fldChar w:fldCharType="separate"/>
      </w:r>
      <w:r w:rsidR="005B42B8" w:rsidRPr="00D05EC2">
        <w:rPr>
          <w:rFonts w:ascii="Times New Roman" w:hAnsi="Times New Roman" w:cs="Times New Roman"/>
          <w:b w:val="0"/>
          <w:bCs w:val="0"/>
          <w:i w:val="0"/>
          <w:iCs w:val="0"/>
          <w:noProof/>
          <w:lang w:val="en-ID"/>
        </w:rPr>
        <w:t>(Suh, 2021)</w:t>
      </w:r>
      <w:r w:rsidR="005B42B8" w:rsidRPr="00D05EC2">
        <w:rPr>
          <w:rFonts w:ascii="Times New Roman" w:hAnsi="Times New Roman" w:cs="Times New Roman"/>
        </w:rPr>
        <w:fldChar w:fldCharType="end"/>
      </w:r>
      <w:r w:rsidR="005B42B8" w:rsidRPr="00D05EC2">
        <w:rPr>
          <w:rFonts w:ascii="Times New Roman" w:hAnsi="Times New Roman" w:cs="Times New Roman"/>
        </w:rPr>
        <w:t xml:space="preserve">. </w:t>
      </w:r>
      <w:r w:rsidRPr="00D05EC2">
        <w:rPr>
          <w:rFonts w:ascii="Times New Roman" w:hAnsi="Times New Roman" w:cs="Times New Roman"/>
          <w:b w:val="0"/>
          <w:bCs w:val="0"/>
          <w:i w:val="0"/>
          <w:iCs w:val="0"/>
        </w:rPr>
        <w:t xml:space="preserve">The quality of products and services can provide their </w:t>
      </w:r>
      <w:r w:rsidRPr="00D05EC2">
        <w:rPr>
          <w:rFonts w:ascii="Times New Roman" w:hAnsi="Times New Roman" w:cs="Times New Roman"/>
          <w:b w:val="0"/>
          <w:bCs w:val="0"/>
          <w:i w:val="0"/>
          <w:iCs w:val="0"/>
        </w:rPr>
        <w:lastRenderedPageBreak/>
        <w:t xml:space="preserve">satisfaction which makes them loyal and happy </w:t>
      </w:r>
      <w:r w:rsidRPr="00D05EC2">
        <w:rPr>
          <w:rFonts w:ascii="Times New Roman" w:hAnsi="Times New Roman" w:cs="Times New Roman"/>
          <w:i w:val="0"/>
          <w:iCs w:val="0"/>
          <w:lang w:val="en-ID"/>
        </w:rPr>
        <w:t>(</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{"citationItems":[{"id":"ITEM-1","itemData":{"DOI":"10.18267/j.cebr.304","ISSN":"18054854","abstract":"Currently, multinational fast-food restaurant like the American fast food restaurant business is in great demand in Asian countries, especially in Indonesia. Maybe it can be categorised as a trend that is currently in effect. The uniqueness of the presentation or product appearance, the various types of menus and tastes, the restaurant environment, the prices offered, and several other factors contribute to creating the purchase intention of Indonesian customers. However, it is still rare to use this concept of thinking as the basic basis for measuring customer satisfaction, especially in American fast food restaurant branches in Asia, especially in Indonesia. Based on this explanation, the purpose of this study is to determine the relationship between product quality, service quality, physical environment quality, perceived price, satisfaction, loyalty, happiness, and trust in the customers of the fast-food restaurant. We distributed online questionnaires via google with a purposeful sampling method to 130 respondents conducted in July 2021. This study uses the SEM analysis method. The results show that there is a relationship between perceived price, product quality, service quality, physical environment quality, and customer satisfaction. Customer satisfaction has a positive effect on loyalty and happiness. Trust can moderate the relationship between customer satisfaction and loyalty. The results can be applied by fast-food restaurants that are interested in learning about similar factors that can increase customer satisfaction and loyalty, especially in developing countries that have almost the same respondent criteria as Indonesia.","author":[{"dropping-particle":"","family":"Yanuar Rahmat Syah","given":"Tantri","non-dropping-particle":"","parse-names":false,"suffix":""},{"dropping-particle":"","family":"Alimwidodo","given":"Patrick Christian","non-dropping-particle":"","parse-names":false,"suffix":""},{"dropping-particle":"","family":"Lianti","given":"Lovinda","non-dropping-particle":"","parse-names":false,"suffix":""},{"dropping-particle":"","family":"Hatta","given":"Holila","non-dropping-particle":"","parse-names":false,"suffix":""}],"container-title":"Central European Business Review","id":"ITEM-1","issue":"4","issued":{"date-parts":[["2022","9","19"]]},"page":"63-84","publisher":"Central European Business Review","title":"Perceived Price as Antecedent of Satisfaction and Loyalty: Learn from Fast Food Multinational Restaurants in Indonesia","type":"article-journal","volume":"11"},"uris":["http://www.mendeley.com/documents/?uuid=7d842647-e578-4d2d-bcb3-ec2b2158cac9"]}],"mendeley":{"formattedCitation":"(Yanuar Rahmat Syah et al., 2022)","manualFormatting":"Syah et al., 2022)","plainTextFormattedCitation":"(Yanuar Rahmat Syah et al., 2022)","previouslyFormattedCitation":"(Yanuar Rahmat Syah et al., 2022)"},"properties":{"noteIndex":0},"schema":"https://github.com/citation-style-language/schema/raw/master/csl-citation.json"}</w:instrText>
      </w:r>
      <w:r w:rsidRPr="00D05EC2">
        <w:rPr>
          <w:rFonts w:ascii="Times New Roman" w:hAnsi="Times New Roman" w:cs="Times New Roman"/>
        </w:rPr>
        <w:fldChar w:fldCharType="separate"/>
      </w:r>
      <w:bookmarkStart w:id="102" w:name="Bookmark67"/>
      <w:r w:rsidRPr="00D05EC2">
        <w:rPr>
          <w:rFonts w:ascii="Times New Roman" w:hAnsi="Times New Roman" w:cs="Times New Roman"/>
          <w:b w:val="0"/>
          <w:bCs w:val="0"/>
          <w:i w:val="0"/>
          <w:iCs w:val="0"/>
          <w:noProof/>
        </w:rPr>
        <w:t>S</w:t>
      </w:r>
      <w:bookmarkStart w:id="103" w:name="Bookmark621"/>
      <w:r w:rsidRPr="00D05EC2">
        <w:rPr>
          <w:rFonts w:ascii="Times New Roman" w:hAnsi="Times New Roman" w:cs="Times New Roman"/>
          <w:b w:val="0"/>
          <w:bCs w:val="0"/>
          <w:i w:val="0"/>
          <w:iCs w:val="0"/>
          <w:noProof/>
        </w:rPr>
        <w:t>yah et al., 2022)</w:t>
      </w:r>
      <w:r w:rsidRPr="00D05EC2">
        <w:rPr>
          <w:rFonts w:ascii="Times New Roman" w:hAnsi="Times New Roman" w:cs="Times New Roman"/>
        </w:rPr>
        <w:fldChar w:fldCharType="end"/>
      </w:r>
      <w:bookmarkEnd w:id="102"/>
      <w:bookmarkEnd w:id="103"/>
      <w:r w:rsidRPr="00D05EC2">
        <w:rPr>
          <w:rFonts w:ascii="Times New Roman" w:hAnsi="Times New Roman" w:cs="Times New Roman"/>
          <w:b w:val="0"/>
          <w:bCs w:val="0"/>
          <w:i w:val="0"/>
          <w:iCs w:val="0"/>
        </w:rPr>
        <w:t>. In this modern era, all activities, especially in Indonesia, are influenced by significant technological developments and innovations that are able to change shopping behavior from conventional to digital, making it easier to spend money to meet needs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{"citationItems":[{"id":"ITEM-1","itemData":{"DOI":"10.7903/ijecs.2158","ISSN":"2073-9729","abstract":"The recent internet development and technology have changed people's perspectives of online shopping. Not only consumers only use the marketplace to purchase but also to compare price, quality, benefit, features, or after-sales services that a company provides. This research aims to determine the effect of brand equity, e-brand experience, and web entertainment on consumer satisfaction and loyalty. This quantitative study uses the Structural Equation Model method, data processing, and analysis using SPSS 24 and Lisrel 88 software. The respondents in this research are 207 millennial generations in Indonesia and have filled out questionnaires distributed online through Google Forms. The result of this study indicates that perceived quality, brand association, e-brand experience, and web entertainment variables affect the e-satisfaction variable. E-satisfaction variable has a substantial impact on the e-loyalty variable in the marketplace. In contrast, the brand awareness variable does not affect the e-satisfaction variable. The managerial implication given from this research to marketplace management in Indonesia is to improve the quality, level of entertainment, and performance of the marketplace to increase consumer satisfaction. This consumer satisfaction will increase consumer loyalty to the market they use.","author":[{"dropping-particle":"","family":"Suthianto","given":"Cindy Florencia Yohandra","non-dropping-particle":"","parse-names":false,"suffix":""}],"container-title":"International Journal of Electronic Commerce Studies","id":"ITEM-1","issue":"1","issued":{"date-parts":[["2023","3","19"]]},"page":"095","title":"The Impact of Brand Equity, E-Brand Experience, and Web Entertainment Toward E-Satisfaction and E-Loyalty on Marketplace","type":"article-journal","volume":"14"},"uris":["http://www.mendeley.com/documents/?uuid=49d5a805-b6b5-498d-ad26-9872a971cf03"]}],"mendeley":{"formattedCitation":"(Suthianto, 2023)","manualFormatting":"Suthianto et al., 2023)","plainTextFormattedCitation":"(Suthianto, 2023)","previouslyFormattedCitation":"(Suthianto, 2023)"},"properties":{"noteIndex":0},"schema":"https://github.com/citation-style-language/schema/raw/master/csl-citation.json"}</w:instrText>
      </w:r>
      <w:r w:rsidRPr="00D05EC2">
        <w:rPr>
          <w:rFonts w:ascii="Times New Roman" w:hAnsi="Times New Roman" w:cs="Times New Roman"/>
        </w:rPr>
        <w:fldChar w:fldCharType="separate"/>
      </w:r>
      <w:bookmarkStart w:id="104" w:name="Bookmark68"/>
      <w:r w:rsidRPr="00D05EC2">
        <w:rPr>
          <w:rFonts w:ascii="Times New Roman" w:hAnsi="Times New Roman" w:cs="Times New Roman"/>
          <w:b w:val="0"/>
          <w:bCs w:val="0"/>
          <w:i w:val="0"/>
          <w:iCs w:val="0"/>
          <w:noProof/>
          <w:lang w:val="en-ID"/>
        </w:rPr>
        <w:t>S</w:t>
      </w:r>
      <w:bookmarkStart w:id="105" w:name="Bookmark631"/>
      <w:r w:rsidRPr="00D05EC2">
        <w:rPr>
          <w:rFonts w:ascii="Times New Roman" w:hAnsi="Times New Roman" w:cs="Times New Roman"/>
          <w:b w:val="0"/>
          <w:bCs w:val="0"/>
          <w:i w:val="0"/>
          <w:iCs w:val="0"/>
          <w:noProof/>
          <w:lang w:val="en-ID"/>
        </w:rPr>
        <w:t>uthianto et al., 2023)</w:t>
      </w:r>
      <w:r w:rsidRPr="00D05EC2">
        <w:rPr>
          <w:rFonts w:ascii="Times New Roman" w:hAnsi="Times New Roman" w:cs="Times New Roman"/>
        </w:rPr>
        <w:fldChar w:fldCharType="end"/>
      </w:r>
      <w:bookmarkEnd w:id="104"/>
      <w:bookmarkEnd w:id="105"/>
      <w:r w:rsidRPr="00D05EC2">
        <w:rPr>
          <w:rFonts w:ascii="Times New Roman" w:hAnsi="Times New Roman" w:cs="Times New Roman"/>
          <w:b w:val="0"/>
          <w:bCs w:val="0"/>
          <w:i w:val="0"/>
          <w:iCs w:val="0"/>
          <w:lang w:val="en-ID"/>
        </w:rPr>
        <w:t>.</w:t>
      </w:r>
    </w:p>
    <w:p w14:paraId="666932CF" w14:textId="77777777" w:rsidR="008E3207" w:rsidRPr="00D05EC2" w:rsidRDefault="008E3207">
      <w:pPr>
        <w:pStyle w:val="Heading2"/>
        <w:tabs>
          <w:tab w:val="left" w:pos="620"/>
        </w:tabs>
        <w:spacing w:before="93" w:line="276" w:lineRule="auto"/>
        <w:ind w:left="60" w:firstLine="0"/>
        <w:jc w:val="both"/>
        <w:rPr>
          <w:rFonts w:ascii="Times New Roman" w:hAnsi="Times New Roman" w:cs="Times New Roman"/>
          <w:b w:val="0"/>
          <w:bCs w:val="0"/>
          <w:i w:val="0"/>
          <w:iCs w:val="0"/>
          <w:sz w:val="24"/>
          <w:szCs w:val="24"/>
        </w:rPr>
      </w:pPr>
    </w:p>
    <w:p w14:paraId="6CCF1C38" w14:textId="4AB02038" w:rsidR="00D97723" w:rsidRPr="00D6136B" w:rsidRDefault="00456E38">
      <w:pPr>
        <w:pStyle w:val="Heading2"/>
        <w:numPr>
          <w:ilvl w:val="1"/>
          <w:numId w:val="1"/>
        </w:numPr>
        <w:tabs>
          <w:tab w:val="left" w:pos="620"/>
        </w:tabs>
        <w:spacing w:before="93" w:line="276" w:lineRule="auto"/>
        <w:ind w:hanging="986"/>
        <w:rPr>
          <w:rFonts w:ascii="Times New Roman" w:hAnsi="Times New Roman" w:cs="Times New Roman"/>
          <w:sz w:val="24"/>
          <w:szCs w:val="24"/>
        </w:rPr>
      </w:pPr>
      <w:r w:rsidRPr="00D6136B">
        <w:rPr>
          <w:rFonts w:ascii="Times New Roman" w:hAnsi="Times New Roman" w:cs="Times New Roman"/>
          <w:sz w:val="24"/>
          <w:szCs w:val="24"/>
        </w:rPr>
        <w:t>Social Economic Status (SES)</w:t>
      </w:r>
      <w:r w:rsidR="000F755A">
        <w:rPr>
          <w:rFonts w:ascii="Times New Roman" w:hAnsi="Times New Roman" w:cs="Times New Roman"/>
          <w:sz w:val="24"/>
          <w:szCs w:val="24"/>
        </w:rPr>
        <w:t xml:space="preserve"> </w:t>
      </w:r>
      <w:r w:rsidRPr="00D6136B">
        <w:rPr>
          <w:rFonts w:ascii="Times New Roman" w:hAnsi="Times New Roman" w:cs="Times New Roman"/>
          <w:sz w:val="24"/>
          <w:szCs w:val="24"/>
        </w:rPr>
        <w:t>-</w:t>
      </w:r>
      <w:r w:rsidR="00D05EC2" w:rsidRPr="00D6136B">
        <w:rPr>
          <w:rFonts w:ascii="Times New Roman" w:hAnsi="Times New Roman" w:cs="Times New Roman"/>
          <w:sz w:val="24"/>
          <w:szCs w:val="24"/>
        </w:rPr>
        <w:t xml:space="preserve"> </w:t>
      </w:r>
      <w:r w:rsidRPr="00D6136B">
        <w:rPr>
          <w:rFonts w:ascii="Times New Roman" w:hAnsi="Times New Roman" w:cs="Times New Roman"/>
          <w:sz w:val="24"/>
          <w:szCs w:val="24"/>
        </w:rPr>
        <w:t>Z</w:t>
      </w:r>
    </w:p>
    <w:p w14:paraId="607A7532" w14:textId="4DCA0840" w:rsidR="00D97723" w:rsidRPr="00D05EC2" w:rsidRDefault="00456E38" w:rsidP="00666DCF">
      <w:pPr>
        <w:spacing w:line="276" w:lineRule="auto"/>
        <w:ind w:firstLine="568"/>
        <w:jc w:val="both"/>
        <w:rPr>
          <w:rFonts w:ascii="Times New Roman" w:hAnsi="Times New Roman" w:cs="Times New Roman"/>
          <w:strike/>
        </w:rPr>
      </w:pPr>
      <w:r w:rsidRPr="00D05EC2">
        <w:rPr>
          <w:rFonts w:ascii="Times New Roman" w:hAnsi="Times New Roman" w:cs="Times New Roman"/>
        </w:rPr>
        <w:t xml:space="preserve">Previous research has proven that there is a relationship between socioeconomic status and saving behavior. Among Malaysian students, it is established that the higher the level of parental educational background, the lower the tendency to save. Similarly, the higher the household income, the lower the tendency to save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{"citationItems":[{"id":"ITEM-1","itemData":{"DOI":"10.7763/IJTEF.2012.V3.249","ISSN":"2010023X","abstract":"Parents play important roles in educating their child to behave appropriately in all aspects of life including financial management. The aim of this paper is to identify the influence of parents’ background on savings attitude among students in a Malaysian local university. The findings of the research provide useful information to parents as well as public on the importance of early financial planning exposure toward teenagers, in encouraging savings habit. 2146 questionnaires were distributed among USIM students came from various family background. Apart from bar charts, further analysis is conducted using cross tabulation. The results showed that the higher the levels of education background of parents, the lower the tendency for students to put aside their money for savings. Similarly, the higher the amount of respondents’ household income, the lower is the tendency for students to put aside their money for savings. It seemed that higher level of parents’ education background and higher household income does not contribute more effort for students in fund savings.","author":[{"dropping-particle":"","family":"Salikin","given":"Norasikin","non-dropping-particle":"","parse-names":false,"suffix":""},{"dropping-particle":"","family":"Wahab","given":"Norailis Ab.","non-dropping-particle":"","parse-names":false,"suffix":""},{"dropping-particle":"","family":"Zakaria","given":"Nurazalia","non-dropping-particle":"","parse-names":false,"suffix":""},{"dropping-particle":"","family":"Masruki","given":"Rosnia","non-dropping-particle":"","parse-names":false,"suffix":""},{"dropping-particle":"","family":"Nordin","given":"Siti Nurulhuda","non-dropping-particle":"","parse-names":false,"suffix":""}],"container-title":"International Journal of Trade, Economics and Finance","id":"ITEM-1","issue":"6","issued":{"date-parts":[["2012"]]},"page":"479-484","title":"Students’ Saving Attitude: Does Parents’ BackgroundMatter?","type":"article-journal","volume":"3"},"uris":["http://www.mendeley.com/documents/?uuid=1e92c6a0-d01f-4f2d-bd7d-528c3d6906c6"]}],"mendeley":{"formattedCitation":"(Salikin et al., 2012)","manualFormatting":"(Salikin et al.,2012)","plainTextFormattedCitation":"(Salikin et al., 2012)","previouslyFormattedCitation":"(Salikin et al., 2012)"},"properties":{"noteIndex":0},"schema":"https://github.com/citation-style-language/schema/raw/master/csl-citation.json"}</w:instrText>
      </w:r>
      <w:r w:rsidRPr="00D05EC2">
        <w:rPr>
          <w:rFonts w:ascii="Times New Roman" w:hAnsi="Times New Roman" w:cs="Times New Roman"/>
        </w:rPr>
        <w:fldChar w:fldCharType="separate"/>
      </w:r>
      <w:bookmarkStart w:id="106" w:name="Bookmark69"/>
      <w:r w:rsidRPr="00D05EC2">
        <w:rPr>
          <w:rFonts w:ascii="Times New Roman" w:hAnsi="Times New Roman" w:cs="Times New Roman"/>
          <w:noProof/>
          <w:lang w:val="en-ID"/>
        </w:rPr>
        <w:t>(</w:t>
      </w:r>
      <w:bookmarkStart w:id="107" w:name="Bookmark641"/>
      <w:r w:rsidRPr="00D05EC2">
        <w:rPr>
          <w:rFonts w:ascii="Times New Roman" w:hAnsi="Times New Roman" w:cs="Times New Roman"/>
          <w:noProof/>
          <w:lang w:val="en-ID"/>
        </w:rPr>
        <w:t>Salikin et al.,2012)</w:t>
      </w:r>
      <w:r w:rsidRPr="00D05EC2">
        <w:rPr>
          <w:rFonts w:ascii="Times New Roman" w:hAnsi="Times New Roman" w:cs="Times New Roman"/>
        </w:rPr>
        <w:fldChar w:fldCharType="end"/>
      </w:r>
      <w:bookmarkEnd w:id="106"/>
      <w:bookmarkEnd w:id="107"/>
      <w:r w:rsidRPr="00D05EC2">
        <w:rPr>
          <w:rFonts w:ascii="Times New Roman" w:hAnsi="Times New Roman" w:cs="Times New Roman"/>
        </w:rPr>
        <w:t xml:space="preserve">. </w:t>
      </w:r>
      <w:r w:rsidR="00D34687" w:rsidRPr="00D05EC2">
        <w:rPr>
          <w:rFonts w:ascii="Times New Roman" w:hAnsi="Times New Roman" w:cs="Times New Roman"/>
        </w:rPr>
        <w:t xml:space="preserve">From other studies it is known that the financial perspective of Hungarian students is affected by the education they receive and the influence and parenting patterns of their parents </w:t>
      </w:r>
      <w:r w:rsidR="00D34687" w:rsidRPr="00D05EC2">
        <w:rPr>
          <w:rFonts w:ascii="Times New Roman" w:hAnsi="Times New Roman" w:cs="Times New Roman"/>
        </w:rPr>
        <w:fldChar w:fldCharType="begin" w:fldLock="1"/>
      </w:r>
      <w:r w:rsidR="00D34687" w:rsidRPr="00D05EC2">
        <w:rPr>
          <w:rFonts w:ascii="Times New Roman" w:hAnsi="Times New Roman" w:cs="Times New Roman"/>
        </w:rPr>
        <w:instrText>ADDIN CSL_CITATION {"citationItems":[{"id":"ITEM-1","itemData":{"abstract":"A series of long-term financial decisions characterizes the various households during their life cycle. The approach of self-care is present in every individual and family life, but not with equal intensity. There are many important financial decisions we need to make in our lives, which have an impact on our financial management for many years, even if we are talking about long-term self-care or loan application. First we analyzed the theoretical background of savings and we also performed a primary research. The paper examines the Hungarian College students' long-term saving habits and financial perspectives. The questionnaire has been filled out with 323 hungarian college students that we are dedicated to research. Development of the questionnaire was on an online interface. The goal was to inspect the financial knowledge of college students, and to get a deeper look at how can they manage their household's wealth. It seems obvious, that the individual's upbringing, parental and educational influences have an outstanding impact on subsequent financial perspective. Despite all age groups directly affected by this topic, our financial culture is still in sufficiently developed. Everyone should be aware that you can take care of your housing goals, retired years, the future of your children only in a long run. The sooner we start to self-care, the lower monthly saving is needed to achieve these goals (Luttenberger-Nemeth, 2005). This is encouraged by the government in the form of various tax breaks. We would like to have primary schools introduced into teaching financial literacy as soon as possible.","author":[{"dropping-particle":"","family":"Balint","given":"Adam","non-dropping-particle":"","parse-names":false,"suffix":""},{"dropping-particle":"","family":"Kokeny Horvathne","given":"Annamaria","non-dropping-particle":"","parse-names":false,"suffix":""}],"container-title":"European Scientific Journal","id":"ITEM-1","issue":"34","issued":{"date-parts":[["2013"]]},"page":"1857-7881","title":"Saving Habits of Hungarian College Students","type":"article-journal","volume":"9"},"uris":["http://www.mendeley.com/documents/?uuid=275c1197-f993-46ce-928c-ee2970d882c7"]}],"mendeley":{"formattedCitation":"(Balint &amp; Kokeny Horvathne, 2013)","manualFormatting":"(Balint &amp; Horvathne, 2013)","plainTextFormattedCitation":"(Balint &amp; Kokeny Horvathne, 2013)","previouslyFormattedCitation":"(Balint &amp; Kokeny Horvathne, 2013)"},"properties":{"noteIndex":0},"schema":"https://github.com/citation-style-language/schema/raw/master/csl-citation.json"}</w:instrText>
      </w:r>
      <w:r w:rsidR="00D34687" w:rsidRPr="00D05EC2">
        <w:rPr>
          <w:rFonts w:ascii="Times New Roman" w:hAnsi="Times New Roman" w:cs="Times New Roman"/>
        </w:rPr>
        <w:fldChar w:fldCharType="separate"/>
      </w:r>
      <w:r w:rsidR="00D34687" w:rsidRPr="00D05EC2">
        <w:rPr>
          <w:rFonts w:ascii="Times New Roman" w:hAnsi="Times New Roman" w:cs="Times New Roman"/>
          <w:noProof/>
          <w:lang w:val="en-ID"/>
        </w:rPr>
        <w:t>(Balint &amp; Horvathne, 2013)</w:t>
      </w:r>
      <w:r w:rsidR="00D34687" w:rsidRPr="00D05EC2">
        <w:rPr>
          <w:rFonts w:ascii="Times New Roman" w:hAnsi="Times New Roman" w:cs="Times New Roman"/>
        </w:rPr>
        <w:fldChar w:fldCharType="end"/>
      </w:r>
      <w:r w:rsidR="00D34687" w:rsidRPr="00D05EC2">
        <w:rPr>
          <w:rFonts w:ascii="Times New Roman" w:hAnsi="Times New Roman" w:cs="Times New Roman"/>
        </w:rPr>
        <w:t xml:space="preserve">. </w:t>
      </w:r>
      <w:r w:rsidRPr="00D05EC2">
        <w:rPr>
          <w:rFonts w:ascii="Times New Roman" w:hAnsi="Times New Roman" w:cs="Times New Roman"/>
        </w:rPr>
        <w:t>Various socioeconomic and demographic factors, such as age, gender, income, marital status and educational attainment affect the level of FL</w:t>
      </w:r>
      <w:r w:rsidR="00771849" w:rsidRPr="00D05EC2">
        <w:rPr>
          <w:rFonts w:ascii="Times New Roman" w:hAnsi="Times New Roman" w:cs="Times New Roman"/>
        </w:rPr>
        <w:t xml:space="preserve"> </w:t>
      </w:r>
      <w:r w:rsidRPr="00D05EC2">
        <w:rPr>
          <w:rFonts w:ascii="Times New Roman" w:hAnsi="Times New Roman" w:cs="Times New Roman"/>
        </w:rPr>
        <w:t xml:space="preserve">of young people and there is a link between financial literacy, financial attitudes and financial behavior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{"citationItems":[{"id":"ITEM-1","itemData":{"DOI":"10.1108/IJSE-11-2016-0303","ISSN":"0306-8293","abstract":"Purpose: The purpose of this paper is to analyse the level of financial literacy among youth in the world based on previous studies. The study, particularly, focus at how socio-economic and demographic factors such as age, gender, marital status and income influence financial literacy level of youth and whether there is any interrelationship between financial knowledge, financial attitude and financial behaviour. Strong endeavour of the world economies to improve the financial well-being of their citizens has contributed to the rising importance of financial literacy as it equips the individuals to take quality financial decisions to enhance their financial well-being. Design/methodology/approach: This literature review consists of seven key sections. The first ection of this paper reviews the conceptual definitions of youth. Second part summarises the literature on financial literacy. Third, fourth and fifth section summarises the literature on the components of financial literacy, i.e. financial knowledge, financial attitude and financial behaviour, respectively. Sixth section reviews the empirical studies on the influence of socio-economic and demographic factors on financial literacy level. Seventh section summarises the literature on interrelationship between financial knowledge, financial attitude and financial behaviour. Findings: The study reveals that the financial literacy level among youth is low across the most part of the world that has become a cause of concern. Also, it has been observed that various socio-economic and demographic factors such as age, gender, income, marital status and educational attainment influenceflie financial literacy level of youth and there exists an interrelationship between financial knowledge, financial attitude and financial behaviour. Originality/value: Youth have to live a longer life ahead, thus, the decisions taken by them are going to affect thenifora longer period of time, making it imperative for them to develop an understanding of the world of finance so as to avoid wrong choice of financial products. Thus, financial literacy is of significant relevance. This paper aims to understand the influence of various factors influencing the financial literacy as understanding the factors that contribute to or detract from the acquisition of financial literacy among youth can help in making policy interventions targeted at youth to enhance their financial well-being.","author":[{"dropping-particle":"","family":"Garg","given":"Neha","non-dropping-particle":"","parse-names":false,"suffix":""},{"dropping-particle":"","family":"Singh","given":"Shveta","non-dropping-particle":"","parse-names":false,"suffix":""}],"container-title":"International Journal of Social Economics","id":"ITEM-1","issue":"1","issued":{"date-parts":[["2018","1","8"]]},"page":"173-186","title":"Financial literacy among youth","type":"article-journal","volume":"45"},"uris":["http://www.mendeley.com/documents/?uuid=102ea7c6-4c6a-4584-b23e-e289904672aa"]}],"mendeley":{"formattedCitation":"(Garg &amp; Singh, 2018)","manualFormatting":"(Garg &amp; Saingh, 2018)","plainTextFormattedCitation":"(Garg &amp; Singh, 2018)","previouslyFormattedCitation":"(Garg &amp; Singh, 2018)"},"properties":{"noteIndex":0},"schema":"https://github.com/citation-style-language/schema/raw/master/csl-citation.json"}</w:instrText>
      </w:r>
      <w:r w:rsidRPr="00D05EC2">
        <w:rPr>
          <w:rFonts w:ascii="Times New Roman" w:hAnsi="Times New Roman" w:cs="Times New Roman"/>
        </w:rPr>
        <w:fldChar w:fldCharType="separate"/>
      </w:r>
      <w:bookmarkStart w:id="108" w:name="Bookmark72"/>
      <w:r w:rsidRPr="00D05EC2">
        <w:rPr>
          <w:rFonts w:ascii="Times New Roman" w:hAnsi="Times New Roman" w:cs="Times New Roman"/>
          <w:noProof/>
        </w:rPr>
        <w:t>(</w:t>
      </w:r>
      <w:bookmarkStart w:id="109" w:name="Bookmark661"/>
      <w:r w:rsidRPr="00D05EC2">
        <w:rPr>
          <w:rFonts w:ascii="Times New Roman" w:hAnsi="Times New Roman" w:cs="Times New Roman"/>
          <w:noProof/>
        </w:rPr>
        <w:t>Garg &amp; Saingh, 2018)</w:t>
      </w:r>
      <w:r w:rsidRPr="00D05EC2">
        <w:rPr>
          <w:rFonts w:ascii="Times New Roman" w:hAnsi="Times New Roman" w:cs="Times New Roman"/>
        </w:rPr>
        <w:fldChar w:fldCharType="end"/>
      </w:r>
      <w:bookmarkEnd w:id="108"/>
      <w:bookmarkEnd w:id="109"/>
      <w:r w:rsidRPr="00D05EC2">
        <w:rPr>
          <w:rFonts w:ascii="Times New Roman" w:hAnsi="Times New Roman" w:cs="Times New Roman"/>
        </w:rPr>
        <w:t xml:space="preserve">. </w:t>
      </w:r>
      <w:r w:rsidR="00413760">
        <w:rPr>
          <w:rFonts w:ascii="Times New Roman" w:hAnsi="Times New Roman" w:cs="Times New Roman"/>
        </w:rPr>
        <w:t>Some findings</w:t>
      </w:r>
      <w:r w:rsidRPr="00D05EC2">
        <w:rPr>
          <w:rFonts w:ascii="Times New Roman" w:hAnsi="Times New Roman" w:cs="Times New Roman"/>
        </w:rPr>
        <w:t xml:space="preserve"> say that individuals with low economic status will usually have less savings because most of the income they receive contributes to meeting the basic needs of their households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{"citationItems":[{"id":"ITEM-1","itemData":{"DOI":"10.3390/jrfm12010019","ISSN":"19118074","abstract":"Our paper extends the literature on the determinants and impacts of financial literacy by conducting the OECD/INFE survey in two relatively low-income Asian economies—Cambodia and Viet Nam—and analyzing the determinants of financial literacy and the effects of financial literacy on savings and financial inclusion. Generally, our study corroborates the findings of studies of other countries, but uncovers some differences as well. The main determinants of financial literacy are found to be educational level, income, age, and occupational status. Both financial literacy and general education levels are found to be positively and significantly related to savings behavior and financial inclusion, and these results generally hold even when correcting for possible endogeneity of financial literacy.","author":[{"dropping-particle":"","family":"Morgan","given":"Peter J.","non-dropping-particle":"","parse-names":false,"suffix":""},{"dropping-particle":"","family":"Trinh","given":"Long Q.","non-dropping-particle":"","parse-names":false,"suffix":""}],"container-title":"Journal of Risk and Financial Management","id":"ITEM-1","issue":"1","issued":{"date-parts":[["2019"]]},"title":"Determinants and Impacts of Financial Literacy in Cambodia and Viet Nam","type":"article-journal","volume":"12"},"uris":["http://www.mendeley.com/documents/?uuid=be9b88f3-d052-46c3-b5a9-7f71d0e6f14b"]}],"mendeley":{"formattedCitation":"(Morgan &amp; Trinh, 2019)","plainTextFormattedCitation":"(Morgan &amp; Trinh, 2019)","previouslyFormattedCitation":"(Morgan &amp; Trinh, 2019)"},"properties":{"noteIndex":0},"schema":"https://github.com/citation-style-language/schema/raw/master/csl-citation.json"}</w:instrText>
      </w:r>
      <w:r w:rsidRPr="00D05EC2">
        <w:rPr>
          <w:rFonts w:ascii="Times New Roman" w:hAnsi="Times New Roman" w:cs="Times New Roman"/>
        </w:rPr>
        <w:fldChar w:fldCharType="separate"/>
      </w:r>
      <w:bookmarkStart w:id="110" w:name="Bookmark73"/>
      <w:r w:rsidRPr="00D05EC2">
        <w:rPr>
          <w:rFonts w:ascii="Times New Roman" w:hAnsi="Times New Roman" w:cs="Times New Roman"/>
          <w:noProof/>
          <w:lang w:val="en-ID"/>
        </w:rPr>
        <w:t>(</w:t>
      </w:r>
      <w:bookmarkStart w:id="111" w:name="Bookmark671"/>
      <w:r w:rsidRPr="00D05EC2">
        <w:rPr>
          <w:rFonts w:ascii="Times New Roman" w:hAnsi="Times New Roman" w:cs="Times New Roman"/>
          <w:noProof/>
          <w:lang w:val="en-ID"/>
        </w:rPr>
        <w:t>Morgan &amp; Trinh, 2019)</w:t>
      </w:r>
      <w:r w:rsidRPr="00D05EC2">
        <w:rPr>
          <w:rFonts w:ascii="Times New Roman" w:hAnsi="Times New Roman" w:cs="Times New Roman"/>
        </w:rPr>
        <w:fldChar w:fldCharType="end"/>
      </w:r>
      <w:bookmarkEnd w:id="110"/>
      <w:bookmarkEnd w:id="111"/>
      <w:r w:rsidRPr="00D05EC2">
        <w:rPr>
          <w:rFonts w:ascii="Times New Roman" w:hAnsi="Times New Roman" w:cs="Times New Roman"/>
          <w:lang w:val="en-ID"/>
        </w:rPr>
        <w:t xml:space="preserve">. </w:t>
      </w:r>
      <w:r w:rsidRPr="00F6542D">
        <w:rPr>
          <w:rFonts w:ascii="Times New Roman" w:hAnsi="Times New Roman" w:cs="Times New Roman"/>
        </w:rPr>
        <w:t>In low-income Asian countries, demographic characteristics, education level, income, age, and employment status were found to be determinants of FL</w:t>
      </w:r>
      <w:r w:rsidR="00771849" w:rsidRPr="00F6542D">
        <w:rPr>
          <w:rFonts w:ascii="Times New Roman" w:hAnsi="Times New Roman" w:cs="Times New Roman"/>
        </w:rPr>
        <w:t xml:space="preserve"> </w:t>
      </w:r>
      <w:r w:rsidRPr="00F6542D">
        <w:rPr>
          <w:rFonts w:ascii="Times New Roman" w:hAnsi="Times New Roman" w:cs="Times New Roman"/>
        </w:rPr>
        <w:t>(Morgan &amp; Trinh, 2019).</w:t>
      </w:r>
      <w:r w:rsidRPr="00D05EC2">
        <w:rPr>
          <w:rFonts w:ascii="Times New Roman" w:hAnsi="Times New Roman" w:cs="Times New Roman"/>
        </w:rPr>
        <w:t xml:space="preserve"> </w:t>
      </w:r>
      <w:r w:rsidR="008E2E09" w:rsidRPr="00D05EC2">
        <w:rPr>
          <w:rFonts w:ascii="Times New Roman" w:hAnsi="Times New Roman" w:cs="Times New Roman"/>
        </w:rPr>
        <w:t xml:space="preserve">From the results of other </w:t>
      </w:r>
      <w:r w:rsidRPr="00D05EC2">
        <w:rPr>
          <w:rFonts w:ascii="Times New Roman" w:hAnsi="Times New Roman" w:cs="Times New Roman"/>
        </w:rPr>
        <w:t>study that specifically looked at the influence of FL</w:t>
      </w:r>
      <w:r w:rsidR="00771849" w:rsidRPr="00D05EC2">
        <w:rPr>
          <w:rFonts w:ascii="Times New Roman" w:hAnsi="Times New Roman" w:cs="Times New Roman"/>
        </w:rPr>
        <w:t xml:space="preserve"> </w:t>
      </w:r>
      <w:r w:rsidRPr="00D05EC2">
        <w:rPr>
          <w:rFonts w:ascii="Times New Roman" w:hAnsi="Times New Roman" w:cs="Times New Roman"/>
        </w:rPr>
        <w:t>on RP</w:t>
      </w:r>
      <w:r w:rsidR="00771849" w:rsidRPr="00D05EC2">
        <w:rPr>
          <w:rFonts w:ascii="Times New Roman" w:hAnsi="Times New Roman" w:cs="Times New Roman"/>
        </w:rPr>
        <w:t xml:space="preserve"> </w:t>
      </w:r>
      <w:r w:rsidRPr="00D05EC2">
        <w:rPr>
          <w:rFonts w:ascii="Times New Roman" w:hAnsi="Times New Roman" w:cs="Times New Roman"/>
        </w:rPr>
        <w:t>from a socioeconomic approach, it was found that although countries can only provide low retirement benefits and individual socioeconomic levels in developing countrie</w:t>
      </w:r>
      <w:r w:rsidR="008E2E09" w:rsidRPr="00D05EC2">
        <w:rPr>
          <w:rFonts w:ascii="Times New Roman" w:hAnsi="Times New Roman" w:cs="Times New Roman"/>
        </w:rPr>
        <w:t>s also tend to be lower middle, however</w:t>
      </w:r>
      <w:r w:rsidR="00413760">
        <w:rPr>
          <w:rFonts w:ascii="Times New Roman" w:hAnsi="Times New Roman" w:cs="Times New Roman"/>
        </w:rPr>
        <w:t>,</w:t>
      </w:r>
      <w:r w:rsidR="008E2E09" w:rsidRPr="00D05EC2">
        <w:rPr>
          <w:rFonts w:ascii="Times New Roman" w:hAnsi="Times New Roman" w:cs="Times New Roman"/>
        </w:rPr>
        <w:t xml:space="preserve"> personal retirement planning is influenced by </w:t>
      </w:r>
      <w:r w:rsidRPr="00D05EC2">
        <w:rPr>
          <w:rFonts w:ascii="Times New Roman" w:hAnsi="Times New Roman" w:cs="Times New Roman"/>
        </w:rPr>
        <w:t>FL</w:t>
      </w:r>
      <w:r w:rsidR="00771849" w:rsidRPr="00D05EC2">
        <w:rPr>
          <w:rFonts w:ascii="Times New Roman" w:hAnsi="Times New Roman" w:cs="Times New Roman"/>
        </w:rPr>
        <w:t xml:space="preserve"> </w:t>
      </w:r>
      <w:r w:rsidRPr="00D05EC2">
        <w:rPr>
          <w:rFonts w:ascii="Times New Roman" w:hAnsi="Times New Roman" w:cs="Times New Roman"/>
        </w:rPr>
        <w:t>has a significant influence on personal RP</w:t>
      </w:r>
      <w:r w:rsidR="007E4D8B">
        <w:rPr>
          <w:rFonts w:ascii="Times New Roman" w:hAnsi="Times New Roman" w:cs="Times New Roman"/>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{"citationItems":[{"id":"ITEM-1","itemData":{"DOI":"10.1108/JBSED-04-2021-0052","ISSN":"2635-1374","abstract":"Purpose&gt;The purpose of this study was to investigate the effect of financial literacy on personal retirement planning in Bukavu city in the Democratic Republic of the Congo (DRC), which is a Sub-Saharan underdeveloped country with a weak pension and social security system.Design/methodology/approach&gt;This study used a structural equation modeling and a sample of 361 public sector employees selected in Bukavu city in the DRC. The data were collected through a survey questionnaire, and the data were analyzed using SPSS and SMART PLS software.Findings&gt;The results from the study revealed that financial literacy has a significant impact on personal retirement planning. Two constructs of financial literacy, respectively, computation capability and financial knowledge were found to have a significant impact on personal retirement planning, while financial education and attitudes toward financial products were found not significant in explaining personal retirement planning.Practical implications&gt;The findings from this study can be used by policy makers in the DRC to design socioeconomic programs, aiming to increase the level of financial literacy in the country and awareness on personal retirement planning.Originality/value&gt;The reviewed studies were based mostly on developed countries, and countries were the social security system works effectively. We have not found a study on financial literacy and retirement planning that has been conducted in the DRC, which is a country with specific characteristics compared to developed countries.","author":[{"dropping-particle":"","family":"Safari","given":"Kulondwa","non-dropping-particle":"","parse-names":false,"suffix":""},{"dropping-particle":"","family":"Njoka","given":"Charity","non-dropping-particle":"","parse-names":false,"suffix":""},{"dropping-particle":"","family":"Munkwa","given":"Mugisho Guershom","non-dropping-particle":"","parse-names":false,"suffix":""}],"container-title":"Journal of Business and Socio-economic Development","id":"ITEM-1","issue":"2","issued":{"date-parts":[["2021","10","28"]]},"language":"English","note":"Name - International Bank for Reconstruction &amp;amp; Development--World Bank\n\nCopyright - © Kulondwa Safari, Charity Njoka and Mugisho Guershom Munkwa. This work is published under http://creativecommons.org/licences/by/4.0/legalcode (the “License”). Notwithstanding the ProQuest Terms and Conditions, you may use this content in accordance with the terms of the License.\n\nLast updated - 2023-12-02\n\nSubjectsTermNotLitGenreText - Congo-Democratic Republic of Congo","page":"121-134","publisher":"Emerald Group Publishing Limited PP - Manama","publisher-place":"Faculty of Economics and Management, Université Evangélique en Afrique, Bukavu, Congo (the Democratic Republic of The); Institut pour la Recherche en Statistique Appliquée (IRSA-UEA), Université Evangélique en Afrique, Bukavu, Congo (the Democratic Republ","title":"Financial literacy and personal retirement planning: a socioeconomic approach","type":"article-journal","volume":"1"},"uris":["http://www.mendeley.com/documents/?uuid=9deec3a7-2a58-4a2e-9dd9-a6f050995745"]}],"mendeley":{"formattedCitation":"(Safari et al., 2021)","manualFormatting":"(Safari et al.,2021)","plainTextFormattedCitation":"(Safari et al., 2021)","previouslyFormattedCitation":"(Safari et al., 2021)"},"properties":{"noteIndex":0},"schema":"https://github.com/citation-style-language/schema/raw/master/csl-citation.json"}</w:instrText>
      </w:r>
      <w:r w:rsidRPr="00D05EC2">
        <w:rPr>
          <w:rFonts w:ascii="Times New Roman" w:hAnsi="Times New Roman" w:cs="Times New Roman"/>
        </w:rPr>
        <w:fldChar w:fldCharType="separate"/>
      </w:r>
      <w:bookmarkStart w:id="112" w:name="Bookmark74"/>
      <w:r w:rsidRPr="00D05EC2">
        <w:rPr>
          <w:rFonts w:ascii="Times New Roman" w:hAnsi="Times New Roman" w:cs="Times New Roman"/>
          <w:noProof/>
          <w:lang w:val="sv-SE"/>
        </w:rPr>
        <w:t>(</w:t>
      </w:r>
      <w:bookmarkStart w:id="113" w:name="Bookmark681"/>
      <w:r w:rsidRPr="00D05EC2">
        <w:rPr>
          <w:rFonts w:ascii="Times New Roman" w:hAnsi="Times New Roman" w:cs="Times New Roman"/>
          <w:noProof/>
          <w:lang w:val="sv-SE"/>
        </w:rPr>
        <w:t>Safari et al.,2021)</w:t>
      </w:r>
      <w:r w:rsidRPr="00D05EC2">
        <w:rPr>
          <w:rFonts w:ascii="Times New Roman" w:hAnsi="Times New Roman" w:cs="Times New Roman"/>
        </w:rPr>
        <w:fldChar w:fldCharType="end"/>
      </w:r>
      <w:bookmarkEnd w:id="112"/>
      <w:bookmarkEnd w:id="113"/>
      <w:r w:rsidRPr="00D05EC2">
        <w:rPr>
          <w:rFonts w:ascii="Times New Roman" w:hAnsi="Times New Roman" w:cs="Times New Roman"/>
          <w:lang w:val="sv-SE"/>
        </w:rPr>
        <w:t xml:space="preserve">. </w:t>
      </w:r>
    </w:p>
    <w:p w14:paraId="54EEEBE2" w14:textId="77777777" w:rsidR="00D97723" w:rsidRPr="00D05EC2" w:rsidRDefault="00D97723">
      <w:pPr>
        <w:spacing w:line="276" w:lineRule="auto"/>
        <w:ind w:firstLine="568"/>
        <w:jc w:val="both"/>
        <w:rPr>
          <w:rFonts w:ascii="Times New Roman" w:hAnsi="Times New Roman" w:cs="Times New Roman"/>
          <w:lang w:val="sv-SE"/>
        </w:rPr>
      </w:pPr>
    </w:p>
    <w:p w14:paraId="6CDC2C71" w14:textId="61D0DA0F" w:rsidR="00D97723" w:rsidRPr="00D6136B" w:rsidRDefault="00456E38">
      <w:pPr>
        <w:pStyle w:val="Heading2"/>
        <w:numPr>
          <w:ilvl w:val="1"/>
          <w:numId w:val="1"/>
        </w:numPr>
        <w:tabs>
          <w:tab w:val="left" w:pos="620"/>
        </w:tabs>
        <w:spacing w:before="93" w:line="276" w:lineRule="auto"/>
        <w:ind w:hanging="986"/>
        <w:rPr>
          <w:rFonts w:ascii="Times New Roman" w:hAnsi="Times New Roman" w:cs="Times New Roman"/>
          <w:sz w:val="24"/>
          <w:szCs w:val="24"/>
        </w:rPr>
      </w:pPr>
      <w:r w:rsidRPr="00D6136B">
        <w:rPr>
          <w:rFonts w:ascii="Times New Roman" w:hAnsi="Times New Roman" w:cs="Times New Roman"/>
          <w:sz w:val="24"/>
          <w:szCs w:val="24"/>
        </w:rPr>
        <w:t>Herding Behavior (HB)</w:t>
      </w:r>
      <w:r w:rsidR="000F755A">
        <w:rPr>
          <w:rFonts w:ascii="Times New Roman" w:hAnsi="Times New Roman" w:cs="Times New Roman"/>
          <w:sz w:val="24"/>
          <w:szCs w:val="24"/>
        </w:rPr>
        <w:t xml:space="preserve"> </w:t>
      </w:r>
      <w:r w:rsidRPr="00D6136B">
        <w:rPr>
          <w:rFonts w:ascii="Times New Roman" w:hAnsi="Times New Roman" w:cs="Times New Roman"/>
          <w:sz w:val="24"/>
          <w:szCs w:val="24"/>
        </w:rPr>
        <w:t>- X4</w:t>
      </w:r>
    </w:p>
    <w:p w14:paraId="55A1E81B" w14:textId="1BF5F2A3" w:rsidR="0065778D" w:rsidRPr="00D05EC2" w:rsidRDefault="00456E38" w:rsidP="004A5E0E">
      <w:pPr>
        <w:pStyle w:val="Heading2"/>
        <w:tabs>
          <w:tab w:val="left" w:pos="620"/>
        </w:tabs>
        <w:spacing w:before="93" w:line="276" w:lineRule="auto"/>
        <w:ind w:left="60" w:firstLine="0"/>
        <w:jc w:val="both"/>
        <w:rPr>
          <w:rFonts w:ascii="Times New Roman" w:hAnsi="Times New Roman" w:cs="Times New Roman"/>
        </w:rPr>
      </w:pPr>
      <w:r w:rsidRPr="00D05EC2">
        <w:rPr>
          <w:rFonts w:ascii="Times New Roman" w:hAnsi="Times New Roman" w:cs="Times New Roman"/>
          <w:b w:val="0"/>
          <w:bCs w:val="0"/>
          <w:i w:val="0"/>
          <w:iCs w:val="0"/>
          <w:sz w:val="24"/>
          <w:szCs w:val="24"/>
        </w:rPr>
        <w:tab/>
      </w:r>
      <w:r w:rsidRPr="00D05EC2">
        <w:rPr>
          <w:rFonts w:ascii="Times New Roman" w:hAnsi="Times New Roman" w:cs="Times New Roman"/>
          <w:b w:val="0"/>
          <w:bCs w:val="0"/>
          <w:i w:val="0"/>
          <w:iCs w:val="0"/>
        </w:rPr>
        <w:t xml:space="preserve">Good FL can improve a person's ability to make investment decisions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{"citationItems":[{"id":"ITEM-1","itemData":{"DOI":"10.2991/icoi-19.2019.78","ISBN":"978-94-6252-806-2","abstract":"—This study aims to see how markets react in their investments of information content of corporate financial performance in the capital market. This research has a decomposition attitude for investors to react in response to information of the financial performance of corporations. It begins with evaluating financial fundamental factors in expectation of common market reactions. Object research used is data from the financial reports of manufacturing companies for the years 2008-2017 listed on the Indonesian Stock Exchange. Analysis of data uses logistic regression with probit model and multivariate GLM. To achieve the aim, it will construct a model of market reaction in investment in regard to information of the financial performance of corporation. The research results show that first there are differences in net operating assets, causal growth, and financing assets to companies which have experienced profit both positive and negative. Second, company information had a significant effect on the beliefs of investors. Investors tend to give a reaction when they receive company information containing bad news.","author":[{"dropping-particle":"","family":"Bertuah","given":"Eka","non-dropping-particle":"","parse-names":false,"suffix":""},{"dropping-particle":"","family":"Nurlinda","given":"RA.","non-dropping-particle":"","parse-names":false,"suffix":""}],"container-title":"Proceedings of the 2019 International Conference on Organizational Innovation (ICOI 2019)","id":"ITEM-1","issue":"Icoi","issued":{"date-parts":[["2019"]]},"page":"448-452","publisher":"Atlantis Press","publisher-place":"Paris, France","title":"Testing Financial Information in Forming Investor Confidence","type":"paper-conference","volume":"100"},"uris":["http://www.mendeley.com/documents/?uuid=0c2223ad-110e-4181-bc4c-2d89a6be2739"]}],"mendeley":{"formattedCitation":"(Bertuah &amp; Nurlinda, 2019)","plainTextFormattedCitation":"(Bertuah &amp; Nurlinda, 2019)","previouslyFormattedCitation":"(Bertuah &amp; Nurlinda, 2019)"},"properties":{"noteIndex":0},"schema":"https://github.com/citation-style-language/schema/raw/master/csl-citation.json"}</w:instrText>
      </w:r>
      <w:r w:rsidRPr="00D05EC2">
        <w:rPr>
          <w:rFonts w:ascii="Times New Roman" w:hAnsi="Times New Roman" w:cs="Times New Roman"/>
        </w:rPr>
        <w:fldChar w:fldCharType="separate"/>
      </w:r>
      <w:bookmarkStart w:id="114" w:name="Bookmark75"/>
      <w:r w:rsidRPr="00D05EC2">
        <w:rPr>
          <w:rFonts w:ascii="Times New Roman" w:hAnsi="Times New Roman" w:cs="Times New Roman"/>
          <w:b w:val="0"/>
          <w:bCs w:val="0"/>
          <w:i w:val="0"/>
          <w:iCs w:val="0"/>
          <w:noProof/>
          <w:lang w:val="en-ID"/>
        </w:rPr>
        <w:t>(</w:t>
      </w:r>
      <w:bookmarkStart w:id="115" w:name="Bookmark691"/>
      <w:r w:rsidRPr="00D05EC2">
        <w:rPr>
          <w:rFonts w:ascii="Times New Roman" w:hAnsi="Times New Roman" w:cs="Times New Roman"/>
          <w:b w:val="0"/>
          <w:bCs w:val="0"/>
          <w:i w:val="0"/>
          <w:iCs w:val="0"/>
          <w:noProof/>
          <w:lang w:val="en-ID"/>
        </w:rPr>
        <w:t>Bertuah &amp; Nurlinda, 2019)</w:t>
      </w:r>
      <w:r w:rsidRPr="00D05EC2">
        <w:rPr>
          <w:rFonts w:ascii="Times New Roman" w:hAnsi="Times New Roman" w:cs="Times New Roman"/>
        </w:rPr>
        <w:fldChar w:fldCharType="end"/>
      </w:r>
      <w:bookmarkEnd w:id="114"/>
      <w:bookmarkEnd w:id="115"/>
      <w:r w:rsidRPr="00D05EC2">
        <w:rPr>
          <w:rFonts w:ascii="Times New Roman" w:hAnsi="Times New Roman" w:cs="Times New Roman"/>
          <w:b w:val="0"/>
          <w:bCs w:val="0"/>
          <w:i w:val="0"/>
          <w:iCs w:val="0"/>
          <w:lang w:val="en-ID"/>
        </w:rPr>
        <w:t>.</w:t>
      </w:r>
      <w:r w:rsidRPr="00D05EC2">
        <w:rPr>
          <w:rFonts w:ascii="Times New Roman" w:hAnsi="Times New Roman" w:cs="Times New Roman"/>
          <w:lang w:val="en-ID"/>
        </w:rPr>
        <w:t xml:space="preserve"> </w:t>
      </w:r>
      <w:r w:rsidR="0065778D" w:rsidRPr="00D05EC2">
        <w:rPr>
          <w:rFonts w:ascii="Times New Roman" w:hAnsi="Times New Roman" w:cs="Times New Roman"/>
          <w:b w:val="0"/>
          <w:bCs w:val="0"/>
          <w:i w:val="0"/>
          <w:iCs w:val="0"/>
        </w:rPr>
        <w:t>A person who has high FL will not engage in irrational behavior and vice versa for someone with poor FL</w:t>
      </w:r>
      <w:r w:rsidRPr="00D05EC2">
        <w:rPr>
          <w:rFonts w:ascii="Times New Roman" w:hAnsi="Times New Roman" w:cs="Times New Roman"/>
          <w:b w:val="0"/>
          <w:bCs w:val="0"/>
          <w:i w:val="0"/>
          <w:iCs w:val="0"/>
        </w:rPr>
        <w:t>, so this herding behavior increases the FL</w:t>
      </w:r>
      <w:r w:rsidR="002C72F6" w:rsidRPr="00D05EC2">
        <w:rPr>
          <w:rFonts w:ascii="Times New Roman" w:hAnsi="Times New Roman" w:cs="Times New Roman"/>
          <w:b w:val="0"/>
          <w:bCs w:val="0"/>
          <w:i w:val="0"/>
          <w:iCs w:val="0"/>
        </w:rPr>
        <w:t xml:space="preserve"> </w:t>
      </w:r>
      <w:r w:rsidRPr="00D05EC2">
        <w:rPr>
          <w:rFonts w:ascii="Times New Roman" w:hAnsi="Times New Roman" w:cs="Times New Roman"/>
          <w:b w:val="0"/>
          <w:bCs w:val="0"/>
          <w:i w:val="0"/>
          <w:iCs w:val="0"/>
        </w:rPr>
        <w:t xml:space="preserve">of others through advice and guidance for financial decision-making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{"citationItems":[{"id":"ITEM-1","itemData":{"DOI":"10.1016/j.jbankfin.2013.01.013","ISSN":"03784266","abstract":"We use survey data from a sample of UK households to analyse the relationship between financial literacy and consumer credit portfolios. We show that individuals who borrow on consumer credit exhibit worse financial literacy than those who do not. Borrowers with poor financial literacy hold higher shares of high cost credit (such as home collected credit, mail order catalogue debt and payday loans) than those with higher literacy. We also show that individuals with poor financial literacy are more likely to lack confidence when interpreting credit terms, and to exhibit confusion over financial concepts. They are also less likely to engage in behaviour which might help them to improve their awareness of the credit market. © 2013 Elsevier B.V.","author":[{"dropping-particle":"","family":"Disney","given":"Richard","non-dropping-particle":"","parse-names":false,"suffix":""},{"dropping-particle":"","family":"Gathergood","given":"John","non-dropping-particle":"","parse-names":false,"suffix":""}],"container-title":"Journal of Banking &amp; Finance","id":"ITEM-1","issue":"7","issued":{"date-parts":[["2013","7"]]},"page":"2246-2254","publisher":"Elsevier B.V.","title":"Financial literacy and consumer credit portfolios","type":"article-journal","volume":"37"},"uris":["http://www.mendeley.com/documents/?uuid=c5e4278d-b801-4f9d-8e78-f62d5f3bef2e"]}],"mendeley":{"formattedCitation":"(Disney &amp; Gathergood, 2013)","plainTextFormattedCitation":"(Disney &amp; Gathergood, 2013)","previouslyFormattedCitation":"(Disney &amp; Gathergood, 2013)"},"properties":{"noteIndex":0},"schema":"https://github.com/citation-style-language/schema/raw/master/csl-citation.json"}</w:instrText>
      </w:r>
      <w:r w:rsidRPr="00D05EC2">
        <w:rPr>
          <w:rFonts w:ascii="Times New Roman" w:hAnsi="Times New Roman" w:cs="Times New Roman"/>
        </w:rPr>
        <w:fldChar w:fldCharType="separate"/>
      </w:r>
      <w:bookmarkStart w:id="116" w:name="Bookmark76"/>
      <w:r w:rsidRPr="00D05EC2">
        <w:rPr>
          <w:rFonts w:ascii="Times New Roman" w:hAnsi="Times New Roman" w:cs="Times New Roman"/>
          <w:b w:val="0"/>
          <w:bCs w:val="0"/>
          <w:i w:val="0"/>
          <w:iCs w:val="0"/>
          <w:noProof/>
          <w:lang w:val="en-ID"/>
        </w:rPr>
        <w:t>(</w:t>
      </w:r>
      <w:bookmarkStart w:id="117" w:name="Bookmark701"/>
      <w:r w:rsidRPr="00D05EC2">
        <w:rPr>
          <w:rFonts w:ascii="Times New Roman" w:hAnsi="Times New Roman" w:cs="Times New Roman"/>
          <w:b w:val="0"/>
          <w:bCs w:val="0"/>
          <w:i w:val="0"/>
          <w:iCs w:val="0"/>
          <w:noProof/>
          <w:lang w:val="en-ID"/>
        </w:rPr>
        <w:t>Disney &amp; Gathergood, 2013)</w:t>
      </w:r>
      <w:r w:rsidRPr="00D05EC2">
        <w:rPr>
          <w:rFonts w:ascii="Times New Roman" w:hAnsi="Times New Roman" w:cs="Times New Roman"/>
        </w:rPr>
        <w:fldChar w:fldCharType="end"/>
      </w:r>
      <w:bookmarkEnd w:id="116"/>
      <w:bookmarkEnd w:id="117"/>
      <w:r w:rsidRPr="00D05EC2">
        <w:rPr>
          <w:rFonts w:ascii="Times New Roman" w:hAnsi="Times New Roman" w:cs="Times New Roman"/>
          <w:b w:val="0"/>
          <w:bCs w:val="0"/>
          <w:i w:val="0"/>
          <w:iCs w:val="0"/>
        </w:rPr>
        <w:t>.</w:t>
      </w:r>
      <w:r w:rsidRPr="00D05EC2">
        <w:rPr>
          <w:rFonts w:ascii="Times New Roman" w:hAnsi="Times New Roman" w:cs="Times New Roman"/>
        </w:rPr>
        <w:t xml:space="preserve"> </w:t>
      </w:r>
      <w:r w:rsidR="0065778D" w:rsidRPr="00D05EC2">
        <w:rPr>
          <w:rFonts w:ascii="Times New Roman" w:hAnsi="Times New Roman" w:cs="Times New Roman"/>
          <w:b w:val="0"/>
          <w:bCs w:val="0"/>
          <w:i w:val="0"/>
          <w:iCs w:val="0"/>
        </w:rPr>
        <w:t>HB</w:t>
      </w:r>
      <w:r w:rsidRPr="00D05EC2">
        <w:rPr>
          <w:rFonts w:ascii="Times New Roman" w:hAnsi="Times New Roman" w:cs="Times New Roman"/>
          <w:b w:val="0"/>
          <w:bCs w:val="0"/>
          <w:i w:val="0"/>
          <w:iCs w:val="0"/>
        </w:rPr>
        <w:t xml:space="preserve"> is also indirectly influenced by investors' decisions in improving financial decision-making by handling and analyzing it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{"citationItems":[{"id":"ITEM-1","itemData":{"DOI":"10.53369/RKXA7855","ISSN":"20700296","abstract":"The objective of this study is to examine the Impact of Overconfidence bias and Herding bias on Investment Decision Making with Moderating Role of Financial Literacy. The population was Investor, Employee and Graduate Student. A sample of 200 was selected using convenience technique. Data were collected through structure questionnaire adopted from different papers. Correlation and Regression analysis were performed to examine the result. The Results show that overconfidence bias and herding bias have a positive impact on investment decision making and Financial Literacy has positive impact on investment decision making. Based on the results and discussions of the study findings as well as the limitations, theoretical and practical implications of the study have been provided.","author":[{"dropping-particle":"","family":"Hayat, Amir","given":"","non-dropping-particle":"","parse-names":false,"suffix":""},{"dropping-particle":"","family":"Anwar","given":"Muhammad","non-dropping-particle":"","parse-names":false,"suffix":""}],"container-title":"Jinnah Business Review","id":"ITEM-1","issue":"2","issued":{"date-parts":[["2016","7","1"]]},"page":"34-41","title":"Impact of Behavioral Biases on Investment Decision Making with Moderating Role of Financial Literacy","type":"article-journal","volume":"6"},"uris":["http://www.mendeley.com/documents/?uuid=debd784b-7068-409d-b6cc-8ad1b9bdb129"]}],"mendeley":{"formattedCitation":"(Hayat, Amir &amp; Anwar, 2016)","manualFormatting":"(Hayat &amp; Anwar, 2016)","plainTextFormattedCitation":"(Hayat, Amir &amp; Anwar, 2016)","previouslyFormattedCitation":"(Hayat, Amir &amp; Anwar, 2016)"},"properties":{"noteIndex":0},"schema":"https://github.com/citation-style-language/schema/raw/master/csl-citation.json"}</w:instrText>
      </w:r>
      <w:r w:rsidRPr="00D05EC2">
        <w:rPr>
          <w:rFonts w:ascii="Times New Roman" w:hAnsi="Times New Roman" w:cs="Times New Roman"/>
        </w:rPr>
        <w:fldChar w:fldCharType="separate"/>
      </w:r>
      <w:bookmarkStart w:id="118" w:name="Bookmark77"/>
      <w:r w:rsidRPr="00D05EC2">
        <w:rPr>
          <w:rFonts w:ascii="Times New Roman" w:hAnsi="Times New Roman" w:cs="Times New Roman"/>
          <w:b w:val="0"/>
          <w:bCs w:val="0"/>
          <w:i w:val="0"/>
          <w:iCs w:val="0"/>
          <w:noProof/>
          <w:lang w:val="en-ID"/>
        </w:rPr>
        <w:t>(</w:t>
      </w:r>
      <w:bookmarkStart w:id="119" w:name="Bookmark711"/>
      <w:r w:rsidRPr="00D05EC2">
        <w:rPr>
          <w:rFonts w:ascii="Times New Roman" w:hAnsi="Times New Roman" w:cs="Times New Roman"/>
          <w:b w:val="0"/>
          <w:bCs w:val="0"/>
          <w:i w:val="0"/>
          <w:iCs w:val="0"/>
          <w:noProof/>
          <w:lang w:val="en-ID"/>
        </w:rPr>
        <w:t>Hayat &amp; Anwar, 2016)</w:t>
      </w:r>
      <w:r w:rsidRPr="00D05EC2">
        <w:rPr>
          <w:rFonts w:ascii="Times New Roman" w:hAnsi="Times New Roman" w:cs="Times New Roman"/>
        </w:rPr>
        <w:fldChar w:fldCharType="end"/>
      </w:r>
      <w:bookmarkEnd w:id="118"/>
      <w:bookmarkEnd w:id="119"/>
      <w:r w:rsidRPr="00D05EC2">
        <w:rPr>
          <w:rFonts w:ascii="Times New Roman" w:hAnsi="Times New Roman" w:cs="Times New Roman"/>
          <w:b w:val="0"/>
          <w:bCs w:val="0"/>
          <w:i w:val="0"/>
          <w:iCs w:val="0"/>
          <w:lang w:val="en-ID"/>
        </w:rPr>
        <w:t xml:space="preserve">. </w:t>
      </w:r>
      <w:r w:rsidRPr="00D05EC2">
        <w:rPr>
          <w:rFonts w:ascii="Times New Roman" w:hAnsi="Times New Roman" w:cs="Times New Roman"/>
          <w:lang w:val="en-ID"/>
        </w:rPr>
        <w:t xml:space="preserve"> </w:t>
      </w:r>
      <w:r w:rsidRPr="00D05EC2">
        <w:rPr>
          <w:rFonts w:ascii="Times New Roman" w:hAnsi="Times New Roman" w:cs="Times New Roman"/>
          <w:b w:val="0"/>
          <w:bCs w:val="0"/>
          <w:i w:val="0"/>
          <w:iCs w:val="0"/>
        </w:rPr>
        <w:t xml:space="preserve">Personal factors such as religiosity can affect long-term financial preparation entering the retirement period in question </w:t>
      </w:r>
      <w:r w:rsidRPr="00D05EC2">
        <w:rPr>
          <w:rFonts w:ascii="Times New Roman" w:hAnsi="Times New Roman" w:cs="Times New Roman"/>
          <w:b w:val="0"/>
          <w:bCs w:val="0"/>
          <w:i w:val="0"/>
          <w:iCs w:val="0"/>
          <w:lang w:val="en-ID"/>
        </w:rPr>
        <w:t>(</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{"citationItems":[{"id":"ITEM-1","itemData":{"DOI":"10.18551/rjoas.2019-03.27","ISSN":"22261184","abstract":"This research aims to examine the effect of religiosity on purchase intention to long-term investment in sharia insurance which is moderated by prevention focus, future orientation, and financial knowledge. This research applies a non-hierarchical analysis method or cell mean method using between subject 2×2 and the procedure of Univariate General Linear (GLM) Model. The first research finding found that religiosity has significantly affected purchase intention to long-term investment in sharia insurance; thus, H1 has supported the hypothesis. The second finding showed that high religiosity which is moderated by low prevention focus increases purchase intention to long-term investment in sharia insurance; thus, H2a has supported the hypothesis. However, religiosity which is moderated by high prevention focus does not support the hypothesis, thus, H2b and H2c are not proven. The third finding found that religiosity which is moderated by future orientation has shown very significant result, thus, the H3a, H3b, and H3c hypotheses have been proven to support the hypothesis. The fourth findings showed that high religiosity which is moderated by low financial knowledge has been proven to affect purchase intention to long-term investment in sharia insurance; so, H4a has supported the hypothesis. However, religiosity which is moderated by high financial knowledge has not supported the hypothesis; thus, H4b and H4c is not proven.","author":[{"dropping-particle":"","family":"Kusumajati","given":"W.","non-dropping-particle":"","parse-names":false,"suffix":""},{"dropping-particle":"","family":"Syah","given":"T.Y.R.","non-dropping-particle":"","parse-names":false,"suffix":""},{"dropping-particle":"","family":"Kustiawan","given":"U.","non-dropping-particle":"","parse-names":false,"suffix":""},{"dropping-particle":"","family":"Negoro","given":"D.A.","non-dropping-particle":"","parse-names":false,"suffix":""},{"dropping-particle":"","family":"Tegor","given":"","non-dropping-particle":"","parse-names":false,"suffix":""}],"container-title":"Russian Journal of Agricultural and Socio-Economic Sciences","id":"ITEM-1","issue":"3","issued":{"date-parts":[["2019","3","19"]]},"page":"231-242","title":"Effect Of Religiosity, Prevention Focus, Future Orientation, And Financial Knowledge On Purchase Intention To Long-Term Investment In Sharia Insurance","type":"article-journal","volume":"87"},"uris":["http://www.mendeley.com/documents/?uuid=f8767472-c0b4-4b19-aae4-08af88be3ade"]}],"mendeley":{"formattedCitation":"(Kusumajati et al., 2019)","manualFormatting":"Wahyu et al.,2019)","plainTextFormattedCitation":"(Kusumajati et al., 2019)","previouslyFormattedCitation":"(Kusumajati et al., 2019)"},"properties":{"noteIndex":0},"schema":"https://github.com/citation-style-language/schema/raw/master/csl-citation.json"}</w:instrText>
      </w:r>
      <w:r w:rsidRPr="00D05EC2">
        <w:rPr>
          <w:rFonts w:ascii="Times New Roman" w:hAnsi="Times New Roman" w:cs="Times New Roman"/>
        </w:rPr>
        <w:fldChar w:fldCharType="separate"/>
      </w:r>
      <w:bookmarkStart w:id="120" w:name="Bookmark78"/>
      <w:r w:rsidRPr="00D05EC2">
        <w:rPr>
          <w:rFonts w:ascii="Times New Roman" w:hAnsi="Times New Roman" w:cs="Times New Roman"/>
          <w:b w:val="0"/>
          <w:bCs w:val="0"/>
          <w:i w:val="0"/>
          <w:iCs w:val="0"/>
          <w:noProof/>
          <w:lang w:val="en-ID"/>
        </w:rPr>
        <w:t>W</w:t>
      </w:r>
      <w:bookmarkStart w:id="121" w:name="Bookmark721"/>
      <w:r w:rsidRPr="00D05EC2">
        <w:rPr>
          <w:rFonts w:ascii="Times New Roman" w:hAnsi="Times New Roman" w:cs="Times New Roman"/>
          <w:b w:val="0"/>
          <w:bCs w:val="0"/>
          <w:i w:val="0"/>
          <w:iCs w:val="0"/>
          <w:noProof/>
          <w:lang w:val="en-ID"/>
        </w:rPr>
        <w:t>ahyu et al.,2019)</w:t>
      </w:r>
      <w:r w:rsidRPr="00D05EC2">
        <w:rPr>
          <w:rFonts w:ascii="Times New Roman" w:hAnsi="Times New Roman" w:cs="Times New Roman"/>
        </w:rPr>
        <w:fldChar w:fldCharType="end"/>
      </w:r>
      <w:bookmarkEnd w:id="120"/>
      <w:bookmarkEnd w:id="121"/>
      <w:r w:rsidRPr="00D05EC2">
        <w:rPr>
          <w:rFonts w:ascii="Times New Roman" w:hAnsi="Times New Roman" w:cs="Times New Roman"/>
          <w:b w:val="0"/>
          <w:bCs w:val="0"/>
          <w:i w:val="0"/>
          <w:iCs w:val="0"/>
          <w:lang w:val="en-ID"/>
        </w:rPr>
        <w:t xml:space="preserve">. </w:t>
      </w:r>
      <w:r w:rsidR="003F614B" w:rsidRPr="00D05EC2">
        <w:rPr>
          <w:rFonts w:ascii="Times New Roman" w:hAnsi="Times New Roman" w:cs="Times New Roman"/>
          <w:b w:val="0"/>
          <w:bCs w:val="0"/>
          <w:i w:val="0"/>
          <w:iCs w:val="0"/>
          <w:lang w:val="en-ID"/>
        </w:rPr>
        <w:t xml:space="preserve">A person is increasingly able to make investment decisions if they have adequate financial literacy </w:t>
      </w:r>
      <w:r w:rsidR="003F614B" w:rsidRPr="00D05EC2">
        <w:rPr>
          <w:rFonts w:ascii="Times New Roman" w:hAnsi="Times New Roman" w:cs="Times New Roman"/>
          <w:b w:val="0"/>
          <w:i w:val="0"/>
        </w:rPr>
        <w:fldChar w:fldCharType="begin" w:fldLock="1"/>
      </w:r>
      <w:r w:rsidR="003F614B" w:rsidRPr="00D05EC2">
        <w:rPr>
          <w:rFonts w:ascii="Times New Roman" w:hAnsi="Times New Roman" w:cs="Times New Roman"/>
          <w:b w:val="0"/>
          <w:i w:val="0"/>
        </w:rPr>
        <w:instrText>ADDIN CSL_CITATION {"citationItems":[{"id":"ITEM-1","itemData":{"DOI":"10.2991/icoi-19.2019.78","ISBN":"978-94-6252-806-2","abstract":"—This study aims to see how markets react in their investments of information content of corporate financial performance in the capital market. This research has a decomposition attitude for investors to react in response to information of the financial performance of corporations. It begins with evaluating financial fundamental factors in expectation of common market reactions. Object research used is data from the financial reports of manufacturing companies for the years 2008-2017 listed on the Indonesian Stock Exchange. Analysis of data uses logistic regression with probit model and multivariate GLM. To achieve the aim</w:instrText>
      </w:r>
      <w:r w:rsidR="003F614B" w:rsidRPr="007E4D8B">
        <w:rPr>
          <w:rFonts w:ascii="Times New Roman" w:hAnsi="Times New Roman" w:cs="Times New Roman"/>
          <w:b w:val="0"/>
          <w:i w:val="0"/>
          <w:lang w:val="en-ID"/>
        </w:rPr>
        <w:instrText>, it will construct a model of market reaction in investment in regard to information of the financial performance of corporation. The research results show that first there are differences in net operating assets, causal growth, and financing assets to companies which have experienced profit both positive and negative. Second, company information had a significant effect on the beliefs of investors. Investors tend to give a reaction when they receive company information containing bad news.","author":[{"dropping-particle":"","family":"Bertuah","given":"Eka","non-dropping-particle":"","parse-names":false,"suffix":""},{"droppin</w:instrText>
      </w:r>
      <w:r w:rsidR="003F614B" w:rsidRPr="00F6542D">
        <w:rPr>
          <w:rFonts w:ascii="Times New Roman" w:hAnsi="Times New Roman" w:cs="Times New Roman"/>
          <w:b w:val="0"/>
          <w:i w:val="0"/>
          <w:lang w:val="en-ID"/>
        </w:rPr>
        <w:instrText>g-particle":"","family":"Nurlinda","given":"RA.","non-dropping-particle":"","parse-names":false,"suffix":""}],"container-title":"Proceedings of the 2019 International Conference on Organizational Innovation (ICOI 2019)","id":"ITEM-1","issue":"Icoi","issued":{"date-parts":[["2019"]]},"page":"448-452","publisher":"Atlantis Press","publisher-place":"Paris, France","title":"Testing Financial Information in Forming Investor Confidence","type":"paper-conference","volume":"100"},"uris":["http://www.mendeley.com/documents/?uuid=0c2223ad-110e-4181-bc4c-2d89a6be2739"]}],"mendeley":{"formattedCitation":"(Bertuah &amp; Nurlinda, 2019)","plainTextFormattedCitation":"(Bertuah &amp; Nurlinda, 2019)","previouslyFormattedCitation":"(Bertuah &amp; Nurlinda, 2019)"},"properties":{"noteIndex":0},"schema":"https://github.com/citation-style-language/schema/raw/master/csl-citation.json"}</w:instrText>
      </w:r>
      <w:r w:rsidR="003F614B" w:rsidRPr="00D05EC2">
        <w:rPr>
          <w:rFonts w:ascii="Times New Roman" w:hAnsi="Times New Roman" w:cs="Times New Roman"/>
          <w:b w:val="0"/>
          <w:i w:val="0"/>
        </w:rPr>
        <w:fldChar w:fldCharType="separate"/>
      </w:r>
      <w:bookmarkStart w:id="122" w:name="_Hlk185540342"/>
      <w:r w:rsidR="003F614B" w:rsidRPr="00F6542D">
        <w:rPr>
          <w:rFonts w:ascii="Times New Roman" w:hAnsi="Times New Roman" w:cs="Times New Roman"/>
          <w:b w:val="0"/>
          <w:i w:val="0"/>
          <w:noProof/>
          <w:lang w:val="en-ID"/>
        </w:rPr>
        <w:t>(Bertuah &amp; Nurlinda, 2019)</w:t>
      </w:r>
      <w:r w:rsidR="003F614B" w:rsidRPr="00D05EC2">
        <w:rPr>
          <w:rFonts w:ascii="Times New Roman" w:hAnsi="Times New Roman" w:cs="Times New Roman"/>
          <w:b w:val="0"/>
          <w:i w:val="0"/>
        </w:rPr>
        <w:fldChar w:fldCharType="end"/>
      </w:r>
      <w:r w:rsidR="003F614B" w:rsidRPr="00F6542D">
        <w:rPr>
          <w:rFonts w:ascii="Times New Roman" w:hAnsi="Times New Roman" w:cs="Times New Roman"/>
          <w:b w:val="0"/>
          <w:i w:val="0"/>
          <w:lang w:val="en-ID"/>
        </w:rPr>
        <w:t>.</w:t>
      </w:r>
      <w:bookmarkEnd w:id="122"/>
      <w:r w:rsidR="002C72F6" w:rsidRPr="00F6542D">
        <w:rPr>
          <w:rFonts w:ascii="Times New Roman" w:hAnsi="Times New Roman" w:cs="Times New Roman"/>
          <w:b w:val="0"/>
          <w:i w:val="0"/>
          <w:lang w:val="en-ID"/>
        </w:rPr>
        <w:t xml:space="preserve"> </w:t>
      </w:r>
      <w:r w:rsidR="0065778D" w:rsidRPr="00D05EC2">
        <w:rPr>
          <w:rFonts w:ascii="Times New Roman" w:hAnsi="Times New Roman" w:cs="Times New Roman"/>
          <w:b w:val="0"/>
          <w:bCs w:val="0"/>
          <w:i w:val="0"/>
          <w:iCs w:val="0"/>
        </w:rPr>
        <w:t>This behavior of following others was a trend around 2000 and during the monetary crisis in 2007</w:t>
      </w:r>
      <w:r w:rsidR="00D100BA" w:rsidRPr="00D05EC2">
        <w:rPr>
          <w:rFonts w:ascii="Times New Roman" w:hAnsi="Times New Roman" w:cs="Times New Roman"/>
          <w:b w:val="0"/>
          <w:bCs w:val="0"/>
          <w:i w:val="0"/>
          <w:iCs w:val="0"/>
        </w:rPr>
        <w:t xml:space="preserve"> </w:t>
      </w:r>
      <w:r w:rsidR="0065778D" w:rsidRPr="00D05EC2">
        <w:rPr>
          <w:rFonts w:ascii="Times New Roman" w:hAnsi="Times New Roman" w:cs="Times New Roman"/>
          <w:b w:val="0"/>
          <w:bCs w:val="0"/>
          <w:i w:val="0"/>
          <w:iCs w:val="0"/>
        </w:rPr>
        <w:t xml:space="preserve">which explored the relationship between group behavior and investor sentiment </w:t>
      </w:r>
      <w:r w:rsidR="0065778D" w:rsidRPr="00D05EC2">
        <w:rPr>
          <w:rFonts w:ascii="Times New Roman" w:hAnsi="Times New Roman" w:cs="Times New Roman"/>
        </w:rPr>
        <w:fldChar w:fldCharType="begin" w:fldLock="1"/>
      </w:r>
      <w:r w:rsidR="0065778D" w:rsidRPr="00D05EC2">
        <w:rPr>
          <w:rFonts w:ascii="Times New Roman" w:hAnsi="Times New Roman" w:cs="Times New Roman"/>
        </w:rPr>
        <w:instrText>ADDIN CSL_CITATION {"citationItems":[{"id":"ITEM-1","itemData":{"DOI":"10.3390/ijfs8020034","ISSN":"2227-7072","abstract":"This paper investigates herding behavior and the connection between herding behavior and investor sentiment. We apply a Cross-Sectional Absolute Deviation (CSAD) approach and the quantile regression method to capture herding behavior in the KOSPI and KOSDAQ stock markets. The analysis results are outlined as follows. First, we find that herding behavior is exhibited during down-market periods in the KOSPI and KOSDAQ stock markets. However, we show that adverse herding behavior occurs in low-trading volume and low-volatility periods. Second, according to the results of the quantile regression, herding behavior is found in the low and high quantiles of the KOSPI and KOSDAQ stock markets. However, adverse herding behavior is also found, which means that investors herd in extreme market conditions. Third, the relationship between investor sentiment and herding behavior is analyzed through regression and quantile regression, and investor sentiment is confirmed to be one of the important factors that can cause herding behavior in the Korean stock market.","author":[{"dropping-particle":"","family":"Choi","given":"Ki-Hong","non-dropping-particle":"","parse-names":false,"suffix":""},{"dropping-particle":"","family":"Yoon","given":"Seong-Min","non-dropping-particle":"","parse-names":false,"suffix":""}],"container-title":"International Journal of Financial Studies","id":"ITEM-1","issue":"2","issued":{"date-parts":[["2020","6","1"]]},"page":"34","title":"Investor Sentiment and Herding Behavior in the Korean Stock Market","type":"article-journal","volume":"8"},"uris":["http://www.mendeley.com/documents/?uuid=c147fa0b-44a5-41a0-b77a-835a94b5e8a7"]}],"mendeley":{"formattedCitation":"(Choi &amp; Yoon, 2020)","plainTextFormattedCitation":"(Choi &amp; Yoon, 2020)","previouslyFormattedCitation":"(Choi &amp; Yoon, 2020)"},"properties":{"noteIndex":0},"schema":"https://github.com/citation-style-language/schema/raw/master/csl-citation.json"}</w:instrText>
      </w:r>
      <w:r w:rsidR="0065778D" w:rsidRPr="00D05EC2">
        <w:rPr>
          <w:rFonts w:ascii="Times New Roman" w:hAnsi="Times New Roman" w:cs="Times New Roman"/>
        </w:rPr>
        <w:fldChar w:fldCharType="separate"/>
      </w:r>
      <w:r w:rsidR="0065778D" w:rsidRPr="00D05EC2">
        <w:rPr>
          <w:rFonts w:ascii="Times New Roman" w:hAnsi="Times New Roman" w:cs="Times New Roman"/>
          <w:b w:val="0"/>
          <w:bCs w:val="0"/>
          <w:i w:val="0"/>
          <w:iCs w:val="0"/>
          <w:noProof/>
        </w:rPr>
        <w:t>(Choi &amp; Yoon, 2020)</w:t>
      </w:r>
      <w:r w:rsidR="0065778D" w:rsidRPr="00D05EC2">
        <w:rPr>
          <w:rFonts w:ascii="Times New Roman" w:hAnsi="Times New Roman" w:cs="Times New Roman"/>
        </w:rPr>
        <w:fldChar w:fldCharType="end"/>
      </w:r>
      <w:r w:rsidR="0065778D" w:rsidRPr="00D05EC2">
        <w:rPr>
          <w:rFonts w:ascii="Times New Roman" w:hAnsi="Times New Roman" w:cs="Times New Roman"/>
          <w:b w:val="0"/>
          <w:bCs w:val="0"/>
          <w:i w:val="0"/>
          <w:iCs w:val="0"/>
        </w:rPr>
        <w:t xml:space="preserve">. Research conducted by </w:t>
      </w:r>
      <w:r w:rsidR="0065778D" w:rsidRPr="00D05EC2">
        <w:rPr>
          <w:rFonts w:ascii="Times New Roman" w:hAnsi="Times New Roman" w:cs="Times New Roman"/>
          <w:b w:val="0"/>
          <w:i w:val="0"/>
        </w:rPr>
        <w:fldChar w:fldCharType="begin" w:fldLock="1"/>
      </w:r>
      <w:r w:rsidR="00D91D6E" w:rsidRPr="00D05EC2">
        <w:rPr>
          <w:rFonts w:ascii="Times New Roman" w:hAnsi="Times New Roman" w:cs="Times New Roman"/>
          <w:b w:val="0"/>
          <w:i w:val="0"/>
        </w:rPr>
        <w:instrText>ADDIN CSL_CITATION {"citationItems":[{"id":"ITEM-1","itemData":{"abstract":"The household debt in Malaysia was recorded at 83 per cent of gross domestic product in 2018. This contributed to insufficient amount of saving by household who are mostly not prepared for retirement. Meanwhile, youths in emerging countries however are reported as the main group trapped into the financial problem. The tendency of saving among individual is different from one another due to differences in financial knowledge, peers influence, parent's socialization and self-control based on Theory of Planned Behavior. A survey was conducted on 133 students in emerging country, Malaysia, to examine the factors which affected their savings behavior. Structured questionnaires were distributed using convenient sampling technique. Results revealed that financial knowledge, peer influence and parent socialization have a significant effect on students' saving behavior. Findings serve to inform policy makers who are formulating strategies to enhance students' financial knowledge and to maximize the role of parents and peers in order to encourage higher saving behavior in emerging countries.","author":[{"dropping-particle":"","family":"Kadir","given":"Juliana Mohd Abdul","non-dropping-particle":"","parse-names":false,"suffix":""},{"dropping-particle":"","family":"Shoukat","given":"Ayesha","non-dropping-particle":"","parse-names":false,"suffix":""},{"dropping-particle":"","family":"Naghavi","given":"Navaz","non-dropping-particle":"","parse-names":false,"suffix":""},{"dropping-particle":"","family":"Jamaluddin","given":"Amirul Azri","non-dropping-particle":"","parse-names":false,"suffix":""}],"container-title":"Paskistan Business Review","id":"ITEM-1","issue":"4","issued":{"date-parts":[["2021"]]},"page":"629-644","title":"Saving Behavior in Emerging Country: The Role of Financial Knowledge, Peer Influence and Parent Socialization","type":"article-journal","volume":"22"},"uris":["http://www.mendeley.com/documents/?uuid=a68e692d-7e63-4c3d-a6d0-dd3ce6cedd94"]},{"id":"ITEM-2","itemData":{"DOI":"10.25236/fsst.2021.030510","ISSN":"26167433","abstract":"Saving is the final manifestation of surplus in an economic cycle and it is the most common way for people to manage their wealth. In recent years, China's domestic saving rate still remains the highest level in the world. This research focuses on Guangdong province, whose saving scale ranks the top among mainland China. At present, there are few researches based on the influencing factors of Guangdong university students' saving behaviour. Therefore, this research is aims to investigate whether financial literacy (FL), parent influence (PaI), peer influence (PeI) and self-restraint (SR) have significant influence on the saving behaviour (SB) of university students in Guangdong province. Primary data are collected using self-administered questionnaire. The samples comprised 404 students from 16 different cities in Guangdong. Meanwhile, Pearson Correlations and Multiple Regression Analysis are employed to identify whether the four factors have relationship with the saving behaviour of university students. The results show that all the FL, PaI, PeI and SR have positive relationship with SB while FL has the greatest impact on SB among the four independent variables. In terms of practical significance, not only this research can fills in the academic gap to a certain extent, but also can contribute to university students, parents, universities commercial banks and other relevant parties.","author":[{"dropping-particle":"","family":"Ling","given":"Hanlu","non-dropping-particle":"","parse-names":false,"suffix":""}],"container-title":"The Frontiers of Society, Science and Technology","id":"ITEM-2","issue":"5","issued":{"date-parts":[["2021"]]},"page":"51-70","title":"Determinants of Saving Behaviour among Universities Students in Guangdong Province","type":"article-journal","volume":"3"},"uris":["http://www.mendeley.com/documents/?uuid=9bcc816b-947a-48b1-ac56-6c1fe45ed5e1"]}],"mendeley":{"formattedCitation":"(Kadir et al., 2021; Ling, 2021)","manualFormatting":"Kadir et al. (2021); and  Ling (2021)","plainTextFormattedCitation":"(Kadir et al., 2021; Ling, 2021)","previouslyFormattedCitation":"(Kadir et al., 2021; Ling, 2021)"},"properties":{"noteIndex":0},"schema":"https://github.com/citation-style-language/schema/raw/master/csl-citation.json"}</w:instrText>
      </w:r>
      <w:r w:rsidR="0065778D" w:rsidRPr="00D05EC2">
        <w:rPr>
          <w:rFonts w:ascii="Times New Roman" w:hAnsi="Times New Roman" w:cs="Times New Roman"/>
          <w:b w:val="0"/>
          <w:i w:val="0"/>
        </w:rPr>
        <w:fldChar w:fldCharType="separate"/>
      </w:r>
      <w:r w:rsidR="0065778D" w:rsidRPr="00D05EC2">
        <w:rPr>
          <w:rFonts w:ascii="Times New Roman" w:hAnsi="Times New Roman" w:cs="Times New Roman"/>
          <w:b w:val="0"/>
          <w:i w:val="0"/>
          <w:iCs w:val="0"/>
          <w:noProof/>
        </w:rPr>
        <w:t>Kadir et al. (2021); and  Ling (2021)</w:t>
      </w:r>
      <w:r w:rsidR="0065778D" w:rsidRPr="00D05EC2">
        <w:rPr>
          <w:rFonts w:ascii="Times New Roman" w:hAnsi="Times New Roman" w:cs="Times New Roman"/>
          <w:b w:val="0"/>
          <w:i w:val="0"/>
        </w:rPr>
        <w:fldChar w:fldCharType="end"/>
      </w:r>
      <w:r w:rsidR="0065778D" w:rsidRPr="00D05EC2">
        <w:rPr>
          <w:rFonts w:ascii="Times New Roman" w:hAnsi="Times New Roman" w:cs="Times New Roman"/>
          <w:b w:val="0"/>
          <w:i w:val="0"/>
        </w:rPr>
        <w:t xml:space="preserve"> also found this. </w:t>
      </w:r>
      <w:r w:rsidR="0065778D" w:rsidRPr="00D05EC2">
        <w:rPr>
          <w:rFonts w:ascii="Times New Roman" w:hAnsi="Times New Roman" w:cs="Times New Roman"/>
          <w:b w:val="0"/>
          <w:bCs w:val="0"/>
          <w:i w:val="0"/>
          <w:iCs w:val="0"/>
        </w:rPr>
        <w:t xml:space="preserve">According to </w:t>
      </w:r>
      <w:r w:rsidR="0065778D" w:rsidRPr="00D05EC2">
        <w:rPr>
          <w:rFonts w:ascii="Times New Roman" w:hAnsi="Times New Roman" w:cs="Times New Roman"/>
        </w:rPr>
        <w:fldChar w:fldCharType="begin" w:fldLock="1"/>
      </w:r>
      <w:r w:rsidR="0065778D" w:rsidRPr="00D05EC2">
        <w:rPr>
          <w:rFonts w:ascii="Times New Roman" w:hAnsi="Times New Roman" w:cs="Times New Roman"/>
        </w:rPr>
        <w:instrText>ADDIN CSL_CITATION {"citationItems":[{"id":"ITEM-1","itemData":{"DOI":"10.2991/assehr.k.220404.217","abstract":"The purpose of this study was to determine the effect of financial literacy, parental socialization, and peer influences on saving behavior. The sample selection method in this study uses convenience sampling with a sample of 316 respondents who are residents of DKI Jakarta who already have an income. The data analysis method used in this research is to use the smart partial least square (PLS) software version 3.00. The results of the data analysis conclude that there is a positive and significant influence between financial literacy, parental socialization, and peer influences on saving behavior.","author":[{"dropping-particle":"","family":"Salim","given":"Alvin Sanjaya","non-dropping-particle":"","parse-names":false,"suffix":""},{"dropping-particle":"","family":"Pamungkas","given":"Ary Satria","non-dropping-particle":"","parse-names":false,"suffix":""}],"container-title":"Proceedings of the 3rd Tarumanagara International Conference on the Applications of Social Sciences and Humanities (TICASH 2021)","id":"ITEM-1","issue":"Ticash 2021","issued":{"date-parts":[["2022"]]},"page":"1356-1361","title":"The Influence of Financial Literacy, Parental Socialization, and Peer Influences on Saving Behavior","type":"article-journal","volume":"655"},"uris":["http://www.mendeley.com/documents/?uuid=ff7332c6-ceb7-4a0a-b10b-6ae4e353c5e2"]}],"mendeley":{"formattedCitation":"(Salim &amp; Pamungkas, 2022)","manualFormatting":"Salim &amp; Pamungkas (2022)","plainTextFormattedCitation":"(Salim &amp; Pamungkas, 2022)","previouslyFormattedCitation":"(Salim &amp; Pamungkas, 2022)"},"properties":{"noteIndex":0},"schema":"https://github.com/citation-style-language/schema/raw/master/csl-citation.json"}</w:instrText>
      </w:r>
      <w:r w:rsidR="0065778D" w:rsidRPr="00D05EC2">
        <w:rPr>
          <w:rFonts w:ascii="Times New Roman" w:hAnsi="Times New Roman" w:cs="Times New Roman"/>
        </w:rPr>
        <w:fldChar w:fldCharType="separate"/>
      </w:r>
      <w:r w:rsidR="0065778D" w:rsidRPr="00D05EC2">
        <w:rPr>
          <w:rFonts w:ascii="Times New Roman" w:hAnsi="Times New Roman" w:cs="Times New Roman"/>
          <w:b w:val="0"/>
          <w:i w:val="0"/>
          <w:iCs w:val="0"/>
          <w:noProof/>
          <w:lang w:val="en-ID"/>
        </w:rPr>
        <w:t>Salim &amp; Pamungkas (2022)</w:t>
      </w:r>
      <w:r w:rsidR="0065778D" w:rsidRPr="00D05EC2">
        <w:rPr>
          <w:rFonts w:ascii="Times New Roman" w:hAnsi="Times New Roman" w:cs="Times New Roman"/>
        </w:rPr>
        <w:fldChar w:fldCharType="end"/>
      </w:r>
      <w:r w:rsidR="0065778D" w:rsidRPr="00D05EC2">
        <w:rPr>
          <w:rFonts w:ascii="Times New Roman" w:hAnsi="Times New Roman" w:cs="Times New Roman"/>
          <w:b w:val="0"/>
          <w:i w:val="0"/>
          <w:iCs w:val="0"/>
        </w:rPr>
        <w:t>,</w:t>
      </w:r>
      <w:r w:rsidR="0065778D" w:rsidRPr="00D05EC2">
        <w:rPr>
          <w:rFonts w:ascii="Times New Roman" w:hAnsi="Times New Roman" w:cs="Times New Roman"/>
          <w:b w:val="0"/>
          <w:bCs w:val="0"/>
          <w:i w:val="0"/>
          <w:iCs w:val="0"/>
        </w:rPr>
        <w:t xml:space="preserve"> daily interaction with a group of peers who have a habit of saving can encourage others to save as well. </w:t>
      </w:r>
    </w:p>
    <w:p w14:paraId="3F5233CB" w14:textId="77777777" w:rsidR="00D97723" w:rsidRPr="00D05EC2" w:rsidRDefault="00D97723" w:rsidP="0065778D">
      <w:pPr>
        <w:pStyle w:val="Heading2"/>
        <w:tabs>
          <w:tab w:val="left" w:pos="620"/>
        </w:tabs>
        <w:spacing w:before="93" w:line="276" w:lineRule="auto"/>
        <w:ind w:left="0" w:firstLine="0"/>
        <w:jc w:val="both"/>
        <w:rPr>
          <w:rFonts w:ascii="Times New Roman" w:hAnsi="Times New Roman" w:cs="Times New Roman"/>
          <w:i w:val="0"/>
          <w:iCs w:val="0"/>
          <w:sz w:val="24"/>
          <w:szCs w:val="24"/>
        </w:rPr>
      </w:pPr>
    </w:p>
    <w:p w14:paraId="4F99C05F" w14:textId="244A69DC" w:rsidR="00D97723" w:rsidRPr="00D6136B" w:rsidRDefault="00456E38">
      <w:pPr>
        <w:pStyle w:val="Heading2"/>
        <w:numPr>
          <w:ilvl w:val="1"/>
          <w:numId w:val="1"/>
        </w:numPr>
        <w:tabs>
          <w:tab w:val="left" w:pos="620"/>
        </w:tabs>
        <w:spacing w:before="93" w:line="276" w:lineRule="auto"/>
        <w:ind w:hanging="986"/>
        <w:rPr>
          <w:rFonts w:ascii="Times New Roman" w:hAnsi="Times New Roman" w:cs="Times New Roman"/>
          <w:sz w:val="24"/>
          <w:szCs w:val="24"/>
        </w:rPr>
      </w:pPr>
      <w:r w:rsidRPr="00D6136B">
        <w:rPr>
          <w:rFonts w:ascii="Times New Roman" w:hAnsi="Times New Roman" w:cs="Times New Roman"/>
          <w:sz w:val="24"/>
          <w:szCs w:val="24"/>
        </w:rPr>
        <w:t>Retirement Planning (RP)</w:t>
      </w:r>
      <w:r w:rsidR="000F755A">
        <w:rPr>
          <w:rFonts w:ascii="Times New Roman" w:hAnsi="Times New Roman" w:cs="Times New Roman"/>
          <w:sz w:val="24"/>
          <w:szCs w:val="24"/>
        </w:rPr>
        <w:t xml:space="preserve"> </w:t>
      </w:r>
      <w:r w:rsidRPr="00D6136B">
        <w:rPr>
          <w:rFonts w:ascii="Times New Roman" w:hAnsi="Times New Roman" w:cs="Times New Roman"/>
          <w:sz w:val="24"/>
          <w:szCs w:val="24"/>
        </w:rPr>
        <w:t>- Y</w:t>
      </w:r>
    </w:p>
    <w:p w14:paraId="5875DD3E" w14:textId="5D4A2739" w:rsidR="00D97723" w:rsidRPr="00D6136B" w:rsidRDefault="00456E38" w:rsidP="004A5E0E">
      <w:pPr>
        <w:pStyle w:val="Heading2"/>
        <w:tabs>
          <w:tab w:val="left" w:pos="620"/>
        </w:tabs>
        <w:spacing w:before="93" w:line="276" w:lineRule="auto"/>
        <w:ind w:left="60" w:firstLine="0"/>
        <w:jc w:val="both"/>
        <w:rPr>
          <w:rFonts w:ascii="Times New Roman" w:hAnsi="Times New Roman" w:cs="Times New Roman"/>
          <w:b w:val="0"/>
          <w:bCs w:val="0"/>
          <w:i w:val="0"/>
          <w:iCs w:val="0"/>
        </w:rPr>
      </w:pPr>
      <w:r w:rsidRPr="00D05EC2">
        <w:rPr>
          <w:rFonts w:ascii="Times New Roman" w:hAnsi="Times New Roman" w:cs="Times New Roman"/>
          <w:b w:val="0"/>
          <w:bCs w:val="0"/>
          <w:i w:val="0"/>
          <w:iCs w:val="0"/>
          <w:sz w:val="24"/>
          <w:szCs w:val="24"/>
        </w:rPr>
        <w:tab/>
      </w:r>
      <w:r w:rsidRPr="00D6136B">
        <w:rPr>
          <w:rFonts w:ascii="Times New Roman" w:hAnsi="Times New Roman" w:cs="Times New Roman"/>
          <w:b w:val="0"/>
          <w:bCs w:val="0"/>
          <w:i w:val="0"/>
          <w:iCs w:val="0"/>
        </w:rPr>
        <w:t>Retirement is the point at which a person has quit a job or a position; or hand over the business or occupation it owns to another party; or receive severance pay, when they are 50 to 60 years old</w:t>
      </w:r>
      <w:r w:rsidRPr="00D6136B">
        <w:rPr>
          <w:rFonts w:ascii="Times New Roman" w:hAnsi="Times New Roman" w:cs="Times New Roman"/>
          <w:i w:val="0"/>
          <w:iCs w:val="0"/>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{"citationItems":[{"id":"ITEM-1","itemData":{"DOI":"10.1017/S0714980809090047","ISSN":"07149808","PMID":"19860967","abstract":"Because the concept of retirement is prominent in both popular thinking and academic studies, it would be helpful if the notion were analytically sound, could be measured with precision, and would make possible comparisons of patterns of retirement over time and among different populations. This paper reviews and assesses the many concepts and measures that have been proposed, summarizing them in groupings that reflect non-participation or reduced participation in the labour force, receipt of pension income, end-of-career employment, self-assessed retirement, or combinations of those characteristics. It concludes that there is no agreed measure and that no one measure dominates. Instead, new proposed measures continue to take account of additional refinements as new data sets become available, thereby further restricting possible comparisons. The confusing array of definitions reflects the practical problem that underlies the concept of retirement: It is an essentially negative notion, a notion of what people are not doing - namely, that they are not working. A more positive approach would be to focus, instead, on what people are doing, including especially their involvement in non-market activities that are socially productive, even if those activities do not contribute to national income as conventionally measured. © 2009 Canadian Association on Gerontology.","author":[{"dropping-particle":"","family":"Denton","given":"Frank T.","non-dropping-particle":"","parse-names":false,"suffix":""},{"dropping-particle":"","family":"Spencer","given":"Byron G.","non-dropping-particle":"","parse-names":false,"suffix":""}],"container-title":"Canadian Journal on Aging","id":"ITEM-1","issue":"1","issued":{"date-parts":[["2009"]]},"page":"63-76","title":"What is retirement? A review and assessment of alternative concepts and measures","type":"article-journal","volume":"28"},"uris":["http://www.mendeley.com/documents/?uuid=d5051ec8-6aa4-4e38-a4ba-e6923a56a106"]}],"mendeley":{"formattedCitation":"(Denton &amp; Spencer, 2009)","plainTextFormattedCitation":"(Denton &amp; Spencer, 2009)","previouslyFormattedCitation":"(Denton &amp; Spencer, 2009)"},"properties":{"noteIndex":0},"schema":"https://github.com/citation-style-language/schema/raw/master/csl-citation.json"}</w:instrText>
      </w:r>
      <w:r w:rsidRPr="00D6136B">
        <w:rPr>
          <w:rFonts w:ascii="Times New Roman" w:hAnsi="Times New Roman" w:cs="Times New Roman"/>
        </w:rPr>
        <w:fldChar w:fldCharType="separate"/>
      </w:r>
      <w:bookmarkStart w:id="123" w:name="Bookmark84"/>
      <w:r w:rsidRPr="00D6136B">
        <w:rPr>
          <w:rFonts w:ascii="Times New Roman" w:hAnsi="Times New Roman" w:cs="Times New Roman"/>
          <w:b w:val="0"/>
          <w:bCs w:val="0"/>
          <w:i w:val="0"/>
          <w:iCs w:val="0"/>
          <w:noProof/>
        </w:rPr>
        <w:t>(</w:t>
      </w:r>
      <w:bookmarkStart w:id="124" w:name="Bookmark771"/>
      <w:r w:rsidRPr="00D6136B">
        <w:rPr>
          <w:rFonts w:ascii="Times New Roman" w:hAnsi="Times New Roman" w:cs="Times New Roman"/>
          <w:b w:val="0"/>
          <w:bCs w:val="0"/>
          <w:i w:val="0"/>
          <w:iCs w:val="0"/>
          <w:noProof/>
        </w:rPr>
        <w:t>Denton &amp; Spencer, 2009)</w:t>
      </w:r>
      <w:r w:rsidRPr="00D6136B">
        <w:rPr>
          <w:rFonts w:ascii="Times New Roman" w:hAnsi="Times New Roman" w:cs="Times New Roman"/>
        </w:rPr>
        <w:fldChar w:fldCharType="end"/>
      </w:r>
      <w:bookmarkEnd w:id="123"/>
      <w:bookmarkEnd w:id="124"/>
      <w:r w:rsidRPr="00D6136B">
        <w:rPr>
          <w:rFonts w:ascii="Times New Roman" w:hAnsi="Times New Roman" w:cs="Times New Roman"/>
          <w:b w:val="0"/>
          <w:bCs w:val="0"/>
          <w:i w:val="0"/>
          <w:iCs w:val="0"/>
        </w:rPr>
        <w:t xml:space="preserve">. </w:t>
      </w:r>
      <w:r w:rsidR="00771849" w:rsidRPr="00D6136B">
        <w:rPr>
          <w:rFonts w:ascii="Times New Roman" w:hAnsi="Times New Roman" w:cs="Times New Roman"/>
          <w:b w:val="0"/>
          <w:bCs w:val="0"/>
          <w:i w:val="0"/>
          <w:iCs w:val="0"/>
        </w:rPr>
        <w:t>Part of an activity to prepare for retirement, which leads to prosperity and protects income to be used after retirement in old age</w:t>
      </w:r>
      <w:r w:rsidRPr="00D6136B">
        <w:rPr>
          <w:rFonts w:ascii="Times New Roman" w:hAnsi="Times New Roman" w:cs="Times New Roman"/>
          <w:i w:val="0"/>
          <w:iCs w:val="0"/>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{"citationItems":[{"id":"ITEM-1","itemData":{"abstract":"We implement a customized survey to a representative sample of 1,024 Australians to examine the relationship between financial literacy and retirement planning. Overall we find aggregate levels of financial literacy similar to comparable countries with the young, least educated, unemployed and those not in the labor force most at risk. However, unlike the international norm, we find that financial skills increase with age. The role played by the Australia's mandatory private retirement arrangements, system of defaults, and interactions with the means-tested safety net pension at older ages remain open questions.","author":[{"dropping-particle":"","family":"Agnew","given":"Julie","non-dropping-particle":"","parse-names":false,"suffix":""},{"dropping-particle":"","family":"Bateman","given":"Hazel","non-dropping-particle":"","parse-names":false,"suffix":""},{"dropping-particle":"","family":"Thorp","given":"Susan","non-dropping-particle":"","parse-names":false,"suffix":""},{"dropping-particle":"","family":"Agnew","given":"Julie R","non-dropping-particle":"","parse-names":false,"suffix":""}],"container-title":"SSRN Electronic Journal","id":"ITEM-1","issue":"2012","issued":{"date-parts":[["2013"]]},"title":"Financial Literacy and Retirement Planning in Australian Australian School of Business Working Paper Financial literacy and retirement planning in Australia","type":"article-journal"},"uris":["http://www.mendeley.com/documents/?uuid=c36dee83-740f-4b1a-941c-4a954f3b5fac"]}],"mendeley":{"formattedCitation":"(Agnew et al., 2013)","manualFormatting":"(Agnew et al.,2013)","plainTextFormattedCitation":"(Agnew et al., 2013)","previouslyFormattedCitation":"(Agnew et al., 2013)"},"properties":{"noteIndex":0},"schema":"https://github.com/citation-style-language/schema/raw/master/csl-citation.json"}</w:instrText>
      </w:r>
      <w:r w:rsidRPr="00D6136B">
        <w:rPr>
          <w:rFonts w:ascii="Times New Roman" w:hAnsi="Times New Roman" w:cs="Times New Roman"/>
        </w:rPr>
        <w:fldChar w:fldCharType="separate"/>
      </w:r>
      <w:bookmarkStart w:id="125" w:name="Bookmark85"/>
      <w:r w:rsidRPr="00D6136B">
        <w:rPr>
          <w:rFonts w:ascii="Times New Roman" w:hAnsi="Times New Roman" w:cs="Times New Roman"/>
          <w:b w:val="0"/>
          <w:bCs w:val="0"/>
          <w:i w:val="0"/>
          <w:iCs w:val="0"/>
          <w:noProof/>
          <w:lang w:val="en-ID"/>
        </w:rPr>
        <w:t>(</w:t>
      </w:r>
      <w:bookmarkStart w:id="126" w:name="Bookmark781"/>
      <w:r w:rsidRPr="00D6136B">
        <w:rPr>
          <w:rFonts w:ascii="Times New Roman" w:hAnsi="Times New Roman" w:cs="Times New Roman"/>
          <w:b w:val="0"/>
          <w:bCs w:val="0"/>
          <w:i w:val="0"/>
          <w:iCs w:val="0"/>
          <w:noProof/>
          <w:lang w:val="en-ID"/>
        </w:rPr>
        <w:t>Agnew et al.,2013)</w:t>
      </w:r>
      <w:r w:rsidRPr="00D6136B">
        <w:rPr>
          <w:rFonts w:ascii="Times New Roman" w:hAnsi="Times New Roman" w:cs="Times New Roman"/>
        </w:rPr>
        <w:fldChar w:fldCharType="end"/>
      </w:r>
      <w:bookmarkEnd w:id="125"/>
      <w:bookmarkEnd w:id="126"/>
      <w:r w:rsidRPr="00D6136B">
        <w:rPr>
          <w:rFonts w:ascii="Times New Roman" w:hAnsi="Times New Roman" w:cs="Times New Roman"/>
          <w:b w:val="0"/>
          <w:bCs w:val="0"/>
          <w:i w:val="0"/>
          <w:iCs w:val="0"/>
          <w:lang w:val="en-ID"/>
        </w:rPr>
        <w:t xml:space="preserve">. </w:t>
      </w:r>
      <w:r w:rsidRPr="00D6136B">
        <w:rPr>
          <w:rFonts w:ascii="Times New Roman" w:hAnsi="Times New Roman" w:cs="Times New Roman"/>
          <w:b w:val="0"/>
          <w:bCs w:val="0"/>
          <w:i w:val="0"/>
          <w:iCs w:val="0"/>
        </w:rPr>
        <w:t xml:space="preserve">Similar research in various countries </w:t>
      </w:r>
      <w:r w:rsidR="00771849" w:rsidRPr="00D6136B">
        <w:rPr>
          <w:rFonts w:ascii="Times New Roman" w:hAnsi="Times New Roman" w:cs="Times New Roman"/>
          <w:b w:val="0"/>
          <w:bCs w:val="0"/>
          <w:i w:val="0"/>
          <w:iCs w:val="0"/>
        </w:rPr>
        <w:t xml:space="preserve">also proves that FL has a positive influence on RP, including in the United States by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{"citationItems":[{"id":"ITEM-1","itemData":{"DOI":"10.1017/S1474747214000031","ISSN":"1474-7472","abstract":"Using a special-purpose module implemented in the Health and Retirement Study, we evaluate financial sophistication in the American population over the age of 50. We combine several financial literacy questions into an overall index to highlight which questions best capture financial sophistication and examine the sensitivity of financial literacy responses to framing effects. Results show that many older respondents are not financially sophisticated: they fail to grasp essential aspects of risk diversification, asset valuation, portfolio choice, and investment fees. Subgroups with notable deficits include women, the least educated, non-Whites, and those age 75+. In view of the fact that retirees increasingly must take on responsibility for their own retirement security, such meager levels of knowledge have potentially serious and negative implications.","author":[{"dropping-particle":"","family":"Lusardi","given":"Annamaria","non-dropping-particle":"","parse-names":false,"suffix":""},{"dropping-particle":"","family":"Mitchell","given":"Olivia.S","non-dropping-particle":"","parse-names":false,"suffix":""},{"dropping-particle":"","family":"Curto","given":"Vilsa","non-dropping-particle":"","parse-names":false,"suffix":""}],"container-title":"Journal of Pension Economics and Finance","id":"ITEM-1","issue":"4","issued":{"date-parts":[["2011","10","26"]]},"language":"English","note":"Copyright - Copyright © Cambridge University Press 2014\n\nDocument feature - Equations; Tables\n\nLast updated - 2023-11-28\n\nSubjectsTermNotLitGenreText - United States--US","page":"347-366","publisher":"Cambridge University Press PP - Cambridge","publisher-place":"Cambridge","title":"Financial literacy and financial sophistication in the older population","type":"article-journal","volume":"13"},"uris":["http://www.mendeley.com/documents/?uuid=4b6a9184-d17e-42dc-a2e7-f50158590b18"]}],"mendeley":{"formattedCitation":"(Lusardi et al., 2011)","manualFormatting":"Lusardi &amp; Mitchell (2014","plainTextFormattedCitation":"(Lusardi et al., 2011)","previouslyFormattedCitation":"(Lusardi et al., 2011)"},"properties":{"noteIndex":0},"schema":"https://github.com/citation-style-language/schema/raw/master/csl-citation.json"}</w:instrText>
      </w:r>
      <w:r w:rsidRPr="00D6136B">
        <w:rPr>
          <w:rFonts w:ascii="Times New Roman" w:hAnsi="Times New Roman" w:cs="Times New Roman"/>
        </w:rPr>
        <w:fldChar w:fldCharType="separate"/>
      </w:r>
      <w:bookmarkStart w:id="127" w:name="Bookmark86"/>
      <w:r w:rsidRPr="00D6136B">
        <w:rPr>
          <w:rFonts w:ascii="Times New Roman" w:hAnsi="Times New Roman" w:cs="Times New Roman"/>
          <w:b w:val="0"/>
          <w:bCs w:val="0"/>
          <w:i w:val="0"/>
          <w:iCs w:val="0"/>
          <w:noProof/>
          <w:lang w:val="en-ID"/>
        </w:rPr>
        <w:t>L</w:t>
      </w:r>
      <w:bookmarkStart w:id="128" w:name="Bookmark791"/>
      <w:r w:rsidRPr="00D6136B">
        <w:rPr>
          <w:rFonts w:ascii="Times New Roman" w:hAnsi="Times New Roman" w:cs="Times New Roman"/>
          <w:b w:val="0"/>
          <w:bCs w:val="0"/>
          <w:i w:val="0"/>
          <w:iCs w:val="0"/>
          <w:noProof/>
          <w:lang w:val="en-ID"/>
        </w:rPr>
        <w:t>usardi &amp; Mitchell (2014</w:t>
      </w:r>
      <w:r w:rsidRPr="00D6136B">
        <w:rPr>
          <w:rFonts w:ascii="Times New Roman" w:hAnsi="Times New Roman" w:cs="Times New Roman"/>
        </w:rPr>
        <w:fldChar w:fldCharType="end"/>
      </w:r>
      <w:bookmarkEnd w:id="127"/>
      <w:bookmarkEnd w:id="128"/>
      <w:r w:rsidRPr="00D6136B">
        <w:rPr>
          <w:rFonts w:ascii="Times New Roman" w:hAnsi="Times New Roman" w:cs="Times New Roman"/>
          <w:b w:val="0"/>
          <w:bCs w:val="0"/>
          <w:i w:val="0"/>
          <w:iCs w:val="0"/>
          <w:lang w:val="en-ID"/>
        </w:rPr>
        <w:t xml:space="preserve">), </w:t>
      </w:r>
      <w:bookmarkStart w:id="129" w:name="_Hlk177336195"/>
      <w:r w:rsidRPr="00D6136B">
        <w:rPr>
          <w:rFonts w:ascii="Times New Roman" w:hAnsi="Times New Roman" w:cs="Times New Roman"/>
          <w:b w:val="0"/>
          <w:bCs w:val="0"/>
          <w:i w:val="0"/>
          <w:iCs w:val="0"/>
        </w:rPr>
        <w:t xml:space="preserve">in Netherlands by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{"citationItems":[{"id":"ITEM-1","itemData":{"DOI":"10.1016/j.jfineco.2011.03.006","ISSN":"0304405X","abstract":"We have devised two special modules for De Nederlandsche Bank (DNB) Household Survey to measure financial literacy and study its relationship to stock market participation. We find that the majority of respondents display basic financial knowledge and have some grasp of concepts such as interest compounding, inflation, and the time value of money. However, very few go beyond these basic concepts; many respondents do not know the difference between bonds and stocks, the relationship between bond prices and interest rates, and the basics of risk diversification. Most importantly, we find that financial literacy affects financial decision-making: Those with low literacy are much less likely to invest in stocks. © 2011 Elsevier B.V.","author":[{"dropping-particle":"","family":"Rooij","given":"Maarten","non-dropping-particle":"Van","parse-names":false,"suffix":""},{"dropping-particle":"","family":"Lusardi","given":"Annamaria","non-dropping-particle":"","parse-names":false,"suffix":""},{"dropping-particle":"","family":"Alessie","given":"Rob","non-dropping-particle":"","parse-names":false,"suffix":""}],"container-title":"Journal of Financial Economics","id":"ITEM-1","issue":"2","issued":{"date-parts":[["2011","8"]]},"page":"449-472","publisher":"Elsevier","title":"Financial literacy and stock market participation","type":"article-journal","volume":"101"},"uris":["http://www.mendeley.com/documents/?uuid=db955c5b-560d-46ee-908d-0d97a9ac11c9"]}],"mendeley":{"formattedCitation":"(M. Van Rooij et al., 2011)","manualFormatting":"Rooij et al. (2011)","plainTextFormattedCitation":"(M. Van Rooij et al., 2011)","previouslyFormattedCitation":"(M. Van Rooij et al., 2011)"},"properties":{"noteIndex":0},"schema":"https://github.com/citation-style-language/schema/raw/master/csl-citation.json"}</w:instrText>
      </w:r>
      <w:r w:rsidRPr="00D6136B">
        <w:rPr>
          <w:rFonts w:ascii="Times New Roman" w:hAnsi="Times New Roman" w:cs="Times New Roman"/>
        </w:rPr>
        <w:fldChar w:fldCharType="separate"/>
      </w:r>
      <w:bookmarkStart w:id="130" w:name="Bookmark87"/>
      <w:r w:rsidRPr="00D6136B">
        <w:rPr>
          <w:rFonts w:ascii="Times New Roman" w:hAnsi="Times New Roman" w:cs="Times New Roman"/>
          <w:b w:val="0"/>
          <w:bCs w:val="0"/>
          <w:i w:val="0"/>
          <w:iCs w:val="0"/>
          <w:noProof/>
          <w:lang w:val="en-ID"/>
        </w:rPr>
        <w:t>R</w:t>
      </w:r>
      <w:bookmarkStart w:id="131" w:name="Bookmark801"/>
      <w:r w:rsidRPr="00D6136B">
        <w:rPr>
          <w:rFonts w:ascii="Times New Roman" w:hAnsi="Times New Roman" w:cs="Times New Roman"/>
          <w:b w:val="0"/>
          <w:bCs w:val="0"/>
          <w:i w:val="0"/>
          <w:iCs w:val="0"/>
          <w:noProof/>
          <w:lang w:val="en-ID"/>
        </w:rPr>
        <w:t>ooij et al. (2011)</w:t>
      </w:r>
      <w:r w:rsidRPr="00D6136B">
        <w:rPr>
          <w:rFonts w:ascii="Times New Roman" w:hAnsi="Times New Roman" w:cs="Times New Roman"/>
        </w:rPr>
        <w:fldChar w:fldCharType="end"/>
      </w:r>
      <w:bookmarkEnd w:id="130"/>
      <w:bookmarkEnd w:id="131"/>
      <w:r w:rsidRPr="00D6136B">
        <w:rPr>
          <w:rFonts w:ascii="Times New Roman" w:hAnsi="Times New Roman" w:cs="Times New Roman"/>
          <w:b w:val="0"/>
          <w:bCs w:val="0"/>
          <w:i w:val="0"/>
          <w:iCs w:val="0"/>
          <w:lang w:val="en-ID"/>
        </w:rPr>
        <w:t xml:space="preserve">, </w:t>
      </w:r>
      <w:r w:rsidR="00771849" w:rsidRPr="00D6136B">
        <w:rPr>
          <w:rFonts w:ascii="Times New Roman" w:hAnsi="Times New Roman" w:cs="Times New Roman"/>
          <w:b w:val="0"/>
          <w:bCs w:val="0"/>
          <w:i w:val="0"/>
          <w:iCs w:val="0"/>
        </w:rPr>
        <w:t xml:space="preserve">in Australia by </w:t>
      </w:r>
      <w:r w:rsidRPr="00D6136B">
        <w:rPr>
          <w:rFonts w:ascii="Times New Roman" w:hAnsi="Times New Roman" w:cs="Times New Roman"/>
        </w:rPr>
        <w:fldChar w:fldCharType="begin" w:fldLock="1"/>
      </w:r>
      <w:r w:rsidR="004A5E0E" w:rsidRPr="00D6136B">
        <w:rPr>
          <w:rFonts w:ascii="Times New Roman" w:hAnsi="Times New Roman" w:cs="Times New Roman"/>
        </w:rPr>
        <w:instrText>ADDIN CSL_CITATION {"citationItems":[{"id":"ITEM-1","itemData":{"abstract":"We implement a customized survey to a representative sample of 1,024 Australians to examine the relationship between financial literacy and retirement planning. Overall we find aggregate levels of financial literacy similar to comparable countries with the young, least educated, unemployed and those not in the labor force most at risk. However, unlike the international norm, we find that financial skills increase with age. The role played by the Australia's mandatory private retirement arrangements, system of defaults, and interactions with the means-tested safety net pension at older ages remain open questions.","author":[{"dropping-particle":"","family":"Agnew","given":"Julie","non-dropping-particle":"","parse-names":false,"suffix":""},{"dropping-particle":"","family":"Bateman","given":"Hazel","non-dropping-particle":"","parse-names":false,"suffix":""},{"dropping-particle":"","family":"Thorp","given":"Susan","non-dropping-particle":"","parse-names":false,"suffix":""},{"dropping-particle":"","family":"Agnew","given":"Julie R","non-dropping-particle":"","parse-names":false,"suffix":""}],"container-title":"SSRN Electronic Journal","id":"ITEM-1","issue":"2012","issued":{"date-parts":[["2013"]]},"title":"Financial Literacy and Retirement Planning in Australian Australian School of Business Working Paper Financial literacy and retirement planning in Australia","type":"article-journal"},"uris":["http://www.mendeley.com/documents/?uuid=c36dee83-740f-4b1a-941c-4a954f3b5fac"]}],"mendeley":{"formattedCitation":"(Agnew et al., 2013)","manualFormatting":"Agnew et al.(2013)","plainTextFormattedCitation":"(Agnew et al., 2013)","previouslyFormattedCitation":"(Agnew et al., 2013)"},"properties":{"noteIndex":0},"schema":"https://github.com/citation-style-language/schema/raw/master/csl-citation.json"}</w:instrText>
      </w:r>
      <w:r w:rsidRPr="00D6136B">
        <w:rPr>
          <w:rFonts w:ascii="Times New Roman" w:hAnsi="Times New Roman" w:cs="Times New Roman"/>
        </w:rPr>
        <w:fldChar w:fldCharType="separate"/>
      </w:r>
      <w:bookmarkStart w:id="132" w:name="Bookmark88"/>
      <w:bookmarkStart w:id="133" w:name="Bookmark811"/>
      <w:r w:rsidRPr="00D6136B">
        <w:rPr>
          <w:rFonts w:ascii="Times New Roman" w:hAnsi="Times New Roman" w:cs="Times New Roman"/>
          <w:b w:val="0"/>
          <w:bCs w:val="0"/>
          <w:i w:val="0"/>
          <w:iCs w:val="0"/>
          <w:noProof/>
        </w:rPr>
        <w:t>Agnew et al.(2013)</w:t>
      </w:r>
      <w:r w:rsidRPr="00D6136B">
        <w:rPr>
          <w:rFonts w:ascii="Times New Roman" w:hAnsi="Times New Roman" w:cs="Times New Roman"/>
        </w:rPr>
        <w:fldChar w:fldCharType="end"/>
      </w:r>
      <w:bookmarkEnd w:id="132"/>
      <w:bookmarkEnd w:id="133"/>
      <w:r w:rsidRPr="00D6136B">
        <w:rPr>
          <w:rFonts w:ascii="Times New Roman" w:hAnsi="Times New Roman" w:cs="Times New Roman"/>
          <w:b w:val="0"/>
          <w:bCs w:val="0"/>
          <w:i w:val="0"/>
          <w:iCs w:val="0"/>
          <w:lang w:val="en-ID"/>
        </w:rPr>
        <w:t xml:space="preserve">, in Malaysia </w:t>
      </w:r>
      <w:r w:rsidRPr="00D6136B">
        <w:rPr>
          <w:rFonts w:ascii="Times New Roman" w:hAnsi="Times New Roman" w:cs="Times New Roman"/>
        </w:rPr>
        <w:fldChar w:fldCharType="begin" w:fldLock="1"/>
      </w:r>
      <w:r w:rsidR="004A5E0E" w:rsidRPr="00D6136B">
        <w:rPr>
          <w:rFonts w:ascii="Times New Roman" w:hAnsi="Times New Roman" w:cs="Times New Roman"/>
        </w:rPr>
        <w:instrText>ADDIN CSL_CITATION {"citationItems":[{"id":"ITEM-1","itemData":{"DOI":"10.14254/2071-789X.2019/12-2/18","ISSN":"2071-789X","abstract":"Many government policies contain recommendations how to improve financial literacy, particularly through programmes of financial education and personal finance. However, personal financial management is not solely related to knowledge and financial literacy; individual confidence level in own financial abilities and household differences need to be considered in this regard. This paper investigates household financial efficacy through application of psychometric instruments, financial literacy, risk preference and demographic characteristics towards saving decision behaviour. The sample covers 404 households in Peninsular Malaysia and utilises the logistic and probit empirical model. The results show that household’s financial efficacy is essential for household’s saving decision behaviour and choice of saving instrument. Financial literacy, race, education and dependence ratio and location (rural or urban) of the household also play a role in saving instruments selection. More specifically, households with higher levels of financial efficacy are more likely to use bank-based or other lower risk saving instruments as compared to non-banking-based instruments.","author":[{"dropping-particle":"","family":"Kusairi","given":"Suhal","non-dropping-particle":"","parse-names":false,"suffix":""},{"dropping-particle":"","family":"Sanusi","given":"Nur Azura","non-dropping-particle":"","parse-names":false,"suffix":""},{"dropping-particle":"","family":"Muhamad","given":"Suriyani","non-dropping-particle":"","parse-names":false,"suffix":""},{"dropping-particle":"","family":"Shukri","given":"Madihah","non-dropping-particle":"","parse-names":false,"suffix":""},{"dropping-particle":"","family":"Zamri","given":"Nadia","non-dropping-particle":"","parse-names":false,"suffix":""}],"container-title":"Economics &amp; Sociology","id":"ITEM-1","issue":"2","issued":{"date-parts":[["2019","6"]]},"page":"301-318","title":"Financial households’ efficacy, risk preference and saving behaviour: Lessons from lower-income households in Malaysia","type":"article-journal","volume":"12"},"uris":["http://www.mendeley.com/documents/?uuid=73d4418b-d468-4681-ad99-b6be5addc62f"]}],"mendeley":{"formattedCitation":"(Kusairi et al., 2019)","manualFormatting":"researched by Anuar et al. (2023); and  Kusairi et al. (2019)","plainTextFormattedCitation":"(Kusairi et al., 2019)","previouslyFormattedCitation":"(Kusairi et al., 2019)"},"properties":{"noteIndex":0},"schema":"https://github.com/citation-style-language/schema/raw/master/csl-citation.json"}</w:instrText>
      </w:r>
      <w:r w:rsidRPr="00D6136B">
        <w:rPr>
          <w:rFonts w:ascii="Times New Roman" w:hAnsi="Times New Roman" w:cs="Times New Roman"/>
        </w:rPr>
        <w:fldChar w:fldCharType="separate"/>
      </w:r>
      <w:bookmarkStart w:id="134" w:name="Bookmark89"/>
      <w:r w:rsidRPr="00D6136B">
        <w:rPr>
          <w:rFonts w:ascii="Times New Roman" w:hAnsi="Times New Roman" w:cs="Times New Roman"/>
          <w:b w:val="0"/>
          <w:bCs w:val="0"/>
          <w:i w:val="0"/>
          <w:iCs w:val="0"/>
          <w:noProof/>
          <w:lang w:val="en-ID"/>
        </w:rPr>
        <w:t>r</w:t>
      </w:r>
      <w:bookmarkStart w:id="135" w:name="Bookmark821"/>
      <w:r w:rsidRPr="00D6136B">
        <w:rPr>
          <w:rFonts w:ascii="Times New Roman" w:hAnsi="Times New Roman" w:cs="Times New Roman"/>
          <w:b w:val="0"/>
          <w:bCs w:val="0"/>
          <w:i w:val="0"/>
          <w:iCs w:val="0"/>
          <w:noProof/>
          <w:lang w:val="en-ID"/>
        </w:rPr>
        <w:t xml:space="preserve">esearched by </w:t>
      </w:r>
      <w:r w:rsidRPr="00D6136B">
        <w:rPr>
          <w:rFonts w:ascii="Times New Roman" w:hAnsi="Times New Roman" w:cs="Times New Roman"/>
          <w:b w:val="0"/>
          <w:bCs w:val="0"/>
          <w:i w:val="0"/>
          <w:iCs w:val="0"/>
          <w:noProof/>
        </w:rPr>
        <w:t>Anuar et al. (2023); and  Kusairi et al. (2019)</w:t>
      </w:r>
      <w:r w:rsidRPr="00D6136B">
        <w:rPr>
          <w:rFonts w:ascii="Times New Roman" w:hAnsi="Times New Roman" w:cs="Times New Roman"/>
        </w:rPr>
        <w:fldChar w:fldCharType="end"/>
      </w:r>
      <w:r w:rsidR="004A5E0E" w:rsidRPr="00D6136B">
        <w:rPr>
          <w:rFonts w:ascii="Times New Roman" w:hAnsi="Times New Roman" w:cs="Times New Roman"/>
        </w:rPr>
        <w:t xml:space="preserve"> </w:t>
      </w:r>
      <w:r w:rsidRPr="00D6136B">
        <w:rPr>
          <w:rFonts w:ascii="Times New Roman" w:hAnsi="Times New Roman" w:cs="Times New Roman"/>
        </w:rPr>
        <w:fldChar w:fldCharType="begin" w:fldLock="1"/>
      </w:r>
      <w:r w:rsidR="004A5E0E" w:rsidRPr="00D6136B">
        <w:rPr>
          <w:rFonts w:ascii="Times New Roman" w:hAnsi="Times New Roman" w:cs="Times New Roman"/>
        </w:rPr>
        <w:instrText>ADDIN CSL_CITATION {"citationItems":[{"id":"ITEM-1","itemData":{"DOI":"10.14254/2071-789X.2019/12-2/18","ISSN":"2071-789X","abstract":"Many government policies contain recommendations how to improve financial literacy, particularly through programmes of financial education and personal finance. However, personal financial management is not solely related to knowledge and financial literacy; individual confidence level in own financial abilities and household differences need to be considered in this regard. This paper investigates household financial efficacy through application of psychometric instruments, financial literacy, risk preference and demographic characteristics towards saving decision behaviour. The sample covers 404 households in Peninsular Malaysia and utilises the logistic and probit empirical model. The results show that household’s financial efficacy is essential for household’s saving decision behaviour and choice of saving instrument. Financial literacy, race, education and dependence ratio and location (rural or urban) of the household also play a role in saving instruments selection. More specifically, households with higher levels of financial efficacy are more likely to use bank-based or other lower risk saving instruments as compared to non-banking-based instruments.","author":[{"dropping-particle":"","family":"Kusairi","given":"Suhal","non-dropping-particle":"","parse-names":false,"suffix":""},{"dropping-particle":"","family":"Sanusi","given":"Nur Azura","non-dropping-particle":"","parse-names":false,"suffix":""},{"dropping-particle":"","family":"Muhamad","given":"Suriyani","non-dropping-particle":"","parse-names":false,"suffix":""},{"dropping-particle":"","family":"Shukri","given":"Madihah","non-dropping-particle":"","parse-names":false,"suffix":""},{"dropping-particle":"","family":"Zamri","given":"Nadia","non-dropping-particle":"","parse-names":false,"suffix":""}],"container-title":"Economics &amp; Sociology","id":"ITEM-1","issue":"2","issued":{"date-parts":[["2019","6"]]},"page":"301-318","title":"Financial households’ efficacy, risk preference and saving behaviour: Lessons from lower-income households in Malaysia","type":"article-journal","volume":"12"},"uris":["http://www.mendeley.com/documents/?uuid=73d4418b-d468-4681-ad99-b6be5addc62f"]},{"id":"ITEM-2","itemData":{"DOI":"10.22610/imbr.v15i3(I).3543","ISSN":"2220-3796","abstract":"Financial planning for retirement for gig workers is relatively hard given their insecure employment. Factors like employer misplacement of gig workers, a lack of employer-sponsored pension plans, uncertain income, and insufficient financial guidance may make it difficult and stressful for gig workers to arrange their money for retirement. The researchers offer a relationship model in this study, with a quantitative research design chosen to validate the hypothesized elements and construct linkages between them. The main factors that may influence financial planning for retirement stated as financial literacy, retirement goals, future time perspective, social influence, and saving attitude as a mediator. To confirm that, a design questionnaire, which is reliable and acceptable, two steps of verification have followed. First, there is a validation phase in which the questionnaire is reviewed by a panel of experts. Before moving on to the next level, the feedback gathered was followed up on. Second, the pilot study proceeding to investigate the consistency of the instrument analyzed through Cronbach’s Alpha coefficient reliability screening in SPSS 26 software package. Moreover, the results found that all the items were reliable and the Cronbach’s Alpha coefficient above 0.7.","author":[{"dropping-particle":"","family":"Aizad","given":"Muhammad Eddy","non-dropping-particle":"","parse-names":false,"suffix":""},{"dropping-particle":"","family":"Ismail","given":"Shafinar","non-dropping-particle":"","parse-names":false,"suffix":""},{"dropping-particle":"","family":"Abd Samad","given":"Khairunnisa","non-dropping-particle":"","parse-names":false,"suffix":""}],"container-title":"Information Management and Business Review","id":"ITEM-2","issue":"3(I)","issued":{"date-parts":[["2023","10","8"]]},"page":"325-340","title":"Measuring Financial Planning for Retirement of Gig Workers in Malaysia: A Pilot Study","type":"article-journal","volume":"15"},"uris":["http://www.mendeley.com/documents/?uuid=e3a1369a-711f-405c-bbfd-fabedd678c6e"]}],"mendeley":{"formattedCitation":"(Aizad et al., 2023; Kusairi et al., 2019)","plainTextFormattedCitation":"(Aizad et al., 2023; Kusairi et al., 2019)","previouslyFormattedCitation":"(Aizad et al., 2023; Kusairi et al., 2019)"},"properties":{"noteIndex":0},"schema":"https://github.com/citation-style-language/schema/raw/master/csl-citation.json"}</w:instrText>
      </w:r>
      <w:r w:rsidRPr="00D6136B">
        <w:rPr>
          <w:rFonts w:ascii="Times New Roman" w:hAnsi="Times New Roman" w:cs="Times New Roman"/>
        </w:rPr>
        <w:fldChar w:fldCharType="end"/>
      </w:r>
      <w:bookmarkStart w:id="136" w:name="Bookmark90"/>
      <w:bookmarkStart w:id="137" w:name="Bookmark831"/>
      <w:bookmarkEnd w:id="134"/>
      <w:bookmarkEnd w:id="135"/>
      <w:bookmarkEnd w:id="136"/>
      <w:bookmarkEnd w:id="137"/>
      <w:r w:rsidRPr="00D6136B">
        <w:rPr>
          <w:rFonts w:ascii="Times New Roman" w:hAnsi="Times New Roman" w:cs="Times New Roman"/>
          <w:b w:val="0"/>
          <w:bCs w:val="0"/>
          <w:i w:val="0"/>
          <w:iCs w:val="0"/>
        </w:rPr>
        <w:t xml:space="preserve">, while in Indonesia it is carried out by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{"citationItems":[{"id":"ITEM-1","itemData":{"DOI":"10.30596/ijbe.v1i1.3442","ISSN":"2686472X","abstract":"This study aims to determine the effect of financial literacy and financial inclusion on retirement planning. This study used a quantitative method with 236 respondents and processed by the method of multiple linear regression analysis. The results of the study show that financial literacy and financial inclusion have a significant effect on retirement planning, means that the higher financial literacy and financial inclusion of a person, the better their retirement planning. In addition, the results of the study showed that respondents were dominated by moderate financial literacy levels with a percentage of 55.08%, moderate financial inclusion levels with a percentage of 57.20% and high retirement planning levels with presentations of 52.54% of the total respondents. Researchers also conduct additional research by choosing one of the demographic factors, which is monthly income. The results that monthly earnings also influence retirement planning where the higher a person's monthly income, the better their retirement planning.","author":[{"dropping-particle":"","family":"Baskoro","given":"Rahmat Aryo","non-dropping-particle":"","parse-names":false,"suffix":""},{"dropping-particle":"","family":"Aulia","given":"Rensi","non-dropping-particle":"","parse-names":false,"suffix":""}],"container-title":"International Journal of Business Economics (IJBE)","id":"ITEM-1","issue":"1","issued":{"date-parts":[["2019","9","30"]]},"page":"49-58","title":"The Effect of Financial Literacy and Financial Inclusion on Retirement Planning","type":"article-journal","volume":"1"},"uris":["http://www.mendeley.com/documents/?uuid=03e253cd-141e-492b-9ffe-7316e8e519b7"]},{"id":"ITEM-2","itemData":{"DOI":"10.3390/ijfs10030066","ISSN":"2227-7072","abstract":"This research examined the gist of financial literacy on the medium entrepreneurs in Indonesia, impacting the retirement planning through some mediator and moderating variables. Implementing the prospect theory and theory of planned behavior to explore these interactions, a series of hypotheses were constructed, considering financial risk tolerance and saving behavior as mediator variables and herding behavior as moderator variables. The study examined partial least square-structural equation modelling (PLS-SEM) obtained by sampling data from 388 entrepreneurs of medium-scale in the Bekasi Regency, Indonesia. The study revealed (a) how financial literacy on retirement planning is serial mediated by financial risk tolerance and saving behavior, (b) herding behavior can strengthen financial literacy’s influence on retirement planning, and (c) saving behavior as a mediator does not influence the relationship between financial literacy and retirement planning. The study confirms how financial risk tolerance and herding behavior bridge a positive relationship between financial literacy and retirement planning.","author":[{"dropping-particle":"","family":"Harahap","given":"Subur","non-dropping-particle":"","parse-names":false,"suffix":""},{"dropping-particle":"","family":"Thoyib","given":"Armanu","non-dropping-particle":"","parse-names":false,"suffix":""},{"dropping-particle":"","family":"Sumiati","given":"Sumiati","non-dropping-particle":"","parse-names":false,"suffix":""},{"dropping-particle":"","family":"Djazuli","given":"Atim","non-dropping-particle":"","parse-names":false,"suffix":""}],"container-title":"International Journal of Financial Studies","id":"ITEM-2","issue":"3","issued":{"date-parts":[["2022","8","9"]]},"page":"66","title":"The Impact of Financial Literacy on Retirement Planning with Serial Mediation of Financial Risk Tolerance and Saving Behavior: Evidence of Medium Entrepreneurs in Indonesia","type":"article-journal","volume":"10"},"uris":["http://www.mendeley.com/documents/?uuid=4e83eb41-a281-4528-8b4f-b5b5cc6e69fe"]}],"mendeley":{"formattedCitation":"(Baskoro &amp; Aulia, 2019; Harahap et al., 2022)","manualFormatting":"Baskoro &amp; Aulia, (2019); and  Harahap et al. (2022)","plainTextFormattedCitation":"(Baskoro &amp; Aulia, 2019; Harahap et al., 2022)","previouslyFormattedCitation":"(Baskoro &amp; Aulia, 2019; Harahap et al., 2022)"},"properties":{"noteIndex":0},"schema":"https://github.com/citation-style-language/schema/raw/master/csl-citation.json"}</w:instrText>
      </w:r>
      <w:r w:rsidRPr="00D6136B">
        <w:rPr>
          <w:rFonts w:ascii="Times New Roman" w:hAnsi="Times New Roman" w:cs="Times New Roman"/>
        </w:rPr>
        <w:fldChar w:fldCharType="separate"/>
      </w:r>
      <w:bookmarkStart w:id="138" w:name="Bookmark92"/>
      <w:r w:rsidRPr="00D6136B">
        <w:rPr>
          <w:rFonts w:ascii="Times New Roman" w:hAnsi="Times New Roman" w:cs="Times New Roman"/>
          <w:b w:val="0"/>
          <w:bCs w:val="0"/>
          <w:i w:val="0"/>
          <w:iCs w:val="0"/>
          <w:noProof/>
          <w:lang w:val="en-ID"/>
        </w:rPr>
        <w:t>B</w:t>
      </w:r>
      <w:bookmarkStart w:id="139" w:name="Bookmark841"/>
      <w:r w:rsidRPr="00D6136B">
        <w:rPr>
          <w:rFonts w:ascii="Times New Roman" w:hAnsi="Times New Roman" w:cs="Times New Roman"/>
          <w:b w:val="0"/>
          <w:bCs w:val="0"/>
          <w:i w:val="0"/>
          <w:iCs w:val="0"/>
          <w:noProof/>
          <w:lang w:val="en-ID"/>
        </w:rPr>
        <w:t>askoro &amp; Aulia, (2019); and  Harahap et al. (2022)</w:t>
      </w:r>
      <w:r w:rsidRPr="00D6136B">
        <w:rPr>
          <w:rFonts w:ascii="Times New Roman" w:hAnsi="Times New Roman" w:cs="Times New Roman"/>
        </w:rPr>
        <w:fldChar w:fldCharType="end"/>
      </w:r>
      <w:bookmarkEnd w:id="138"/>
      <w:bookmarkEnd w:id="139"/>
      <w:r w:rsidRPr="00D6136B">
        <w:rPr>
          <w:rFonts w:ascii="Times New Roman" w:hAnsi="Times New Roman" w:cs="Times New Roman"/>
          <w:b w:val="0"/>
          <w:bCs w:val="0"/>
          <w:i w:val="0"/>
          <w:iCs w:val="0"/>
          <w:lang w:val="en-ID"/>
        </w:rPr>
        <w:t xml:space="preserve">. </w:t>
      </w:r>
      <w:bookmarkEnd w:id="129"/>
      <w:r w:rsidRPr="00D6136B">
        <w:rPr>
          <w:rFonts w:ascii="Times New Roman" w:hAnsi="Times New Roman" w:cs="Times New Roman"/>
          <w:b w:val="0"/>
          <w:bCs w:val="0"/>
          <w:i w:val="0"/>
          <w:iCs w:val="0"/>
        </w:rPr>
        <w:t>According to</w:t>
      </w:r>
      <w:r w:rsidRPr="00D6136B">
        <w:rPr>
          <w:rFonts w:ascii="Times New Roman" w:hAnsi="Times New Roman" w:cs="Times New Roman"/>
          <w:i w:val="0"/>
          <w:iCs w:val="0"/>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{"citationItems":[{"id":"ITEM-1","itemData":{"DOI":"10.3389/fpsyg.2017.02338","ISSN":"16641078","abstract":"Retirement is a time of life that has grown ever longer in the developed world, and the number of pensioners has increased accordingly, questioning the strength of Social Security systems and the social safety net in general. Financial Planning for Retirement (FRP) consists of the series of activities involved in the accumulation of wealth to cover needs in the post-retirement stage of life. The negative short-, mid-, and long-term consequences of inadequate Financial Planning for Retirement do not only affect individuals, but also their extended families, homes, eventually producing an unwanted impact on the entire society. The Capacity-Willingness-Opportunity Model has been proposed to understand FPR, combined with Intentional Change Theory, a framework for understanding the process, antecedents and consequences of FPR. From this perspective, we propose this promising model, but there are a large number of variables that have not been included that offer novel ways to deepen our understanding of FPR. A focus on each dimension of the model, the role of age and psychosocial variables associated with demographic indicators such as gender, health status, and migration, allow us to provide a proposal of scientific advancement of FPR.","author":[{"dropping-particle":"","family":"Topa","given":"Gabriela","non-dropping-particle":"","parse-names":false,"suffix":""},{"dropping-particle":"","family":"Lunceford","given":"Gregg","non-dropping-particle":"","parse-names":false,"suffix":""},{"dropping-particle":"","family":"Boyatzis","given":"Richard E.","non-dropping-particle":"","parse-names":false,"suffix":""}],"container-title":"Frontiers in Psychology","id":"ITEM-1","issue":"JAN","issued":{"date-parts":[["2018"]]},"page":"1-8","title":"Financial planning for retirement: A psychosocial perspective","type":"article-journal","volume":"8"},"uris":["http://www.mendeley.com/documents/?uuid=61f825ec-1d81-4c50-8143-b6be7bcc9a8c"]}],"mendeley":{"formattedCitation":"(Topa et al., 2018)","manualFormatting":"Topa et al. (2018)","plainTextFormattedCitation":"(Topa et al., 2018)","previouslyFormattedCitation":"(Topa et al., 2018)"},"properties":{"noteIndex":0},"schema":"https://github.com/citation-style-language/schema/raw/master/csl-citation.json"}</w:instrText>
      </w:r>
      <w:r w:rsidRPr="00D6136B">
        <w:rPr>
          <w:rFonts w:ascii="Times New Roman" w:hAnsi="Times New Roman" w:cs="Times New Roman"/>
        </w:rPr>
        <w:fldChar w:fldCharType="separate"/>
      </w:r>
      <w:bookmarkStart w:id="140" w:name="Bookmark93"/>
      <w:r w:rsidRPr="00D6136B">
        <w:rPr>
          <w:rFonts w:ascii="Times New Roman" w:hAnsi="Times New Roman" w:cs="Times New Roman"/>
          <w:b w:val="0"/>
          <w:bCs w:val="0"/>
          <w:i w:val="0"/>
          <w:iCs w:val="0"/>
          <w:noProof/>
          <w:lang w:val="en-ID"/>
        </w:rPr>
        <w:t>T</w:t>
      </w:r>
      <w:bookmarkStart w:id="141" w:name="Bookmark851"/>
      <w:r w:rsidRPr="00D6136B">
        <w:rPr>
          <w:rFonts w:ascii="Times New Roman" w:hAnsi="Times New Roman" w:cs="Times New Roman"/>
          <w:b w:val="0"/>
          <w:bCs w:val="0"/>
          <w:i w:val="0"/>
          <w:iCs w:val="0"/>
          <w:noProof/>
          <w:lang w:val="en-ID"/>
        </w:rPr>
        <w:t>opa et al. (2018)</w:t>
      </w:r>
      <w:r w:rsidRPr="00D6136B">
        <w:rPr>
          <w:rFonts w:ascii="Times New Roman" w:hAnsi="Times New Roman" w:cs="Times New Roman"/>
        </w:rPr>
        <w:fldChar w:fldCharType="end"/>
      </w:r>
      <w:bookmarkEnd w:id="140"/>
      <w:bookmarkEnd w:id="141"/>
      <w:r w:rsidRPr="00D6136B">
        <w:rPr>
          <w:rFonts w:ascii="Times New Roman" w:hAnsi="Times New Roman" w:cs="Times New Roman"/>
          <w:b w:val="0"/>
          <w:bCs w:val="0"/>
          <w:i w:val="0"/>
          <w:iCs w:val="0"/>
          <w:lang w:val="en-ID"/>
        </w:rPr>
        <w:t xml:space="preserve">,  </w:t>
      </w:r>
      <w:r w:rsidR="007E4D8B" w:rsidRPr="00D6136B">
        <w:rPr>
          <w:rFonts w:ascii="Times New Roman" w:hAnsi="Times New Roman" w:cs="Times New Roman"/>
          <w:b w:val="0"/>
          <w:bCs w:val="0"/>
          <w:i w:val="0"/>
          <w:iCs w:val="0"/>
        </w:rPr>
        <w:t>f</w:t>
      </w:r>
      <w:r w:rsidRPr="00D6136B">
        <w:rPr>
          <w:rFonts w:ascii="Times New Roman" w:hAnsi="Times New Roman" w:cs="Times New Roman"/>
          <w:b w:val="0"/>
          <w:bCs w:val="0"/>
          <w:i w:val="0"/>
          <w:iCs w:val="0"/>
        </w:rPr>
        <w:t xml:space="preserve">inancial planning for retirement is a </w:t>
      </w:r>
      <w:r w:rsidR="00771849" w:rsidRPr="00D6136B">
        <w:rPr>
          <w:rFonts w:ascii="Times New Roman" w:hAnsi="Times New Roman" w:cs="Times New Roman"/>
          <w:b w:val="0"/>
          <w:bCs w:val="0"/>
          <w:i w:val="0"/>
          <w:iCs w:val="0"/>
        </w:rPr>
        <w:t xml:space="preserve">stages of activities in order to save a certain amount of funds so that they can be used for the next stage after retirement. </w:t>
      </w:r>
      <w:r w:rsidRPr="00D6136B">
        <w:rPr>
          <w:rFonts w:ascii="Times New Roman" w:hAnsi="Times New Roman" w:cs="Times New Roman"/>
          <w:b w:val="0"/>
          <w:bCs w:val="0"/>
          <w:i w:val="0"/>
          <w:iCs w:val="0"/>
          <w:lang w:val="en-ID"/>
        </w:rPr>
        <w:t xml:space="preserve">Based on research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{"citationItems":[{"id":"ITEM-1","itemData":{"DOI":"10.55927/fjmr.v2i1.2795","abstract":"This study aims to explore the influence job insecurity to intrinsic motivation, anxiety, and depression to job performance of information technology company employees at the operator level in Indonesia. Research conducted in 2022 is designed using the purposive sampling method involving 130 IT company employees in the satellite communication system operating sector in Greater Jakarta with a working period of more than 2 years. This quantitative research uses the Structural Equation Model (SEM) method and data were analyzed with Lisrel software. Some of the findings in this study show that intrinsic motivation positive effect on job performance, job insecurity no negative effect on intrinsic motivation and job performance. Vice versa, job insecurity has positive effect on anxiety and depression. Anxiety no negative effect on intrinsic motivation, however depression negative effect on intrinsic motivation. The managerial implications of this research are important for companies to do to suppress or reduce job insecurity what employees feel is that companies need to reduce uncertainty regarding SOPs and goals to be achieved, companies need to create a supportive work climate, focus on developing employee capabilities, and provide clarity regarding the rights employees will get for their duties in the company.","author":[{"dropping-particle":"","family":"Tase","given":"Fersi.","non-dropping-particle":"","parse-names":false,"suffix":""},{"dropping-particle":"","family":"Kustiawan","given":"Unggul.","non-dropping-particle":"","parse-names":false,"suffix":""}],"container-title":"Formosa Journal of Multidisciplinary Research","id":"ITEM-1","issue":"1","issued":{"date-parts":[["2023"]]},"page":"345-356","title":"The Impact of Job Insecurity on Intrinsic Motivation, Anxiety, Depression, and Job Performance of Information Technology Company Employees in Indonesia","type":"article-journal","volume":"2"},"uris":["http://www.mendeley.com/documents/?uuid=ce2d04c1-7635-413c-961d-b9afbfd19e1c"]}],"mendeley":{"formattedCitation":"(Tase &amp; Kustiawan, 2023)","manualFormatting":"Tase &amp; Kustiawan (2023)","plainTextFormattedCitation":"(Tase &amp; Kustiawan, 2023)","previouslyFormattedCitation":"(Tase &amp; Kustiawan, 2023)"},"properties":{"noteIndex":0},"schema":"https://github.com/citation-style-language/schema/raw/master/csl-citation.json"}</w:instrText>
      </w:r>
      <w:r w:rsidRPr="00D6136B">
        <w:rPr>
          <w:rFonts w:ascii="Times New Roman" w:hAnsi="Times New Roman" w:cs="Times New Roman"/>
        </w:rPr>
        <w:fldChar w:fldCharType="separate"/>
      </w:r>
      <w:bookmarkStart w:id="142" w:name="Bookmark94"/>
      <w:r w:rsidRPr="00D6136B">
        <w:rPr>
          <w:rFonts w:ascii="Times New Roman" w:hAnsi="Times New Roman" w:cs="Times New Roman"/>
          <w:b w:val="0"/>
          <w:bCs w:val="0"/>
          <w:i w:val="0"/>
          <w:iCs w:val="0"/>
          <w:noProof/>
          <w:lang w:val="en-ID"/>
        </w:rPr>
        <w:t>T</w:t>
      </w:r>
      <w:bookmarkStart w:id="143" w:name="Bookmark861"/>
      <w:r w:rsidRPr="00D6136B">
        <w:rPr>
          <w:rFonts w:ascii="Times New Roman" w:hAnsi="Times New Roman" w:cs="Times New Roman"/>
          <w:b w:val="0"/>
          <w:bCs w:val="0"/>
          <w:i w:val="0"/>
          <w:iCs w:val="0"/>
          <w:noProof/>
          <w:lang w:val="en-ID"/>
        </w:rPr>
        <w:t>ase &amp; Kustiawan (2023)</w:t>
      </w:r>
      <w:r w:rsidRPr="00D6136B">
        <w:rPr>
          <w:rFonts w:ascii="Times New Roman" w:hAnsi="Times New Roman" w:cs="Times New Roman"/>
        </w:rPr>
        <w:fldChar w:fldCharType="end"/>
      </w:r>
      <w:bookmarkEnd w:id="142"/>
      <w:bookmarkEnd w:id="143"/>
      <w:r w:rsidRPr="00D6136B">
        <w:rPr>
          <w:rFonts w:ascii="Times New Roman" w:hAnsi="Times New Roman" w:cs="Times New Roman"/>
          <w:b w:val="0"/>
          <w:bCs w:val="0"/>
          <w:i w:val="0"/>
          <w:iCs w:val="0"/>
          <w:lang w:val="en-ID"/>
        </w:rPr>
        <w:t xml:space="preserve"> </w:t>
      </w:r>
      <w:r w:rsidR="00771849" w:rsidRPr="00D6136B">
        <w:rPr>
          <w:rFonts w:ascii="Times New Roman" w:hAnsi="Times New Roman" w:cs="Times New Roman"/>
          <w:b w:val="0"/>
          <w:bCs w:val="0"/>
          <w:i w:val="0"/>
          <w:iCs w:val="0"/>
        </w:rPr>
        <w:t xml:space="preserve">it is known that a person’s readiness to plan for retirement is influenced by motivational factors. </w:t>
      </w:r>
      <w:r w:rsidRPr="00D6136B">
        <w:rPr>
          <w:rFonts w:ascii="Times New Roman" w:hAnsi="Times New Roman" w:cs="Times New Roman"/>
          <w:b w:val="0"/>
          <w:bCs w:val="0"/>
          <w:i w:val="0"/>
          <w:iCs w:val="0"/>
        </w:rPr>
        <w:t>In general, FL and financial behavior play an important role in preparing for retirement as long-term financial planning</w:t>
      </w:r>
      <w:r w:rsidRPr="00D6136B">
        <w:rPr>
          <w:rFonts w:ascii="Times New Roman" w:hAnsi="Times New Roman" w:cs="Times New Roman"/>
          <w:i w:val="0"/>
          <w:iCs w:val="0"/>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{"citationItems":[{"id":"ITEM-1","itemData":{"DOI":"10.1016/j.jpolmod.2023.05.003","ISSN":"01618938","abstract":"Concerns about the population aging and global trends to shift more responsibility for future retirement from the state to the individual need policy planning to increase youth's savings for retirement. The study aims to identify behavioral, financial, demographic, and educational determinants of savings for retirement in two groups of young adults with reference to people aged 50–60. The binary logit model and pairwise comparison results showed that the probability of saving for retirement increases with age and responsibility fosters saving behavior among young adults. The observed differences allow the formulation of policy recommendations adapted to the preferences of generations Z and Y.","author":[{"dropping-particle":"","family":"Xie","given":"Xiaohong","non-dropping-particle":"","parse-names":false,"suffix":""},{"dropping-particle":"","family":"Osińska","given":"Magdalena","non-dropping-particle":"","parse-names":false,"suffix":""},{"dropping-particle":"","family":"Szczepaniak","given":"Małgorzata","non-dropping-particle":"","parse-names":false,"suffix":""}],"container-title":"Journal of Policy Modeling","id":"ITEM-1","issue":"3","issued":{"date-parts":[["2023"]]},"page":"644-668","title":"Do young generations save for retirement? Ensuring financial security of Gen Z and Gen Y","type":"article-journal","volume":"45"},"uris":["http://www.mendeley.com/documents/?uuid=437f425a-9699-46e6-82ce-3f088a035020"]}],"mendeley":{"formattedCitation":"(Xie et al., 2023)","plainTextFormattedCitation":"(Xie et al., 2023)","previouslyFormattedCitation":"(Xie et al., 2023)"},"properties":{"noteIndex":0},"schema":"https://github.com/citation-style-language/schema/raw/master/csl-citation.json"}</w:instrText>
      </w:r>
      <w:r w:rsidRPr="00D6136B">
        <w:rPr>
          <w:rFonts w:ascii="Times New Roman" w:hAnsi="Times New Roman" w:cs="Times New Roman"/>
        </w:rPr>
        <w:fldChar w:fldCharType="separate"/>
      </w:r>
      <w:bookmarkStart w:id="144" w:name="Bookmark95"/>
      <w:r w:rsidRPr="00D6136B">
        <w:rPr>
          <w:rFonts w:ascii="Times New Roman" w:hAnsi="Times New Roman" w:cs="Times New Roman"/>
          <w:b w:val="0"/>
          <w:bCs w:val="0"/>
          <w:i w:val="0"/>
          <w:iCs w:val="0"/>
          <w:noProof/>
          <w:lang w:val="en-ID"/>
        </w:rPr>
        <w:t>(</w:t>
      </w:r>
      <w:bookmarkStart w:id="145" w:name="Bookmark871"/>
      <w:r w:rsidRPr="00D6136B">
        <w:rPr>
          <w:rFonts w:ascii="Times New Roman" w:hAnsi="Times New Roman" w:cs="Times New Roman"/>
          <w:b w:val="0"/>
          <w:bCs w:val="0"/>
          <w:i w:val="0"/>
          <w:iCs w:val="0"/>
          <w:noProof/>
          <w:lang w:val="en-ID"/>
        </w:rPr>
        <w:t>Xie et al., 2023)</w:t>
      </w:r>
      <w:r w:rsidRPr="00D6136B">
        <w:rPr>
          <w:rFonts w:ascii="Times New Roman" w:hAnsi="Times New Roman" w:cs="Times New Roman"/>
        </w:rPr>
        <w:fldChar w:fldCharType="end"/>
      </w:r>
      <w:bookmarkEnd w:id="144"/>
      <w:bookmarkEnd w:id="145"/>
      <w:r w:rsidRPr="00D6136B">
        <w:rPr>
          <w:rFonts w:ascii="Times New Roman" w:hAnsi="Times New Roman" w:cs="Times New Roman"/>
          <w:b w:val="0"/>
          <w:bCs w:val="0"/>
          <w:i w:val="0"/>
          <w:iCs w:val="0"/>
        </w:rPr>
        <w:t>.</w:t>
      </w:r>
    </w:p>
    <w:p w14:paraId="4324011E" w14:textId="77777777" w:rsidR="00D6136B" w:rsidRPr="00D05EC2" w:rsidRDefault="00D6136B" w:rsidP="004A5E0E">
      <w:pPr>
        <w:pStyle w:val="Heading2"/>
        <w:tabs>
          <w:tab w:val="left" w:pos="620"/>
        </w:tabs>
        <w:spacing w:before="93" w:line="276" w:lineRule="auto"/>
        <w:ind w:left="60" w:firstLine="0"/>
        <w:jc w:val="both"/>
        <w:rPr>
          <w:rFonts w:ascii="Times New Roman" w:hAnsi="Times New Roman" w:cs="Times New Roman"/>
        </w:rPr>
      </w:pPr>
    </w:p>
    <w:p w14:paraId="3CB58078" w14:textId="77777777" w:rsidR="00D97723" w:rsidRPr="00D05EC2" w:rsidRDefault="00456E38">
      <w:pPr>
        <w:pStyle w:val="Heading2"/>
        <w:numPr>
          <w:ilvl w:val="1"/>
          <w:numId w:val="1"/>
        </w:numPr>
        <w:tabs>
          <w:tab w:val="left" w:pos="620"/>
        </w:tabs>
        <w:spacing w:before="93" w:line="276" w:lineRule="auto"/>
        <w:ind w:hanging="986"/>
        <w:rPr>
          <w:rFonts w:ascii="Times New Roman" w:hAnsi="Times New Roman" w:cs="Times New Roman"/>
          <w:sz w:val="24"/>
          <w:szCs w:val="24"/>
        </w:rPr>
      </w:pPr>
      <w:r w:rsidRPr="00D05EC2">
        <w:rPr>
          <w:rFonts w:ascii="Times New Roman" w:hAnsi="Times New Roman" w:cs="Times New Roman"/>
          <w:sz w:val="24"/>
          <w:szCs w:val="24"/>
        </w:rPr>
        <w:t>Hypotheses</w:t>
      </w:r>
    </w:p>
    <w:p w14:paraId="1A0E597B" w14:textId="50129AC3" w:rsidR="00D97723" w:rsidRPr="00D05EC2" w:rsidRDefault="00456E38">
      <w:pPr>
        <w:pStyle w:val="Heading2"/>
        <w:numPr>
          <w:ilvl w:val="2"/>
          <w:numId w:val="1"/>
        </w:numPr>
        <w:tabs>
          <w:tab w:val="left" w:pos="142"/>
          <w:tab w:val="left" w:pos="620"/>
        </w:tabs>
        <w:spacing w:before="93" w:line="276" w:lineRule="auto"/>
        <w:ind w:hanging="478"/>
        <w:jc w:val="both"/>
        <w:rPr>
          <w:rFonts w:ascii="Times New Roman" w:hAnsi="Times New Roman" w:cs="Times New Roman"/>
          <w:b w:val="0"/>
          <w:bCs w:val="0"/>
          <w:sz w:val="24"/>
          <w:szCs w:val="24"/>
        </w:rPr>
      </w:pPr>
      <w:r w:rsidRPr="00D05EC2">
        <w:rPr>
          <w:rFonts w:ascii="Times New Roman" w:hAnsi="Times New Roman" w:cs="Times New Roman"/>
          <w:b w:val="0"/>
          <w:bCs w:val="0"/>
          <w:color w:val="231F20"/>
          <w:w w:val="90"/>
          <w:sz w:val="24"/>
          <w:szCs w:val="24"/>
        </w:rPr>
        <w:t>The Positive Influence of FL</w:t>
      </w:r>
      <w:r w:rsidR="00D05EC2" w:rsidRPr="00D05EC2">
        <w:rPr>
          <w:rFonts w:ascii="Times New Roman" w:hAnsi="Times New Roman" w:cs="Times New Roman"/>
          <w:b w:val="0"/>
          <w:bCs w:val="0"/>
          <w:color w:val="231F20"/>
          <w:w w:val="90"/>
          <w:sz w:val="24"/>
          <w:szCs w:val="24"/>
        </w:rPr>
        <w:t xml:space="preserve"> </w:t>
      </w:r>
      <w:r w:rsidRPr="00D05EC2">
        <w:rPr>
          <w:rFonts w:ascii="Times New Roman" w:hAnsi="Times New Roman" w:cs="Times New Roman"/>
          <w:b w:val="0"/>
          <w:bCs w:val="0"/>
          <w:color w:val="231F20"/>
          <w:w w:val="90"/>
          <w:sz w:val="24"/>
          <w:szCs w:val="24"/>
        </w:rPr>
        <w:t>on Saving Intentions</w:t>
      </w:r>
    </w:p>
    <w:p w14:paraId="63A84634" w14:textId="366F37C6" w:rsidR="004A5E0E" w:rsidRPr="00D05EC2" w:rsidRDefault="00456E38" w:rsidP="007E4D8B">
      <w:pPr>
        <w:spacing w:line="276" w:lineRule="auto"/>
        <w:ind w:left="142"/>
        <w:jc w:val="both"/>
        <w:rPr>
          <w:rFonts w:ascii="Times New Roman" w:hAnsi="Times New Roman" w:cs="Times New Roman"/>
        </w:rPr>
      </w:pPr>
      <w:r w:rsidRPr="00D05EC2">
        <w:rPr>
          <w:rFonts w:ascii="Times New Roman" w:hAnsi="Times New Roman" w:cs="Times New Roman"/>
        </w:rPr>
        <w:t xml:space="preserve">FL can be described as knowledge of money itself and learning to manage it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{"citationItems":[{"id":"ITEM-1","itemData":{"abstract":"This book provides the perfect balance between practical application and comprehensive coverage of personal financial planning theories. Coverage includes personal financial …","author":[{"dropping-particle":"","family":"Garman","given":"E Thomas","non-dropping-particle":"","parse-names":false,"suffix":""},{"dropping-particle":"","family":"Forgue","given":"Raymond E","non-dropping-particle":"","parse-names":false,"suffix":""}],"id":"ITEM-1","issued":{"date-parts":[["2004"]]},"number-of-pages":"1-3","publisher":"Cengage Learning","title":"Personal Finance; Personal Finance","type":"book"},"uris":["http://www.mendeley.com/documents/?uuid=a6bc34d1-6c27-4fd8-b798-ef7b7aaa702c"]}],"mendeley":{"formattedCitation":"(Garman &amp; Forgue, 2004)","plainTextFormattedCitation":"(Garman &amp; Forgue, 2004)","previouslyFormattedCitation":"(Garman &amp; Forgue, 2004)"},"properties":{"noteIndex":0},"schema":"https://github.com/citation-style-language/schema/raw/master/csl-citation.json"}</w:instrText>
      </w:r>
      <w:r w:rsidRPr="00D05EC2">
        <w:rPr>
          <w:rFonts w:ascii="Times New Roman" w:hAnsi="Times New Roman" w:cs="Times New Roman"/>
        </w:rPr>
        <w:fldChar w:fldCharType="separate"/>
      </w:r>
      <w:bookmarkStart w:id="146" w:name="Bookmark96"/>
      <w:r w:rsidRPr="00D05EC2">
        <w:rPr>
          <w:rFonts w:ascii="Times New Roman" w:hAnsi="Times New Roman" w:cs="Times New Roman"/>
          <w:noProof/>
          <w:lang w:val="en-ID"/>
        </w:rPr>
        <w:t>(</w:t>
      </w:r>
      <w:bookmarkStart w:id="147" w:name="Bookmark881"/>
      <w:r w:rsidRPr="00D05EC2">
        <w:rPr>
          <w:rFonts w:ascii="Times New Roman" w:hAnsi="Times New Roman" w:cs="Times New Roman"/>
          <w:noProof/>
          <w:lang w:val="en-ID"/>
        </w:rPr>
        <w:t>Garman &amp; Forgue, 2004)</w:t>
      </w:r>
      <w:r w:rsidRPr="00D05EC2">
        <w:rPr>
          <w:rFonts w:ascii="Times New Roman" w:hAnsi="Times New Roman" w:cs="Times New Roman"/>
        </w:rPr>
        <w:fldChar w:fldCharType="end"/>
      </w:r>
      <w:bookmarkEnd w:id="146"/>
      <w:bookmarkEnd w:id="147"/>
      <w:r w:rsidRPr="00D05EC2">
        <w:rPr>
          <w:rFonts w:ascii="Times New Roman" w:hAnsi="Times New Roman" w:cs="Times New Roman"/>
          <w:lang w:val="en-ID"/>
        </w:rPr>
        <w:t xml:space="preserve">. </w:t>
      </w:r>
      <w:r w:rsidRPr="00D05EC2">
        <w:rPr>
          <w:rFonts w:ascii="Times New Roman" w:hAnsi="Times New Roman" w:cs="Times New Roman"/>
        </w:rPr>
        <w:t xml:space="preserve">FL can increase people's ability to save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{"citationItems":[{"id":"ITEM-1","itemData":{"DOI":"10.5539/ass.v10n14p40","ISSN":"1911-2025","abstract":"Awareness of retirement confidence has been found to be low in many people, especially in women. Much of past research has revealed that women consistently perform a poor level of retirement confidence compared to men. This study aims to examine the influence of financial literacy, saving behaviour, and financial management on retirement confidence among women working in the Malaysian public sector. Multi-stage random sampling technique was applied as the sampling technique in this study. 708 respondents participated in this study. This study applied Pearson Correlational analysis to determine the relationship between the variables. The findings reveal that retirement confidence is positively correlated with financial literacy, saving behaviour, and financial management. Furthermore, multiple regression analysis was applied to determine the predictors of retirement confidence. This study concludes that financial literacy, saving behaviour, financial management, and financial status are significant predictors of retirement confidence among working women, with financial management as the major factor contributing towards retirement confidence. The findings of this study have practical implications for financial advisors in helping working women to be more aware of their future retirement life financial needs and to prevent financial crisis in later years.","author":[{"dropping-particle":"","family":"Fazli Sabri","given":"Mohamad","non-dropping-particle":"","parse-names":false,"suffix":""},{"dropping-particle":"","family":"Tze Juen","given":"Teo","non-dropping-particle":"","parse-names":false,"suffix":""}],"container-title":"Asian Social Science","id":"ITEM-1","issue":"14","issued":{"date-parts":[["2014","6","24"]]},"page":"40-51","title":"The Influence of Financial Literacy, Saving Behaviour, and Financial Management on Retirement Confidence among Women Working in the Malaysian Public Sector","type":"article-journal","volume":"10"},"uris":["http://www.mendeley.com/documents/?uuid=76e8fc4f-5c00-4ebb-890d-f63a95f933d4"]}],"mendeley":{"formattedCitation":"(Fazli Sabri &amp; Tze Juen, 2014)","manualFormatting":"(Sabri &amp; Juen, 2014)","plainTextFormattedCitation":"(Fazli Sabri &amp; Tze Juen, 2014)","previouslyFormattedCitation":"(Fazli Sabri &amp; Tze Juen, 2014)"},"properties":{"noteIndex":0},"schema":"https://github.com/citation-style-language/schema/raw/master/csl-citation.json"}</w:instrText>
      </w:r>
      <w:r w:rsidRPr="00D05EC2">
        <w:rPr>
          <w:rFonts w:ascii="Times New Roman" w:hAnsi="Times New Roman" w:cs="Times New Roman"/>
        </w:rPr>
        <w:fldChar w:fldCharType="separate"/>
      </w:r>
      <w:bookmarkStart w:id="148" w:name="Bookmark97"/>
      <w:r w:rsidRPr="00D05EC2">
        <w:rPr>
          <w:rFonts w:ascii="Times New Roman" w:hAnsi="Times New Roman" w:cs="Times New Roman"/>
          <w:noProof/>
          <w:lang w:val="en-ID"/>
        </w:rPr>
        <w:t>(</w:t>
      </w:r>
      <w:bookmarkStart w:id="149" w:name="Bookmark891"/>
      <w:r w:rsidRPr="00D05EC2">
        <w:rPr>
          <w:rFonts w:ascii="Times New Roman" w:hAnsi="Times New Roman" w:cs="Times New Roman"/>
          <w:noProof/>
          <w:lang w:val="en-ID"/>
        </w:rPr>
        <w:t>Sabri &amp; Juen, 2014)</w:t>
      </w:r>
      <w:r w:rsidRPr="00D05EC2">
        <w:rPr>
          <w:rFonts w:ascii="Times New Roman" w:hAnsi="Times New Roman" w:cs="Times New Roman"/>
        </w:rPr>
        <w:fldChar w:fldCharType="end"/>
      </w:r>
      <w:bookmarkEnd w:id="148"/>
      <w:bookmarkEnd w:id="149"/>
      <w:r w:rsidRPr="00D05EC2">
        <w:rPr>
          <w:rFonts w:ascii="Times New Roman" w:hAnsi="Times New Roman" w:cs="Times New Roman"/>
          <w:lang w:val="en-ID"/>
        </w:rPr>
        <w:t xml:space="preserve">. </w:t>
      </w:r>
      <w:r w:rsidRPr="00D05EC2">
        <w:rPr>
          <w:rFonts w:ascii="Times New Roman" w:hAnsi="Times New Roman" w:cs="Times New Roman"/>
        </w:rPr>
        <w:t>According to</w:t>
      </w:r>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{"citationItems":[{"id":"ITEM-1","itemData":{"DOI":"10.14254/2071-789X.2019/12-2/18","ISSN":"2071-789X","abstract":"Many government policies contain recommendations how to improve financial literacy, particularly through programmes of financial education and personal finance. However, personal financial management is not solely related to knowledge and financial literacy; individual confidence level in own financial abilities and household differences need to be considered in this regard. This paper investigates household financial efficacy through application of psychometric instruments, financial literacy, risk preference and demographic characteristics towards saving decision behaviour. The sample covers 404 households in Peninsular Malaysia and utilises the logistic and probit empirical model. The results show that household’s financial efficacy is essential for household’s saving decision behaviour and choice of saving instrument. Financial literacy, race, education and dependence ratio and location (rural or urban) of the household also play a role in saving instruments selection. More specifically, households with higher levels of financial efficacy are more likely to use bank-based or other lower risk saving instruments as compared to non-banking-based instruments.","author":[{"dropping-particle":"","family":"Kusairi","given":"Suhal","non-dropping-particle":"","parse-names":false,"suffix":""},{"dropping-particle":"","family":"Sanusi","given":"Nur Azura","non-dropping-particle":"","parse-names":false,"suffix":""},{"dropping-particle":"","family":"Muhamad","given":"Suriyani","non-dropping-particle":"","parse-names":false,"suffix":""},{"dropping-particle":"","family":"Shukri","given":"Madihah","non-dropping-particle":"","parse-names":false,"suffix":""},{"dropping-particle":"","family":"Zamri","given":"Nadia","non-dropping-particle":"","parse-names":false,"suffix":""}],"container-title":"Economics &amp; Sociology","id":"ITEM-1","issue":"2","issued":{"date-parts":[["2019","6"]]},"page":"301-318","title":"Financial households’ efficacy, risk preference and saving behaviour: Lessons from lower-income households in Malaysia","type":"article-journal","volume":"12"},"uris":["http://www.mendeley.com/documents/?uuid=73d4418b-d468-4681-ad99-b6be5addc62f"]}],"mendeley":{"formattedCitation":"(Kusairi et al., 2019)","manualFormatting":"Kusairi et al. (2019) ","plainTextFormattedCitation":"(Kusairi et al., 2019)","previouslyFormattedCitation":"(Kusairi et al., 2019)"},"properties":{"noteIndex":0},"schema":"https://github.com/citation-style-language/schema/raw/master/csl-citation.json"}</w:instrText>
      </w:r>
      <w:r w:rsidRPr="00D05EC2">
        <w:rPr>
          <w:rFonts w:ascii="Times New Roman" w:hAnsi="Times New Roman" w:cs="Times New Roman"/>
        </w:rPr>
        <w:fldChar w:fldCharType="separate"/>
      </w:r>
      <w:bookmarkStart w:id="150" w:name="Bookmark98"/>
      <w:r w:rsidRPr="00D05EC2">
        <w:rPr>
          <w:rFonts w:ascii="Times New Roman" w:hAnsi="Times New Roman" w:cs="Times New Roman"/>
          <w:noProof/>
          <w:lang w:val="en-ID"/>
        </w:rPr>
        <w:t>K</w:t>
      </w:r>
      <w:bookmarkStart w:id="151" w:name="Bookmark901"/>
      <w:r w:rsidRPr="00D05EC2">
        <w:rPr>
          <w:rFonts w:ascii="Times New Roman" w:hAnsi="Times New Roman" w:cs="Times New Roman"/>
          <w:noProof/>
          <w:lang w:val="en-ID"/>
        </w:rPr>
        <w:t xml:space="preserve">usairi et al. (2019) </w:t>
      </w:r>
      <w:r w:rsidRPr="00D05EC2">
        <w:rPr>
          <w:rFonts w:ascii="Times New Roman" w:hAnsi="Times New Roman" w:cs="Times New Roman"/>
        </w:rPr>
        <w:fldChar w:fldCharType="end"/>
      </w:r>
      <w:bookmarkEnd w:id="150"/>
      <w:bookmarkEnd w:id="151"/>
      <w:r w:rsidRPr="00D05EC2">
        <w:rPr>
          <w:rFonts w:ascii="Times New Roman" w:hAnsi="Times New Roman" w:cs="Times New Roman"/>
        </w:rPr>
        <w:t>includes knowledge of money, currencies and capital assets, such as the ability to understand how money operates in the world, how people earn or bring it, manage it, increase its amount and donate it to others</w:t>
      </w:r>
      <w:r w:rsidRPr="00D05EC2">
        <w:rPr>
          <w:rFonts w:ascii="Times New Roman" w:hAnsi="Times New Roman" w:cs="Times New Roman"/>
          <w:lang w:val="en-ID"/>
        </w:rPr>
        <w:t xml:space="preserve">. </w:t>
      </w:r>
      <w:r w:rsidRPr="00D05EC2">
        <w:rPr>
          <w:rFonts w:ascii="Times New Roman" w:hAnsi="Times New Roman" w:cs="Times New Roman"/>
        </w:rPr>
        <w:t xml:space="preserve">FL also significantly affects a person's financial management behavior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{"citationItems":[{"id":"ITEM-1","itemData":{"abstract":"Financial management behavior is one of the interesting variables to be researched in behavioral finance. This research aims at determining the influence of financial knowledge, financial attitude, and personality on financial management behavior. This research is a breakthrough since the variables that affect financial management behavior in the age classification (productive age) have never been studied in the past literature. This research was conducted by involving 400 respondents categorized in the productive age population in one of the major capitals in Indonesia using purposive sampling. The questionnaires were distributed and analyzed using multiple linear regression. The results of this research indicated that there was a significant influence of financial knowledge, financial attitude, and personality on financial management behavior, either simultaneously or partially, with a total effect of 58.2%. Previous research has emphasized on the financial knowledge and financial attitude variables in determining financial behavior. This research implies that the personality variable also plays a vital role in determining financial management behavior.","author":[{"dropping-particle":"","family":"Firli","given":"Anisah","non-dropping-particle":"","parse-names":false,"suffix":""},{"dropping-particle":"","family":"Hidayati","given":"Nurul","non-dropping-particle":"","parse-names":false,"suffix":""}],"container-title":"Review of Integrative Business and Economics Research","id":"ITEM-1","issue":"3","issued":{"date-parts":[["2021"]]},"page":"43-55","title":"The Influence of Financial Knowledge, Financial Attitude, and Personality Towards Financial Management Behavior on Productive Age Population","type":"article-journal","volume":"10"},"uris":["http://www.mendeley.com/documents/?uuid=a08e51a0-ec57-46ef-b269-6698028b0d5d"]}],"mendeley":{"formattedCitation":"(Firli &amp; Hidayati, 2021)","manualFormatting":"(Firli &amp; Hidayati, 2021)","plainTextFormattedCitation":"(Firli &amp; Hidayati, 2021)","previouslyFormattedCitation":"(Firli &amp; Hidayati, 2021)"},"properties":{"noteIndex":0},"schema":"https://github.com/citation-style-language/schema/raw/master/csl-citation.json"}</w:instrText>
      </w:r>
      <w:r w:rsidRPr="00D05EC2">
        <w:rPr>
          <w:rFonts w:ascii="Times New Roman" w:hAnsi="Times New Roman" w:cs="Times New Roman"/>
        </w:rPr>
        <w:fldChar w:fldCharType="separate"/>
      </w:r>
      <w:bookmarkStart w:id="152" w:name="Bookmark99"/>
      <w:r w:rsidRPr="00D05EC2">
        <w:rPr>
          <w:rFonts w:ascii="Times New Roman" w:hAnsi="Times New Roman" w:cs="Times New Roman"/>
          <w:noProof/>
          <w:lang w:val="en-ID"/>
        </w:rPr>
        <w:t>(</w:t>
      </w:r>
      <w:bookmarkStart w:id="153" w:name="Bookmark911"/>
      <w:r w:rsidRPr="00D05EC2">
        <w:rPr>
          <w:rFonts w:ascii="Times New Roman" w:hAnsi="Times New Roman" w:cs="Times New Roman"/>
          <w:noProof/>
          <w:lang w:val="en-ID"/>
        </w:rPr>
        <w:t>Firli &amp; Hidayati, 2021)</w:t>
      </w:r>
      <w:r w:rsidRPr="00D05EC2">
        <w:rPr>
          <w:rFonts w:ascii="Times New Roman" w:hAnsi="Times New Roman" w:cs="Times New Roman"/>
        </w:rPr>
        <w:fldChar w:fldCharType="end"/>
      </w:r>
      <w:bookmarkEnd w:id="152"/>
      <w:bookmarkEnd w:id="153"/>
      <w:r w:rsidRPr="00D05EC2">
        <w:rPr>
          <w:rFonts w:ascii="Times New Roman" w:hAnsi="Times New Roman" w:cs="Times New Roman"/>
          <w:lang w:val="en-ID"/>
        </w:rPr>
        <w:t xml:space="preserve">. </w:t>
      </w:r>
      <w:r w:rsidRPr="00D05EC2">
        <w:rPr>
          <w:rFonts w:ascii="Times New Roman" w:hAnsi="Times New Roman" w:cs="Times New Roman"/>
        </w:rPr>
        <w:t>FL</w:t>
      </w:r>
      <w:r w:rsidR="00666DCF" w:rsidRPr="00D05EC2">
        <w:rPr>
          <w:rFonts w:ascii="Times New Roman" w:hAnsi="Times New Roman" w:cs="Times New Roman"/>
        </w:rPr>
        <w:t xml:space="preserve"> </w:t>
      </w:r>
      <w:r w:rsidRPr="00D05EC2">
        <w:rPr>
          <w:rFonts w:ascii="Times New Roman" w:hAnsi="Times New Roman" w:cs="Times New Roman"/>
        </w:rPr>
        <w:t xml:space="preserve">is important considering that it greatly affects financial behavior and determines financial behavior related to the intention to save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{"citationItems":[{"id":"ITEM-1","itemData":{"ISSN":"23041013","abstract":"This research examined the collective impact of financial attitude; financial literacy; financial self-efficacy; internal locus of control; and external locus of control on financial well-being; focusing on the mediating role of financial behavior. The study employs an individual-level online survey. The relationships were investigated using PLS-SEM; this study provides an additional output of different tests using Mann-Whitney and Kruskal-Wallis. Financial well-being can be enhanced by increasing an individual's financial self-efficacy; financial behavior; and internal locus of control while decreasing the external locus of control. Furthermore; the indirect effect of financial attitude; financial literacy; and financial self-efficacy on financial well-being are significant; emphasizing financial behavior's importance. The findings help policymakers and industry leaders understand the most influential factors influencing financial well-being in Indonesia. Indonesian government encourages young people to improve their literacy index through public financial education. This research on financial behavior to achieve financial well-being is critical because it aligns with the government's goal of individual financial stability and soundness. As a result; they can maintain financial control to meet financial goals; deal with unexpected expenses and emergencies; absorb a financial shock; and choose to enjoy life.","author":[{"dropping-particle":"","family":"Megananda","given":"Tarada Berlian","non-dropping-particle":"","parse-names":false,"suffix":""},{"dropping-particle":"","family":"Faturohman","given":"Taufik","non-dropping-particle":"","parse-names":false,"suffix":""}],"container-title":"Review of Integrative Business and Economics Research","id":"ITEM-1","issue":"4","issued":{"date-parts":[["2022"]]},"page":"201-219","title":"Improving Financial Well-being in Indonesia: The Mediating Role of Financial Behavior","type":"article-journal","volume":"11"},"uris":["http://www.mendeley.com/documents/?uuid=84fd994f-cb2e-4d16-b577-99919333a10e"]}],"mendeley":{"formattedCitation":"(Megananda &amp; Faturohman, 2022)","plainTextFormattedCitation":"(Megananda &amp; Faturohman, 2022)","previouslyFormattedCitation":"(Megananda &amp; Faturohman, 2022)"},"properties":{"noteIndex":0},"schema":"https://github.com/citation-style-language/schema/raw/master/csl-citation.json"}</w:instrText>
      </w:r>
      <w:r w:rsidRPr="00D05EC2">
        <w:rPr>
          <w:rFonts w:ascii="Times New Roman" w:hAnsi="Times New Roman" w:cs="Times New Roman"/>
        </w:rPr>
        <w:fldChar w:fldCharType="separate"/>
      </w:r>
      <w:bookmarkStart w:id="154" w:name="Bookmark100"/>
      <w:r w:rsidRPr="00D05EC2">
        <w:rPr>
          <w:rFonts w:ascii="Times New Roman" w:hAnsi="Times New Roman" w:cs="Times New Roman"/>
          <w:noProof/>
          <w:lang w:val="en-ID"/>
        </w:rPr>
        <w:t>(</w:t>
      </w:r>
      <w:bookmarkStart w:id="155" w:name="Bookmark921"/>
      <w:r w:rsidRPr="00D05EC2">
        <w:rPr>
          <w:rFonts w:ascii="Times New Roman" w:hAnsi="Times New Roman" w:cs="Times New Roman"/>
          <w:noProof/>
          <w:lang w:val="en-ID"/>
        </w:rPr>
        <w:t>Megananda &amp; Faturohman, 2022)</w:t>
      </w:r>
      <w:r w:rsidRPr="00D05EC2">
        <w:rPr>
          <w:rFonts w:ascii="Times New Roman" w:hAnsi="Times New Roman" w:cs="Times New Roman"/>
        </w:rPr>
        <w:fldChar w:fldCharType="end"/>
      </w:r>
      <w:bookmarkEnd w:id="154"/>
      <w:bookmarkEnd w:id="155"/>
      <w:r w:rsidRPr="00D05EC2">
        <w:rPr>
          <w:rFonts w:ascii="Times New Roman" w:hAnsi="Times New Roman" w:cs="Times New Roman"/>
          <w:lang w:val="en-ID"/>
        </w:rPr>
        <w:t xml:space="preserve">. </w:t>
      </w:r>
      <w:r w:rsidRPr="00D05EC2">
        <w:rPr>
          <w:rFonts w:ascii="Times New Roman" w:hAnsi="Times New Roman" w:cs="Times New Roman"/>
        </w:rPr>
        <w:t xml:space="preserve">Saving is the main thing in avoiding debt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{"citationItems":[{"id":"ITEM-1","itemData":{"ISSN":"2455-8834","abstract":"This study examines the perennial conflicts between herdsmen and farmers in Nigeria with a view to unravelling the historical trajectory, causes, dynamics and consequences of the conflict. The paper adopts Frustration and Aggression Theory as the theoretical frameworks upon which the study is anchored and it discovered that beyond environmental scarcity, expansive use of land for non-agricultural reasons, land ownership system, ethno-religious intolerance, quest for cost minimisation, unregulated transhumance, security threats from Boko Haram attacks, lack of effective institutional mechanism of conflict mediation among others are some of the causes of agro-pastoral conflicts in Nigeria. The study extensively relies on secondary sources of data such as newspapers, journal articles, and policy brief Papers. It also argues in favour Ranching rather than the establishment grazing reserves and routes across the states in Nigeria as the solution to this perennial conflict.","author":[{"dropping-particle":"","family":"Alexandra","given":"Luksander","non-dropping-particle":"","parse-names":false,"suffix":""},{"dropping-particle":"","family":"Erzsébet","given":"Németh","non-dropping-particle":"","parse-names":false,"suffix":""},{"dropping-particle":"","family":"Boglárka","given":"Zsótér","non-dropping-particle":"","parse-names":false,"suffix":""}],"container-title":"International Journal of Social Science and Economic Research","id":"ITEM-1","issue":"09","issued":{"date-parts":[["2017"]]},"page":"4687-4704","title":"Financial Personality Types and Attitudes that Affect Financial Indebtedness","type":"article-journal","volume":"02"},"uris":["http://www.mendeley.com/documents/?uuid=a8501def-8392-4c74-9a86-543bdf867a6d"]}],"mendeley":{"formattedCitation":"(Alexandra et al., 2017)","manualFormatting":"(Alexandra et al., 2017)","plainTextFormattedCitation":"(Alexandra et al., 2017)","previouslyFormattedCitation":"(Alexandra et al., 2017)"},"properties":{"noteIndex":0},"schema":"https://github.com/citation-style-language/schema/raw/master/csl-citation.json"}</w:instrText>
      </w:r>
      <w:r w:rsidRPr="00D05EC2">
        <w:rPr>
          <w:rFonts w:ascii="Times New Roman" w:hAnsi="Times New Roman" w:cs="Times New Roman"/>
        </w:rPr>
        <w:fldChar w:fldCharType="separate"/>
      </w:r>
      <w:bookmarkStart w:id="156" w:name="Bookmark102"/>
      <w:r w:rsidRPr="00D05EC2">
        <w:rPr>
          <w:rFonts w:ascii="Times New Roman" w:hAnsi="Times New Roman" w:cs="Times New Roman"/>
          <w:noProof/>
          <w:lang w:val="en-ID"/>
        </w:rPr>
        <w:t>(</w:t>
      </w:r>
      <w:bookmarkStart w:id="157" w:name="Bookmark931"/>
      <w:r w:rsidRPr="00D05EC2">
        <w:rPr>
          <w:rFonts w:ascii="Times New Roman" w:hAnsi="Times New Roman" w:cs="Times New Roman"/>
          <w:noProof/>
          <w:lang w:val="en-ID"/>
        </w:rPr>
        <w:t>Alexandra et al., 2017)</w:t>
      </w:r>
      <w:r w:rsidRPr="00D05EC2">
        <w:rPr>
          <w:rFonts w:ascii="Times New Roman" w:hAnsi="Times New Roman" w:cs="Times New Roman"/>
        </w:rPr>
        <w:fldChar w:fldCharType="end"/>
      </w:r>
      <w:bookmarkEnd w:id="156"/>
      <w:bookmarkEnd w:id="157"/>
      <w:r w:rsidRPr="00D05EC2">
        <w:rPr>
          <w:rFonts w:ascii="Times New Roman" w:hAnsi="Times New Roman" w:cs="Times New Roman"/>
          <w:lang w:val="en-ID"/>
        </w:rPr>
        <w:t xml:space="preserve">. </w:t>
      </w:r>
      <w:r w:rsidRPr="00D05EC2">
        <w:rPr>
          <w:rFonts w:ascii="Times New Roman" w:hAnsi="Times New Roman" w:cs="Times New Roman"/>
        </w:rPr>
        <w:t xml:space="preserve">From other studies, it is known that there is a significant positive relationship between </w:t>
      </w:r>
      <w:r w:rsidRPr="00D05EC2">
        <w:rPr>
          <w:rFonts w:ascii="Times New Roman" w:hAnsi="Times New Roman" w:cs="Times New Roman"/>
          <w:bCs/>
        </w:rPr>
        <w:t xml:space="preserve">financial knowledge and the amount of savings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{"citationItems":[{"id":"ITEM-1","itemData":{"DOI":"10.24136/eq.2019.027","ISSN":"2353-3293","abstract":"Research background: Preparation for retirement is a major concern for the people in the workforce as they have to encounter considerable difficulties in making the right investment decisions for their retirement. Purpose of the article: This research extends the literature on personal finance by investigating the impact of both financial literacy levels and pension knowledge on employees? investment choice decision for their retirement, while in previous literature the role of these factors has mainly been explored separately. Methods: To conduct the research, a survey questionnaire was applied to collect data in three main regions of Vietnam comprising Northern, Central and Southern Vietnam. Data collection was made in 2018, in which 427 valid questionnaires were used for data analysis from 700 questionnaires. Two estimation methods are employed for analysis in this study, including a linear probability model (LPM) and two-stage least squares (2SLS) model. The findings of this research remain significant after the Two-Stage Least Squares (2SLS) regression model is used as an estimation technique to eliminate potential bias caused by endogenous problems. Finding &amp; Value added: The results show that basic financial literacy level and pension knowledge are principal factors which significantly increase the probability of exercising retirement investment choice of employees, while advanced financial literacy level factor has a significant effect on choosing growth investing options for their retirement. Further, this research finds that there is no correlation between employees? financial risk tolerance and their retirement investment choice. Furthermore, the study proposes and offers new evidence that pension knowledge is a decisive factor providing employees with encouragement to exercise retirement investment choice and those who consult with financial advisors tend to take part in growth investing option.","author":[{"dropping-particle":"","family":"Nguyen","given":"Thi Anh Nhu","non-dropping-particle":"","parse-names":false,"suffix":""},{"dropping-particle":"","family":"Polách","given":"Jiří","non-dropping-particle":"","parse-names":false,"suffix":""},{"dropping-particle":"","family":"Vozňáková","given":"Iveta","non-dropping-particle":"","parse-names":false,"suffix":""}],"container-title":"Equilibrium. Quarterly Journal of Economics and Economic Policy","id":"ITEM-1","issue":"4","issued":{"date-parts":[["2019","12","31"]]},"page":"569-589","title":"The role of financial literacy in retirement investment choice","type":"article-journal","volume":"14"},"uris":["http://www.mendeley.com/documents/?uuid=e2ff1fa7-8804-40ec-8fc5-be3c66341385"]}],"mendeley":{"formattedCitation":"(T. A. N. Nguyen et al., 2019)","manualFormatting":"(Nguyen et al.,2019)","plainTextFormattedCitation":"(T. A. N. Nguyen et al., 2019)","previouslyFormattedCitation":"(T. A. N. Nguyen et al., 2019)"},"properties":{"noteIndex":0},"schema":"https://github.com/citation-style-language/schema/raw/master/csl-citation.json"}</w:instrText>
      </w:r>
      <w:r w:rsidRPr="00D05EC2">
        <w:rPr>
          <w:rFonts w:ascii="Times New Roman" w:hAnsi="Times New Roman" w:cs="Times New Roman"/>
        </w:rPr>
        <w:fldChar w:fldCharType="separate"/>
      </w:r>
      <w:bookmarkStart w:id="158" w:name="Bookmark103"/>
      <w:r w:rsidRPr="00D05EC2">
        <w:rPr>
          <w:rFonts w:ascii="Times New Roman" w:hAnsi="Times New Roman" w:cs="Times New Roman"/>
          <w:noProof/>
          <w:lang w:val="en-ID"/>
        </w:rPr>
        <w:t>(</w:t>
      </w:r>
      <w:bookmarkStart w:id="159" w:name="Bookmark941"/>
      <w:r w:rsidRPr="00D05EC2">
        <w:rPr>
          <w:rFonts w:ascii="Times New Roman" w:hAnsi="Times New Roman" w:cs="Times New Roman"/>
          <w:noProof/>
          <w:lang w:val="en-ID"/>
        </w:rPr>
        <w:t>Nguyen et al.,2019)</w:t>
      </w:r>
      <w:r w:rsidRPr="00D05EC2">
        <w:rPr>
          <w:rFonts w:ascii="Times New Roman" w:hAnsi="Times New Roman" w:cs="Times New Roman"/>
        </w:rPr>
        <w:fldChar w:fldCharType="end"/>
      </w:r>
      <w:bookmarkEnd w:id="158"/>
      <w:bookmarkEnd w:id="159"/>
      <w:r w:rsidRPr="00D05EC2">
        <w:rPr>
          <w:rFonts w:ascii="Times New Roman" w:hAnsi="Times New Roman" w:cs="Times New Roman"/>
          <w:lang w:val="en-ID"/>
        </w:rPr>
        <w:t xml:space="preserve">. </w:t>
      </w:r>
      <w:r w:rsidRPr="00D05EC2">
        <w:rPr>
          <w:rFonts w:ascii="Times New Roman" w:hAnsi="Times New Roman" w:cs="Times New Roman"/>
        </w:rPr>
        <w:t xml:space="preserve">Studies in Cambodia and Vietnam found that levels of FL and general education were positively and significantly associated with saving </w:t>
      </w:r>
      <w:r w:rsidR="00EF27A7" w:rsidRPr="00D05EC2">
        <w:rPr>
          <w:rFonts w:ascii="Times New Roman" w:hAnsi="Times New Roman" w:cs="Times New Roman"/>
        </w:rPr>
        <w:t>behavior</w:t>
      </w:r>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{"citationItems":[{"id":"ITEM-1","itemData":{"DOI":"10.3390/jrfm12010019","ISSN":"19118074","abstract":"Our paper extends the literature on the determinants and impacts of financial literacy by conducting the OECD/INFE survey in two relatively low-income Asian economies—Cambodia and Viet Nam—and analyzing the determinants of financial literacy and the effects of financial literacy on savings and financial inclusion. Generally, our study corroborates the findings of studies of other countries, but uncovers some differences as well. The main determinants of financial literacy are found to be educational level, income, age, and occupational status. Both financial literacy and general education levels are found to be positively and significantly related to savings behavior and financial inclusion, and these results generally hold even when correcting for possible endogeneity of financial literacy.","author":[{"dropping-particle":"","family":"Morgan","given":"Peter J.","non-dropping-particle":"","parse-names":false,"suffix":""},{"dropping-particle":"","family":"Trinh","given":"Long Q.","non-dropping-particle":"","parse-names":false,"suffix":""}],"container-title":"Journal of Risk and Financial Management","id":"ITEM-1","issue":"1","issued":{"date-parts":[["2019"]]},"title":"Determinants and Impacts of Financial Literacy in Cambodia and Viet Nam","type":"article-journal","volume":"12"},"uris":["http://www.mendeley.com/documents/?uuid=be9b88f3-d052-46c3-b5a9-7f71d0e6f14b"]}],"mendeley":{"formattedCitation":"(Morgan &amp; Trinh, 2019)","manualFormatting":"(Morgan &amp; Trinh,2019)","plainTextFormattedCitation":"(Morgan &amp; Trinh, 2019)","previouslyFormattedCitation":"(Morgan &amp; Trinh, 2019)"},"properties":{"noteIndex":0},"schema":"https://github.com/citation-style-language/schema/raw/master/csl-citation.json"}</w:instrText>
      </w:r>
      <w:r w:rsidRPr="00D05EC2">
        <w:rPr>
          <w:rFonts w:ascii="Times New Roman" w:hAnsi="Times New Roman" w:cs="Times New Roman"/>
        </w:rPr>
        <w:fldChar w:fldCharType="separate"/>
      </w:r>
      <w:bookmarkStart w:id="160" w:name="Bookmark104"/>
      <w:r w:rsidRPr="00D05EC2">
        <w:rPr>
          <w:rFonts w:ascii="Times New Roman" w:hAnsi="Times New Roman" w:cs="Times New Roman"/>
          <w:noProof/>
          <w:lang w:val="en-ID"/>
        </w:rPr>
        <w:t>(</w:t>
      </w:r>
      <w:bookmarkStart w:id="161" w:name="Bookmark951"/>
      <w:r w:rsidRPr="00D05EC2">
        <w:rPr>
          <w:rFonts w:ascii="Times New Roman" w:hAnsi="Times New Roman" w:cs="Times New Roman"/>
          <w:noProof/>
          <w:lang w:val="en-ID"/>
        </w:rPr>
        <w:t>Morgan &amp; Trinh,2019)</w:t>
      </w:r>
      <w:r w:rsidRPr="00D05EC2">
        <w:rPr>
          <w:rFonts w:ascii="Times New Roman" w:hAnsi="Times New Roman" w:cs="Times New Roman"/>
        </w:rPr>
        <w:fldChar w:fldCharType="end"/>
      </w:r>
      <w:bookmarkEnd w:id="160"/>
      <w:bookmarkEnd w:id="161"/>
      <w:r w:rsidRPr="00D05EC2">
        <w:rPr>
          <w:rFonts w:ascii="Times New Roman" w:hAnsi="Times New Roman" w:cs="Times New Roman"/>
          <w:lang w:val="en-ID"/>
        </w:rPr>
        <w:t xml:space="preserve">. </w:t>
      </w:r>
      <w:r w:rsidRPr="00D05EC2">
        <w:rPr>
          <w:rFonts w:ascii="Times New Roman" w:hAnsi="Times New Roman" w:cs="Times New Roman"/>
        </w:rPr>
        <w:t xml:space="preserve">In addition, among low-income households in India, well-developed financial education interventions have successfully transformed savings outcomes within a one-year period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{"citationItems":[{"id":"ITEM-1","itemData":{"DOI":"10.1086/697413","ISSN":"00130079","abstract":"Financial literacy programs are popular, despite limited evidence that they lead to significant changes in savings behavior. We experimentally test the impact of financial literacy training on clients of a branchless banking program that offers doorstep access to banking to low-income households. The intervention had significant impacts: total savings in the treatment group increased by 49% ($39) within a period of 1 year. The increase in savings is due in part to decreases in expenditures on temptation goods. These results suggest that financial education interventions can be successful in changing savings outcomes, although results may be very context specific.","author":[{"dropping-particle":"","family":"Calderone","given":"Margherita","non-dropping-particle":"","parse-names":false,"suffix":""},{"dropping-particle":"","family":"Sadhu","given":"Santadarshan","non-dropping-particle":"","parse-names":false,"suffix":""},{"dropping-particle":"","family":"Fiala","given":"Nathan","non-dropping-particle":"","parse-names":false,"suffix":""},{"dropping-particle":"","family":"Sarr","given":"Leopold","non-dropping-particle":"","parse-names":false,"suffix":""},{"dropping-particle":"","family":"Mulaj","given":"Florentina","non-dropping-particle":"","parse-names":false,"suffix":""}],"container-title":"Economic Development and Cultural Change","id":"ITEM-1","issue":"4","issued":{"date-parts":[["2018"]]},"page":"793-825","title":"Financial education and savings behavior: Evidence from a randomized experiment among low-income clients of branchless banking in India","type":"article-journal","volume":"66"},"uris":["http://www.mendeley.com/documents/?uuid=67b1cccf-0baf-45a4-be9c-e33a9607547b"]}],"mendeley":{"formattedCitation":"(Calderone et al., 2018)","plainTextFormattedCitation":"(Calderone et al., 2018)","previouslyFormattedCitation":"(Calderone et al., 2018)"},"properties":{"noteIndex":0},"schema":"https://github.com/citation-style-language/schema/raw/master/csl-citation.json"}</w:instrText>
      </w:r>
      <w:r w:rsidRPr="00D05EC2">
        <w:rPr>
          <w:rFonts w:ascii="Times New Roman" w:hAnsi="Times New Roman" w:cs="Times New Roman"/>
        </w:rPr>
        <w:fldChar w:fldCharType="separate"/>
      </w:r>
      <w:bookmarkStart w:id="162" w:name="Bookmark105"/>
      <w:r w:rsidRPr="00D05EC2">
        <w:rPr>
          <w:rFonts w:ascii="Times New Roman" w:hAnsi="Times New Roman" w:cs="Times New Roman"/>
          <w:noProof/>
          <w:lang w:val="en-ID"/>
        </w:rPr>
        <w:t>(</w:t>
      </w:r>
      <w:bookmarkStart w:id="163" w:name="Bookmark961"/>
      <w:r w:rsidRPr="00D05EC2">
        <w:rPr>
          <w:rFonts w:ascii="Times New Roman" w:hAnsi="Times New Roman" w:cs="Times New Roman"/>
          <w:noProof/>
          <w:lang w:val="en-ID"/>
        </w:rPr>
        <w:t>Calderone et al., 2018)</w:t>
      </w:r>
      <w:r w:rsidRPr="00D05EC2">
        <w:rPr>
          <w:rFonts w:ascii="Times New Roman" w:hAnsi="Times New Roman" w:cs="Times New Roman"/>
        </w:rPr>
        <w:fldChar w:fldCharType="end"/>
      </w:r>
      <w:bookmarkEnd w:id="162"/>
      <w:bookmarkEnd w:id="163"/>
      <w:r w:rsidRPr="00D05EC2">
        <w:rPr>
          <w:rFonts w:ascii="Times New Roman" w:hAnsi="Times New Roman" w:cs="Times New Roman"/>
          <w:lang w:val="en-ID"/>
        </w:rPr>
        <w:t xml:space="preserve">. </w:t>
      </w:r>
      <w:r w:rsidRPr="00D05EC2">
        <w:rPr>
          <w:rFonts w:ascii="Times New Roman" w:hAnsi="Times New Roman" w:cs="Times New Roman"/>
        </w:rPr>
        <w:t xml:space="preserve">Other research found that low-income people have less savings because the income they receive should mostly be used for basic needs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{"citationItems":[{"id":"ITEM-1","itemData":{"DOI":"10.5958/2321-5763.2018.00010.0","ISSN":"0976-495X","abstract":"Saving is a very important component which is responsible for meeting or helps in preventing any emergency met by the individuals or the households or any other users, as well as essential for capital formation of any Economy. Savings is defined as the amount of money which we keep aside from our income. Saving is a significant macroeconomic variable which is studied under the economic scenario of any individual as well as household. In a developing country like India, where the income standard is almost uncertain which leads to more consumption and less Saving is a Major problem of our economy. If saving is low, then the investment will also be low resulting in low capital formation. In this paper an attempt is made to determine the Socio-Economic factors which affect the saving pattern of People in Delhi during Inflation. For analyzing the effect a questionnaire was prepared to study the impact of income, family Size etc. The sample selected involved 50 Respondents. Regression Analysis was used to analyze the rating given by the respondents. Findings revealed that people earning low income have less savings because major part of their income is contributed in fulfilling their basic needs.","author":[{"dropping-particle":"","family":"Bhatia","given":"Gagneet K.","non-dropping-particle":"","parse-names":false,"suffix":""},{"dropping-particle":"","family":"Tyagi","given":"Meenakshi","non-dropping-particle":"","parse-names":false,"suffix":""}],"container-title":"Asian Journal of Management","id":"ITEM-1","issue":"1","issued":{"date-parts":[["2018"]]},"page":"64","title":"An Impact of Socio-Economic Factors on Saving Behaviour of Individuals","type":"article-journal","volume":"9"},"uris":["http://www.mendeley.com/documents/?uuid=2e3cfbd6-e6be-4b11-ada9-f15a8d6f4b26"]}],"mendeley":{"formattedCitation":"(Bhatia &amp; Tyagi, 2018)","plainTextFormattedCitation":"(Bhatia &amp; Tyagi, 2018)","previouslyFormattedCitation":"(Bhatia &amp; Tyagi, 2018)"},"properties":{"noteIndex":0},"schema":"https://github.com/citation-style-language/schema/raw/master/csl-citation.json"}</w:instrText>
      </w:r>
      <w:r w:rsidRPr="00D05EC2">
        <w:rPr>
          <w:rFonts w:ascii="Times New Roman" w:hAnsi="Times New Roman" w:cs="Times New Roman"/>
        </w:rPr>
        <w:fldChar w:fldCharType="separate"/>
      </w:r>
      <w:bookmarkStart w:id="164" w:name="Bookmark106"/>
      <w:r w:rsidRPr="00D05EC2">
        <w:rPr>
          <w:rFonts w:ascii="Times New Roman" w:hAnsi="Times New Roman" w:cs="Times New Roman"/>
          <w:noProof/>
          <w:lang w:val="en-ID"/>
        </w:rPr>
        <w:t>(</w:t>
      </w:r>
      <w:bookmarkStart w:id="165" w:name="Bookmark971"/>
      <w:r w:rsidRPr="00D05EC2">
        <w:rPr>
          <w:rFonts w:ascii="Times New Roman" w:hAnsi="Times New Roman" w:cs="Times New Roman"/>
          <w:noProof/>
          <w:lang w:val="en-ID"/>
        </w:rPr>
        <w:t>Bhatia &amp; Tyagi, 2018)</w:t>
      </w:r>
      <w:r w:rsidRPr="00D05EC2">
        <w:rPr>
          <w:rFonts w:ascii="Times New Roman" w:hAnsi="Times New Roman" w:cs="Times New Roman"/>
        </w:rPr>
        <w:fldChar w:fldCharType="end"/>
      </w:r>
      <w:bookmarkEnd w:id="164"/>
      <w:bookmarkEnd w:id="165"/>
      <w:r w:rsidRPr="00D05EC2">
        <w:rPr>
          <w:rFonts w:ascii="Times New Roman" w:hAnsi="Times New Roman" w:cs="Times New Roman"/>
          <w:lang w:val="en-ID"/>
        </w:rPr>
        <w:t xml:space="preserve">. </w:t>
      </w:r>
      <w:r w:rsidRPr="00D05EC2">
        <w:rPr>
          <w:rFonts w:ascii="Times New Roman" w:hAnsi="Times New Roman" w:cs="Times New Roman"/>
        </w:rPr>
        <w:t xml:space="preserve">From the research conducted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{"citationItems":[{"id":"ITEM-1","itemData":{"DOI":"10.5267/j.msl.2020.6.030","ISSN":"19239343","abstract":"This paper examines the influence of Financial Literacy on savings behavior that is improved by storing intentions and attitudes towards savings. Also, the study investigates the effect of subjective norms on saving behavior that is mediated by attitudes toward austerity. Research subjects were primary data from 469 young workers who worked in the DKI Jakarta area in 2018. Data were collected online by distributing questionnaires using Google Docs and they were analyzed using SEM-PLS. The research findings prove that financial literacy affects saving behavior, both directly and indirectly through the variables of saving intention and attitude to saving mediation. Other findings prove that subjective norms do not directly affect thrifty behavior, but had indirect effects through attitudes toward thrifty variables. This study offers alternative models of researchers associated with frugal behavior with theories of planned behavior theory with predictors of financial literacy and subjective norms to improve frugal behavior proving that saving intentions and attitudes towards saving can mediate financial literacy. Furthermore, a mediator's attitude towards savings can improve the subjective norm relationship with saving behavior. Thus, the planned behavior theory can explain the relationship between financial literacy and subjective norms by storing behavior. This is an initial empirical study that attempts to examine the relationship between financial literacy and subjective norms and their impact on savings behavior that is mediated by saving intention and attitude towards saving.","author":[{"dropping-particle":"","family":"Widjaja","given":"Indra","non-dropping-particle":"","parse-names":false,"suffix":""},{"dropping-particle":"","family":"Arifin","given":"Agus Zainul","non-dropping-particle":"","parse-names":false,"suffix":""},{"dropping-particle":"","family":"Setini","given":"Made","non-dropping-particle":"","parse-names":false,"suffix":""}],"container-title":"Management Science Letters","id":"ITEM-1","issue":"15","issued":{"date-parts":[["2020"]]},"page":"3635-3642","title":"The effects of financial literacy and subjective norms on saving behavior","type":"article-journal","volume":"10"},"uris":["http://www.mendeley.com/documents/?uuid=effbe86c-5a21-4037-8dee-07d2af606e03"]}],"mendeley":{"formattedCitation":"(Widjaja et al., 2020)","manualFormatting":"Widjaja et al. (2020) ","plainTextFormattedCitation":"(Widjaja et al., 2020)","previouslyFormattedCitation":"(Widjaja et al., 2020)"},"properties":{"noteIndex":0},"schema":"https://github.com/citation-style-language/schema/raw/master/csl-citation.json"}</w:instrText>
      </w:r>
      <w:r w:rsidRPr="00D05EC2">
        <w:rPr>
          <w:rFonts w:ascii="Times New Roman" w:hAnsi="Times New Roman" w:cs="Times New Roman"/>
        </w:rPr>
        <w:fldChar w:fldCharType="separate"/>
      </w:r>
      <w:bookmarkStart w:id="166" w:name="Bookmark107"/>
      <w:r w:rsidRPr="00D05EC2">
        <w:rPr>
          <w:rFonts w:ascii="Times New Roman" w:hAnsi="Times New Roman" w:cs="Times New Roman"/>
          <w:noProof/>
          <w:lang w:val="en-ID"/>
        </w:rPr>
        <w:t>W</w:t>
      </w:r>
      <w:bookmarkStart w:id="167" w:name="Bookmark981"/>
      <w:r w:rsidRPr="00D05EC2">
        <w:rPr>
          <w:rFonts w:ascii="Times New Roman" w:hAnsi="Times New Roman" w:cs="Times New Roman"/>
          <w:noProof/>
          <w:lang w:val="en-ID"/>
        </w:rPr>
        <w:t xml:space="preserve">idjaja et al. (2020) </w:t>
      </w:r>
      <w:r w:rsidRPr="00D05EC2">
        <w:rPr>
          <w:rFonts w:ascii="Times New Roman" w:hAnsi="Times New Roman" w:cs="Times New Roman"/>
        </w:rPr>
        <w:fldChar w:fldCharType="end"/>
      </w:r>
      <w:bookmarkEnd w:id="166"/>
      <w:bookmarkEnd w:id="167"/>
      <w:r w:rsidRPr="00D05EC2">
        <w:rPr>
          <w:rFonts w:ascii="Times New Roman" w:hAnsi="Times New Roman" w:cs="Times New Roman"/>
        </w:rPr>
        <w:t>it is known that there is a</w:t>
      </w:r>
      <w:r w:rsidRPr="00D05EC2">
        <w:rPr>
          <w:rFonts w:ascii="Times New Roman" w:hAnsi="Times New Roman" w:cs="Times New Roman"/>
          <w:sz w:val="24"/>
          <w:szCs w:val="24"/>
        </w:rPr>
        <w:t xml:space="preserve"> </w:t>
      </w:r>
      <w:r w:rsidRPr="00D05EC2">
        <w:rPr>
          <w:rFonts w:ascii="Times New Roman" w:hAnsi="Times New Roman" w:cs="Times New Roman"/>
        </w:rPr>
        <w:t>significant positive influence between and the intention to save because of its benefits, such as managing finances, budgeting finances and saving. In addition, the relationship between and everyone's saving behavior is mediated by the intention to save</w:t>
      </w:r>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{"citationItems":[{"id":"ITEM-1","itemData":{"DOI":"10.24018/ejbmr.2021.6.5.1064","ISSN":"2507-1076","abstract":"This study investigated the effect of financial literacy on savings behavior, considering the mediation effect of intention to savings. A structured questionnaire was distributed among 206 employed individuals in the Colombo district, Sri Lanka. Three Stage Least Squares technique was initially used to analyze the structural equations model fitted to measure the hypothesized mediation effect. Then the result was rousted using path analysis. The findings indicated that financial literacy has a direct and positively significant influence on savings behavior. Moreover, the mediation effect of intention was also found as positively significant in the above relationship. This indicates that the knowledge of the financial system leads to good savings behavior, and especially it creates an intention to save more. Therefore, policymakers and financial institutions can consider enhancing financial literature among individuals as a worthy strategy when encouraging savings as it both encourages savings behavior and the intention to do so.","author":[{"dropping-particle":"","family":"Peiris","given":"T. U. I.","non-dropping-particle":"","parse-names":false,"suffix":""}],"container-title":"European Journal of Business and Management Research","id":"ITEM-1","issue":"5","issued":{"date-parts":[["2021","9","12"]]},"page":"94-99","title":"Effect of Financial Literacy on Individual Savings Behavior; the Mediation Role of Intention to Saving","type":"article-journal","volume":"6"},"uris":["http://www.mendeley.com/documents/?uuid=2ee38184-7d5c-4cea-9447-dab0ea3033b8"]}],"mendeley":{"formattedCitation":"(Peiris, 2021)","plainTextFormattedCitation":"(Peiris, 2021)","previouslyFormattedCitation":"(Peiris, 2021)"},"properties":{"noteIndex":0},"schema":"https://github.com/citation-style-language/schema/raw/master/csl-citation.json"}</w:instrText>
      </w:r>
      <w:r w:rsidRPr="00D05EC2">
        <w:rPr>
          <w:rFonts w:ascii="Times New Roman" w:hAnsi="Times New Roman" w:cs="Times New Roman"/>
        </w:rPr>
        <w:fldChar w:fldCharType="separate"/>
      </w:r>
      <w:bookmarkStart w:id="168" w:name="Bookmark108"/>
      <w:r w:rsidRPr="00D05EC2">
        <w:rPr>
          <w:rFonts w:ascii="Times New Roman" w:hAnsi="Times New Roman" w:cs="Times New Roman"/>
          <w:noProof/>
          <w:lang w:val="en-ID"/>
        </w:rPr>
        <w:t>(</w:t>
      </w:r>
      <w:bookmarkStart w:id="169" w:name="Bookmark991"/>
      <w:r w:rsidRPr="00D05EC2">
        <w:rPr>
          <w:rFonts w:ascii="Times New Roman" w:hAnsi="Times New Roman" w:cs="Times New Roman"/>
          <w:noProof/>
          <w:lang w:val="en-ID"/>
        </w:rPr>
        <w:t>Peiris, 2021)</w:t>
      </w:r>
      <w:r w:rsidRPr="00D05EC2">
        <w:rPr>
          <w:rFonts w:ascii="Times New Roman" w:hAnsi="Times New Roman" w:cs="Times New Roman"/>
        </w:rPr>
        <w:fldChar w:fldCharType="end"/>
      </w:r>
      <w:bookmarkEnd w:id="168"/>
      <w:bookmarkEnd w:id="169"/>
      <w:r w:rsidRPr="00D05EC2">
        <w:rPr>
          <w:rFonts w:ascii="Times New Roman" w:hAnsi="Times New Roman" w:cs="Times New Roman"/>
          <w:lang w:val="en-ID"/>
        </w:rPr>
        <w:t xml:space="preserve">. </w:t>
      </w:r>
      <w:r w:rsidRPr="00F6542D">
        <w:rPr>
          <w:rFonts w:ascii="Times New Roman" w:hAnsi="Times New Roman" w:cs="Times New Roman"/>
        </w:rPr>
        <w:t xml:space="preserve">FL has a positive effect on saving intentions. With financial literacy, it helps individuals make more appropriate and wise decisions regarding savings and money management </w:t>
      </w:r>
      <w:r w:rsidRPr="00F6542D">
        <w:rPr>
          <w:rFonts w:ascii="Times New Roman" w:hAnsi="Times New Roman" w:cs="Times New Roman"/>
        </w:rPr>
        <w:fldChar w:fldCharType="begin" w:fldLock="1"/>
      </w:r>
      <w:r w:rsidRPr="00F6542D">
        <w:rPr>
          <w:rFonts w:ascii="Times New Roman" w:hAnsi="Times New Roman" w:cs="Times New Roman"/>
        </w:rPr>
        <w:instrText>ADDIN CSL_CITATION {"citationItems":[{"id":"ITEM-1","itemData":{"DOI":"10.24018/ejbmr.2021.6.5.1064","ISSN":"2507-1076","abstract":"This study investigated the effect of financial literacy on savings behavior, considering the mediation effect of intention to savings. A structured questionnaire was distributed among 206 employed individuals in the Colombo district, Sri Lanka. Three Stage Least Squares technique was initially used to analyze the structural equations model fitted to measure the hypothesized mediation effect. Then the result was rousted using path analysis. The findings indicated that financial literacy has a direct and positively significant influence on savings behavior. Moreover, the mediation effect of intention was also found as positively significant in the above relationship. This indicates that the knowledge of the financial system leads to good savings behavior, and especially it creates an intention to save more. Therefore, policymakers and financial institutions can consider enhancing financial literature among individuals as a worthy strategy when encouraging savings as it both encourages savings behavior and the intention to do so.","author":[{"dropping-particle":"","family":"Peiris","given":"T. U. I.","non-dropping-particle":"","parse-names":false,"suffix":""}],"container-title":"European Journal of Business and Management Research","id":"ITEM-1","issue":"5","issued":{"date-parts":[["2021","9","12"]]},"page":"94-99","title":"Effect of Financial Literacy on Individual Savings Behavior; the Mediation Role of Intention to Saving","type":"article-journal","volume":"6"},"uris":["http://www.mendeley.com/documents/?uuid=2ee38184-7d5c-4cea-9447-dab0ea3033b8"]}],"mendeley":{"formattedCitation":"(Peiris, 2021)","plainTextFormattedCitation":"(Peiris, 2021)","previouslyFormattedCitation":"(Peiris, 2021)"},"properties":{"noteIndex":0},"schema":"https://github.com/citation-style-language/schema/raw/master/csl-citation.json"}</w:instrText>
      </w:r>
      <w:r w:rsidRPr="00F6542D">
        <w:rPr>
          <w:rFonts w:ascii="Times New Roman" w:hAnsi="Times New Roman" w:cs="Times New Roman"/>
        </w:rPr>
        <w:fldChar w:fldCharType="separate"/>
      </w:r>
      <w:bookmarkStart w:id="170" w:name="Bookmark109"/>
      <w:r w:rsidRPr="00F6542D">
        <w:rPr>
          <w:rFonts w:ascii="Times New Roman" w:hAnsi="Times New Roman" w:cs="Times New Roman"/>
          <w:noProof/>
          <w:lang w:val="en-ID"/>
        </w:rPr>
        <w:t>(</w:t>
      </w:r>
      <w:bookmarkStart w:id="171" w:name="Bookmark1001"/>
      <w:r w:rsidRPr="00F6542D">
        <w:rPr>
          <w:rFonts w:ascii="Times New Roman" w:hAnsi="Times New Roman" w:cs="Times New Roman"/>
          <w:noProof/>
          <w:lang w:val="en-ID"/>
        </w:rPr>
        <w:t>Peiris, 2021)</w:t>
      </w:r>
      <w:r w:rsidRPr="00F6542D">
        <w:rPr>
          <w:rFonts w:ascii="Times New Roman" w:hAnsi="Times New Roman" w:cs="Times New Roman"/>
        </w:rPr>
        <w:fldChar w:fldCharType="end"/>
      </w:r>
      <w:bookmarkEnd w:id="170"/>
      <w:bookmarkEnd w:id="171"/>
      <w:r w:rsidRPr="00F6542D">
        <w:rPr>
          <w:rFonts w:ascii="Times New Roman" w:hAnsi="Times New Roman" w:cs="Times New Roman"/>
          <w:lang w:val="en-ID"/>
        </w:rPr>
        <w:t>.</w:t>
      </w:r>
      <w:r w:rsidRPr="00D05EC2">
        <w:rPr>
          <w:rFonts w:ascii="Times New Roman" w:hAnsi="Times New Roman" w:cs="Times New Roman"/>
          <w:iCs/>
          <w:lang w:val="en-ID"/>
        </w:rPr>
        <w:t xml:space="preserve"> According to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{"citationItems":[{"id":"ITEM-1","itemData":{"DOI":"10.1108/RBF-05-2020-0110","ISSN":"19405987","abstract":"Purpose: This paper aims to investigate the impact of financial literacy on savings and retirement planning in Ghana. Design/methodology/approach: The study uses primary data collected from a sample of formal sector workers and probit models, to assess how financial literacy affects retirement planning. Findings: The empirical analysis of this study shows that most individuals lack knowledge of basic concepts of finance. This study finds that only about 27% of respondents were able to correctly answer three simple questions on inflation, interest compounding and risk diversification. Generally, the young, the old, women, low-income earners and the less educated perform worst on financial literacy measures. Also, financial literacy has a positive significant impact on the probability of saving for retirement. Practical implications: The low level of financial literacy observed should be of concern to policymakers. Evidently, concrete measures are required to strengthen the knowledge of particularly those in the vulnerable groups such as the young, the old, women, low-income earners and the less educated, in order to enable them to prepare adequately for retirement. Originality/value: The study contributes to the scant financial literacy and financial behavior literature in developing countries such as Ghana.","author":[{"dropping-particle":"","family":"Kumankoma-Sarpong","given":"Emmanuel","non-dropping-particle":"","parse-names":false,"suffix":""}],"container-title":"Review of Behavioral Finance","id":"ITEM-1","issue":"1","issued":{"date-parts":[["2023"]]},"page":"103-118","title":"Financial literacy and retirement planning in Ghana","type":"article-journal","volume":"15"},"uris":["http://www.mendeley.com/documents/?uuid=b9d20972-c66d-4cd1-b0d3-2db011ab1235"]}],"mendeley":{"formattedCitation":"(Kumankoma-Sarpong, 2023)","manualFormatting":"Kumankoma (2023)","plainTextFormattedCitation":"(Kumankoma-Sarpong, 2023)","previouslyFormattedCitation":"(Kumankoma-Sarpong, 2023)"},"properties":{"noteIndex":0},"schema":"https://github.com/citation-style-language/schema/raw/master/csl-citation.json"}</w:instrText>
      </w:r>
      <w:r w:rsidRPr="00D05EC2">
        <w:rPr>
          <w:rFonts w:ascii="Times New Roman" w:hAnsi="Times New Roman" w:cs="Times New Roman"/>
        </w:rPr>
        <w:fldChar w:fldCharType="separate"/>
      </w:r>
      <w:bookmarkStart w:id="172" w:name="Bookmark110"/>
      <w:r w:rsidRPr="00D05EC2">
        <w:rPr>
          <w:rFonts w:ascii="Times New Roman" w:hAnsi="Times New Roman" w:cs="Times New Roman"/>
          <w:noProof/>
          <w:lang w:val="en-ID"/>
        </w:rPr>
        <w:t>K</w:t>
      </w:r>
      <w:bookmarkStart w:id="173" w:name="Bookmark1011"/>
      <w:r w:rsidRPr="00D05EC2">
        <w:rPr>
          <w:rFonts w:ascii="Times New Roman" w:hAnsi="Times New Roman" w:cs="Times New Roman"/>
          <w:noProof/>
          <w:lang w:val="en-ID"/>
        </w:rPr>
        <w:t>umankoma (2023)</w:t>
      </w:r>
      <w:r w:rsidRPr="00D05EC2">
        <w:rPr>
          <w:rFonts w:ascii="Times New Roman" w:hAnsi="Times New Roman" w:cs="Times New Roman"/>
        </w:rPr>
        <w:fldChar w:fldCharType="end"/>
      </w:r>
      <w:bookmarkEnd w:id="172"/>
      <w:bookmarkEnd w:id="173"/>
      <w:r w:rsidRPr="00D05EC2">
        <w:rPr>
          <w:rFonts w:ascii="Times New Roman" w:hAnsi="Times New Roman" w:cs="Times New Roman"/>
          <w:lang w:val="en-ID"/>
        </w:rPr>
        <w:t xml:space="preserve"> </w:t>
      </w:r>
      <w:r w:rsidRPr="00D05EC2">
        <w:rPr>
          <w:rFonts w:ascii="Times New Roman" w:hAnsi="Times New Roman" w:cs="Times New Roman"/>
          <w:iCs/>
        </w:rPr>
        <w:t xml:space="preserve">it has a significant positive impact on the likelihood of saving for retirement. </w:t>
      </w:r>
      <w:r w:rsidRPr="00D05EC2">
        <w:rPr>
          <w:rFonts w:ascii="Times New Roman" w:hAnsi="Times New Roman" w:cs="Times New Roman"/>
        </w:rPr>
        <w:t xml:space="preserve">Researchers </w:t>
      </w:r>
      <w:r w:rsidRPr="00D05EC2">
        <w:rPr>
          <w:rFonts w:ascii="Times New Roman" w:hAnsi="Times New Roman" w:cs="Times New Roman"/>
        </w:rPr>
        <w:fldChar w:fldCharType="begin" w:fldLock="1"/>
      </w:r>
      <w:r w:rsidR="004A5E0E" w:rsidRPr="00D05EC2">
        <w:rPr>
          <w:rFonts w:ascii="Times New Roman" w:hAnsi="Times New Roman" w:cs="Times New Roman"/>
        </w:rPr>
        <w:instrText>ADDIN CSL_CITATION {"citationItems":[{"id":"ITEM-1","itemData":{"DOI":"10.24018/ejbmr.2021.6.5.1064","ISSN":"2507-1076","abstract":"This study investigated the effect of financial literacy on savings behavior, considering the mediation effect of intention to savings. A structured questionnaire was distributed among 206 employed individuals in the Colombo district, Sri Lanka. Three Stage Least Squares technique was initially used to analyze the structural equations model fitted to measure the hypothesized mediation effect. Then the result was rousted using path analysis. The findings indicated that financial literacy has a direct and positively significant influence on savings behavior. Moreover, the mediation effect of intention was also found as positively significant in the above relationship. This indicates that the knowledge of the financial system leads to good savings behavior, and especially it creates an intention to save more. Therefore, policymakers and financial institutions can consider enhancing financial literature among individuals as a worthy strategy when encouraging savings as it both encourages savings behavior and the intention to do so.","author":[{"dropping-particle":"","family":"Peiris","given":"T. U. I.","non-dropping-particle":"","parse-names":false,"suffix":""}],"container-title":"European Journal of Business and Management Research","id":"ITEM-1","issue":"5","issued":{"date-parts":[["2021","9","12"]]},"page":"94-99","title":"Effect of Financial Literacy on Individual Savings Behavior; the Mediation Role of Intention to Saving","type":"article-journal","volume":"6"},"uris":["http://www.mendeley.com/documents/?uuid=2ee38184-7d5c-4cea-9447-dab0ea3033b8"]},{"id":"ITEM-2","itemData":{"DOI":"10.5267/j.msl.2020.6.030","ISSN":"19239343","abstract":"This paper examines the influence of Financial Literacy on savings behavior that is improved by storing intentions and attitudes towards savings. Also, the study investigates the effect of subjective norms on saving behavior that is mediated by attitudes toward austerity. Research subjects were primary data from 469 young workers who worked in the DKI Jakarta area in 2018. Data were collected online by distributing questionnaires using Google Docs and they were analyzed using SEM-PLS. The research findings prove that financial literacy affects saving behavior, both directly and indirectly through the variables of saving intention and attitude to saving mediation. Other findings prove that subjective norms do not directly affect thrifty behavior, but had indirect effects through attitudes toward thrifty variables. This study offers alternative models of researchers associated with frugal behavior with theories of planned behavior theory with predictors of financial literacy and subjective norms to improve frugal behavior proving that saving intentions and attitudes towards saving can mediate financial literacy. Furthermore, a mediator's attitude towards savings can improve the subjective norm relationship with saving behavior. Thus, the planned behavior theory can explain the relationship between financial literacy and subjective norms by storing behavior. This is an initial empirical study that attempts to examine the relationship between financial literacy and subjective norms and their impact on savings behavior that is mediated by saving intention and attitude towards saving.","author":[{"dropping-particle":"","family":"Widjaja","given":"Indra","non-dropping-particle":"","parse-names":false,"suffix":""},{"dropping-particle":"","family":"Arifin","given":"Agus Zainul","non-dropping-particle":"","parse-names":false,"suffix":""},{"dropping-particle":"","family":"Setini","given":"Made","non-dropping-particle":"","parse-names":false,"suffix":""}],"container-title":"Management Science Letters","id":"ITEM-2","issue":"15","issued":{"date-parts":[["2020"]]},"page":"3635-3642","title":"The effects of financial literacy and subjective norms on saving behavior","type":"article-journal","volume":"10"},"uris":["http://www.mendeley.com/documents/?uuid=effbe86c-5a21-4037-8dee-07d2af606e03"]},{"id":"ITEM-3","itemData":{"DOI":"10.1016/j.childyouth.2021.106122","ISSN":"01907409","abstract":"Understanding of the determinants of saving behavior of people is important for securing the financial stability of both the person, individually, and the country, at large. The commonly accepted viewpoint here is that a higher level of financial literacy (as brought by the relevant economic education via, in particular, smarter saving) leads to increasing of financial well-being. But, as we discuss in this paper by providing an appropriate conceptual theoretical framework, this relation has a more complicated nature: in some cases, financial literacy may have an adverse effect on people's financial well-being. To secure the positive effect of financial literacy on financial well-being, specifically, via saving more actively, the appropriate programs should be introduced at the early stages of education (e.g., at school). This study aims to appropriately assess the magnitude of influence of the fact of being financially literate on the fact of making savings. To this end, we use a representative sample (n = 1,243) of Russian high school students. In order to account for the endogenous nature of the influence of financial literacy on the willingness to make savings, we employ a copula-based bivariate probit-regression approach to identify the actual magnitude of this influence. To the best of our knowledge, we are the first to apply a copula-based modeling to this problem. As a result, for the considered cohort of Russian adolescents, we demonstrate that the studied magnitude is substantially greater when the endogeneity effect is appropriately controlled for. We also reveal and discuss the factors that impact the level of financial literacy and saving behavior of a Russian teenager. Relevant recommendations are provided for Russian financial authorities and institutions.","author":[{"dropping-particle":"","family":"Gilenko","given":"Evgenii","non-dropping-particle":"","parse-names":false,"suffix":""},{"dropping-particle":"","family":"Chernova","given":"Aleksandra","non-dropping-particle":"","parse-names":false,"suffix":""}],"container-title":"Children and Youth Services Review","id":"ITEM-3","issue":"February","issued":{"date-parts":[["2021"]]},"page":"106122","publisher":"Elsevier Ltd","title":"Saving behavior and financial literacy of Russian high school students: An application of a copula-based bivariate probit-regression approach","type":"article-journal","volume":"127"},"uris":["http://www.mendeley.com/documents/?uuid=7d7ba964-bbf9-40e7-9539-f539441bb7b8"]},{"id":"ITEM-4","itemData":{"DOI":"10.1016/j.asieco.2020.101197","ISSN":"10490078","abstract":"This study examines the effects of financial literacy on financial inclusion and savings behavior in Laos. Compared to previous literature, we use a broader definition of financial literacy which covers not only financial knowledge but also financial behavior and financial attitudes. We also use a new definition of financial inclusion which goes beyond the supply-side perspective to consider the consumer's perspective. To do so, we use the survey instrument designed by the Organisation for Economic Cooperation and Development International Network on Financial Education. We also used more reliable instrumental variables to investigate the effects of financial literacy on financial inclusion (and its components) and savings behavior. We find that financial literacy has statistically positive effects on both financial inclusion and savings. Moreover, the effects of financial literacy on different measures of financial inclusion vary. Our results further show that individuals with higher financial literacy scores are more likely to hold savings in both formal and informal forms than those who have lower financial literacy scores, even when we control for income and education.","author":[{"dropping-particle":"","family":"Morgan","given":"Peter J.","non-dropping-particle":"","parse-names":false,"suffix":""},{"dropping-particle":"","family":"Long","given":"Trinh Quang","non-dropping-particle":"","parse-names":false,"suffix":""}],"container-title":"Journal of Asian Economics","id":"ITEM-4","issued":{"date-parts":[["2020","6"]]},"page":"101197","publisher":"Elsevier Inc.","title":"Financial literacy, financial inclusion, and savings behavior in Laos","type":"article-journal","volume":"68"},"uris":["http://www.mendeley.com/documents/?uuid=14a6fca6-ad87-4f4e-8e13-2a5f33231432"]},{"id":"ITEM-5","itemData":{"DOI":"10.18488/journal.aefr.2020.106.590.603","ISSN":"22226737","abstract":"This study investigated factors impacting personal saving behavior in Vietnam. By using 692 respondents from a 63-province survey, the binary regression results showed that financial literacy, finance major, married status, financial attitudes, and advanced financial behavior were factors positively and significantly influencing individual saving behavior while gender, student, and basic financial behavior were factors negatively and significantly impacting saving behavior. It highlighted the result that, women had a higher probability of saving than men. The implications for financial education in Vietnam from the policy makers as well as personal perspective are also discussed.,,,.","author":[{"dropping-particle":"","family":"Nguyen","given":"Van Tuong","non-dropping-particle":"","parse-names":false,"suffix":""},{"dropping-particle":"","family":"Doan","given":"Minh Duc","non-dropping-particle":"","parse-names":false,"suffix":""}],"container-title":"Asian Economic and Financial Review","id":"ITEM-5","issue":"6","issued":{"date-parts":[["2020"]]},"page":"590-603","title":"The Correlation between Financial Literacy and Personal Saving Behavior in Vietnam","type":"article-journal","volume":"10"},"uris":["http://www.mendeley.com/documents/?uuid=068e5ea4-c136-4624-a9af-addb0c9fe281"]},{"id":"ITEM-6","itemData":{"abstract":"The household debt in Malaysia was recorded at 83 per cent of gross domestic product in 2018. This contributed to insufficient amount of saving by household who are mostly not prepared for retirement. Meanwhile, youths in emerging countries however are reported as the main group trapped into the financial problem. The tendency of saving among individual is different from one another due to differences in financial knowledge, peers influence, parent's socialization and self-control based on Theory of Planned Behavior. A survey was conducted on 133 students in emerging country, Malaysia, to examine the factors which affected their savings behavior. Structured questionnaires were distributed using convenient sampling technique. Results revealed that financial knowledge, peer influence and parent socialization have a significant effect on students' saving behavior. Findings serve to inform policy makers who are formulating strategies to enhance students' financial knowledge and to maximize the role of parents and peers in order to encourage higher saving behavior in emerging countries.","author":[{"dropping-particle":"","family":"Kadir","given":"Juliana Mohd Abdul","non-dropping-particle":"","parse-names":false,"suffix":""},{"dropping-particle":"","family":"Shoukat","given":"Ayesha","non-dropping-particle":"","parse-names":false,"suffix":""},{"dropping-particle":"","family":"Naghavi","given":"Navaz","non-dropping-particle":"","parse-names":false,"suffix":""},{"dropping-particle":"","family":"Jamaluddin","given":"Amirul Azri","non-dropping-particle":"","parse-names":false,"suffix":""}],"container-title":"Paskistan Business Review","id":"ITEM-6","issue":"4","issued":{"date-parts":[["2021"]]},"page":"629-644","title":"Saving Behavior in Emerging Country: The Role of Financial Knowledge, Peer Influence and Parent Socialization","type":"article-journal","volume":"22"},"uris":["http://www.mendeley.com/documents/?uuid=a68e692d-7e63-4c3d-a6d0-dd3ce6cedd94"]},{"id":"ITEM-7","itemData":{"DOI":"10.5901/mjss.2016.v7n6p41","ISSN":"20399340","abstract":"One of the national agendas in Indonesia is delivering financial literacy towards its society. This movement was in response to a report that Indonesia was ranked as a country with the lowest financial literacy lever among other countries in the Asia-Pacific region. This study aims to investigate the impact of attitude, subjective norm, and financial literacy on saving intention and behaviour among teacher students in a public university in Jakarta, Indonesia. Teacher students are pre-service teachers who could promote financial literacy at schools in the future. Data was collected using an online survey. In total, there were 212 usable instruments and data was analysed using exploratory and confirmatory factor analysis. As a result, two hypotheses were rejected: financial literacy was insignificant to influence attitude towards saving and saving intention. Other results, financial literacy and saving intention significantly influenced saving behaviour. In addition, attitude and subjective norm significantly influenced saving intention. Implication for practice and future research are discussed.","author":[{"dropping-particle":"","family":"Widyastuti","given":"Umi","non-dropping-particle":"","parse-names":false,"suffix":""},{"dropping-particle":"","family":"Suhud","given":"Usep","non-dropping-particle":"","parse-names":false,"suffix":""},{"dropping-particle":"","family":"Sumiati","given":"Ati","non-dropping-particle":"","parse-names":false,"suffix":""}],"container-title":"Mediterranean Journal of Social Sciences","id":"ITEM-7","issue":"November 2016","issued":{"date-parts":[["2016","11","1"]]},"title":"The Impact of Financial Literacy on Student Teachers’ Saving Intention and Saving Behaviour","type":"article-journal"},"uris":["http://www.mendeley.com/documents/?uuid=36ec9e7d-457a-421b-b1b6-c6aefa597ffa"]},{"id":"ITEM-8","itemData":{"DOI":"10.17051/ilkonline.2021.05.801","abstract":"This study is conducted on the societal phenomenon of saving behavior and saving intentions of the people of developing countries as increment and economic stability depend upon the savings and investment of the country. This research aims to thoroughly analyze the primary determinants for saving behavior in the presence of saving intentions in Pakistan's service sector. The data were collected from 269 respondents. Employees of the service sector in Lahore, such as banks, hotels, education, and industries, were the targeted population of this study. The non-probability, convenience sampling technique was used. The pre-structured questionnaire was used to collect the data is an indication that this is a quantitative study. The researcher verified the data through AMOS version 23 and SPSS version 22. Using SEM in AMOS, the outcome of the study shows that the key determinants of saving behavior, such as financial literacy, attitude towards saving, subjective norms, and future orientation have a significant association with saving intentions. This study is helpful for the financial institutions in understanding the determinants for saving behavior of the people and making the appropriate policies.","author":[{"dropping-particle":"","family":"Danish","given":"Rizwan Qaiser","non-dropping-particle":"","parse-names":false,"suffix":""},{"dropping-particle":"","family":"Rehman","given":"Muqqadas","non-dropping-particle":"","parse-names":false,"suffix":""},{"dropping-particle":"","family":"Hasnain","given":"Muhammad","non-dropping-particle":"","parse-names":false,"suffix":""},{"dropping-particle":"","family":"Latif","given":"Aqeel","non-dropping-particle":"","parse-names":false,"suffix":""},{"dropping-particle":"","family":"Afzal","given":"Anees","non-dropping-particle":"","parse-names":false,"suffix":""}],"container-title":"Ilkoqgretim Online - Elementary Education Online ","id":"ITEM-8","issue":"5","issued":{"date-parts":[["2021"]]},"page":"7082-7094","title":"Determinants of saving behavior through saving intentions: an empirical evidence from the service sector","type":"article-journal","volume":"20"},"uris":["http://www.mendeley.com/documents/?uuid=c0d8470b-22b8-429f-baa1-6761943ff2f7"]}],"mendeley":{"formattedCitation":"(Danish et al., 2021; Gilenko &amp; Chernova, 2021; Kadir et al., 2021; Morgan &amp; Long, 2020; V. T. Nguyen &amp; Doan, 2020; Peiris, 2021; Widjaja et al., 2020; Widyastuti et al., 2016)","manualFormatting":"Danish et al.(2021); Gilenko &amp; Chernova (2021) ; Kadir et al.(2021); Morgan &amp; Long (2020); Nguyen &amp; Doan (2020); Widjaja et al.(2020); and  Widyastuti et al. (2016)","plainTextFormattedCitation":"(Danish et al., 2021; Gilenko &amp; Chernova, 2021; Kadir et al., 2021; Morgan &amp; Long, 2020; V. T. Nguyen &amp; Doan, 2020; Peiris, 2021; Widjaja et al., 2020; Widyastuti et al., 2016)","previouslyFormattedCitation":"(Danish et al., 2021; Gilenko &amp; Chernova, 2021; Kadir et al., 2021; Morgan &amp; Long, 2020; V. T. Nguyen &amp; Doan, 2020; Peiris, 2021; Widjaja et al., 2020; Widyastuti et al., 2016)"},"properties":{"noteIndex":0},"schema":"https://github.com/citation-style-language/schema/raw/master/csl-citation.json"}</w:instrText>
      </w:r>
      <w:r w:rsidRPr="00D05EC2">
        <w:rPr>
          <w:rFonts w:ascii="Times New Roman" w:hAnsi="Times New Roman" w:cs="Times New Roman"/>
        </w:rPr>
        <w:fldChar w:fldCharType="separate"/>
      </w:r>
      <w:bookmarkStart w:id="174" w:name="Bookmark111"/>
      <w:r w:rsidRPr="00D05EC2">
        <w:rPr>
          <w:rFonts w:ascii="Times New Roman" w:hAnsi="Times New Roman" w:cs="Times New Roman"/>
          <w:noProof/>
          <w:lang w:val="en-ID"/>
        </w:rPr>
        <w:t>D</w:t>
      </w:r>
      <w:bookmarkStart w:id="175" w:name="Bookmark1021"/>
      <w:r w:rsidRPr="00D05EC2">
        <w:rPr>
          <w:rFonts w:ascii="Times New Roman" w:hAnsi="Times New Roman" w:cs="Times New Roman"/>
          <w:noProof/>
          <w:lang w:val="en-ID"/>
        </w:rPr>
        <w:t xml:space="preserve">anish </w:t>
      </w:r>
      <w:r w:rsidRPr="00D05EC2">
        <w:rPr>
          <w:rFonts w:ascii="Times New Roman" w:hAnsi="Times New Roman" w:cs="Times New Roman"/>
          <w:i/>
          <w:noProof/>
          <w:lang w:val="en-ID"/>
        </w:rPr>
        <w:t>et al.(</w:t>
      </w:r>
      <w:r w:rsidRPr="00D05EC2">
        <w:rPr>
          <w:rFonts w:ascii="Times New Roman" w:hAnsi="Times New Roman" w:cs="Times New Roman"/>
          <w:noProof/>
          <w:lang w:val="en-ID"/>
        </w:rPr>
        <w:t xml:space="preserve">2021); Gilenko &amp; Chernova (2021); Kadir </w:t>
      </w:r>
      <w:r w:rsidRPr="00D05EC2">
        <w:rPr>
          <w:rFonts w:ascii="Times New Roman" w:hAnsi="Times New Roman" w:cs="Times New Roman"/>
          <w:i/>
          <w:noProof/>
          <w:lang w:val="en-ID"/>
        </w:rPr>
        <w:t>et al.(</w:t>
      </w:r>
      <w:r w:rsidRPr="00D05EC2">
        <w:rPr>
          <w:rFonts w:ascii="Times New Roman" w:hAnsi="Times New Roman" w:cs="Times New Roman"/>
          <w:noProof/>
          <w:lang w:val="en-ID"/>
        </w:rPr>
        <w:t xml:space="preserve">2021); Morgan &amp; Long (2020); Nguyen &amp; Doan (2020); Widjaja </w:t>
      </w:r>
      <w:r w:rsidRPr="00D05EC2">
        <w:rPr>
          <w:rFonts w:ascii="Times New Roman" w:hAnsi="Times New Roman" w:cs="Times New Roman"/>
          <w:i/>
          <w:noProof/>
          <w:lang w:val="en-ID"/>
        </w:rPr>
        <w:t>et al.</w:t>
      </w:r>
      <w:r w:rsidRPr="00D05EC2">
        <w:rPr>
          <w:rFonts w:ascii="Times New Roman" w:hAnsi="Times New Roman" w:cs="Times New Roman"/>
          <w:iCs/>
          <w:noProof/>
          <w:lang w:val="en-ID"/>
        </w:rPr>
        <w:t>(2</w:t>
      </w:r>
      <w:r w:rsidRPr="00D05EC2">
        <w:rPr>
          <w:rFonts w:ascii="Times New Roman" w:hAnsi="Times New Roman" w:cs="Times New Roman"/>
          <w:noProof/>
          <w:lang w:val="en-ID"/>
        </w:rPr>
        <w:t xml:space="preserve">020); and  Widyastuti </w:t>
      </w:r>
      <w:r w:rsidRPr="00D05EC2">
        <w:rPr>
          <w:rFonts w:ascii="Times New Roman" w:hAnsi="Times New Roman" w:cs="Times New Roman"/>
          <w:i/>
          <w:noProof/>
          <w:lang w:val="en-ID"/>
        </w:rPr>
        <w:t xml:space="preserve">et al. </w:t>
      </w:r>
      <w:r w:rsidRPr="00D05EC2">
        <w:rPr>
          <w:rFonts w:ascii="Times New Roman" w:hAnsi="Times New Roman" w:cs="Times New Roman"/>
          <w:iCs/>
          <w:noProof/>
          <w:lang w:val="en-ID"/>
        </w:rPr>
        <w:t>(</w:t>
      </w:r>
      <w:r w:rsidRPr="00D05EC2">
        <w:rPr>
          <w:rFonts w:ascii="Times New Roman" w:hAnsi="Times New Roman" w:cs="Times New Roman"/>
          <w:noProof/>
          <w:lang w:val="en-ID"/>
        </w:rPr>
        <w:t>2016)</w:t>
      </w:r>
      <w:r w:rsidRPr="00D05EC2">
        <w:rPr>
          <w:rFonts w:ascii="Times New Roman" w:hAnsi="Times New Roman" w:cs="Times New Roman"/>
        </w:rPr>
        <w:fldChar w:fldCharType="end"/>
      </w:r>
      <w:bookmarkEnd w:id="174"/>
      <w:bookmarkEnd w:id="175"/>
      <w:r w:rsidRPr="00D05EC2">
        <w:rPr>
          <w:rFonts w:ascii="Times New Roman" w:hAnsi="Times New Roman" w:cs="Times New Roman"/>
          <w:lang w:val="en-ID"/>
        </w:rPr>
        <w:t xml:space="preserve"> </w:t>
      </w:r>
      <w:r w:rsidRPr="00D05EC2">
        <w:rPr>
          <w:rFonts w:ascii="Times New Roman" w:hAnsi="Times New Roman" w:cs="Times New Roman"/>
        </w:rPr>
        <w:t>also conducted research on similar things</w:t>
      </w:r>
      <w:r w:rsidRPr="00D05EC2">
        <w:rPr>
          <w:rFonts w:ascii="Times New Roman" w:hAnsi="Times New Roman" w:cs="Times New Roman"/>
          <w:lang w:val="en-ID"/>
        </w:rPr>
        <w:t xml:space="preserve">. </w:t>
      </w:r>
      <w:r w:rsidRPr="00D05EC2">
        <w:rPr>
          <w:rFonts w:ascii="Times New Roman" w:hAnsi="Times New Roman" w:cs="Times New Roman"/>
          <w:iCs/>
          <w:lang w:val="en-ID"/>
        </w:rPr>
        <w:t>According to</w:t>
      </w:r>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{"citationItems":[{"id":"ITEM-1","itemData":{"ISSN":"23041013","abstract":"In the workplace, it is common to encounter diverse employees spanning various generations, each with unique priorities and needs. This descriptive-correlational study aims to determine why working professionals, when grouped by generation, save and what affects their intention to save and their actual saving behavior. A researcher-developed survey questionnaire was used to gather data from 1 133 working professions. Structural equation modeling was utilized to determine the relationships among the variables. The study differentiated the effects of different factors on their saving behavior considering the generation to which they belong. Results show that working professionals consider savings for emergency needs essential. Savings for basic needs is their priority, but they start to consider saving for retirement as they age. Attitude is the most important factor affecting their intention to save. In contrast, financial literacy does not affect the intention of the Baby Boomers and Gen Z to save, just as social influence does not affect the intention of Gen Z professionals. The study also proved that working professionals do not just intend to save, but they save. Demographic factors of different generations affect the saving behavior of respondents. The study contributes to the existing literature on financial behavior and saving goals and has practical implications to promote positive saving behaviors and enhance financial well-being among all ages. Additionally, policymakers can utilize the findings to design targeted interventions and policies that encourage responsible saving and financial security across generations.","author":[{"dropping-particle":"","family":"Uy","given":"Chin","non-dropping-particle":"","parse-names":false,"suffix":""},{"dropping-particle":"","family":"Manalo","given":"Ronaldo A.","non-dropping-particle":"","parse-names":false,"suffix":""},{"dropping-particle":"","family":"Bayona","given":"Shirlene P.","non-dropping-particle":"","parse-names":false,"suffix":""}],"container-title":"Review of Integrative Business and Economics Research","id":"ITEM-1","issue":"2","issued":{"date-parts":[["2024"]]},"page":"372-390","title":"Determinants of Saving Behavior of Working Professionals: An Intergenerational Perspective","type":"article-journal","volume":"13"},"uris":["http://www.mendeley.com/documents/?uuid=7f11694a-8f70-41d5-aee1-74ec49439c5c"]}],"mendeley":{"formattedCitation":"(Uy et al., 2024)","manualFormatting":"Uy et al. (2024) ","plainTextFormattedCitation":"(Uy et al., 2024)","previouslyFormattedCitation":"(Uy et al., 2024)"},"properties":{"noteIndex":0},"schema":"https://github.com/citation-style-language/schema/raw/master/csl-citation.json"}</w:instrText>
      </w:r>
      <w:r w:rsidRPr="00D05EC2">
        <w:rPr>
          <w:rFonts w:ascii="Times New Roman" w:hAnsi="Times New Roman" w:cs="Times New Roman"/>
        </w:rPr>
        <w:fldChar w:fldCharType="separate"/>
      </w:r>
      <w:bookmarkStart w:id="176" w:name="Bookmark112"/>
      <w:r w:rsidRPr="00D05EC2">
        <w:rPr>
          <w:rFonts w:ascii="Times New Roman" w:hAnsi="Times New Roman" w:cs="Times New Roman"/>
          <w:noProof/>
          <w:lang w:val="en-ID"/>
        </w:rPr>
        <w:t>U</w:t>
      </w:r>
      <w:bookmarkStart w:id="177" w:name="Bookmark1031"/>
      <w:r w:rsidRPr="00D05EC2">
        <w:rPr>
          <w:rFonts w:ascii="Times New Roman" w:hAnsi="Times New Roman" w:cs="Times New Roman"/>
          <w:noProof/>
          <w:lang w:val="en-ID"/>
        </w:rPr>
        <w:t xml:space="preserve">y </w:t>
      </w:r>
      <w:r w:rsidRPr="00D05EC2">
        <w:rPr>
          <w:rFonts w:ascii="Times New Roman" w:hAnsi="Times New Roman" w:cs="Times New Roman"/>
          <w:i/>
          <w:iCs/>
          <w:noProof/>
          <w:lang w:val="en-ID"/>
        </w:rPr>
        <w:t xml:space="preserve">et al. </w:t>
      </w:r>
      <w:r w:rsidRPr="00D05EC2">
        <w:rPr>
          <w:rFonts w:ascii="Times New Roman" w:hAnsi="Times New Roman" w:cs="Times New Roman"/>
          <w:noProof/>
          <w:lang w:val="en-ID"/>
        </w:rPr>
        <w:t xml:space="preserve">(2024) </w:t>
      </w:r>
      <w:r w:rsidRPr="00D05EC2">
        <w:rPr>
          <w:rFonts w:ascii="Times New Roman" w:hAnsi="Times New Roman" w:cs="Times New Roman"/>
        </w:rPr>
        <w:fldChar w:fldCharType="end"/>
      </w:r>
      <w:bookmarkEnd w:id="176"/>
      <w:bookmarkEnd w:id="177"/>
      <w:r w:rsidRPr="00D05EC2">
        <w:rPr>
          <w:rFonts w:ascii="Times New Roman" w:hAnsi="Times New Roman" w:cs="Times New Roman"/>
        </w:rPr>
        <w:t>it is known that the intention to save is proven to be influenced by financial literacy. Thus, it is hypothesized that:</w:t>
      </w:r>
    </w:p>
    <w:p w14:paraId="5DB5253E" w14:textId="77777777" w:rsidR="00D97723" w:rsidRPr="00D05EC2" w:rsidRDefault="00456E38">
      <w:pPr>
        <w:pStyle w:val="Heading2"/>
        <w:tabs>
          <w:tab w:val="left" w:pos="620"/>
        </w:tabs>
        <w:spacing w:before="93" w:line="276" w:lineRule="auto"/>
        <w:ind w:firstLine="0"/>
        <w:rPr>
          <w:rFonts w:ascii="Times New Roman" w:hAnsi="Times New Roman" w:cs="Times New Roman"/>
          <w:b w:val="0"/>
          <w:bCs w:val="0"/>
          <w:i w:val="0"/>
          <w:iCs w:val="0"/>
          <w:color w:val="231F20"/>
          <w:w w:val="90"/>
          <w:sz w:val="24"/>
          <w:szCs w:val="24"/>
        </w:rPr>
      </w:pPr>
      <w:r w:rsidRPr="00D05EC2">
        <w:rPr>
          <w:rFonts w:ascii="Times New Roman" w:hAnsi="Times New Roman" w:cs="Times New Roman"/>
          <w:b w:val="0"/>
          <w:bCs w:val="0"/>
          <w:i w:val="0"/>
          <w:iCs w:val="0"/>
          <w:color w:val="231F20"/>
          <w:w w:val="90"/>
          <w:sz w:val="24"/>
          <w:szCs w:val="24"/>
        </w:rPr>
        <w:t>H1: FL has a positive effect on saving intentions.</w:t>
      </w:r>
    </w:p>
    <w:p w14:paraId="0962ADB8" w14:textId="77777777" w:rsidR="00D97723" w:rsidRPr="00D05EC2" w:rsidRDefault="00D97723">
      <w:pPr>
        <w:pStyle w:val="Heading2"/>
        <w:tabs>
          <w:tab w:val="left" w:pos="620"/>
        </w:tabs>
        <w:spacing w:before="93" w:line="276" w:lineRule="auto"/>
        <w:ind w:firstLine="0"/>
        <w:rPr>
          <w:rFonts w:ascii="Times New Roman" w:hAnsi="Times New Roman" w:cs="Times New Roman"/>
          <w:sz w:val="24"/>
          <w:szCs w:val="24"/>
        </w:rPr>
      </w:pPr>
    </w:p>
    <w:p w14:paraId="29AF186E" w14:textId="585944B1" w:rsidR="00D97723" w:rsidRPr="00D05EC2" w:rsidRDefault="00456E38">
      <w:pPr>
        <w:pStyle w:val="Heading2"/>
        <w:numPr>
          <w:ilvl w:val="2"/>
          <w:numId w:val="1"/>
        </w:numPr>
        <w:tabs>
          <w:tab w:val="left" w:pos="620"/>
        </w:tabs>
        <w:spacing w:before="93" w:line="276" w:lineRule="auto"/>
        <w:ind w:hanging="478"/>
        <w:jc w:val="both"/>
        <w:rPr>
          <w:rFonts w:ascii="Times New Roman" w:hAnsi="Times New Roman" w:cs="Times New Roman"/>
          <w:b w:val="0"/>
          <w:bCs w:val="0"/>
          <w:sz w:val="24"/>
          <w:szCs w:val="24"/>
        </w:rPr>
      </w:pPr>
      <w:bookmarkStart w:id="178" w:name="_heading=h.6tbyeud3enyz"/>
      <w:bookmarkEnd w:id="178"/>
      <w:r w:rsidRPr="00D05EC2">
        <w:rPr>
          <w:rFonts w:ascii="Times New Roman" w:hAnsi="Times New Roman" w:cs="Times New Roman"/>
          <w:b w:val="0"/>
          <w:bCs w:val="0"/>
          <w:color w:val="231F20"/>
          <w:w w:val="90"/>
          <w:sz w:val="24"/>
          <w:szCs w:val="24"/>
        </w:rPr>
        <w:t>The Positive Influence of Saving Intentions on Saving Behavior</w:t>
      </w:r>
    </w:p>
    <w:p w14:paraId="703A158B" w14:textId="5DAAE20A" w:rsidR="00D97723" w:rsidRPr="00D05EC2" w:rsidRDefault="00456E38" w:rsidP="007E4D8B">
      <w:pPr>
        <w:spacing w:line="276" w:lineRule="auto"/>
        <w:ind w:left="60"/>
        <w:jc w:val="both"/>
        <w:rPr>
          <w:rFonts w:ascii="Times New Roman" w:hAnsi="Times New Roman" w:cs="Times New Roman"/>
        </w:rPr>
      </w:pPr>
      <w:r w:rsidRPr="00D05EC2">
        <w:rPr>
          <w:rFonts w:ascii="Times New Roman" w:hAnsi="Times New Roman" w:cs="Times New Roman"/>
        </w:rPr>
        <w:t xml:space="preserve">Intention is a stage that has the possibility of performing an action. Previous studies in consumer behavior have primarily examined the factors that influence behavioral intent as well as factual behavior. </w:t>
      </w:r>
      <w:r w:rsidRPr="00D05EC2">
        <w:rPr>
          <w:rFonts w:ascii="Times New Roman" w:hAnsi="Times New Roman" w:cs="Times New Roman"/>
          <w:lang w:val="en-ID"/>
        </w:rPr>
        <w:t xml:space="preserve">According to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{"citationItems":[{"id":"ITEM-1","itemData":{"DOI":"10.47985/dcidj.475","ISSN":"2211-5242","abstract":"Research dealing with various aspects of the theory of planned behavior (Ajzen, 1985, 1987) is reviewed, and some unresolved issues are discussed. In broad terms, the theory is found to be well supported by empirical evidence. Intentions to perform behaviors of different kinds can be predicted with high accuracy from attitudes toward the behavior, subjective norms, and perceived behavioral control; and these intentions, together with perceptions of behavioral control, account for considerable variance in actual behavior. Attitudes, subjective norms, and perceived behavioral control are shown to be related to appropriate sets of salient behavioral, normative, and control beliefs about the behavior, but the exact nature of these relations is still uncertain. Expectancyvalue formulations are found to be only partly successful in dealing with these relations. Optimal rescahng of expectancy and value measures is offered as a means of dealing with measurement limitations. Finally, inclusion of past behavior in the prediction equation is shown to provide a means of testing the theory’s sufficiency, another issue that remains unresolved. The limited available evidence concerning this question shows that the theory is predicting behavior quite well in comparison to the ceiling imposed by behavioral reliability.","author":[{"dropping-particle":"","family":"Ajzen","given":"Icek","non-dropping-particle":"","parse-names":false,"suffix":""}],"container-title":"Organizational Behavior and Human Decision Processes","id":"ITEM-1","issue":"1","issued":{"date-parts":[["1991","5","15"]]},"page":"52","title":"The Theory of Planned Behavior","type":"article-journal","volume":"33"},"uris":["http://www.mendeley.com/documents/?uuid=11d8eb31-6517-4e7c-b26e-b8503fb565c8"]}],"mendeley":{"formattedCitation":"(Ajzen, 1991)","manualFormatting":"Ajzen (1991)","plainTextFormattedCitation":"(Ajzen, 1991)","previouslyFormattedCitation":"(Ajzen, 1991)"},"properties":{"noteIndex":0},"schema":"https://github.com/citation-style-language/schema/raw/master/csl-citation.json"}</w:instrText>
      </w:r>
      <w:r w:rsidRPr="00D05EC2">
        <w:rPr>
          <w:rFonts w:ascii="Times New Roman" w:hAnsi="Times New Roman" w:cs="Times New Roman"/>
        </w:rPr>
        <w:fldChar w:fldCharType="separate"/>
      </w:r>
      <w:bookmarkStart w:id="179" w:name="Bookmark113"/>
      <w:r w:rsidRPr="00D05EC2">
        <w:rPr>
          <w:rFonts w:ascii="Times New Roman" w:hAnsi="Times New Roman" w:cs="Times New Roman"/>
          <w:noProof/>
          <w:lang w:val="en-ID"/>
        </w:rPr>
        <w:t>A</w:t>
      </w:r>
      <w:bookmarkStart w:id="180" w:name="Bookmark1041"/>
      <w:r w:rsidRPr="00D05EC2">
        <w:rPr>
          <w:rFonts w:ascii="Times New Roman" w:hAnsi="Times New Roman" w:cs="Times New Roman"/>
          <w:noProof/>
          <w:lang w:val="en-ID"/>
        </w:rPr>
        <w:t>jzen (1991)</w:t>
      </w:r>
      <w:r w:rsidRPr="00D05EC2">
        <w:rPr>
          <w:rFonts w:ascii="Times New Roman" w:hAnsi="Times New Roman" w:cs="Times New Roman"/>
        </w:rPr>
        <w:fldChar w:fldCharType="end"/>
      </w:r>
      <w:bookmarkEnd w:id="179"/>
      <w:bookmarkEnd w:id="180"/>
      <w:r w:rsidRPr="00D05EC2">
        <w:rPr>
          <w:rFonts w:ascii="Times New Roman" w:hAnsi="Times New Roman" w:cs="Times New Roman"/>
          <w:lang w:val="en-ID"/>
        </w:rPr>
        <w:t xml:space="preserve">  </w:t>
      </w:r>
      <w:r w:rsidRPr="00D05EC2">
        <w:rPr>
          <w:rFonts w:ascii="Times New Roman" w:hAnsi="Times New Roman" w:cs="Times New Roman"/>
        </w:rPr>
        <w:t>intention is assumed a motivating factor to do something and may be a precursor to actual behavior depending on the influence of these factors.</w:t>
      </w:r>
      <w:r w:rsidRPr="00D05EC2">
        <w:rPr>
          <w:rFonts w:ascii="Times New Roman" w:hAnsi="Times New Roman" w:cs="Times New Roman"/>
          <w:bCs/>
        </w:rPr>
        <w:t xml:space="preserve"> The intention to carry out a behavior is influenced by certain factors such as attitudes, subjective norms, and perceived behavioral control</w:t>
      </w:r>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{"citationItems":[{"id":"ITEM-1","itemData":{"abstract":"Practical data structures for the edit-sensitive parsing (ESP) are proposed. Given a string S, its ESP tree is equivalent to a context-free grammar G generating just S, which is represented by a DAG. Using the succinct data structures for trees and permutations, G is decomposed to two LOUDS bit strings and single array in (1+\\epsilon)n\\log n+4n+o(n) bits for any 0&lt;\\epsilon &lt;1 and the number n of variables in G. The time to count occurrences of P in S is in O(\\frac{1}{\\epsilon}(m\\log n+occ_c(\\log m\\log u)), whereas m = |P|, u = |S|, and occ_c is the number of occurrences of a maximal common subtree in ESPs of P and S. The efficiency of the proposed index is evaluated by the experiments conducted on several benchmarks complying with the other compressed indexes.","author":[{"dropping-particle":"","family":"Holst","given":"Anne","non-dropping-particle":"","parse-names":false,"suffix":""},{"dropping-particle":"","family":"Iversen","given":"Julie Maria","non-dropping-particle":"","parse-names":false,"suffix":""}],"container-title":"Copenhagen Business School","id":"ITEM-1","issued":{"date-parts":[["2011"]]},"title":"An Application of a Revised Theory of Planned Behavior : Predicting the Intention to Use Personal Care Products without Endocrine Disrupting Chemicals","type":"article-journal"},"uris":["http://www.mendeley.com/documents/?uuid=b9b3fbd6-e46c-457a-8803-85316d454068"]}],"mendeley":{"formattedCitation":"(Holst &amp; Iversen, 2011)","plainTextFormattedCitation":"(Holst &amp; Iversen, 2011)","previouslyFormattedCitation":"(Holst &amp; Iversen, 2011)"},"properties":{"noteIndex":0},"schema":"https://github.com/citation-style-language/schema/raw/master/csl-citation.json"}</w:instrText>
      </w:r>
      <w:r w:rsidRPr="00D05EC2">
        <w:rPr>
          <w:rFonts w:ascii="Times New Roman" w:hAnsi="Times New Roman" w:cs="Times New Roman"/>
        </w:rPr>
        <w:fldChar w:fldCharType="separate"/>
      </w:r>
      <w:bookmarkStart w:id="181" w:name="Bookmark114"/>
      <w:r w:rsidRPr="00D05EC2">
        <w:rPr>
          <w:rFonts w:ascii="Times New Roman" w:hAnsi="Times New Roman" w:cs="Times New Roman"/>
          <w:noProof/>
          <w:lang w:val="en-ID"/>
        </w:rPr>
        <w:t>(</w:t>
      </w:r>
      <w:bookmarkStart w:id="182" w:name="Bookmark1051"/>
      <w:r w:rsidRPr="00D05EC2">
        <w:rPr>
          <w:rFonts w:ascii="Times New Roman" w:hAnsi="Times New Roman" w:cs="Times New Roman"/>
          <w:noProof/>
          <w:lang w:val="en-ID"/>
        </w:rPr>
        <w:t>Holst &amp; Iversen, 2011)</w:t>
      </w:r>
      <w:r w:rsidRPr="00D05EC2">
        <w:rPr>
          <w:rFonts w:ascii="Times New Roman" w:hAnsi="Times New Roman" w:cs="Times New Roman"/>
        </w:rPr>
        <w:fldChar w:fldCharType="end"/>
      </w:r>
      <w:bookmarkEnd w:id="181"/>
      <w:bookmarkEnd w:id="182"/>
      <w:r w:rsidRPr="00D05EC2">
        <w:rPr>
          <w:rFonts w:ascii="Times New Roman" w:hAnsi="Times New Roman" w:cs="Times New Roman"/>
          <w:lang w:val="en-ID"/>
        </w:rPr>
        <w:t>.</w:t>
      </w:r>
      <w:r w:rsidRPr="00D05EC2">
        <w:rPr>
          <w:rFonts w:ascii="Times New Roman" w:hAnsi="Times New Roman" w:cs="Times New Roman"/>
          <w:w w:val="90"/>
          <w:lang w:val="en-ID"/>
        </w:rPr>
        <w:t xml:space="preserve"> </w:t>
      </w:r>
      <w:r w:rsidR="007E4D8B">
        <w:rPr>
          <w:rFonts w:ascii="Times New Roman" w:hAnsi="Times New Roman" w:cs="Times New Roman"/>
          <w:w w:val="90"/>
          <w:lang w:val="en-ID"/>
        </w:rPr>
        <w:t xml:space="preserve"> </w:t>
      </w:r>
      <w:r w:rsidRPr="00D05EC2">
        <w:rPr>
          <w:rFonts w:ascii="Times New Roman" w:hAnsi="Times New Roman" w:cs="Times New Roman"/>
          <w:w w:val="90"/>
          <w:lang w:val="en-ID"/>
        </w:rPr>
        <w:t xml:space="preserve">According to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{"citationItems":[{"id":"ITEM-1","itemData":{"DOI":"10.14254/2071-789X.2020/13-1/1","ISSN":"23063459","abstract":"Population ageing, together with the recent economic downturn and its aftermath, are giving considerable cause for concern as regards the future sustainability of public pension systems. Voluntary pension schemes emerge here as an alternative to supplement the public pension pillar, and therefore, understanding how individuals make their financial decisions when participating in voluntary pension schemes becomes a question of key importance. There is a growing literature aimed at analysing this issue, but few studies to date have analysed the effect of behavioural traits on participation in voluntary pension schemes. Particularly, an analysis of the effect of self-control on this financial decision will be the aim of this paper. Based on data from the International Survey of Adult Financial Literacy, this paper analyses, through probit regression models, the effect of financial self-control, besides other control variables, e.g., gender, on the holding of financial assets for retirement savings. Empirical evidence reveals that higher levels of financial self-control are positively associated with saving for retirement. Moreover, when this variable is considered, the statistically significant effect of other driving forces traditionally highlighted by previous literature disappears. Therefore, our empirical evidence supports the need to consider behavioural issues in explaining individuals’ financial decisions.","author":[{"dropping-particle":"","family":"Castro-González","given":"Sandra","non-dropping-particle":"","parse-names":false,"suffix":""},{"dropping-particle":"","family":"Rey-Ares","given":"Lucía","non-dropping-particle":"","parse-names":false,"suffix":""},{"dropping-particle":"","family":"Fernández-López","given":"Sara","non-dropping-particle":"","parse-names":false,"suffix":""},{"dropping-particle":"","family":"Daoudi","given":"Djamila","non-dropping-particle":"","parse-names":false,"suffix":""}],"container-title":"Economics and Sociology","id":"ITEM-1","issue":"1","issued":{"date-parts":[["2020"]]},"page":"11-23","title":"The effect of self-control upon participation in voluntary pension schemes","type":"article-journal","volume":"13"},"uris":["http://www.mendeley.com/documents/?uuid=6500db5d-9c65-4518-93d5-ee9f46cf58af"]}],"mendeley":{"formattedCitation":"(Castro-González et al., 2020)","manualFormatting":"González et al. (2020)","plainTextFormattedCitation":"(Castro-González et al., 2020)","previouslyFormattedCitation":"(Castro-González et al., 2020)"},"properties":{"noteIndex":0},"schema":"https://github.com/citation-style-language/schema/raw/master/csl-citation.json"}</w:instrText>
      </w:r>
      <w:r w:rsidRPr="00D05EC2">
        <w:rPr>
          <w:rFonts w:ascii="Times New Roman" w:hAnsi="Times New Roman" w:cs="Times New Roman"/>
        </w:rPr>
        <w:fldChar w:fldCharType="separate"/>
      </w:r>
      <w:bookmarkStart w:id="183" w:name="Bookmark115"/>
      <w:r w:rsidRPr="00D05EC2">
        <w:rPr>
          <w:rFonts w:ascii="Times New Roman" w:hAnsi="Times New Roman" w:cs="Times New Roman"/>
          <w:noProof/>
          <w:lang w:val="en-ID"/>
        </w:rPr>
        <w:t>G</w:t>
      </w:r>
      <w:bookmarkStart w:id="184" w:name="Bookmark1061"/>
      <w:r w:rsidRPr="00D05EC2">
        <w:rPr>
          <w:rFonts w:ascii="Times New Roman" w:hAnsi="Times New Roman" w:cs="Times New Roman"/>
          <w:noProof/>
          <w:lang w:val="en-ID"/>
        </w:rPr>
        <w:t>onzález et al. (2020)</w:t>
      </w:r>
      <w:r w:rsidRPr="00D05EC2">
        <w:rPr>
          <w:rFonts w:ascii="Times New Roman" w:hAnsi="Times New Roman" w:cs="Times New Roman"/>
        </w:rPr>
        <w:fldChar w:fldCharType="end"/>
      </w:r>
      <w:bookmarkEnd w:id="183"/>
      <w:bookmarkEnd w:id="184"/>
      <w:r w:rsidRPr="00D05EC2">
        <w:rPr>
          <w:rFonts w:ascii="Times New Roman" w:hAnsi="Times New Roman" w:cs="Times New Roman"/>
          <w:lang w:val="en-ID"/>
        </w:rPr>
        <w:t xml:space="preserve"> </w:t>
      </w:r>
      <w:r w:rsidRPr="00D05EC2">
        <w:rPr>
          <w:rFonts w:ascii="Times New Roman" w:hAnsi="Times New Roman" w:cs="Times New Roman"/>
        </w:rPr>
        <w:t>that higher levels of financial self-control are positively associated with saving for retirement Some studies have found that saving intentions can influence saving behavior</w:t>
      </w:r>
      <w:r w:rsidRPr="00D05EC2">
        <w:rPr>
          <w:rFonts w:ascii="Times New Roman" w:hAnsi="Times New Roman" w:cs="Times New Roman"/>
          <w:lang w:val="en-ID"/>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{"citationItems":[{"id":"ITEM-1","itemData":{"DOI":"10.11634/216796061403527","ISSN":"2167-9606","abstract":"Yet some experimental studies on market efficiency recently show evidence supporting the fact that VN-Index does not follow the random walk, which implies the fact that stock prices are predictable. One of the reasons for this phenomenon is identified as the existence of psychological factors having impacts on behavioral decisions made by individual investors in the stock market. Accordingly, the crucial purpose of this study is to use the theory of planned behavior (TPB) as a conceptional lens for exploring factors influencing individuals’ investment behavioral intention in the Vietnamese stock market. By employing the Structural Equation Modeling (SEM) with support of AMOS 20.0 software for analyzing data collected from a national survey with 472 individual investors, the results indicated that the impact level of the given factors on individuals’ behavioral intention, which supports the hypotheses that an individual’s investment intention is significantly affected by his attitude towards investment, subjective norm and perceived behavioral control. What is more, the study has also provided strong evidences for the existence of psychological factors which supports the hypothesis that four psychological factors (overconfidence, excessive optimism, psychology of risk and herd behavior) do have significant impact on the individuals’ attitude towards investment. Concurrently the study has found supporting evidence for the argument that gender has a strong moderation affect in the relations between the psychological factors and the attitude towards investment, between the attitude and behavioral intention, between subjective norms and behavioral intention as well as between perceived behavioral control and behavioral intention of Vietnamese individual investors. Findings found from this study have provided both academic and practical contributions. Keywords:","author":[{"dropping-particle":"","family":"Phan","given":"Khoa Cuong","non-dropping-particle":"","parse-names":false,"suffix":""},{"dropping-particle":"","family":"Jian","given":"Zhou","non-dropping-particle":"","parse-names":false,"suffix":""}],"container-title":"American Journal of Business and Management","id":"ITEM-1","issue":"2","issued":{"date-parts":[["2014"]]},"page":"77-94","title":"Factors Influencing Individual Investors’ Behavior: An Empirical Study of the Vietnamese Stock Market","type":"article-journal","volume":"3"},"uris":["http://www.mendeley.com/documents/?uuid=a120a8fb-dfb8-49dc-9c6a-ec428898ec32"]},{"id":"ITEM-2","itemData":{"abstract":"The role of attitudes of the entrepreneurs toward saving, investment and borrowing to invest is an important factor in economic development. This study examined how attitude influences the amount and form of funds saved, borrowed and invested by Micro and Small Entreprises (MSEs) in Kenya. It also examined the instruments used for saving, the sources of finance and how these combine to influence the capital accumulation process and poverty alleviation efforts. A survey of MSEs in Ongata Rongai Township showed that attitudes of MSEs influenced their saving, investing and borrowing behavior. This relationship is positive and significant. The MSEs prefer saving with banks but not Microfinance Institutions (MFIs) and other traditional instruments. The MSEs have a positive attitude toward saving, borrowing and investment. However, they are noncommittal to borrowing from the formal financial system. Those who borrow prefer banks to MFIs. This is attributed to the high interest rates, long procedures for obtaining loans, and the rent seeking behaviour of some officers of the MFIs. The MSEs rely mainly on their savings as a source of finance for investment. Reliance on internal finance means that MSEs must first accumulate savings before investing. Since the amounts saved by most MSEs are small and credit is limited, the amount invested and the returns on investment are also small. Thus the capital accumulation process is long and arduous. This could partly explain why we seem to be loosing the war against poverty in Kenya. Therefore any form of intervention to alleviate poverty through microfinance must seriously consider the attitudes and intentions of those being targeted.","author":[{"dropping-particle":"","family":"Kisaka","given":"Sifunjo E.","non-dropping-particle":"","parse-names":false,"suffix":""}],"container-title":"Research Journal of Finance and Accounting","id":"ITEM-2","issue":"9","issued":{"date-parts":[["2014"]]},"page":"140-152","title":"The Impact of Attitudes towards Saving, Borrowing and Investment on the Capital Accumulation Process in Kenya: An Application of the Theory of Planned Behavior","type":"article-journal","volume":"5"},"uris":["http://www.mendeley.com/documents/?uuid=83e72310-86e6-4cd6-aa76-cd104c89e3b6"]},{"id":"ITEM-3","itemData":{"abstract":"Keywords Theory of planned behavior, Intention to invest, Investment Many studies have been conducted to apply the theory of planned behavior in the context of finance and investment, however, previous research focused on people that close related with the behavior of investment itself. This paper tested the applicability of the theory of planned behavior in predicting intention to invest using samples 359 civil servant in Indonesia. Result from data analysis using partial least square (PLS) have shown that attitudes toward investment and subjective norms have significantly influenced the intention to invest, while data of the other antecedent, self-efficacy,have failed to show significant influence.","author":[{"dropping-particle":"","family":"Sondari","given":"Mery Citra","non-dropping-particle":"","parse-names":false,"suffix":""},{"dropping-particle":"","family":"Sudarsono","given":"Rahmat","non-dropping-particle":"","parse-names":false,"suffix":""}],"container-title":"International Academic Research Journal of Business and Technology 1(2) 2015 Page 137-141","id":"ITEM-3","issue":"August","issued":{"date-parts":[["2015"]]},"title":"Using Theory of Planned Behavior in Predicting Intention to Invest : Case of Indonesia","type":"article-journal"},"uris":["http://www.mendeley.com/documents/?uuid=06ef116a-2f42-45fd-a79d-fdcde531aeda"]},{"id":"ITEM-4","itemData":{"DOI":"10.1016/j.joep.2010.06.002","ISSN":"01674870","abstract":"The need for individuals to increase retirement savings has been widely promoted, yet our understanding of the motivations of individuals to save at a higher rate remains sparse. This paper reports the findings of a survey of 2300 retirement savings fund members and their motivations to contribute more to savings and to actively manage their investment strategy. Utilising the theory of planned behavior, the study reveals respondent's self-reported attitudes, subjective norms and perceptions of behavioral control account for a high proportion of the variance in behavioral intention. Contrary to expectations, the study finds that respondent's risk tolerance adds little to the prediction of behavioral intention. By contrast, perceptions of planning importance and self-assessed planning preparedness (domain knowledge) are found to exert powerful indirect influences on behavioral intentions via the perceived behavioral control construct. This novel finding confirms the relevance of planning constructs and financial literacy to an understanding of retirement savings behavior, and establishes a need to improve levels of financial literacy in society. © 2010 Elsevier B.V.","author":[{"dropping-particle":"","family":"Croy","given":"Gerry","non-dropping-particle":"","parse-names":false,"suffix":""},{"dropping-particle":"","family":"Gerrans","given":"Paul","non-dropping-particle":"","parse-names":false,"suffix":""},{"dropping-particle":"","family":"Speelman","given":"Craig","non-dropping-particle":"","parse-names":false,"suffix":""}],"container-title":"Journal of Economic Psychology","id":"ITEM-4","issue":"6","issued":{"date-parts":[["2010"]]},"page":"860-871","title":"The role and relevance of domain knowledge, perceptions of planning importance, and risk tolerance in predicting savings intentions","type":"article-journal","volume":"31"},"uris":["http://www.mendeley.com/documents/?uuid=11af2416-6dac-40ae-b78a-c88a5c0011fe"]}],"mendeley":{"formattedCitation":"(Croy et al., 2010; Kisaka, 2014; Phan &amp; Jian, 2014; Sondari &amp; Sudarsono, 2015)","manualFormatting":"(Croy et al., 2010; Cuong &amp; Jian, 2014; Kisaka, 2014; dan Sondari &amp; Sudarsono, 2015)","plainTextFormattedCitation":"(Croy et al., 2010; Kisaka, 2014; Phan &amp; Jian, 2014; Sondari &amp; Sudarsono, 2015)","previouslyFormattedCitation":"(Croy et al., 2010; Kisaka, 2014; Phan &amp; Jian, 2014; Sondari &amp; Sudarsono, 2015)"},"properties":{"noteIndex":0},"schema":"https://github.com/citation-style-language/schema/raw/master/csl-citation.json"}</w:instrText>
      </w:r>
      <w:r w:rsidRPr="00D05EC2">
        <w:rPr>
          <w:rFonts w:ascii="Times New Roman" w:hAnsi="Times New Roman" w:cs="Times New Roman"/>
        </w:rPr>
        <w:fldChar w:fldCharType="separate"/>
      </w:r>
      <w:bookmarkStart w:id="185" w:name="Bookmark116"/>
      <w:r w:rsidRPr="00D05EC2">
        <w:rPr>
          <w:rFonts w:ascii="Times New Roman" w:hAnsi="Times New Roman" w:cs="Times New Roman"/>
          <w:noProof/>
          <w:lang w:val="en-ID"/>
        </w:rPr>
        <w:t>(</w:t>
      </w:r>
      <w:bookmarkStart w:id="186" w:name="Bookmark1071"/>
      <w:r w:rsidRPr="00D05EC2">
        <w:rPr>
          <w:rFonts w:ascii="Times New Roman" w:hAnsi="Times New Roman" w:cs="Times New Roman"/>
          <w:noProof/>
          <w:lang w:val="en-ID"/>
        </w:rPr>
        <w:t xml:space="preserve">Croy et al., 2010; Cuong &amp; Jian, 2014; </w:t>
      </w:r>
      <w:r w:rsidR="004A5E0E" w:rsidRPr="00D05EC2">
        <w:rPr>
          <w:rFonts w:ascii="Times New Roman" w:hAnsi="Times New Roman" w:cs="Times New Roman"/>
          <w:noProof/>
          <w:lang w:val="en-ID"/>
        </w:rPr>
        <w:t>a</w:t>
      </w:r>
      <w:r w:rsidRPr="00D05EC2">
        <w:rPr>
          <w:rFonts w:ascii="Times New Roman" w:hAnsi="Times New Roman" w:cs="Times New Roman"/>
          <w:noProof/>
          <w:lang w:val="en-ID"/>
        </w:rPr>
        <w:t>n</w:t>
      </w:r>
      <w:r w:rsidR="004A5E0E" w:rsidRPr="00D05EC2">
        <w:rPr>
          <w:rFonts w:ascii="Times New Roman" w:hAnsi="Times New Roman" w:cs="Times New Roman"/>
          <w:noProof/>
          <w:lang w:val="en-ID"/>
        </w:rPr>
        <w:t>d</w:t>
      </w:r>
      <w:r w:rsidRPr="00D05EC2">
        <w:rPr>
          <w:rFonts w:ascii="Times New Roman" w:hAnsi="Times New Roman" w:cs="Times New Roman"/>
          <w:noProof/>
          <w:lang w:val="en-ID"/>
        </w:rPr>
        <w:t xml:space="preserve"> Sondari &amp; Sudarsono, 2015)</w:t>
      </w:r>
      <w:r w:rsidRPr="00D05EC2">
        <w:rPr>
          <w:rFonts w:ascii="Times New Roman" w:hAnsi="Times New Roman" w:cs="Times New Roman"/>
        </w:rPr>
        <w:fldChar w:fldCharType="end"/>
      </w:r>
      <w:bookmarkEnd w:id="185"/>
      <w:bookmarkEnd w:id="186"/>
      <w:r w:rsidRPr="00D05EC2">
        <w:rPr>
          <w:rFonts w:ascii="Times New Roman" w:hAnsi="Times New Roman" w:cs="Times New Roman"/>
          <w:lang w:val="en-ID"/>
        </w:rPr>
        <w:t xml:space="preserve">. </w:t>
      </w:r>
      <w:r w:rsidRPr="00D05EC2">
        <w:rPr>
          <w:rFonts w:ascii="Times New Roman" w:hAnsi="Times New Roman" w:cs="Times New Roman"/>
        </w:rPr>
        <w:t xml:space="preserve">And research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{"citationItems":[{"id":"ITEM-1","itemData":{"ISSN":"02053292","abstract":"In the region of Smolyan in Bulgaria and specifically in the cities of Zlatograd, Madan, Rudozem and Velingrad, the saving behaviour appears to be gaining more importance for Pomak households. Based on the Theory of Planned Behaviour, path analysis was applied to explore the factors that determine the intention of Pomak households to enhance their saving behaviour. The strongest influence was exerted by attitudes followed by subjective norms. Saving motives of households showed that those had the most significant influence on the intention towards saving. As regards the perceived behavioural control factor, the results indicated a direct positive effect on final saving behaviour, but a non-significant one on the intention to save. Furthermore, religiosity emerged as an important factor that affects the intention towards saving. JEL: D10; D14.","author":[{"dropping-particle":"","family":"Satsios","given":"Nikolaos","non-dropping-particle":"","parse-names":false,"suffix":""},{"dropping-particle":"","family":"Karamanis","given":"Kostas","non-dropping-particle":"","parse-names":false,"suffix":""},{"dropping-particle":"","family":"Galanou","given":"Aikaterini","non-dropping-particle":"","parse-names":false,"suffix":""},{"dropping-particle":"","family":"Sotiropoulos","given":"Ioannis","non-dropping-particle":"","parse-names":false,"suffix":""}],"container-title":"Ikonomicheski Izsledvania","id":"ITEM-1","issue":"3","issued":{"date-parts":[["2020"]]},"page":"105-120","title":"The saving behaviour of pomaks in Bulgaria: A path analysis approach","type":"article-journal","volume":"29"},"uris":["http://www.mendeley.com/documents/?uuid=64659a0a-ba4d-4709-a040-1cf066ec641d"]}],"mendeley":{"formattedCitation":"(Satsios et al., 2020)","manualFormatting":"Satsios et al. (2020)","plainTextFormattedCitation":"(Satsios et al., 2020)","previouslyFormattedCitation":"(Satsios et al., 2020)"},"properties":{"noteIndex":0},"schema":"https://github.com/citation-style-language/schema/raw/master/csl-citation.json"}</w:instrText>
      </w:r>
      <w:r w:rsidRPr="00D05EC2">
        <w:rPr>
          <w:rFonts w:ascii="Times New Roman" w:hAnsi="Times New Roman" w:cs="Times New Roman"/>
        </w:rPr>
        <w:fldChar w:fldCharType="separate"/>
      </w:r>
      <w:bookmarkStart w:id="187" w:name="Bookmark117"/>
      <w:r w:rsidRPr="00D05EC2">
        <w:rPr>
          <w:rFonts w:ascii="Times New Roman" w:hAnsi="Times New Roman" w:cs="Times New Roman"/>
          <w:noProof/>
          <w:lang w:val="en-ID"/>
        </w:rPr>
        <w:t>S</w:t>
      </w:r>
      <w:bookmarkStart w:id="188" w:name="Bookmark1081"/>
      <w:r w:rsidRPr="00D05EC2">
        <w:rPr>
          <w:rFonts w:ascii="Times New Roman" w:hAnsi="Times New Roman" w:cs="Times New Roman"/>
          <w:noProof/>
          <w:lang w:val="en-ID"/>
        </w:rPr>
        <w:t>atsios et al. (2020)</w:t>
      </w:r>
      <w:r w:rsidRPr="00D05EC2">
        <w:rPr>
          <w:rFonts w:ascii="Times New Roman" w:hAnsi="Times New Roman" w:cs="Times New Roman"/>
        </w:rPr>
        <w:fldChar w:fldCharType="end"/>
      </w:r>
      <w:bookmarkEnd w:id="187"/>
      <w:bookmarkEnd w:id="188"/>
      <w:r w:rsidRPr="00D05EC2">
        <w:rPr>
          <w:rFonts w:ascii="Times New Roman" w:hAnsi="Times New Roman" w:cs="Times New Roman"/>
          <w:lang w:val="en-ID"/>
        </w:rPr>
        <w:t xml:space="preserve"> </w:t>
      </w:r>
      <w:r w:rsidRPr="00D05EC2">
        <w:rPr>
          <w:rFonts w:ascii="Times New Roman" w:hAnsi="Times New Roman" w:cs="Times New Roman"/>
        </w:rPr>
        <w:t xml:space="preserve">shows that there is a significant positive influence between saving intention and saving behavior because individuals with high saving intentions are easier to save. Self-control is also found by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{"citationItems":[{"id":"ITEM-1","itemData":{"DOI":"10.3390/su14148780","ISSN":"2071-1050","abstract":"This study examined the impact of social influence, i.e., parents and peers, on the level of financial literacy among Saudi young adults (students). It also assessed the effect of financial literacy on the development of saving behaviour and the role of self-control as a moderator in the relationship between financial literacy and saving behaviour among the same respondents. The study’s sample included 270 respondents (male and female) from an applied college affiliated with King Faisal University. The study employed partial least squares structural equation modelling (PLS-SEM) for data analysis and interpretation. Some intriguing findings were generated. It was discovered that the influence of both parents and peers can positively predict financial literacy. Furthermore, financial literacy can positively impact young people’s saving habits. One surprising finding was that self-control negatively moderated the relationship between financial literacy and saving behaviour. Self-control was found to dampen the ties between Saudi young people’s financial literacy and saving behaviour.","author":[{"dropping-particle":"","family":"Alshebami","given":"Ali Saleh","non-dropping-particle":"","parse-names":false,"suffix":""},{"dropping-particle":"","family":"Aldhyani","given":"Theyazn H. H.","non-dropping-particle":"","parse-names":false,"suffix":""}],"container-title":"Sustainability","id":"ITEM-1","issue":"14","issued":{"date-parts":[["2022","7","18"]]},"page":"8780","title":"The Interplay of Social Influence, Financial Literacy, and Saving Behaviour among Saudi Youth and the Moderating Effect of Self-Control","type":"article-journal","volume":"14"},"uris":["http://www.mendeley.com/documents/?uuid=d46dd693-a411-4bf6-8b26-694b249b4dd5"]}],"mendeley":{"formattedCitation":"(Alshebami &amp; Aldhyani, 2022)","manualFormatting":"Alshebami &amp; Aldhyani (2022)","plainTextFormattedCitation":"(Alshebami &amp; Aldhyani, 2022)","previouslyFormattedCitation":"(Alshebami &amp; Aldhyani, 2022)"},"properties":{"noteIndex":0},"schema":"https://github.com/citation-style-language/schema/raw/master/csl-citation.json"}</w:instrText>
      </w:r>
      <w:r w:rsidRPr="00D05EC2">
        <w:rPr>
          <w:rFonts w:ascii="Times New Roman" w:hAnsi="Times New Roman" w:cs="Times New Roman"/>
        </w:rPr>
        <w:fldChar w:fldCharType="separate"/>
      </w:r>
      <w:bookmarkStart w:id="189" w:name="Bookmark118"/>
      <w:r w:rsidRPr="00D05EC2">
        <w:rPr>
          <w:rFonts w:ascii="Times New Roman" w:hAnsi="Times New Roman" w:cs="Times New Roman"/>
          <w:noProof/>
        </w:rPr>
        <w:t>A</w:t>
      </w:r>
      <w:bookmarkStart w:id="190" w:name="Bookmark1091"/>
      <w:r w:rsidRPr="00D05EC2">
        <w:rPr>
          <w:rFonts w:ascii="Times New Roman" w:hAnsi="Times New Roman" w:cs="Times New Roman"/>
          <w:noProof/>
        </w:rPr>
        <w:t>lshebami &amp; Aldhyani (2022)</w:t>
      </w:r>
      <w:r w:rsidRPr="00D05EC2">
        <w:rPr>
          <w:rFonts w:ascii="Times New Roman" w:hAnsi="Times New Roman" w:cs="Times New Roman"/>
        </w:rPr>
        <w:fldChar w:fldCharType="end"/>
      </w:r>
      <w:bookmarkEnd w:id="189"/>
      <w:bookmarkEnd w:id="190"/>
      <w:r w:rsidRPr="00D05EC2">
        <w:rPr>
          <w:rFonts w:ascii="Times New Roman" w:hAnsi="Times New Roman" w:cs="Times New Roman"/>
        </w:rPr>
        <w:t xml:space="preserve"> can reduce its relationship with saving behavior and have a positive impact on saving habits. According to previous research, as people get older, people become more cautious about their spending and worry about their retirement life, therefore starting to save as part of their RP</w:t>
      </w:r>
      <w:r w:rsidR="004A5E0E" w:rsidRPr="00D05EC2">
        <w:rPr>
          <w:rFonts w:ascii="Times New Roman" w:hAnsi="Times New Roman" w:cs="Times New Roman"/>
        </w:rPr>
        <w:t xml:space="preserve"> </w:t>
      </w:r>
      <w:r w:rsidRPr="00D05EC2">
        <w:rPr>
          <w:rFonts w:ascii="Times New Roman" w:hAnsi="Times New Roman" w:cs="Times New Roman"/>
        </w:rPr>
        <w:fldChar w:fldCharType="begin" w:fldLock="1"/>
      </w:r>
      <w:r w:rsidRPr="00D05EC2">
        <w:rPr>
          <w:rFonts w:ascii="Times New Roman" w:hAnsi="Times New Roman" w:cs="Times New Roman"/>
        </w:rPr>
        <w:instrText>ADDIN CSL_CITATION {"citationItems":[{"id":"ITEM-1","itemData":{"DOI":"10.5901/mjss.2016.v7n6p41","ISSN":"20399340","abstract":"One of the national agendas in Indonesia is delivering financial literacy towards its society. This movement was in response to a report that Indonesia was ranked as a country with the lowest financial literacy lever among other countries in the Asia-Pacific region. This study aims to investigate the impact of attitude, subjective norm, and financial literacy on saving intention and behaviour among teacher students in a public university in Jakarta, Indonesia. Teacher students are pre-service teachers who could promote financial literacy at schools in the future. Data was collected using an online survey. In total, there were 212 usable instruments and data was analysed using exploratory and confirmatory factor analysis. As a result, two hypotheses were rejected: financial literacy was insignificant to influence attitude towards saving and saving intention. Other results, financial literacy and saving intention significantly influenced saving behaviour. In addition, attitude and subjective norm significantly influenced saving intention. Implication for practice and future research are discussed.","author":[{"dropping-particle":"","family":"Widyastuti","given":"Umi","non-dropping-particle":"","parse-names":false,"suffix":""},{"dropping-particle":"","family":"Suhud","given":"Usep","non-dropping-particle":"","parse-names":false,"suffix":""},{"dropping-particle":"","family":"Sumiati","given":"Ati","non-dropping-particle":"","parse-names":false,"suffix":""}],"container-title":"Mediterranean Journal of Social Sciences","id":"ITEM-1","issue":"November 2016","issued":{"date-parts":[["2016","11","1"]]},"title":"The Impact of Financial Literacy on Student Teachers’ Saving Intention and Saving Behaviour","type":"article-journal"},"uris":["http://www.mendeley.com/documents/?uuid=36ec9e7d-457a-421b-b1b6-c6aefa597ffa"]},{"id":"ITEM-2","itemData":{"DOI":"10.24018/ejbmr.2021.6.5.1064","ISSN":"2507-1076","abstract":"This study investigated the effect of financial literacy on savings behavior, considering the mediation effect of intention to savings. A structured questionnaire was distributed among 206 employed individuals in the Colombo district, Sri Lanka. Three Stage Least Squares technique was initially used to analyze the structural equations model fitted to measure the hypothesized mediation effect. Then the result was rousted using path analysis. The findings indicated that financial literacy has a direct and positively significant influence on savings behavior. Moreover, the mediation effect of intention was also found as positively significant in the above relationship. This indicates that the knowledge of the financial system leads to good savings behavior, and especially it creates an intention to save more. Therefore, policymakers and financial institutions can consider enhancing financial literature among individuals as a worthy strategy when encouraging savings as it both encourages savings behavior and the intention to do so.","author":[{"dropping-particle":"","family":"Peiris","given":"T. U. I.","non-dropping-particle":"","parse-names":false,"suffix":""}],"container-title":"European Journal of Business and Management Research","id":"ITEM-2","issue":"5","issued":{"date-parts":[["2021","9","12"]]},"page":"94-99","title":"Effect of Financial Literacy on Individual Savings Behavior; the Mediation Role of Intention to Saving","type":"article-journal","volume":"6"},"uris":["http://www.mendeley.com/documents/?uuid=2ee38184-7d5c-4cea-9447-dab0ea3033b8"]},{"id":"ITEM-3","itemData":{"abstract":"Thrace is a region where the religious minority group of Pomaks lives. This study aims to quantify the effect of religiosity and self mastery on their saving behaviour. A structured questionnaire with academic scales was used to collect data from households, in this region. It was found that religiosity is a significant predictor of intention towards saving, while self mastery is a significant predictor of saving habits. The understanding of the Pomaks' saving behaviour could provide guidance to the interested economic authorities in the pursuit of a healthy household's financial life.","author":[{"dropping-particle":"","family":"Satsios","given":"Nikolaos","non-dropping-particle":"","parse-names":false,"suffix":""},{"dropping-particle":"","family":"Hadjidakis","given":"Spyros","non-dropping-particle":"","parse-names":false,"suffix":""}],"container-title":"Journal Sustainable Development, Culture, Traditions","id":"ITEM-3","issue":"May","issued":{"date-parts":[["2017"]]},"page":"17-27","title":"The Effect of Religiosity and Self Mastery on Saving Behaviour of Pomak Households in Thrace","type":"article-journal","volume":"1b"},"uris":["http://www.mendeley.com/documents/?uuid=1c6ac48d-21b2-4402-b951-0653a45fe3e9"]}],"mendeley":{"formattedCitation":"(Peiris, 2021; Satsios &amp; Hadjidakis, 2017; Widyastuti et al., 2016)","manualFormatting":"(Peiris, 2021; Satsios &amp; Hadjidakis, 2017; and  Widyastuti et al.,2016)","plainTextFormattedCitation":"(Peiris, 2021; Satsios &amp; Hadjidakis, 2017; Widyastuti et al., 2016)","previouslyFormattedCitation":"(Peiris, 2021; Satsios &amp; Hadjidakis, 2017; Widyastuti et al., 2016)"},"properties":{"noteIndex":0},"schema":"https://github.com/citation-style-language/schema/raw/master/csl-citation.json"}</w:instrText>
      </w:r>
      <w:r w:rsidRPr="00D05EC2">
        <w:rPr>
          <w:rFonts w:ascii="Times New Roman" w:hAnsi="Times New Roman" w:cs="Times New Roman"/>
        </w:rPr>
        <w:fldChar w:fldCharType="separate"/>
      </w:r>
      <w:bookmarkStart w:id="191" w:name="Bookmark119"/>
      <w:r w:rsidRPr="00D05EC2">
        <w:rPr>
          <w:rFonts w:ascii="Times New Roman" w:hAnsi="Times New Roman" w:cs="Times New Roman"/>
          <w:noProof/>
          <w:lang w:val="en-ID"/>
        </w:rPr>
        <w:t>(</w:t>
      </w:r>
      <w:bookmarkStart w:id="192" w:name="Bookmark1101"/>
      <w:r w:rsidRPr="00D05EC2">
        <w:rPr>
          <w:rFonts w:ascii="Times New Roman" w:hAnsi="Times New Roman" w:cs="Times New Roman"/>
          <w:noProof/>
          <w:lang w:val="en-ID"/>
        </w:rPr>
        <w:t xml:space="preserve">Peiris, 2021; Satsios &amp; Hadjidakis, 2017; and </w:t>
      </w:r>
      <w:r w:rsidR="004A5E0E" w:rsidRPr="00D05EC2">
        <w:rPr>
          <w:rFonts w:ascii="Times New Roman" w:hAnsi="Times New Roman" w:cs="Times New Roman"/>
          <w:noProof/>
          <w:lang w:val="en-ID"/>
        </w:rPr>
        <w:t xml:space="preserve"> </w:t>
      </w:r>
      <w:r w:rsidRPr="00D05EC2">
        <w:rPr>
          <w:rFonts w:ascii="Times New Roman" w:hAnsi="Times New Roman" w:cs="Times New Roman"/>
          <w:noProof/>
          <w:lang w:val="en-ID"/>
        </w:rPr>
        <w:t>Widyastuti et al.,2016)</w:t>
      </w:r>
      <w:r w:rsidRPr="00D05EC2">
        <w:rPr>
          <w:rFonts w:ascii="Times New Roman" w:hAnsi="Times New Roman" w:cs="Times New Roman"/>
        </w:rPr>
        <w:fldChar w:fldCharType="end"/>
      </w:r>
      <w:bookmarkEnd w:id="191"/>
      <w:bookmarkEnd w:id="192"/>
      <w:r w:rsidRPr="00D05EC2">
        <w:rPr>
          <w:rFonts w:ascii="Times New Roman" w:hAnsi="Times New Roman" w:cs="Times New Roman"/>
          <w:lang w:val="en-ID"/>
        </w:rPr>
        <w:t xml:space="preserve">. </w:t>
      </w:r>
      <w:r w:rsidRPr="00D05EC2">
        <w:rPr>
          <w:rFonts w:ascii="Times New Roman" w:hAnsi="Times New Roman" w:cs="Times New Roman"/>
        </w:rPr>
        <w:t>Thus, it is hypothesized that:</w:t>
      </w:r>
    </w:p>
    <w:p w14:paraId="7F5978B1" w14:textId="77777777" w:rsidR="00D97723" w:rsidRPr="00D05EC2" w:rsidRDefault="00456E38">
      <w:pPr>
        <w:pStyle w:val="Heading2"/>
        <w:tabs>
          <w:tab w:val="left" w:pos="620"/>
        </w:tabs>
        <w:spacing w:before="93" w:line="276" w:lineRule="auto"/>
        <w:ind w:firstLine="0"/>
        <w:rPr>
          <w:rFonts w:ascii="Times New Roman" w:hAnsi="Times New Roman" w:cs="Times New Roman"/>
          <w:b w:val="0"/>
          <w:bCs w:val="0"/>
          <w:sz w:val="24"/>
          <w:szCs w:val="24"/>
        </w:rPr>
      </w:pPr>
      <w:r w:rsidRPr="00D05EC2">
        <w:rPr>
          <w:rFonts w:ascii="Times New Roman" w:hAnsi="Times New Roman" w:cs="Times New Roman"/>
          <w:b w:val="0"/>
          <w:bCs w:val="0"/>
          <w:i w:val="0"/>
          <w:iCs w:val="0"/>
          <w:color w:val="231F20"/>
          <w:w w:val="90"/>
          <w:sz w:val="24"/>
          <w:szCs w:val="24"/>
        </w:rPr>
        <w:t xml:space="preserve">H2: </w:t>
      </w:r>
      <w:r w:rsidRPr="00D05EC2">
        <w:rPr>
          <w:rFonts w:ascii="Times New Roman" w:hAnsi="Times New Roman" w:cs="Times New Roman"/>
          <w:b w:val="0"/>
          <w:bCs w:val="0"/>
          <w:i w:val="0"/>
          <w:iCs w:val="0"/>
          <w:sz w:val="24"/>
          <w:szCs w:val="24"/>
        </w:rPr>
        <w:t>Saving intention has a positive effect on saving behavior</w:t>
      </w:r>
      <w:r w:rsidRPr="00D05EC2">
        <w:rPr>
          <w:rFonts w:ascii="Times New Roman" w:hAnsi="Times New Roman" w:cs="Times New Roman"/>
          <w:b w:val="0"/>
          <w:bCs w:val="0"/>
          <w:i w:val="0"/>
          <w:iCs w:val="0"/>
          <w:color w:val="231F20"/>
          <w:w w:val="90"/>
          <w:sz w:val="24"/>
          <w:szCs w:val="24"/>
        </w:rPr>
        <w:t>.</w:t>
      </w:r>
    </w:p>
    <w:p w14:paraId="2678209A" w14:textId="77777777" w:rsidR="00D97723" w:rsidRPr="00D05EC2" w:rsidRDefault="00D97723">
      <w:pPr>
        <w:pStyle w:val="ListParagraph"/>
        <w:spacing w:line="276" w:lineRule="auto"/>
        <w:ind w:firstLine="0"/>
        <w:rPr>
          <w:rFonts w:ascii="Times New Roman" w:hAnsi="Times New Roman" w:cs="Times New Roman"/>
          <w:sz w:val="24"/>
          <w:szCs w:val="24"/>
          <w:lang w:val="en-ID"/>
        </w:rPr>
      </w:pPr>
    </w:p>
    <w:p w14:paraId="698788FD" w14:textId="77777777" w:rsidR="00D97723" w:rsidRPr="00D05EC2" w:rsidRDefault="00456E38">
      <w:pPr>
        <w:pStyle w:val="Heading2"/>
        <w:numPr>
          <w:ilvl w:val="2"/>
          <w:numId w:val="1"/>
        </w:numPr>
        <w:tabs>
          <w:tab w:val="left" w:pos="7937"/>
        </w:tabs>
        <w:spacing w:line="276" w:lineRule="auto"/>
        <w:ind w:hanging="620"/>
        <w:jc w:val="both"/>
        <w:rPr>
          <w:rFonts w:ascii="Times New Roman" w:hAnsi="Times New Roman" w:cs="Times New Roman"/>
          <w:b w:val="0"/>
          <w:bCs w:val="0"/>
          <w:sz w:val="24"/>
          <w:szCs w:val="24"/>
          <w:lang w:val="en-ID"/>
        </w:rPr>
      </w:pPr>
      <w:r w:rsidRPr="00D05EC2">
        <w:rPr>
          <w:rFonts w:ascii="Times New Roman" w:hAnsi="Times New Roman" w:cs="Times New Roman"/>
          <w:b w:val="0"/>
          <w:bCs w:val="0"/>
          <w:sz w:val="24"/>
          <w:szCs w:val="24"/>
          <w:lang w:val="en-ID"/>
        </w:rPr>
        <w:t xml:space="preserve">Positive Effects of Saving </w:t>
      </w:r>
      <w:proofErr w:type="spellStart"/>
      <w:r w:rsidRPr="00D05EC2">
        <w:rPr>
          <w:rFonts w:ascii="Times New Roman" w:hAnsi="Times New Roman" w:cs="Times New Roman"/>
          <w:b w:val="0"/>
          <w:bCs w:val="0"/>
          <w:sz w:val="24"/>
          <w:szCs w:val="24"/>
          <w:lang w:val="en-ID"/>
        </w:rPr>
        <w:t>Behavior</w:t>
      </w:r>
      <w:proofErr w:type="spellEnd"/>
      <w:r w:rsidRPr="00D05EC2">
        <w:rPr>
          <w:rFonts w:ascii="Times New Roman" w:hAnsi="Times New Roman" w:cs="Times New Roman"/>
          <w:b w:val="0"/>
          <w:bCs w:val="0"/>
          <w:sz w:val="24"/>
          <w:szCs w:val="24"/>
          <w:lang w:val="en-ID"/>
        </w:rPr>
        <w:t xml:space="preserve"> on RP</w:t>
      </w:r>
    </w:p>
    <w:p w14:paraId="422EFB8D" w14:textId="58FE2C56" w:rsidR="00D97723" w:rsidRPr="00D05EC2" w:rsidRDefault="00456E38" w:rsidP="007E4D8B">
      <w:pPr>
        <w:spacing w:line="276" w:lineRule="auto"/>
        <w:jc w:val="both"/>
      </w:pPr>
      <w:bookmarkStart w:id="193" w:name="_Hlk177335193"/>
      <w:r w:rsidRPr="007E4D8B">
        <w:rPr>
          <w:rFonts w:ascii="Times New Roman" w:hAnsi="Times New Roman" w:cs="Times New Roman"/>
        </w:rPr>
        <w:t>In general, FL</w:t>
      </w:r>
      <w:r w:rsidR="004A5E0E" w:rsidRPr="007E4D8B">
        <w:rPr>
          <w:rFonts w:ascii="Times New Roman" w:hAnsi="Times New Roman" w:cs="Times New Roman"/>
        </w:rPr>
        <w:t xml:space="preserve"> </w:t>
      </w:r>
      <w:r w:rsidRPr="007E4D8B">
        <w:rPr>
          <w:rFonts w:ascii="Times New Roman" w:hAnsi="Times New Roman" w:cs="Times New Roman"/>
        </w:rPr>
        <w:t xml:space="preserve">and financial behavior play an important role in long-term financial preparation, namely retirement preparation, which a person will experience when they are 50 to 60 years old </w:t>
      </w:r>
      <w:r w:rsidRPr="007E4D8B">
        <w:rPr>
          <w:rFonts w:ascii="Times New Roman" w:hAnsi="Times New Roman" w:cs="Times New Roman"/>
        </w:rPr>
        <w:fldChar w:fldCharType="begin" w:fldLock="1"/>
      </w:r>
      <w:r w:rsidR="004A5E0E" w:rsidRPr="007E4D8B">
        <w:rPr>
          <w:rFonts w:ascii="Times New Roman" w:hAnsi="Times New Roman" w:cs="Times New Roman"/>
        </w:rPr>
        <w:instrText>ADDIN CSL_CITATION {"citationItems":[{"id":"ITEM-1","itemData":{"DOI":"10.1017/S0714980809090047","ISSN":"07149808","PMID":"19860967","abstract":"Because the concept of retirement is prominent in both popular thinking and academic studies, it would be helpful if the notion were analytically sound, could be measured with precision, and would make possible comparisons of patterns of retirement over time and among different populations. This paper reviews and assesses the many concepts and measures that have been proposed, summarizing them in groupings that reflect non-participation or reduced participation in the labour force, receipt of pension income, end-of-career employment, self-assessed retirement, or combinations of those characteristics. It concludes that there is no agreed measure and that no one measure dominates. Instead, new proposed measures continue to take account of additional refinements as new data sets become available, thereby further restricting possible comparisons. The confusing array of definitions reflects the practical problem that underlies the concept of retirement: It is an essentially negative notion, a notion of what people are not doing - namely, that they are not working. A more positive approach would be to focus, instead, on what people are doing, including especially their involvement in non-market activities that are socially productive, even if those activities do not contribute to national income as conventionally measured. © 2009 Canadian Association on Gerontology.","author":[{"dropping-particle":"","family":"Denton","given":"Frank T.","non-dropping-particle":"","parse-names":false,"suffix":""},{"dropping-particle":"","family":"Spencer","given":"Byron G.","non-dropping-particle":"","parse-names":false,"suffix":""}],"container-title":"Canadian Journal on Aging","id":"ITEM-1","issue":"1","issued":{"date-parts":[["2009"]]},"page":"63-76","title":"What is retirement? A review and assessment of alternative concepts and measures","type":"article-journal","volume":"28"},"uris":["http://www.mendeley.com/documents/?uuid=d42dbb3e-7a7d-421c-b1b6-993286bde872"]}],"mendeley":{"formattedCitation":"(Denton &amp; Spencer, 2009)","manualFormatting":"(Denton &amp; Spencer, 2009; and Xie et al.,2023)","plainTextFormattedCitation":"(Denton &amp; Spencer, 2009)","previouslyFormattedCitation":"(Denton &amp; Spencer, 2009)"},"properties":{"noteIndex":0},"schema":"https://github.com/citation-style-language/schema/raw/master/csl-citation.json"}</w:instrText>
      </w:r>
      <w:r w:rsidRPr="007E4D8B">
        <w:rPr>
          <w:rFonts w:ascii="Times New Roman" w:hAnsi="Times New Roman" w:cs="Times New Roman"/>
        </w:rPr>
        <w:fldChar w:fldCharType="separate"/>
      </w:r>
      <w:bookmarkStart w:id="194" w:name="Bookmark120"/>
      <w:r w:rsidRPr="007E4D8B">
        <w:rPr>
          <w:rFonts w:ascii="Times New Roman" w:hAnsi="Times New Roman" w:cs="Times New Roman"/>
          <w:noProof/>
          <w:lang w:val="en-ID"/>
        </w:rPr>
        <w:t>(</w:t>
      </w:r>
      <w:bookmarkStart w:id="195" w:name="Bookmark1111"/>
      <w:r w:rsidRPr="007E4D8B">
        <w:rPr>
          <w:rFonts w:ascii="Times New Roman" w:hAnsi="Times New Roman" w:cs="Times New Roman"/>
          <w:noProof/>
          <w:lang w:val="en-ID"/>
        </w:rPr>
        <w:t>Denton &amp; Spencer, 2009; and Xie et al.,2023)</w:t>
      </w:r>
      <w:r w:rsidRPr="007E4D8B">
        <w:rPr>
          <w:rFonts w:ascii="Times New Roman" w:hAnsi="Times New Roman" w:cs="Times New Roman"/>
        </w:rPr>
        <w:fldChar w:fldCharType="end"/>
      </w:r>
      <w:r w:rsidRPr="007E4D8B">
        <w:rPr>
          <w:rFonts w:ascii="Times New Roman" w:hAnsi="Times New Roman" w:cs="Times New Roman"/>
        </w:rPr>
        <w:fldChar w:fldCharType="begin" w:fldLock="1"/>
      </w:r>
      <w:r w:rsidR="004A5E0E" w:rsidRPr="007E4D8B">
        <w:rPr>
          <w:rFonts w:ascii="Times New Roman" w:hAnsi="Times New Roman" w:cs="Times New Roman"/>
        </w:rPr>
        <w:instrText>ADDIN CSL_CITATION {"citationItems":[{"id":"ITEM-1","itemData":{"DOI":"10.1016/j.jpolmod.2023.05.003","ISSN":"01618938","abstract":"Concerns about the population aging and global trends to shift more responsibility for future retirement from the state to the individual need policy planning to increase youth's savings for retirement. The study</w:instrText>
      </w:r>
      <w:r w:rsidR="004A5E0E" w:rsidRPr="007E4D8B">
        <w:rPr>
          <w:rFonts w:ascii="Times New Roman" w:hAnsi="Times New Roman" w:cs="Times New Roman"/>
          <w:lang w:val="en-ID"/>
        </w:rPr>
        <w:instrText xml:space="preserve"> aims to identify behavioral, financial, demographic, and educational determinants of savings for retirement in two groups of young adults with reference to people aged 50–60. The binary logit model and pairwise comparison results showed that the probability of saving for retirement increases with age and responsibility fosters saving behavior among young adults. The observed differences allow the formulation of policy recommendations adapted to the preferences of generations Z and Y.","author":[{"dropping-particle":"","family":"Xie","given":"Xiaohong","non-dropping-particle":"","parse-names":false,"suffix":""},{"dropping-particle":"","family":"Osińska","given":"Magdalena","non-dropping-particle":"","parse-names":false,"suffix":""},{"dropping-particle":"","family":"Szczepaniak","given":"Małgorzata","non-dropping-particle":"","parse-names":false,"suffix":""}],"container-title":"Journal of Policy Modeling","id":"ITEM-1","issue":"3","issued":{"date-parts":[["2023"]]},"page":"644-668","title":"Do young generations save for retirement? Ensuring financial security of Gen Z and Gen Y","type":"article-journal","volume":"45"},"uris":["http://www.mendeley.com/documents/?uuid=437f425a-9699-46e6-82ce-3f088a035020"]}],"mendeley":{"formattedCitation":"(Xie et al., 2023)","plainTextFormattedCitation":"(Xie et al., 2023)","previouslyFormattedCitation":"(Xie et al., 2023)"},"properties":{"noteIndex":0},"schema":"https://github.com/citation-style-language/schema/raw/master/csl-citation.json"}</w:instrText>
      </w:r>
      <w:r w:rsidRPr="007E4D8B">
        <w:rPr>
          <w:rFonts w:ascii="Times New Roman" w:hAnsi="Times New Roman" w:cs="Times New Roman"/>
        </w:rPr>
        <w:fldChar w:fldCharType="end"/>
      </w:r>
      <w:bookmarkStart w:id="196" w:name="Bookmark122"/>
      <w:bookmarkStart w:id="197" w:name="Bookmark1121"/>
      <w:bookmarkEnd w:id="193"/>
      <w:bookmarkEnd w:id="194"/>
      <w:bookmarkEnd w:id="195"/>
      <w:bookmarkEnd w:id="196"/>
      <w:bookmarkEnd w:id="197"/>
      <w:r w:rsidR="004A5E0E" w:rsidRPr="007E4D8B">
        <w:rPr>
          <w:rFonts w:ascii="Times New Roman" w:hAnsi="Times New Roman" w:cs="Times New Roman"/>
        </w:rPr>
        <w:t>.</w:t>
      </w:r>
      <w:r w:rsidRPr="007E4D8B">
        <w:rPr>
          <w:rFonts w:ascii="Times New Roman" w:hAnsi="Times New Roman" w:cs="Times New Roman"/>
          <w:lang w:val="en-ID"/>
        </w:rPr>
        <w:t xml:space="preserve"> </w:t>
      </w:r>
      <w:r w:rsidRPr="007E4D8B">
        <w:rPr>
          <w:rFonts w:ascii="Times New Roman" w:hAnsi="Times New Roman" w:cs="Times New Roman"/>
        </w:rPr>
        <w:t>To maintain a healthy retirement existence, one needs FL</w:t>
      </w:r>
      <w:r w:rsidR="004A5E0E" w:rsidRPr="007E4D8B">
        <w:rPr>
          <w:rFonts w:ascii="Times New Roman" w:hAnsi="Times New Roman" w:cs="Times New Roman"/>
        </w:rPr>
        <w:t xml:space="preserve"> </w:t>
      </w:r>
      <w:r w:rsidRPr="007E4D8B">
        <w:rPr>
          <w:rFonts w:ascii="Times New Roman" w:hAnsi="Times New Roman" w:cs="Times New Roman"/>
        </w:rPr>
        <w:t xml:space="preserve">about retirement savings </w:t>
      </w:r>
      <w:r w:rsidRPr="007E4D8B">
        <w:rPr>
          <w:rFonts w:ascii="Times New Roman" w:hAnsi="Times New Roman" w:cs="Times New Roman"/>
        </w:rPr>
        <w:fldChar w:fldCharType="begin" w:fldLock="1"/>
      </w:r>
      <w:r w:rsidRPr="007E4D8B">
        <w:rPr>
          <w:rFonts w:ascii="Times New Roman" w:hAnsi="Times New Roman" w:cs="Times New Roman"/>
        </w:rPr>
        <w:instrText>ADDIN CSL_CITATION {"citationItems":[{"id":"ITEM-1","itemData":{"ISSN":"19477910","abstract":"This study develops a framework that can be used to examine the retirement savings decision. Using Retirement Confidence Survey data (N = 751), this analysis determined that respondents with higher education levels, higher income, a smaller household size, and favorable financial attitudes tend to currently have a retirement savings program in place. Those who are exposed to workplace financial education are more likely to have a retirement savings program and having a retirement savings program related positively to retirement confidence. ©2005, Association for Financial Counseling and Planning Education. All rights of reproduction in any form reserved.","author":[{"dropping-particle":"","family":"Joo","given":"So Hyun","non-dropping-particle":"","parse-names":false,"suffix":""},{"dropping-particle":"","family":"Grable","given":"John E.","non-dropping-particle":"","parse-names":false,"suffix":""}],"container-title":"Journal of Financial Counseling and Planning","id":"ITEM-1","issue":"1","issued":{"date-parts":[["2005"]]},"page":"37-49","title":"Employee education and the likelihood of having a retirement savings program","type":"article-journal","volume":"16"},"uris":["http://www.mendeley.com/documents/?uuid=5afc3f4a-a21b-4bc4-acea-176ecd8e8e39"]}],"mendeley":{"formattedCitation":"(Joo &amp; Grable, 2005)","plainTextFormattedCitation":"(Joo &amp; Grable, 2005)","previouslyFormattedCitation":"(Joo &amp; Grable, 2005)"},"properties":{"noteIndex":0},"schema":"https://github.com/citation-style-language/schema/raw/master/csl-citation.json"}</w:instrText>
      </w:r>
      <w:r w:rsidRPr="007E4D8B">
        <w:rPr>
          <w:rFonts w:ascii="Times New Roman" w:hAnsi="Times New Roman" w:cs="Times New Roman"/>
        </w:rPr>
        <w:fldChar w:fldCharType="separate"/>
      </w:r>
      <w:bookmarkStart w:id="198" w:name="Bookmark123"/>
      <w:r w:rsidRPr="007E4D8B">
        <w:rPr>
          <w:rFonts w:ascii="Times New Roman" w:hAnsi="Times New Roman" w:cs="Times New Roman"/>
          <w:noProof/>
        </w:rPr>
        <w:t>(</w:t>
      </w:r>
      <w:bookmarkStart w:id="199" w:name="Bookmark1131"/>
      <w:r w:rsidRPr="007E4D8B">
        <w:rPr>
          <w:rFonts w:ascii="Times New Roman" w:hAnsi="Times New Roman" w:cs="Times New Roman"/>
          <w:noProof/>
        </w:rPr>
        <w:t>Joo &amp; Grable, 2005)</w:t>
      </w:r>
      <w:r w:rsidRPr="007E4D8B">
        <w:rPr>
          <w:rFonts w:ascii="Times New Roman" w:hAnsi="Times New Roman" w:cs="Times New Roman"/>
        </w:rPr>
        <w:fldChar w:fldCharType="end"/>
      </w:r>
      <w:bookmarkEnd w:id="198"/>
      <w:bookmarkEnd w:id="199"/>
      <w:r w:rsidRPr="007E4D8B">
        <w:rPr>
          <w:rFonts w:ascii="Times New Roman" w:hAnsi="Times New Roman" w:cs="Times New Roman"/>
        </w:rPr>
        <w:t xml:space="preserve">. The results of the research conducted by </w:t>
      </w:r>
      <w:r w:rsidRPr="007E4D8B">
        <w:rPr>
          <w:rFonts w:ascii="Times New Roman" w:hAnsi="Times New Roman" w:cs="Times New Roman"/>
        </w:rPr>
        <w:fldChar w:fldCharType="begin" w:fldLock="1"/>
      </w:r>
      <w:r w:rsidR="004A5E0E" w:rsidRPr="007E4D8B">
        <w:rPr>
          <w:rFonts w:ascii="Times New Roman" w:hAnsi="Times New Roman" w:cs="Times New Roman"/>
        </w:rPr>
        <w:instrText>ADDIN CSL_CITATION {"citationItems":[{"id":"ITEM-1","itemData":{"DOI":"10.1111/j.1468-0297.2012.02501.x","ISSN":"0013-0133","abstract":"Relying on comprehensive measures of financial knowledge, we provide evidence of a strong positive association between financial literacy and net worth, even after controlling for many determinants of wealth. We discuss two channels through which financial literacy might facilitate wealth accumulation. First, financial knowledge increases the likelihood of investing in the stock market, allowing individuals to benefit from the equity premium. Second, financial literacy is positively related to retirement planning and the development of a savings plan has been shown to boost wealth. © 2012 The Author(s). The Economic Journal © 2012 Royal Economic Society.","author":[{"dropping-particle":"","family":"Rooij","given":"Maarten C.J.","non-dropping-particle":"Van","parse-names":false,"suffix":""},{"dropping-particle":"","family":"Lusardi","given":"Annamaria","non-dropping-particle":"","parse-names":false,"suffix":""},{"dropping-particle":"","family":"Alessie","given":"Rob J.M.","non-dropping-particle":"","parse-names":false,"suffix":""}],"container-title":"The Economic Journal","id":"ITEM-1","issue":"560","issued":{"date-parts":[["2012","5","1"]]},"page":"449-478","title":"Financial Literacy, Retirement Planning and Household Wealth","type":"article-journal","volume":"122"},"uris":["http://www.mendeley.com/documents/?uuid=fbf06ab7-384f-401e-9d95-a5d0f8045a46"]}],"mendeley":{"formattedCitation":"(M. C. J. Van Rooij et al., 2012)","manualFormatting":"Rooij et al. (2012)","plainTextFormattedCitation":"(M. C. J. Van Rooij et al., 2012)","previouslyFormattedCitation":"(M. C. J. Van Rooij et al., 2012)"},"properties":{"noteIndex":0},"schema":"https://github.com/citation-style-language/schema/raw/master/csl-citation.json"}</w:instrText>
      </w:r>
      <w:r w:rsidRPr="007E4D8B">
        <w:rPr>
          <w:rFonts w:ascii="Times New Roman" w:hAnsi="Times New Roman" w:cs="Times New Roman"/>
        </w:rPr>
        <w:fldChar w:fldCharType="separate"/>
      </w:r>
      <w:bookmarkStart w:id="200" w:name="Bookmark124"/>
      <w:r w:rsidRPr="007E4D8B">
        <w:rPr>
          <w:rFonts w:ascii="Times New Roman" w:hAnsi="Times New Roman" w:cs="Times New Roman"/>
          <w:noProof/>
        </w:rPr>
        <w:t>R</w:t>
      </w:r>
      <w:bookmarkStart w:id="201" w:name="Bookmark1141"/>
      <w:r w:rsidRPr="007E4D8B">
        <w:rPr>
          <w:rFonts w:ascii="Times New Roman" w:hAnsi="Times New Roman" w:cs="Times New Roman"/>
          <w:noProof/>
        </w:rPr>
        <w:t xml:space="preserve">ooij et al. </w:t>
      </w:r>
      <w:r w:rsidRPr="007E4D8B">
        <w:rPr>
          <w:rFonts w:ascii="Times New Roman" w:hAnsi="Times New Roman" w:cs="Times New Roman"/>
          <w:noProof/>
          <w:lang w:val="en-ID"/>
        </w:rPr>
        <w:t>(2012)</w:t>
      </w:r>
      <w:r w:rsidRPr="007E4D8B">
        <w:rPr>
          <w:rFonts w:ascii="Times New Roman" w:hAnsi="Times New Roman" w:cs="Times New Roman"/>
        </w:rPr>
        <w:fldChar w:fldCharType="end"/>
      </w:r>
      <w:bookmarkEnd w:id="200"/>
      <w:bookmarkEnd w:id="201"/>
      <w:r w:rsidRPr="007E4D8B">
        <w:rPr>
          <w:rFonts w:ascii="Times New Roman" w:hAnsi="Times New Roman" w:cs="Times New Roman"/>
          <w:lang w:val="en-ID"/>
        </w:rPr>
        <w:t xml:space="preserve"> </w:t>
      </w:r>
      <w:r w:rsidRPr="007E4D8B">
        <w:rPr>
          <w:rFonts w:ascii="Times New Roman" w:hAnsi="Times New Roman" w:cs="Times New Roman"/>
        </w:rPr>
        <w:t>It shows that FLis positively related to the accumulation of wealth and household savings over time.  From research</w:t>
      </w:r>
      <w:r w:rsidRPr="007E4D8B">
        <w:rPr>
          <w:rFonts w:ascii="Times New Roman" w:hAnsi="Times New Roman" w:cs="Times New Roman"/>
          <w:lang w:val="en-ID"/>
        </w:rPr>
        <w:t xml:space="preserve"> </w:t>
      </w:r>
      <w:r w:rsidRPr="007E4D8B">
        <w:rPr>
          <w:rFonts w:ascii="Times New Roman" w:hAnsi="Times New Roman" w:cs="Times New Roman"/>
        </w:rPr>
        <w:fldChar w:fldCharType="begin" w:fldLock="1"/>
      </w:r>
      <w:r w:rsidRPr="007E4D8B">
        <w:rPr>
          <w:rFonts w:ascii="Times New Roman" w:hAnsi="Times New Roman" w:cs="Times New Roman"/>
        </w:rPr>
        <w:instrText>ADDIN CSL_CITATION {"citationItems":[{"id":"ITEM-1","itemData":{"DOI":"10.5539/jms.v2n1p75","ISSN":"1925-4733","abstract":"This paper examined the influence of financial learning on retirees' retirement financial planning preparation. 750 questionnaires were distributed with a 53.9% return rate. Three hypotheses were analysed using hierarchical regression analysis. The results revealed that some mediating effect existed between financial learning and behavioural assessment of personal finance, and that the older age groups had mediating effect on the relationship between financial learning and subjective perception of satisfaction with personal finance. Within this context, respondents were satisfied with their financial situation from the behavioural assessment of personal finances, subjective perception and perceived financial well-being perspective. The study also indicated that some mediating effect existed between financial learning and behavioural assessment of personal finance, and that the older age groups (above 50 years) had mediating effect on the relationship between financial learning and subjective perception of satisfaction with personal finance. [PUBLICATION ABSTRACT]","author":[{"dropping-particle":"","family":"Yoong","given":"Folk Jee","non-dropping-particle":"","parse-names":false,"suffix":""},{"dropping-particle":"","family":"See","given":"Beh Loo","non-dropping-particle":"","parse-names":false,"suffix":""},{"dropping-particle":"","family":"Baronovich","given":"Diana-Lea","non-dropping-particle":"","parse-names":false,"suffix":""}],"container-title":"Journal of Management and Sustainability","id":"ITEM-1","issue":"1","issued":{"date-parts":[["2012","2","29"]]},"title":"Financial Literacy Key to Retirement Planning in Malaysia","type":"article-journal","volume":"2"},"uris":["http://www.mendeley.com/documents/?uuid=5cabb2af-18a7-448a-8b11-16b6d32d2b29"]}],"mendeley":{"formattedCitation":"(Yoong et al., 2012)","manualFormatting":"Yoong et al. (2012)","plainTextFormattedCitation":"(Yoong et al., 2012)","previouslyFormattedCitation":"(Yoong et al., 2012)"},"properties":{"noteIndex":0},"schema":"https://github.com/citation-style-language/schema/raw/master/csl-citation.json"}</w:instrText>
      </w:r>
      <w:r w:rsidRPr="007E4D8B">
        <w:rPr>
          <w:rFonts w:ascii="Times New Roman" w:hAnsi="Times New Roman" w:cs="Times New Roman"/>
        </w:rPr>
        <w:fldChar w:fldCharType="separate"/>
      </w:r>
      <w:bookmarkStart w:id="202" w:name="Bookmark125"/>
      <w:r w:rsidRPr="007E4D8B">
        <w:rPr>
          <w:rFonts w:ascii="Times New Roman" w:hAnsi="Times New Roman" w:cs="Times New Roman"/>
          <w:noProof/>
          <w:lang w:val="en-ID"/>
        </w:rPr>
        <w:t>Y</w:t>
      </w:r>
      <w:bookmarkStart w:id="203" w:name="Bookmark1151"/>
      <w:r w:rsidRPr="007E4D8B">
        <w:rPr>
          <w:rFonts w:ascii="Times New Roman" w:hAnsi="Times New Roman" w:cs="Times New Roman"/>
          <w:noProof/>
          <w:lang w:val="en-ID"/>
        </w:rPr>
        <w:t>oong et al. (2012)</w:t>
      </w:r>
      <w:r w:rsidRPr="007E4D8B">
        <w:rPr>
          <w:rFonts w:ascii="Times New Roman" w:hAnsi="Times New Roman" w:cs="Times New Roman"/>
        </w:rPr>
        <w:fldChar w:fldCharType="end"/>
      </w:r>
      <w:bookmarkEnd w:id="202"/>
      <w:bookmarkEnd w:id="203"/>
      <w:r w:rsidRPr="007E4D8B">
        <w:rPr>
          <w:rFonts w:ascii="Times New Roman" w:hAnsi="Times New Roman" w:cs="Times New Roman"/>
          <w:lang w:val="en-ID"/>
        </w:rPr>
        <w:t xml:space="preserve"> </w:t>
      </w:r>
      <w:r w:rsidRPr="007E4D8B">
        <w:rPr>
          <w:rFonts w:ascii="Times New Roman" w:hAnsi="Times New Roman" w:cs="Times New Roman"/>
        </w:rPr>
        <w:t xml:space="preserve">it also indicates that by increasing a person's literacy, the emotional ability to predict the impact of an action can also be improved. Knowledge-based planning is concerned with improving the ability to achieve the desired in preparing and reducing uncertainty about the quality of retirement plans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{"citationItems":[{"id":"ITEM-1","itemData":{"DOI":"10.1016/j.radonc.2018.03.025","ISSN":"01678140","PMID":"29628292","abstract":"Background and purpose: There are two significant challenges when implementing functional-guided radiotherapy using 4DCT-ventilation imaging: (1) lack of knowledge of realistic patient specific dosimetric goals for functional lung and (2) ensuring consistent plan quality across multiple planners. Knowledge-based planning (KBP) is positioned to address both concerns. Material and methods: A KBP model was created from 30 previously planned functional-guided lung patients. Standard organs at risk (OAR) in lung radiotherapy and a ventilation contour delineating areas of high ventilation were included. Model validation compared dose-metrics to standard OARs and functional dose-metrics from 20 independent cases that were planned with and without KBP. Results: A significant improvement was observed for KBP optimized plans in V20Gy and mean dose to functional lung (p = 0.005 and 0.001, respectively), V20Gy and mean dose to total lung minus GTV (p = 0.002 and 0.01, respectively), and mean doses to esophagus (p = 0.005). Conclusion: The current work developed a KBP model for functional-guided radiotherapy. Modest, but statistically significant, improvements were observed in functional lung and total lung doses.","author":[{"dropping-particle":"","family":"Faught","given":"Austin M.","non-dropping-particle":"","parse-names":false,"suffix":""},{"dropping-particle":"","family":"Olsen","given":"Lindsey","non-dropping-particle":"","parse-names":false,"suffix":""},{"dropping-particle":"","family":"Schubert","given":"Leah","non-dropping-particle":"","parse-names":false,"suffix":""},{"dropping-particle":"","family":"Rusthoven","given":"Chad","non-dropping-particle":"","parse-names":false,"suffix":""},{"dropping-particle":"","family":"Castillo","given":"Edward","non-dropping-particle":"","parse-names":false,"suffix":""},{"dropping-particle":"","family":"Castillo","given":"Richard","non-dropping-particle":"","parse-names":false,"suffix":""},{"dropping-particle":"","family":"Zhang","given":"Jingjing","non-dropping-particle":"","parse-names":false,"suffix":""},{"dropping-particle":"","family":"Guerrero","given":"Thomas","non-dropping-particle":"","parse-names":false,"suffix":""},{"dropping-particle":"","family":"Miften","given":"Moyed","non-dropping-particle":"","parse-names":false,"suffix":""},{"dropping-particle":"","family":"Vinogradskiy","given":"Yevgeniy","non-dropping-particle":"","parse-names":false,"suffix":""}],"container-title":"Radiotherapy and Oncology","id":"ITEM-1","issue":"3","issued":{"date-parts":[["2018","12"]]},"page":"494-498","publisher":"Elsevier B.V.","title":"Functional-guided radiotherapy using knowledge-based planning","type":"article-journal","volume":"129"},"uris":["http://www.mendeley.com/documents/?uuid=b7c92be1-013a-4d8b-a7db-ec812a30519f"]},{"id":"ITEM-2","itemData":{"DOI":"10.1088/1742-6596/1810/1/012074","ISSN":"1742-6588","abstract":"Engaging industry in Vocational High School (VHS) policy outcomes does not only offer awareness of market needs, but also enables industries to influence learning and teaching methods and courses across the overall VHS. This study indicates that external knowledge leads to the feasibility of instructional agility, and process innovation effectiveness, resulting in success of VHS. This study looks at structural equation modeling (SEM) analysis based on empirical data obtained from 129 vocational high schools in Bali Province, Indonesia. The study aimed to concentrate explicitly on how the impact of external knowledge on VHS achievements in Indonesia is mediated by instructional agility, and process innovation effectiveness. The study shows that external knowledge has no influence on VHS performance, while improving VHS performance indirectly through all instructional agility and effectiveness of process innovation.","author":[{"dropping-particle":"","family":"Wahyuni","given":"D. S.","non-dropping-particle":"","parse-names":false,"suffix":""},{"dropping-particle":"","family":"Agustini","given":"K.","non-dropping-particle":"","parse-names":false,"suffix":""},{"dropping-particle":"","family":"Ariadi","given":"G.","non-dropping-particle":"","parse-names":false,"suffix":""},{"dropping-particle":"","family":"Mertayasa","given":"I N E","non-dropping-particle":"","parse-names":false,"suffix":""},{"dropping-particle":"","family":"Sugihartini","given":"N.","non-dropping-particle":"","parse-names":false,"suffix":""}],"container-title":"Journal of Physics: Conference Series","id":"ITEM-2","issue":"1","issued":{"date-parts":[["2021","3","1"]]},"page":"012074","title":"The impact of external knowledge on organization performance with indirect effect of instructional agility and process innovation effectiveness","type":"article-journal","volume":"1810"},"uris":["http://www.mendeley.com/documents/?uuid=828f882f-9024-4209-ac3e-26b437979341"]}],"mendeley":{"formattedCitation":"(Faught et al., 2018; Wahyuni et al., 2021)","manualFormatting":"(Wahyuni et al.,2021)","plainTextFormattedCitation":"(Faught et al., 2018; Wahyuni et al., 2021)","previouslyFormattedCitation":"(Faught et al., 2018; Wahyuni et al., 2021)"},"properties":{"noteIndex":0},"schema":"https://github.com/citation-style-language/schema/raw/master/csl-citation.json"}</w:instrText>
      </w:r>
      <w:r w:rsidRPr="00D6136B">
        <w:rPr>
          <w:rFonts w:ascii="Times New Roman" w:hAnsi="Times New Roman" w:cs="Times New Roman"/>
        </w:rPr>
        <w:fldChar w:fldCharType="separate"/>
      </w:r>
      <w:bookmarkStart w:id="204" w:name="Bookmark126"/>
      <w:r w:rsidRPr="00D6136B">
        <w:rPr>
          <w:rFonts w:ascii="Times New Roman" w:hAnsi="Times New Roman" w:cs="Times New Roman"/>
          <w:noProof/>
          <w:lang w:val="en-ID"/>
        </w:rPr>
        <w:t>(</w:t>
      </w:r>
      <w:bookmarkStart w:id="205" w:name="Bookmark1161"/>
      <w:r w:rsidRPr="00D6136B">
        <w:rPr>
          <w:rFonts w:ascii="Times New Roman" w:hAnsi="Times New Roman" w:cs="Times New Roman"/>
          <w:noProof/>
          <w:lang w:val="en-ID"/>
        </w:rPr>
        <w:t>Wahyuni et al.,2021)</w:t>
      </w:r>
      <w:r w:rsidRPr="00D6136B">
        <w:rPr>
          <w:rFonts w:ascii="Times New Roman" w:hAnsi="Times New Roman" w:cs="Times New Roman"/>
        </w:rPr>
        <w:fldChar w:fldCharType="end"/>
      </w:r>
      <w:bookmarkEnd w:id="204"/>
      <w:bookmarkEnd w:id="205"/>
      <w:r w:rsidRPr="00D6136B">
        <w:rPr>
          <w:rFonts w:ascii="Times New Roman" w:hAnsi="Times New Roman" w:cs="Times New Roman"/>
          <w:lang w:val="en-ID"/>
        </w:rPr>
        <w:t xml:space="preserve">. </w:t>
      </w:r>
      <w:r w:rsidRPr="00D6136B">
        <w:rPr>
          <w:rFonts w:ascii="Times New Roman" w:hAnsi="Times New Roman" w:cs="Times New Roman"/>
        </w:rPr>
        <w:t>There is an aspect with a significant correlation between RP</w:t>
      </w:r>
      <w:r w:rsidR="004A5E0E" w:rsidRPr="00D6136B">
        <w:rPr>
          <w:rFonts w:ascii="Times New Roman" w:hAnsi="Times New Roman" w:cs="Times New Roman"/>
        </w:rPr>
        <w:t xml:space="preserve"> </w:t>
      </w:r>
      <w:r w:rsidRPr="00D6136B">
        <w:rPr>
          <w:rFonts w:ascii="Times New Roman" w:hAnsi="Times New Roman" w:cs="Times New Roman"/>
        </w:rPr>
        <w:t xml:space="preserve">and the ability to have good saving behavior for their retirement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{"citationItems":[{"id":"ITEM-1","itemData":{"DOI":"10.1016/j.jbef.2018.08.001","ISSN":"22146350","abstract":"Addressing the complexity of financial decision-making process, this study assessed the effects of financial knowledge towards the financial behavioural intention to invest with both risk perception and attitude, in serial, as mediators among young Malaysians. This study operationalized financial knowledge as actual financial knowledge (objective knowledge) and self-rated financial knowledge (subjective knowledge). Using purposive sampling strategy, this study sampled 492 respondents who were of below the prime-savings years for the questionnaire survey. The resultant outcomes of this study revealed significant mediating effects of risk perception and attitude in the sequential positive relationship between financial knowledge and financial behavioural intention to invest. Apart from the significance of financial knowledge in the financial decision-making process, this study also unravelled the complexity of the relationship of knowledge and behaviour with the combination of risk perception and attitude.","author":[{"dropping-particle":"","family":"Lim","given":"Thien Sang","non-dropping-particle":"","parse-names":false,"suffix":""},{"dropping-particle":"","family":"Mail","given":"Rasid","non-dropping-particle":"","parse-names":false,"suffix":""},{"dropping-particle":"","family":"Abd Karim","given":"Mohd Rahimie","non-dropping-particle":"","parse-names":false,"suffix":""},{"dropping-particle":"","family":"Ahmad Baharul Ulum","given":"Zatul Karamah","non-dropping-particle":"","parse-names":false,"suffix":""},{"dropping-particle":"","family":"Jaidi","given":"Junainah","non-dropping-particle":"","parse-names":false,"suffix":""},{"dropping-particle":"","family":"Noordin","given":"Raman","non-dropping-particle":"","parse-names":false,"suffix":""}],"container-title":"Journal of Behavioral and Experimental Finance","id":"ITEM-1","issued":{"date-parts":[["2018","12"]]},"page":"74-79","publisher":"Elsevier B.V.","title":"A serial mediation model of financial knowledge on the intention to invest: The central role of risk perception and attitude","type":"article-journal","volume":"20"},"uris":["http://www.mendeley.com/documents/?uuid=84f6223b-55f7-42c2-8970-e4c5253ce89a"]},{"id":"ITEM-2","itemData":{"DOI":"10.5539/jpl.v9n4p43","ISSN":"1913-9055","abstract":"&lt;p class=\"MsoNormal\" style=\"text-align: justify;\"&gt;Problems have been identified pertaining to retirement scheme of the private sector employees in Malaysia where there is no legislated pension system in force. As a result of that, pension scheme and savings are more of a voluntary basis; although the principle is good but in practice many retirees suffer financially during their retirement. The objectives of this study are to examine factors contributing to individual’s retirement planning behavior and the private pension system in the private sector in Malaysia. Retirement planning behaviour in this study was measured with series of questions on behaviour about retirement planning. A total of 500 working individuals from private sectors in the age group of 40 years and above had participated in this study. The results identified several significant variables in the prediction of retirement planning among working individuals in Malaysia, including individual who had higher levels of education, higher levels of income, financial literacy, retirement goal clarity and attitude towards retirement. There is a correlation between retirement planning behavior and saving for old aged. As a response to the result collected from the survey, a legal proposition is put forward to address issues of pension during retirement among private sector’s employees.&lt;/p&gt;","author":[{"dropping-particle":"","family":"Hassan","given":"Kamal Halili","non-dropping-particle":"","parse-names":false,"suffix":""},{"dropping-particle":"","family":"Rahim","given":"Rohani Abdul","non-dropping-particle":"","parse-names":false,"suffix":""},{"dropping-particle":"","family":"Ahmad","given":"Fariza","non-dropping-particle":"","parse-names":false,"suffix":""},{"dropping-particle":"","family":"Tengku Zainuddin","given":"Tengku Noor Azira","non-dropping-particle":"","parse-names":false,"suffix":""},{"dropping-particle":"","family":"Merican","given":"Rooshida Rahim","non-dropping-particle":"","parse-names":false,"suffix":""},{"dropping-particle":"","family":"Bahari","given":"Siti Kholijah","non-dropping-particle":"","parse-names":false,"suffix":""}],"container-title":"Journal of Politics and Law","id":"ITEM-2","issue":"4","issued":{"date-parts":[["2016","5","29"]]},"page":"43","title":"Retirement Planning Behaviour of Working Individuals and Legal Proposition for New Pension System in Malaysia","type":"article-journal","volume":"9"},"uris":["http://www.mendeley.com/documents/?uuid=075416ed-bc93-4cc8-8d70-0538e55d3c61"]},{"id":"ITEM-3","itemData":{"author":[{"dropping-particle":"","family":"Yap et al","given":"2017","non-dropping-particle":"","parse-names":false,"suffix":""}],"container-title":"International Business Management","id":"ITEM-3","issue":"7","issued":{"date-parts":[["2017"]]},"page":"1457 - 1461","title":"The Importance of Financial Literacy on the Malaysian Household Retirement Planning","type":"article-journal","volume":"11"},"uris":["http://www.mendeley.com/documents/?uuid=7332243b-0d52-4d01-a726-f8184c6097d9"]}],"mendeley":{"formattedCitation":"(Hassan et al., 2016; Lim et al., 2018; Yap et al, 2017)","manualFormatting":"(Hassan et al.,2016; Lim et al.,2018; and Yap et al., 2017)","plainTextFormattedCitation":"(Hassan et al., 2016; Lim et al., 2018; Yap et al, 2017)","previouslyFormattedCitation":"(Hassan et al., 2016; Lim et al., 2018; Yap et al, 2017)"},"properties":{"noteIndex":0},"schema":"https://github.com/citation-style-language/schema/raw/master/csl-citation.json"}</w:instrText>
      </w:r>
      <w:r w:rsidRPr="00D6136B">
        <w:rPr>
          <w:rFonts w:ascii="Times New Roman" w:hAnsi="Times New Roman" w:cs="Times New Roman"/>
        </w:rPr>
        <w:fldChar w:fldCharType="separate"/>
      </w:r>
      <w:bookmarkStart w:id="206" w:name="Bookmark127"/>
      <w:r w:rsidRPr="00D6136B">
        <w:rPr>
          <w:rFonts w:ascii="Times New Roman" w:hAnsi="Times New Roman" w:cs="Times New Roman"/>
          <w:noProof/>
          <w:lang w:val="en-ID"/>
        </w:rPr>
        <w:t>(</w:t>
      </w:r>
      <w:bookmarkStart w:id="207" w:name="Bookmark1171"/>
      <w:r w:rsidRPr="00D6136B">
        <w:rPr>
          <w:rFonts w:ascii="Times New Roman" w:hAnsi="Times New Roman" w:cs="Times New Roman"/>
          <w:noProof/>
          <w:lang w:val="en-ID"/>
        </w:rPr>
        <w:t>Hassan et al.,2016; Lim et al.,2018; and Yap et al., 2017)</w:t>
      </w:r>
      <w:r w:rsidRPr="00D6136B">
        <w:rPr>
          <w:rFonts w:ascii="Times New Roman" w:hAnsi="Times New Roman" w:cs="Times New Roman"/>
        </w:rPr>
        <w:fldChar w:fldCharType="end"/>
      </w:r>
      <w:bookmarkEnd w:id="206"/>
      <w:bookmarkEnd w:id="207"/>
      <w:r w:rsidRPr="00D6136B">
        <w:rPr>
          <w:rFonts w:ascii="Times New Roman" w:hAnsi="Times New Roman" w:cs="Times New Roman"/>
          <w:lang w:val="en-ID"/>
        </w:rPr>
        <w:t xml:space="preserve">. </w:t>
      </w:r>
      <w:r w:rsidRPr="00D6136B">
        <w:rPr>
          <w:rFonts w:ascii="Times New Roman" w:hAnsi="Times New Roman" w:cs="Times New Roman"/>
        </w:rPr>
        <w:t xml:space="preserve">Spending less than a certain amount of income to use in the future, where the real reason is to accumulate savings for future consumption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{"citationItems":[{"id":"ITEM-1","itemData":{"DOI":"10.24136/eq.2019.027","ISSN":"2353-3293","abstract":"Research background: Preparation for retirement is a major concern for the people in the workforce as they have to encounter considerable difficulties in making the right investment decisions for their retirement. Purpose of the article: This research extends the literature on personal finance by investigating the impact of both financial literacy levels and pension knowledge on employees? investment choice decision for their retirement, while in previous literature the role of these factors has mainly been explored separately. Methods: To conduct the research, a survey questionnaire was applied to collect data in three main regions of Vietnam comprising Northern, Central and Southern Vietnam. Data collection was made in 2018, in which 427 valid questionnaires were used for data analysis from 700 questionnaires. Two estimation methods are employed for analysis in this study, including a linear probability model (LPM) and two-stage least squares (2SLS) model. The findings of this research remain significant after the Two-Stage Least Squares (2SLS) regression model is used as an estimation technique to eliminate potential bias caused by endogenous problems. Finding &amp; Value added: The results show that basic financial literacy level and pension knowledge are principal factors which significantly increase the probability of exercising retirement investment choice of employees, while advanced financial literacy level factor has a significant effect on choosing growth investing options for their retirement. Further, this research finds that there is no correlation between employees? financial risk tolerance and their retirement investment choice. Furthermore, the study proposes and offers new evidence that pension knowledge is a decisive factor providing employees with encouragement to exercise retirement investment choice and those who consult with financial advisors tend to take part in growth investing option.","author":[{"dropping-particle":"","family":"Nguyen","given":"Thi Anh Nhu","non-dropping-particle":"","parse-names":false,"suffix":""},{"dropping-particle":"","family":"Polách","given":"Jiří","non-dropping-particle":"","parse-names":false,"suffix":""},{"dropping-particle":"","family":"Vozňáková","given":"Iveta","non-dropping-particle":"","parse-names":false,"suffix":""}],"container-title":"Equilibrium. Quarterly Journal of Economics and Economic Policy","id":"ITEM-1","issue":"4","issued":{"date-parts":[["2019","12","31"]]},"page":"569-589","title":"The role of financial literacy in retirement investment choice","type":"article-journal","volume":"14"},"uris":["http://www.mendeley.com/documents/?uuid=e2ff1fa7-8804-40ec-8fc5-be3c66341385"]}],"mendeley":{"formattedCitation":"(T. A. N. Nguyen et al., 2019)","manualFormatting":"(Nguyen et al.,2019)","plainTextFormattedCitation":"(T. A. N. Nguyen et al., 2019)","previouslyFormattedCitation":"(T. A. N. Nguyen et al., 2019)"},"properties":{"noteIndex":0},"schema":"https://github.com/citation-style-language/schema/raw/master/csl-citation.json"}</w:instrText>
      </w:r>
      <w:r w:rsidRPr="00D6136B">
        <w:rPr>
          <w:rFonts w:ascii="Times New Roman" w:hAnsi="Times New Roman" w:cs="Times New Roman"/>
        </w:rPr>
        <w:fldChar w:fldCharType="separate"/>
      </w:r>
      <w:bookmarkStart w:id="208" w:name="Bookmark128"/>
      <w:r w:rsidRPr="00D6136B">
        <w:rPr>
          <w:rFonts w:ascii="Times New Roman" w:hAnsi="Times New Roman" w:cs="Times New Roman"/>
          <w:noProof/>
          <w:lang w:val="en-ID"/>
        </w:rPr>
        <w:t>(</w:t>
      </w:r>
      <w:bookmarkStart w:id="209" w:name="Bookmark1181"/>
      <w:r w:rsidRPr="00D6136B">
        <w:rPr>
          <w:rFonts w:ascii="Times New Roman" w:hAnsi="Times New Roman" w:cs="Times New Roman"/>
          <w:noProof/>
          <w:lang w:val="en-ID"/>
        </w:rPr>
        <w:t>Nguyen et al.,2019)</w:t>
      </w:r>
      <w:r w:rsidRPr="00D6136B">
        <w:rPr>
          <w:rFonts w:ascii="Times New Roman" w:hAnsi="Times New Roman" w:cs="Times New Roman"/>
        </w:rPr>
        <w:fldChar w:fldCharType="end"/>
      </w:r>
      <w:bookmarkEnd w:id="208"/>
      <w:bookmarkEnd w:id="209"/>
      <w:r w:rsidRPr="00D6136B">
        <w:rPr>
          <w:rFonts w:ascii="Times New Roman" w:hAnsi="Times New Roman" w:cs="Times New Roman"/>
          <w:lang w:val="en-ID"/>
        </w:rPr>
        <w:t xml:space="preserve">. </w:t>
      </w:r>
      <w:r w:rsidRPr="00D6136B">
        <w:rPr>
          <w:rFonts w:ascii="Times New Roman" w:hAnsi="Times New Roman" w:cs="Times New Roman"/>
        </w:rPr>
        <w:t xml:space="preserve">People are expected to stay employed and make additional provisions in their working age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{"citationItems":[{"id":"ITEM-1","itemData":{"DOI":"10.1017/S0144686X21000337","ISSN":"0144-686X","abstract":"This study examines retirement saving activity outside the state and workplace pension saving schemes among British adults aged between 30 and 49 on the premise that individuals are increasingly encouraged to save for their retirement in the new pension policy structure in Britain. The issue of under-saving among the younger adults has been studied with the focus on internal characteristics, such as undesirable attitudinal or behavioural tendencies (‘won't save’), or on external factors, such as income (‘can't save’). Building on these discussions, this study tests the role of internal characteristics and further examines the interplay between internal and external factors. The decision-making process for retirement saving is mapped based on the Model of Financial Planning with minor modifications. The analysis utilises the fourth wave of the Wealth and Assets Survey (2012/2014), and is conducted in the structural equation modelling framework. Results show that younger adults’ discretionary retirement saving is an outcome of a complex interplay between internal and external factors. Financial resilience , which indicates current financial behaviours and wellbeing, is found to be the strongest predictor for identifying a discretionary retirement saver, but it is closely connected to individuals’ income and home-ownership. The findings also suggest that social and economic arrangements are important to consider as social ageing , individuals’ projection on their lifestages, may be more informative than age per se for understanding younger adults’ retirement saving behaviour. These findings have important implications for the policies that aim to increase retirement saving participation.","author":[{"dropping-particle":"","family":"Suh","given":"Ellie","non-dropping-particle":"","parse-names":false,"suffix":""}],"container-title":"Ageing and Society","id":"ITEM-1","issue":"12","issued":{"date-parts":[["2021","12","23"]]},"page":"2940-2967","title":"Can't save or won't save: financial resilience and discretionary retirement saving among British adults in their thirties and forties","type":"article-journal","volume":"42"},"uris":["http://www.mendeley.com/documents/?uuid=e036dc2b-401f-4d47-9411-b870daba0087"]}],"mendeley":{"formattedCitation":"(Suh, 2021)","plainTextFormattedCitation":"(Suh, 2021)","previouslyFormattedCitation":"(Suh, 2021)"},"properties":{"noteIndex":0},"schema":"https://github.com/citation-style-language/schema/raw/master/csl-citation.json"}</w:instrText>
      </w:r>
      <w:r w:rsidRPr="00D6136B">
        <w:rPr>
          <w:rFonts w:ascii="Times New Roman" w:hAnsi="Times New Roman" w:cs="Times New Roman"/>
        </w:rPr>
        <w:fldChar w:fldCharType="separate"/>
      </w:r>
      <w:bookmarkStart w:id="210" w:name="Bookmark129"/>
      <w:r w:rsidRPr="00D6136B">
        <w:rPr>
          <w:rFonts w:ascii="Times New Roman" w:hAnsi="Times New Roman" w:cs="Times New Roman"/>
          <w:noProof/>
          <w:lang w:val="en-ID"/>
        </w:rPr>
        <w:t>(</w:t>
      </w:r>
      <w:bookmarkStart w:id="211" w:name="Bookmark1191"/>
      <w:r w:rsidRPr="00D6136B">
        <w:rPr>
          <w:rFonts w:ascii="Times New Roman" w:hAnsi="Times New Roman" w:cs="Times New Roman"/>
          <w:noProof/>
          <w:lang w:val="en-ID"/>
        </w:rPr>
        <w:t>Suh, 2021)</w:t>
      </w:r>
      <w:r w:rsidRPr="00D6136B">
        <w:rPr>
          <w:rFonts w:ascii="Times New Roman" w:hAnsi="Times New Roman" w:cs="Times New Roman"/>
        </w:rPr>
        <w:fldChar w:fldCharType="end"/>
      </w:r>
      <w:bookmarkEnd w:id="210"/>
      <w:bookmarkEnd w:id="211"/>
      <w:r w:rsidRPr="00D6136B">
        <w:rPr>
          <w:rFonts w:ascii="Times New Roman" w:hAnsi="Times New Roman" w:cs="Times New Roman"/>
          <w:lang w:val="en-ID"/>
        </w:rPr>
        <w:t xml:space="preserve">. </w:t>
      </w:r>
      <w:r w:rsidRPr="00D6136B">
        <w:rPr>
          <w:rFonts w:ascii="Times New Roman" w:hAnsi="Times New Roman" w:cs="Times New Roman"/>
        </w:rPr>
        <w:t>According to research</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{"citationItems":[{"id":"ITEM-1","itemData":{"DOI":"10.1007/s10804-007-9028-1","ISBN":"1080400790281","ISSN":"1068-0667","abstract":"Little is known about the psychological mechanisms that underlie financial planning for retirement. Most studies of financial planning and investing have used demographic indicators (e.g., age, gender, income) to predict individual differences in saving. In the present study, a model of planning is tested in which psychological indicators (future time perspective, retirement goal clarity, and self-rated financial knowledge) are posited to mediate the relationship between demographic indicators and saving behaviors. Path-analytic techniques were used to test the model, based on data from 265 middle-aged working adults. Analyses revealed substantial support for the role of psychological factors in the retirement planning process. Findings have theoretical implications for the development of psychologically based models of planning, as well as applied implications for those who seek to understand the psychomotivational forces that underlie tendencies to plan and save. © 2008 Springer Science+Business Media, LLC.","author":[{"dropping-particle":"","family":"Hershey","given":"Douglas A.","non-dropping-particle":"","parse-names":false,"suffix":""},{"dropping-particle":"","family":"Jacobs-Lawson","given":"Joy M.","non-dropping-particle":"","parse-names":false,"suffix":""},{"dropping-particle":"","family":"McArdle","given":"John J.","non-dropping-particle":"","parse-names":false,"suffix":""},{"dropping-particle":"","family":"Hamagami","given":"Fumiaki","non-dropping-particle":"","parse-names":false,"suffix":""}],"container-title":"Journal of Adult Development","id":"ITEM-1","issue":"1-2","issued":{"date-parts":[["2007","6","15"]]},"page":"26-36","title":"Psychological Foundations of Financial Planning for Retirement","type":"article-journal","volume":"14"},"uris":["http://www.mendeley.com/documents/?uuid=bb9c6497-c067-4f21-8971-b149125b75e2"]}],"mendeley":{"formattedCitation":"(Hershey et al., 2007)","manualFormatting":" Hershey et al. (2007)","plainTextFormattedCitation":"(Hershey et al., 2007)","previouslyFormattedCitation":"(Hershey et al., 2007)"},"properties":{"noteIndex":0},"schema":"https://github.com/citation-style-language/schema/raw/master/csl-citation.json"}</w:instrText>
      </w:r>
      <w:r w:rsidRPr="00D6136B">
        <w:rPr>
          <w:rFonts w:ascii="Times New Roman" w:hAnsi="Times New Roman" w:cs="Times New Roman"/>
        </w:rPr>
        <w:fldChar w:fldCharType="separate"/>
      </w:r>
      <w:bookmarkStart w:id="212" w:name="Bookmark130"/>
      <w:r w:rsidRPr="00D6136B">
        <w:rPr>
          <w:rFonts w:ascii="Times New Roman" w:hAnsi="Times New Roman" w:cs="Times New Roman"/>
          <w:noProof/>
          <w:lang w:val="en-ID"/>
        </w:rPr>
        <w:t xml:space="preserve"> </w:t>
      </w:r>
      <w:bookmarkStart w:id="213" w:name="Bookmark1201"/>
      <w:r w:rsidRPr="00D6136B">
        <w:rPr>
          <w:rFonts w:ascii="Times New Roman" w:hAnsi="Times New Roman" w:cs="Times New Roman"/>
          <w:noProof/>
          <w:lang w:val="en-ID"/>
        </w:rPr>
        <w:t>Hershey et al. (2007)</w:t>
      </w:r>
      <w:r w:rsidRPr="00D6136B">
        <w:rPr>
          <w:rFonts w:ascii="Times New Roman" w:hAnsi="Times New Roman" w:cs="Times New Roman"/>
        </w:rPr>
        <w:fldChar w:fldCharType="end"/>
      </w:r>
      <w:bookmarkEnd w:id="212"/>
      <w:bookmarkEnd w:id="213"/>
      <w:r w:rsidRPr="00D6136B">
        <w:rPr>
          <w:rFonts w:ascii="Times New Roman" w:hAnsi="Times New Roman" w:cs="Times New Roman"/>
          <w:lang w:val="en-ID"/>
        </w:rPr>
        <w:t xml:space="preserve"> </w:t>
      </w:r>
      <w:r w:rsidRPr="00D6136B">
        <w:rPr>
          <w:rFonts w:ascii="Times New Roman" w:hAnsi="Times New Roman" w:cs="Times New Roman"/>
        </w:rPr>
        <w:t>that people who participate in RP</w:t>
      </w:r>
      <w:r w:rsidR="004A5E0E" w:rsidRPr="00D6136B">
        <w:rPr>
          <w:rFonts w:ascii="Times New Roman" w:hAnsi="Times New Roman" w:cs="Times New Roman"/>
        </w:rPr>
        <w:t xml:space="preserve"> </w:t>
      </w:r>
      <w:r w:rsidRPr="00D6136B">
        <w:rPr>
          <w:rFonts w:ascii="Times New Roman" w:hAnsi="Times New Roman" w:cs="Times New Roman"/>
        </w:rPr>
        <w:t>behaviors accumulate more wealth</w:t>
      </w:r>
      <w:r w:rsidR="00AD5D5F" w:rsidRPr="00D6136B">
        <w:rPr>
          <w:rFonts w:ascii="Times New Roman" w:hAnsi="Times New Roman" w:cs="Times New Roman"/>
        </w:rPr>
        <w:t xml:space="preserve">. </w:t>
      </w:r>
      <w:r w:rsidRPr="00D6136B">
        <w:rPr>
          <w:rFonts w:ascii="Times New Roman" w:hAnsi="Times New Roman" w:cs="Times New Roman"/>
        </w:rPr>
        <w:t xml:space="preserve">Saving gives a person the possibility of saving funds for retirement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{"citationItems":[{"id":"ITEM-1","itemData":{"abstract":"This paper seeks to examine the saving behaviour among TAJ International College students. The study is used primary data by questionnaires. Convenience sampling method is used in collecting the data and the results compiled by using SPSS software system. Accordingly, this study appears for the purpose of investigating how three factors, namely financial literacy, parental socialization and peer influence affect saving behaviour based on the Theory of Planned Behaviour (TPB).","author":[{"dropping-particle":"","family":"Hashim","given":"Helmi","non-dropping-particle":"","parse-names":false,"suffix":""},{"dropping-particle":"","family":"Jamalludin","given":"","non-dropping-particle":"","parse-names":false,"suffix":""},{"dropping-particle":"","family":"Kamarudin","given":"Zurina","non-dropping-particle":"","parse-names":false,"suffix":""}],"container-title":"The Journal of Management and Science (ALQIMAH)","id":"ITEM-1","issue":"1","issued":{"date-parts":[["2018"]]},"title":"Factors Affecting the Saving Behaviour of Taj International College Students","type":"article-journal","volume":"4"},"uris":["http://www.mendeley.com/documents/?uuid=b3e88047-21b0-4a5f-ba96-0fa4c9265bd4"]}],"mendeley":{"formattedCitation":"(Hashim et al., 2018)","manualFormatting":"(Kamarudin &amp; Hashim, 2018)","plainTextFormattedCitation":"(Hashim et al., 2018)","previouslyFormattedCitation":"(Hashim et al., 2018)"},"properties":{"noteIndex":0},"schema":"https://github.com/citation-style-language/schema/raw/master/csl-citation.json"}</w:instrText>
      </w:r>
      <w:r w:rsidRPr="00D6136B">
        <w:rPr>
          <w:rFonts w:ascii="Times New Roman" w:hAnsi="Times New Roman" w:cs="Times New Roman"/>
        </w:rPr>
        <w:fldChar w:fldCharType="separate"/>
      </w:r>
      <w:bookmarkStart w:id="214" w:name="Bookmark133"/>
      <w:r w:rsidRPr="00D6136B">
        <w:rPr>
          <w:rFonts w:ascii="Times New Roman" w:hAnsi="Times New Roman" w:cs="Times New Roman"/>
          <w:noProof/>
          <w:lang w:val="en-ID"/>
        </w:rPr>
        <w:t>(</w:t>
      </w:r>
      <w:bookmarkStart w:id="215" w:name="Bookmark1221"/>
      <w:r w:rsidRPr="00D6136B">
        <w:rPr>
          <w:rFonts w:ascii="Times New Roman" w:hAnsi="Times New Roman" w:cs="Times New Roman"/>
          <w:noProof/>
          <w:lang w:val="en-ID"/>
        </w:rPr>
        <w:t>Kamarudin &amp; Hashim, 2018)</w:t>
      </w:r>
      <w:r w:rsidRPr="00D6136B">
        <w:rPr>
          <w:rFonts w:ascii="Times New Roman" w:hAnsi="Times New Roman" w:cs="Times New Roman"/>
        </w:rPr>
        <w:fldChar w:fldCharType="end"/>
      </w:r>
      <w:bookmarkEnd w:id="214"/>
      <w:bookmarkEnd w:id="215"/>
      <w:r w:rsidRPr="00D6136B">
        <w:rPr>
          <w:rFonts w:ascii="Times New Roman" w:hAnsi="Times New Roman" w:cs="Times New Roman"/>
          <w:lang w:val="en-ID"/>
        </w:rPr>
        <w:t xml:space="preserve">. </w:t>
      </w:r>
      <w:r w:rsidRPr="00D6136B">
        <w:rPr>
          <w:rFonts w:ascii="Times New Roman" w:hAnsi="Times New Roman" w:cs="Times New Roman"/>
        </w:rPr>
        <w:t xml:space="preserve">The increase in the cost of living and the decrease in income before retirement age contribute to an increase in the burden of dependents in terms of living expenses when entering retirement age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{"citationItems":[{"id":"ITEM-1","itemData":{"DOI":"10.1080/01634372.2017.1317311","ISSN":"0163-4372","PMID":"28398136","abstract":"To understand individuals’ financial behaviors, it is important to understand the financial knowledge gap–the distance between one’s objective and subjective financial knowledge. Overestimating one’s financial knowledge can lead to risky financial behaviors. To date, limited empirical work has examined how financial knowledge gap varies across age groups. We analyze the size and nature of the financial knowledge gap and its variation across age groups. Using nationally representative data, we find robust evidence that older adults overestimate their financial knowledge. Social workers can assess the financial knowledge gap and educate their clients to protect from financial fraud, exploitation, and abuse.","author":[{"dropping-particle":"","family":"Khan","given":"Mohammad Nuruzzaman","non-dropping-particle":"","parse-names":false,"suffix":""},{"dropping-particle":"","family":"Rothwell","given":"David W.","non-dropping-particle":"","parse-names":false,"suffix":""},{"dropping-particle":"","family":"Cherney","given":"Katrina","non-dropping-particle":"","parse-names":false,"suffix":""},{"dropping-particle":"","family":"Sussman","given":"Tamara","non-dropping-particle":"","parse-names":false,"suffix":""}],"container-title":"Journal of Gerontological Social Work","id":"ITEM-1","issue":"6-7","issued":{"date-parts":[["2017","10","3"]]},"page":"487-503","publisher":"Routledge","title":"Understanding the Financial Knowledge Gap: A New Dimension of Inequality in Later Life","type":"article-journal","volume":"60"},"uris":["http://www.mendeley.com/documents/?uuid=57021194-1249-4b47-a6d9-722631612254"]}],"mendeley":{"formattedCitation":"(Khan et al., 2017)","manualFormatting":"(Khan et al.,2017)","plainTextFormattedCitation":"(Khan et al., 2017)","previouslyFormattedCitation":"(Khan et al., 2017)"},"properties":{"noteIndex":0},"schema":"https://github.com/citation-style-language/schema/raw/master/csl-citation.json"}</w:instrText>
      </w:r>
      <w:r w:rsidRPr="00D6136B">
        <w:rPr>
          <w:rFonts w:ascii="Times New Roman" w:hAnsi="Times New Roman" w:cs="Times New Roman"/>
        </w:rPr>
        <w:fldChar w:fldCharType="separate"/>
      </w:r>
      <w:bookmarkStart w:id="216" w:name="Bookmark134"/>
      <w:r w:rsidRPr="00D6136B">
        <w:rPr>
          <w:rFonts w:ascii="Times New Roman" w:hAnsi="Times New Roman" w:cs="Times New Roman"/>
          <w:noProof/>
          <w:lang w:val="en-ID"/>
        </w:rPr>
        <w:t>(</w:t>
      </w:r>
      <w:bookmarkStart w:id="217" w:name="Bookmark1231"/>
      <w:r w:rsidRPr="00D6136B">
        <w:rPr>
          <w:rFonts w:ascii="Times New Roman" w:hAnsi="Times New Roman" w:cs="Times New Roman"/>
          <w:noProof/>
          <w:lang w:val="en-ID"/>
        </w:rPr>
        <w:t>Khan et al.,2017)</w:t>
      </w:r>
      <w:r w:rsidRPr="00D6136B">
        <w:rPr>
          <w:rFonts w:ascii="Times New Roman" w:hAnsi="Times New Roman" w:cs="Times New Roman"/>
        </w:rPr>
        <w:fldChar w:fldCharType="end"/>
      </w:r>
      <w:bookmarkEnd w:id="216"/>
      <w:bookmarkEnd w:id="217"/>
      <w:r w:rsidRPr="00D6136B">
        <w:rPr>
          <w:rFonts w:ascii="Times New Roman" w:hAnsi="Times New Roman" w:cs="Times New Roman"/>
          <w:lang w:val="en-ID"/>
        </w:rPr>
        <w:t xml:space="preserve">. </w:t>
      </w:r>
      <w:r w:rsidRPr="00D6136B">
        <w:rPr>
          <w:rFonts w:ascii="Times New Roman" w:hAnsi="Times New Roman" w:cs="Times New Roman"/>
        </w:rPr>
        <w:t>Therefore, a study states that saving behavior has a positive and significant influence on RP</w:t>
      </w:r>
      <w:r w:rsidR="004A5E0E" w:rsidRPr="00D6136B">
        <w:rPr>
          <w:rFonts w:ascii="Times New Roman" w:hAnsi="Times New Roman" w:cs="Times New Roman"/>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{"citationItems":[{"id":"ITEM-1","itemData":{"DOI":"10.1051/shsconf/20173600024","abstract":"The purpose of this study is to determine the factors influencing retirement planning among young professionals in private sector. There are three factors identified in this research which includes financial literacy, job satisfaction and savings behavior. Data used for this study are primary and secondary data such as from journal articles, periodicals and textbooks. A questionnaire is distributed and administered to extract data from the respondents consist of executives, non-executives and managers around Klang Valley, aged between 20-34 years old. The data is analyzed using frequency analysis, reliability test and Pearson correlation in order to obtain a clear findings and results. The findings show that financial literacy, job satisfaction and savings behavior has a positive association towards retirement planning. Furthermore, it is shown that financial literacy and saving behavior have a significant relationship with retirement planning. It is hope that this study will inform and encourage the young professionals to save and invest for the retirement.","author":[{"dropping-particle":"","family":"Ahmad Zazili","given":"Ainol Sarin","non-dropping-particle":"","parse-names":false,"suffix":""},{"dropping-particle":"","family":"Ghazali","given":"Mohammad Firdaus","non-dropping-particle":"Bin","parse-names":false,"suffix":""},{"dropping-particle":"","family":"Binti Abu Bakar","given":"Norlinda Tendot","non-dropping-particle":"","parse-names":false,"suffix":""},{"dropping-particle":"","family":"Binti Ayob","given":"Mastura","non-dropping-particle":"","parse-names":false,"suffix":""},{"dropping-particle":"","family":"Binti Abd Samad","given":"Irwani Hazlina","non-dropping-particle":"","parse-names":false,"suffix":""}],"container-title":"SHS Web of Conferences","id":"ITEM-1","issued":{"date-parts":[["2017"]]},"page":"00024","title":"Retirement Planning: Young Professionals in Private Sector","type":"article-journal","volume":"36"},"uris":["http://www.mendeley.com/documents/?uuid=36c20006-0996-4f56-a357-6dd1f08c4492"]},{"id":"ITEM-2","itemData":{"DOI":"10.24136/eq.2019.027","ISSN":"2353-3293","abstract":"Research background: Preparation for retirement is a major concern for the people in the workforce as they have to encounter considerable difficulties in making the right investment decisions for their retirement. Purpose of the article: This research extends the literature on personal finance by investigating the impact of both financial literacy levels and pension knowledge on employees? investment choice decision for their retirement, while in previous literature the role of these factors has mainly been explored separately. Methods: To conduct the research, a survey questionnaire was applied to collect data in three main regions of Vietnam comprising Northern, Central and Southern Vietnam. Data collection was made in 2018, in which 427 valid questionnaires were used for data analysis from 700 questionnaires. Two estimation methods are employed for analysis in this study, including a linear probability model (LPM) and two-stage least squares (2SLS) model. The findings of this research remain significant after the Two-Stage Least Squares (2SLS) regression model is used as an estimation technique to eliminate potential bias caused by endogenous problems. Finding &amp; Value added: The results show that basic financial literacy level and pension knowledge are principal factors which significantly increase the probability of exercising retirement investment choice of employees, while advanced financial literacy level factor has a significant effect on choosing growth investing options for their retirement. Further, this research finds that there is no correlation between employees? financial risk tolerance and their retirement investment choice. Furthermore, the study proposes and offers new evidence that pension knowledge is a decisive factor providing employees with encouragement to exercise retirement investment choice and those who consult with financial advisors tend to take part in growth investing option.","author":[{"dropping-particle":"","family":"Nguyen","given":"Thi Anh Nhu","non-dropping-particle":"","parse-names":false,"suffix":""},{"dropping-particle":"","family":"Polách","given":"Jiří","non-dropping-particle":"","parse-names":false,"suffix":""},{"dropping-particle":"","family":"Vozňáková","given":"Iveta","non-dropping-particle":"","parse-names":false,"suffix":""}],"container-title":"Equilibrium. Quarterly Journal of Economics and Economic Policy","id":"ITEM-2","issue":"4","issued":{"date-parts":[["2019","12","31"]]},"page":"569-589","title":"The role of financial literacy in retirement investment choice","type":"article-journal","volume":"14"},"uris":["http://www.mendeley.com/documents/?uuid=e2ff1fa7-8804-40ec-8fc5-be3c66341385"]}],"mendeley":{"formattedCitation":"(Ahmad Zazili et al., 2017; T. A. N. Nguyen et al., 2019)","manualFormatting":"(Zazili et al.,2017; and Nguyen et al.,2019)","plainTextFormattedCitation":"(Ahmad Zazili et al., 2017; T. A. N. Nguyen et al., 2019)","previouslyFormattedCitation":"(Ahmad Zazili et al., 2017; T. A. N. Nguyen et al., 2019)"},"properties":{"noteIndex":0},"schema":"https://github.com/citation-style-language/schema/raw/master/csl-citation.json"}</w:instrText>
      </w:r>
      <w:r w:rsidRPr="00D6136B">
        <w:rPr>
          <w:rFonts w:ascii="Times New Roman" w:hAnsi="Times New Roman" w:cs="Times New Roman"/>
        </w:rPr>
        <w:fldChar w:fldCharType="separate"/>
      </w:r>
      <w:bookmarkStart w:id="218" w:name="Bookmark135"/>
      <w:r w:rsidRPr="00D6136B">
        <w:rPr>
          <w:rFonts w:ascii="Times New Roman" w:hAnsi="Times New Roman" w:cs="Times New Roman"/>
          <w:noProof/>
        </w:rPr>
        <w:t>(</w:t>
      </w:r>
      <w:bookmarkStart w:id="219" w:name="Bookmark1241"/>
      <w:r w:rsidRPr="00D6136B">
        <w:rPr>
          <w:rFonts w:ascii="Times New Roman" w:hAnsi="Times New Roman" w:cs="Times New Roman"/>
          <w:noProof/>
        </w:rPr>
        <w:t>Zazili et al.,2017; and Nguyen et al.,2019)</w:t>
      </w:r>
      <w:r w:rsidRPr="00D6136B">
        <w:rPr>
          <w:rFonts w:ascii="Times New Roman" w:hAnsi="Times New Roman" w:cs="Times New Roman"/>
        </w:rPr>
        <w:fldChar w:fldCharType="end"/>
      </w:r>
      <w:bookmarkEnd w:id="218"/>
      <w:bookmarkEnd w:id="219"/>
      <w:r w:rsidRPr="00D6136B">
        <w:rPr>
          <w:rFonts w:ascii="Times New Roman" w:hAnsi="Times New Roman" w:cs="Times New Roman"/>
        </w:rPr>
        <w:t xml:space="preserve">. Other research also shows that usually, working professionals will save only for emergency needs as a priority, and will only save for old age as they approach retirement age, and usually these saving behaviors will be greatly influenced by their social environment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{"citationItems":[{"id":"ITEM-1","itemData":{"ISSN":"23041013","abstract":"In the workplace, it is common to encounter diverse employees spanning various generations, each with unique priorities and needs. This descriptive-correlational study aims to determine why working professionals, when grouped by generation, save and what affects their intention to save and their actual saving behavior. A researcher-developed survey questionnaire was used to gather data from 1 133 working professions. Structural equation modeling was utilized to determine the relationships among the variables. The study differentiated the effects of different factors on their saving behavior considering the generation to which they belong. Results show that working professionals consider savings for emergency needs essential. Savings for basic needs is their priority, but they start to consider saving for retirement as they age. Attitude is the most important factor affecting their intention to save. In contrast, financial literacy does not affect the intention of the Baby Boomers and Gen Z to save, just as social influence does not affect the intention of Gen Z professionals. The study also proved that working professionals do not just intend to save, but they save. Demographic factors of different generations affect the saving behavior of respondents. The study contributes to the existing literature on financial behavior and saving goals and has practical implications to promote positive saving behaviors and enhance financial well-being among all ages. Additionally, policymakers can utilize the findings to design targeted interventions and policies that encourage responsible saving and financial security across generations.","author":[{"dropping-particle":"","family":"Uy","given":"Chin","non-dropping-particle":"","parse-names":false,"suffix":""},{"dropping-particle":"","family":"Manalo","given":"Ronaldo A.","non-dropping-particle":"","parse-names":false,"suffix":""},{"dropping-particle":"","family":"Bayona","given":"Shirlene P.","non-dropping-particle":"","parse-names":false,"suffix":""}],"container-title":"Review of Integrative Business and Economics Research","id":"ITEM-1","issue":"2","issued":{"date-parts":[["2024"]]},"page":"372-390","title":"Determinants of Saving Behavior of Working Professionals: An Intergenerational Perspective","type":"article-journal","volume":"13"},"uris":["http://www.mendeley.com/documents/?uuid=7f11694a-8f70-41d5-aee1-74ec49439c5c"]},{"id":"ITEM-2","itemData":{"DOI":"10.3390/su14148780","ISSN":"2071-1050","abstract":"This study examined the impact of social influence, i.e., parents and peers, on the level of financial literacy among Saudi young adults (students). It also assessed the effect of financial literacy on the development of saving behaviour and the role of self-control as a moderator in the relationship between financial literacy and saving behaviour among the same respondents. The study’s sample included 270 respondents (male and female) from an applied college affiliated with King Faisal University. The study employed partial least squares structural equation modelling (PLS-SEM) for data analysis and interpretation. Some intriguing findings were generated. It was discovered that the influence of both parents and peers can positively predict financial literacy. Furthermore, financial literacy can positively impact young people’s saving habits. One surprising finding was that self-control negatively moderated the relationship between financial literacy and saving behaviour. Self-control was found to dampen the ties between Saudi young people’s financial literacy and saving behaviour.","author":[{"dropping-particle":"","family":"Alshebami","given":"Ali Saleh","non-dropping-particle":"","parse-names":false,"suffix":""},{"dropping-particle":"","family":"Aldhyani","given":"Theyazn H. H.","non-dropping-particle":"","parse-names":false,"suffix":""}],"container-title":"Sustainability","id":"ITEM-2","issue":"14","issued":{"date-parts":[["2022","7","18"]]},"page":"8780","title":"The Interplay of Social Influence, Financial Literacy, and Saving Behaviour among Saudi Youth and the Moderating Effect of Self-Control","type":"article-journal","volume":"14"},"uris":["http://www.mendeley.com/documents/?uuid=d46dd693-a411-4bf6-8b26-694b249b4dd5"]},{"id":"ITEM-3","itemData":{"DOI":"10.3126/irjms.v3i0.28035","ISSN":"2542-2510","abstract":"This paper explores the parental and peer factors which influence the saving behavior of the youth. This paper is based on a structured questionnaire with various dimensions of the saving behavior, parental and peer influence. Judgmental and convenience sampling techniques were used to collect the data of 390 respondents from Kathmandu Valley who have completed Master’s degree and are employed. The study reveals that there is significant relationship between peer influence and saving behavior. Similarly, there is significant relationship between parental financial teaching and saving behavior. Independence, control, habit formation, encouraging saving are mechanisms that influences saving behavior. However parent’s encouragement to save highly affects the saving behavior. Therefore receiving financial teaching from parents ensures sound saving behavior.","author":[{"dropping-particle":"","family":"Dangol","given":"Jeetendra","non-dropping-particle":"","parse-names":false,"suffix":""},{"dropping-particle":"","family":"Maharjan","given":"Saru","non-dropping-particle":"","parse-names":false,"suffix":""}],"container-title":"International Research Journal of Management Science","id":"ITEM-3","issue":"1","issued":{"date-parts":[["2018"]]},"page":"42-63","title":"Parental and Peer Influence on the Saving Behavior of the Youth","type":"article-journal","volume":"3"},"uris":["http://www.mendeley.com/documents/?uuid=2d4640cf-e9ee-4295-83fc-b991d76b74b8"]},{"id":"ITEM-4","itemData":{"DOI":"10.2139/ssrn.2358346","ISSN":"1556-5068","abstract":"-Parents are the primary community for their children, and parents are the key education of their children. Poor management income is related to how parents teach their children on doing saving. They often confident about their saving whereas they do not focus on educating their children on managing income. This research is conducted to find the influence of family \" s backgrounds toward student \" s saving behavior, which in this research college student in Jabodetabek, Indonesia is chosen as the source of information. Using quantitative data analysis, 300 questionnaires are spread to Jabodetabek area to obtain information about their saving behavior. The discussion is the correlation of family \" s background, including parents, toward their children \" s saving behavior.","author":[{"dropping-particle":"","family":"Firmansyah","given":"Danny","non-dropping-particle":"","parse-names":false,"suffix":""}],"container-title":"SSRN Electronic Journal","id":"ITEM-4","issue":"1","issued":{"date-parts":[["2014"]]},"page":"1-6","title":"The Influence of Family Backgrounds Toward Student's Saving Behavior: A Survey of College Students in Jabodetabek","type":"article-journal","volume":"4"},"uris":["http://www.mendeley.com/documents/?uuid=86eb8694-6fb8-4641-9693-e4c92b8c8b27"]},{"id":"ITEM-5","itemData":{"abstract":"Economists generally believe that higher savings will spur economic growth, thus strengthening the economy further. In Malaysia however, the sharp increase in the ratio of household debt to disposable income particularly over the past ten years has raised doubts on the ability of Malaysians to save and plan for their future. As a result, total household savings remained low and there is high risk that Malaysians would not have sufficient savings for their retirement. Even more worrying is that young adults reportedly are the main group who are trapped into this financial difficulty. The issue has raised concern on the needs to educate young Malaysian adults on the fundamental importance of savings in order to ensure financial sufficiency on their retirement. With regards to savings behavior, the needs for savings are different amongst individuals due to different mind-set, behavior, knowledge, and social environment. This study intends to explore the savings behavior amongst students of higher learning institutions in Kota Kinabalu, Sabah. Specifically, the study intends: (i) to investigate the determinants of savings behavior; and, (ii) to examine the mediating effect of attitude towards the relationship between financial literacy and savings behavior. Data was collected using structured questionnaire and analyzed using SMART-PLS, a second generation structural equation modelling software. The results indicate that family involvement plays a major role in nurturing students' savings behavior, followed by financial literacy and peer influence. In addition, students are said to have more favorable financial attitude when they are financially literate. Financial attitude however, does not mediate the relationship between financial literacy and savings behavior. This research is expected to contribute to the body of knowledge within the financial wellness and personal financial planning context.","author":[{"dropping-particle":"","family":"Jamal","given":"Abdul","non-dropping-particle":"","parse-names":false,"suffix":""},{"dropping-particle":"","family":"Azlan","given":"Amer","non-dropping-particle":"","parse-names":false,"suffix":""},{"dropping-particle":"","family":"Kamal","given":"Wijaya","non-dropping-particle":"","parse-names":false,"suffix":""},{"dropping-particle":"","family":"Mohdrahimie","given":"Ramlan","non-dropping-particle":"","parse-names":false,"suffix":""},{"dropping-particle":"","family":"Roslemohidin","given":"Abdul Karim","non-dropping-particle":"","parse-names":false,"suffix":""},{"dropping-particle":"","family":"Osman","given":"Zaiton","non-dropping-particle":"","parse-names":false,"suffix":""}],"container-title":"International Journal of Business and Social Science","id":"ITEM-5","issue":"111","issued":{"date-parts":[["2015"]]},"page":"110-119","title":"The Effects of Social Influence and Financial Literacy on Savings Behavior: A Study on Students of Higher Learning Institutions in Kota Kinabalu, Sabah","type":"article-journal","volume":"6"},"uris":["http://www.mendeley.com/documents/?uuid=bd944c69-4cd0-4a18-b9c0-9d2e6ef30af3"]},{"id":"ITEM-6","itemData":{"DOI":"10.29322/ijsrp.8.12.2018.p8440","abstract":"This study examines for evidence of peer effects in the trading decisions of individual investors from Mainland China, a country whose cultural and social structures are vastly different from those of Western countries. Cultural differences, as widely documented, play a significant role in social interactions and word-of-mouth behavior. In contrast to US studies, we find robust evidence that the trading decisions of Chinese investors are influenced, via word of mouth, by those of their peers who maintain brokerage accounts at the same branch, but not by those whose accounts are maintained at another branch located in the same city. © 2010 Financial Management Association International.","author":[{"dropping-particle":"","family":"Khatun","given":"Mabia","non-dropping-particle":"","parse-names":false,"suffix":""}],"container-title":"International Journal of Scientific and Research Publications (IJSRP)","id":"ITEM-6","issue":"12","issued":{"date-parts":[["2018"]]},"page":"296-305","title":"Effect of Financial Literacy and Parental Socialization on Students Savings Behavior of Bangladesh","type":"article-journal","volume":"8"},"uris":["http://www.mendeley.com/documents/?uuid=99a09ce4-3b85-4075-8bdb-27715630bce3"]}],"mendeley":{"formattedCitation":"(Alshebami &amp; Aldhyani, 2022; Dangol &amp; Maharjan, 2018; Firmansyah, 2014; Jamal et al., 2015; Khatun, 2018; Uy et al., 2024)","manualFormatting":"(Alshebami &amp; Aldhyani, 2022; Dangol &amp; Maharjan, 2018; Firmansyah, 2014; Jamal et al.,2015; Khatun, 2018; and Uy et al., 2024)","plainTextFormattedCitation":"(Alshebami &amp; Aldhyani, 2022; Dangol &amp; Maharjan, 2018; Firmansyah, 2014; Jamal et al., 2015; Khatun, 2018; Uy et al., 2024)","previouslyFormattedCitation":"(Alshebami &amp; Aldhyani, 2022; Dangol &amp; Maharjan, 2018; Firmansyah, 2014; Jamal et al., 2015; Khatun, 2018; Uy et al., 2024)"},"properties":{"noteIndex":0},"schema":"https://github.com/citation-style-language/schema/raw/master/csl-citation.json"}</w:instrText>
      </w:r>
      <w:r w:rsidRPr="00D6136B">
        <w:rPr>
          <w:rFonts w:ascii="Times New Roman" w:hAnsi="Times New Roman" w:cs="Times New Roman"/>
        </w:rPr>
        <w:fldChar w:fldCharType="separate"/>
      </w:r>
      <w:bookmarkStart w:id="220" w:name="Bookmark136"/>
      <w:r w:rsidRPr="00D6136B">
        <w:rPr>
          <w:rFonts w:ascii="Times New Roman" w:hAnsi="Times New Roman" w:cs="Times New Roman"/>
          <w:noProof/>
          <w:lang w:val="en-ID"/>
        </w:rPr>
        <w:t>(</w:t>
      </w:r>
      <w:bookmarkStart w:id="221" w:name="Bookmark1251"/>
      <w:r w:rsidRPr="00D6136B">
        <w:rPr>
          <w:rFonts w:ascii="Times New Roman" w:hAnsi="Times New Roman" w:cs="Times New Roman"/>
          <w:noProof/>
          <w:lang w:val="en-ID"/>
        </w:rPr>
        <w:t>Alshebami &amp; Aldhyani, 2022; Dangol &amp; Maharjan, 2018; Firmansyah, 2014; Jamal et al.,2015; Khatun, 2018; and Uy et al., 2024)</w:t>
      </w:r>
      <w:r w:rsidRPr="00D6136B">
        <w:rPr>
          <w:rFonts w:ascii="Times New Roman" w:hAnsi="Times New Roman" w:cs="Times New Roman"/>
        </w:rPr>
        <w:fldChar w:fldCharType="end"/>
      </w:r>
      <w:bookmarkEnd w:id="220"/>
      <w:bookmarkEnd w:id="221"/>
      <w:r w:rsidRPr="00D6136B">
        <w:rPr>
          <w:rFonts w:ascii="Times New Roman" w:hAnsi="Times New Roman" w:cs="Times New Roman"/>
          <w:lang w:val="en-ID"/>
        </w:rPr>
        <w:t>.</w:t>
      </w:r>
      <w:r w:rsidR="007E4D8B" w:rsidRPr="00D6136B">
        <w:rPr>
          <w:rFonts w:ascii="Times New Roman" w:hAnsi="Times New Roman" w:cs="Times New Roman"/>
          <w:lang w:val="en-ID"/>
        </w:rPr>
        <w:t xml:space="preserve"> </w:t>
      </w:r>
      <w:r w:rsidRPr="00D6136B">
        <w:rPr>
          <w:rFonts w:ascii="Times New Roman" w:hAnsi="Times New Roman" w:cs="Times New Roman"/>
        </w:rPr>
        <w:t xml:space="preserve">Research shows that the likelihood of saving for retirement increases with age and responsibility drives saving behavior among young adults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{"citationItems":[{"id":"ITEM-1","itemData":{"DOI":"10.1016/j.jpolmod.2023.05.003","ISSN":"01618938","abstract":"Concerns about the population aging and global trends to shift more responsibility for future retirement from the state to the individual need policy planning to increase youth's savings for retirement. The study aims to identify behavioral, financial, demographic, and educational determinants of savings for retirement in two groups of young adults with reference to people aged 50–60. The binary logit model and pairwise comparison results showed that the probability of saving for retirement increases with age and responsibility fosters saving behavior among young adults. The observed differences allow the formulation of policy recommendations adapted to the preferences of generations Z and Y.","author":[{"dropping-particle":"","family":"Xie","given":"Xiaohong","non-dropping-particle":"","parse-names":false,"suffix":""},{"dropping-particle":"","family":"Osińska","given":"Magdalena","non-dropping-particle":"","parse-names":false,"suffix":""},{"dropping-particle":"","family":"Szczepaniak","given":"Małgorzata","non-dropping-particle":"","parse-names":false,"suffix":""}],"container-title":"Journal of Policy Modeling","id":"ITEM-1","issue":"3","issued":{"date-parts":[["2023"]]},"page":"644-668","title":"Do young generations save for retirement? Ensuring financial security of Gen Z and Gen Y","type":"article-journal","volume":"45"},"uris":["http://www.mendeley.com/documents/?uuid=437f425a-9699-46e6-82ce-3f088a035020"]}],"mendeley":{"formattedCitation":"(Xie et al., 2023)","manualFormatting":"(Xie et al., 2023)","plainTextFormattedCitation":"(Xie et al., 2023)","previouslyFormattedCitation":"(Xie et al., 2023)"},"properties":{"noteIndex":0},"schema":"https://github.com/citation-style-language/schema/raw/master/csl-citation.json"}</w:instrText>
      </w:r>
      <w:r w:rsidRPr="00D6136B">
        <w:rPr>
          <w:rFonts w:ascii="Times New Roman" w:hAnsi="Times New Roman" w:cs="Times New Roman"/>
        </w:rPr>
        <w:fldChar w:fldCharType="separate"/>
      </w:r>
      <w:bookmarkStart w:id="222" w:name="Bookmark137"/>
      <w:r w:rsidRPr="00D6136B">
        <w:rPr>
          <w:rFonts w:ascii="Times New Roman" w:hAnsi="Times New Roman" w:cs="Times New Roman"/>
          <w:noProof/>
          <w:lang w:val="en-ID"/>
        </w:rPr>
        <w:t>(</w:t>
      </w:r>
      <w:bookmarkStart w:id="223" w:name="Bookmark1261"/>
      <w:r w:rsidRPr="00D6136B">
        <w:rPr>
          <w:rFonts w:ascii="Times New Roman" w:hAnsi="Times New Roman" w:cs="Times New Roman"/>
          <w:noProof/>
          <w:lang w:val="en-ID"/>
        </w:rPr>
        <w:t>Xie et al., 2023)</w:t>
      </w:r>
      <w:r w:rsidRPr="00D6136B">
        <w:rPr>
          <w:rFonts w:ascii="Times New Roman" w:hAnsi="Times New Roman" w:cs="Times New Roman"/>
        </w:rPr>
        <w:fldChar w:fldCharType="end"/>
      </w:r>
      <w:bookmarkEnd w:id="222"/>
      <w:bookmarkEnd w:id="223"/>
      <w:r w:rsidRPr="00D6136B">
        <w:rPr>
          <w:rFonts w:ascii="Times New Roman" w:hAnsi="Times New Roman" w:cs="Times New Roman"/>
          <w:lang w:val="en-ID"/>
        </w:rPr>
        <w:t xml:space="preserve">. </w:t>
      </w:r>
      <w:r w:rsidRPr="00D6136B">
        <w:rPr>
          <w:rFonts w:ascii="Times New Roman" w:hAnsi="Times New Roman" w:cs="Times New Roman"/>
        </w:rPr>
        <w:t>Based on the explanation above, it is hypothesized as follows</w:t>
      </w:r>
      <w:r w:rsidRPr="00D05EC2">
        <w:rPr>
          <w:rFonts w:ascii="Times New Roman" w:hAnsi="Times New Roman" w:cs="Times New Roman"/>
          <w:sz w:val="24"/>
          <w:szCs w:val="24"/>
        </w:rPr>
        <w:t>:</w:t>
      </w:r>
    </w:p>
    <w:p w14:paraId="1F75172F" w14:textId="5BE972E9" w:rsidR="00D97723" w:rsidRPr="00D05EC2" w:rsidRDefault="00456E38">
      <w:pPr>
        <w:pStyle w:val="Heading2"/>
        <w:tabs>
          <w:tab w:val="left" w:pos="620"/>
        </w:tabs>
        <w:spacing w:before="93" w:line="276" w:lineRule="auto"/>
        <w:ind w:firstLine="89"/>
        <w:jc w:val="both"/>
        <w:rPr>
          <w:rFonts w:ascii="Times New Roman" w:hAnsi="Times New Roman" w:cs="Times New Roman"/>
          <w:b w:val="0"/>
          <w:bCs w:val="0"/>
          <w:i w:val="0"/>
          <w:iCs w:val="0"/>
          <w:color w:val="231F20"/>
          <w:w w:val="90"/>
          <w:sz w:val="24"/>
          <w:szCs w:val="24"/>
          <w:lang w:val="en-ID"/>
        </w:rPr>
      </w:pPr>
      <w:r w:rsidRPr="00D05EC2">
        <w:rPr>
          <w:rFonts w:ascii="Times New Roman" w:hAnsi="Times New Roman" w:cs="Times New Roman"/>
          <w:i w:val="0"/>
          <w:iCs w:val="0"/>
          <w:color w:val="231F20"/>
          <w:w w:val="90"/>
          <w:sz w:val="24"/>
          <w:szCs w:val="24"/>
          <w:lang w:val="en-ID"/>
        </w:rPr>
        <w:tab/>
      </w:r>
      <w:r w:rsidRPr="00D05EC2">
        <w:rPr>
          <w:rFonts w:ascii="Times New Roman" w:hAnsi="Times New Roman" w:cs="Times New Roman"/>
          <w:b w:val="0"/>
          <w:bCs w:val="0"/>
          <w:i w:val="0"/>
          <w:iCs w:val="0"/>
          <w:color w:val="231F20"/>
          <w:w w:val="90"/>
          <w:sz w:val="24"/>
          <w:szCs w:val="24"/>
          <w:lang w:val="en-ID"/>
        </w:rPr>
        <w:t xml:space="preserve">H3: Saving </w:t>
      </w:r>
      <w:proofErr w:type="spellStart"/>
      <w:r w:rsidRPr="00D05EC2">
        <w:rPr>
          <w:rFonts w:ascii="Times New Roman" w:hAnsi="Times New Roman" w:cs="Times New Roman"/>
          <w:b w:val="0"/>
          <w:bCs w:val="0"/>
          <w:i w:val="0"/>
          <w:iCs w:val="0"/>
          <w:color w:val="231F20"/>
          <w:w w:val="90"/>
          <w:sz w:val="24"/>
          <w:szCs w:val="24"/>
          <w:lang w:val="en-ID"/>
        </w:rPr>
        <w:t>behavior</w:t>
      </w:r>
      <w:proofErr w:type="spellEnd"/>
      <w:r w:rsidRPr="00D05EC2">
        <w:rPr>
          <w:rFonts w:ascii="Times New Roman" w:hAnsi="Times New Roman" w:cs="Times New Roman"/>
          <w:b w:val="0"/>
          <w:bCs w:val="0"/>
          <w:i w:val="0"/>
          <w:iCs w:val="0"/>
          <w:color w:val="231F20"/>
          <w:w w:val="90"/>
          <w:sz w:val="24"/>
          <w:szCs w:val="24"/>
          <w:lang w:val="en-ID"/>
        </w:rPr>
        <w:t xml:space="preserve"> has a positive effect on </w:t>
      </w:r>
      <w:r w:rsidR="00B5208B">
        <w:rPr>
          <w:rFonts w:ascii="Times New Roman" w:hAnsi="Times New Roman" w:cs="Times New Roman"/>
          <w:b w:val="0"/>
          <w:bCs w:val="0"/>
          <w:i w:val="0"/>
          <w:iCs w:val="0"/>
          <w:color w:val="231F20"/>
          <w:w w:val="90"/>
          <w:sz w:val="24"/>
          <w:szCs w:val="24"/>
          <w:lang w:val="en-ID"/>
        </w:rPr>
        <w:t>RP.</w:t>
      </w:r>
    </w:p>
    <w:p w14:paraId="6A071A12" w14:textId="77777777" w:rsidR="00D97723" w:rsidRPr="00D05EC2" w:rsidRDefault="00D97723">
      <w:pPr>
        <w:pStyle w:val="Heading2"/>
        <w:tabs>
          <w:tab w:val="left" w:pos="620"/>
        </w:tabs>
        <w:spacing w:before="93" w:line="276" w:lineRule="auto"/>
        <w:ind w:firstLine="89"/>
        <w:jc w:val="both"/>
        <w:rPr>
          <w:rFonts w:ascii="Times New Roman" w:hAnsi="Times New Roman" w:cs="Times New Roman"/>
          <w:b w:val="0"/>
          <w:bCs w:val="0"/>
          <w:i w:val="0"/>
          <w:iCs w:val="0"/>
          <w:sz w:val="24"/>
          <w:szCs w:val="24"/>
          <w:lang w:val="en-ID"/>
        </w:rPr>
      </w:pPr>
    </w:p>
    <w:p w14:paraId="2D8026FE" w14:textId="71863E59" w:rsidR="00D97723" w:rsidRPr="00D05EC2" w:rsidRDefault="00456E38">
      <w:pPr>
        <w:pStyle w:val="Heading2"/>
        <w:numPr>
          <w:ilvl w:val="2"/>
          <w:numId w:val="1"/>
        </w:numPr>
        <w:tabs>
          <w:tab w:val="left" w:pos="620"/>
        </w:tabs>
        <w:spacing w:before="93" w:line="276" w:lineRule="auto"/>
        <w:jc w:val="both"/>
        <w:rPr>
          <w:rFonts w:ascii="Times New Roman" w:hAnsi="Times New Roman" w:cs="Times New Roman"/>
          <w:b w:val="0"/>
          <w:bCs w:val="0"/>
          <w:sz w:val="24"/>
          <w:szCs w:val="24"/>
        </w:rPr>
      </w:pPr>
      <w:r w:rsidRPr="00D05EC2">
        <w:rPr>
          <w:rFonts w:ascii="Times New Roman" w:hAnsi="Times New Roman" w:cs="Times New Roman"/>
          <w:b w:val="0"/>
          <w:bCs w:val="0"/>
          <w:sz w:val="24"/>
          <w:szCs w:val="24"/>
        </w:rPr>
        <w:t>The Positive Effect of FL</w:t>
      </w:r>
      <w:r w:rsidR="004A5E0E" w:rsidRPr="00D05EC2">
        <w:rPr>
          <w:rFonts w:ascii="Times New Roman" w:hAnsi="Times New Roman" w:cs="Times New Roman"/>
          <w:b w:val="0"/>
          <w:bCs w:val="0"/>
          <w:sz w:val="24"/>
          <w:szCs w:val="24"/>
        </w:rPr>
        <w:t xml:space="preserve"> </w:t>
      </w:r>
      <w:r w:rsidRPr="00D05EC2">
        <w:rPr>
          <w:rFonts w:ascii="Times New Roman" w:hAnsi="Times New Roman" w:cs="Times New Roman"/>
          <w:b w:val="0"/>
          <w:bCs w:val="0"/>
          <w:sz w:val="24"/>
          <w:szCs w:val="24"/>
        </w:rPr>
        <w:t xml:space="preserve">on </w:t>
      </w:r>
      <w:r w:rsidR="00D6136B">
        <w:rPr>
          <w:rFonts w:ascii="Times New Roman" w:hAnsi="Times New Roman" w:cs="Times New Roman"/>
          <w:b w:val="0"/>
          <w:bCs w:val="0"/>
          <w:sz w:val="24"/>
          <w:szCs w:val="24"/>
        </w:rPr>
        <w:t>RP</w:t>
      </w:r>
    </w:p>
    <w:p w14:paraId="69EDC964" w14:textId="0607AEC7" w:rsidR="00D97723" w:rsidRPr="00D6136B" w:rsidRDefault="00456E38" w:rsidP="007E4D8B">
      <w:pPr>
        <w:shd w:val="clear" w:color="auto" w:fill="FFFFFF"/>
        <w:spacing w:line="276" w:lineRule="auto"/>
        <w:ind w:left="60"/>
        <w:jc w:val="both"/>
        <w:rPr>
          <w:rFonts w:ascii="Times New Roman" w:hAnsi="Times New Roman" w:cs="Times New Roman"/>
        </w:rPr>
      </w:pPr>
      <w:r w:rsidRPr="00D6136B">
        <w:rPr>
          <w:rFonts w:ascii="Times New Roman" w:hAnsi="Times New Roman" w:cs="Times New Roman"/>
        </w:rPr>
        <w:t>Evidence shows that financial outcomes at retirement age are significantly improved and are an important factor in RP</w:t>
      </w:r>
      <w:r w:rsidR="007B1169" w:rsidRPr="00D6136B">
        <w:rPr>
          <w:rFonts w:ascii="Times New Roman" w:hAnsi="Times New Roman" w:cs="Times New Roman"/>
        </w:rPr>
        <w:t xml:space="preserve"> </w:t>
      </w:r>
      <w:r w:rsidRPr="00D6136B">
        <w:rPr>
          <w:rFonts w:ascii="Times New Roman" w:hAnsi="Times New Roman" w:cs="Times New Roman"/>
        </w:rPr>
        <w:fldChar w:fldCharType="begin" w:fldLock="1"/>
      </w:r>
      <w:r w:rsidR="004A5E0E" w:rsidRPr="00D6136B">
        <w:rPr>
          <w:rFonts w:ascii="Times New Roman" w:hAnsi="Times New Roman" w:cs="Times New Roman"/>
        </w:rPr>
        <w:instrText>ADDIN CSL_CITATION {"citationItems":[{"id":"ITEM-1","itemData":{"abstract":"The present paper introduces a new dataset, the Rand American Life Panel (ALP), which offers several appealing features for an analysis of financial literacy and retirement planning. It allows us to evaluate financial knowledge during workers’ prime earning years when they are making key financial decisions, and it offers detailed financial literacy and retirement planning questions, permitting a finer assessment of respondents’ financial literacy than heretofore feasible. We can also compare respondents’ self- assessed financial knowledge levels with objective measures of financial literacy, and most valuably, we can investigate prior financial training which permits us to identify key causal links. By every measure, and in every sample we examine, financial literacy proves to be a key determinant of retirement planning. We also find that respondent literacy is higher when they were exposed to economics in school and to company-based financial education programs. Authors’","author":[{"dropping-particle":"","family":"Lusardi","given":"Annamaria","non-dropping-particle":"","parse-names":false,"suffix":""},{"dropping-particle":"","family":"Mitchell","given":"Olivia S","non-dropping-particle":"","parse-names":false,"suffix":""}],"id":"ITEM-1","issued":{"date-parts":[["2007"]]},"title":"Financial Literacy and Retirement Planning: New Evidence from the Rand American Life Panel","type":"article-journal"},"uris":["http://www.mendeley.com/documents/?uuid=5bfada0c-5fd9-4345-a01d-cd1dfe13cac1"]},{"id":"ITEM-2","itemData":{"DOI":"10.1016/j.jfineco.2011.03.006","ISSN":"0304405X","abstract":"We have devised two special modules for De Nederlandsche Bank (DNB) Household Survey to measure financial literacy and study its relationship to stock market participation. We find that the majority of respondents display basic financial knowledge and have some grasp of concepts such as interest compounding, inflation, and the time value of money. However, very few go beyond these basic concepts; many respondents do not know the difference between bonds and stocks, the relationship between bond prices and interest rates, and the basics of risk diversification. Most importantly, we find that financial literacy affects financial decision-making: Those with low literacy are much less likely to invest in stocks. © 2011 Elsevier B.V.","author":[{"dropping-particle":"","family":"Rooij","given":"Maarten","non-dropping-particle":"Van","parse-names":false,"suffix":""},{"dropping-particle":"","family":"Lusardi","given":"Annamaria","non-dropping-particle":"","parse-names":false,"suffix":""},{"dropping-particle":"","family":"Alessie","given":"Rob","non-dropping-particle":"","parse-names":false,"suffix":""}],"container-title":"Journal of Financial Economics","id":"ITEM-2","issue":"2","issued":{"date-parts":[["2011","8"]]},"page":"449-472","publisher":"Elsevier","title":"Financial literacy and stock market participation","type":"article-journal","volume":"101"},"uris":["http://www.mendeley.com/documents/?uuid=db955c5b-560d-46ee-908d-0d97a9ac11c9"]}],"mendeley":{"formattedCitation":"(Lusardi &amp; Mitchell, 2007; M. Van Rooij et al., 2011)","manualFormatting":"(Lusardi &amp; Mitchell, 2007; and Rooij et al.,2011)","plainTextFormattedCitation":"(Lusardi &amp; Mitchell, 2007; M. Van Rooij et al., 2011)","previouslyFormattedCitation":"(Lusardi &amp; Mitchell, 2007; M. Van Rooij et al., 2011)"},"properties":{"noteIndex":0},"schema":"https://github.com/citation-style-language/schema/raw/master/csl-citation.json"}</w:instrText>
      </w:r>
      <w:r w:rsidRPr="00D6136B">
        <w:rPr>
          <w:rFonts w:ascii="Times New Roman" w:hAnsi="Times New Roman" w:cs="Times New Roman"/>
        </w:rPr>
        <w:fldChar w:fldCharType="separate"/>
      </w:r>
      <w:bookmarkStart w:id="224" w:name="Bookmark138"/>
      <w:r w:rsidRPr="00D6136B">
        <w:rPr>
          <w:rFonts w:ascii="Times New Roman" w:hAnsi="Times New Roman" w:cs="Times New Roman"/>
          <w:noProof/>
          <w:lang w:val="en-ID"/>
        </w:rPr>
        <w:t>(</w:t>
      </w:r>
      <w:bookmarkStart w:id="225" w:name="Bookmark1271"/>
      <w:r w:rsidRPr="00D6136B">
        <w:rPr>
          <w:rFonts w:ascii="Times New Roman" w:hAnsi="Times New Roman" w:cs="Times New Roman"/>
          <w:noProof/>
          <w:lang w:val="en-ID"/>
        </w:rPr>
        <w:t>Lusardi &amp; Mitchell, 2007; and Rooij et al.,2011)</w:t>
      </w:r>
      <w:r w:rsidRPr="00D6136B">
        <w:rPr>
          <w:rFonts w:ascii="Times New Roman" w:hAnsi="Times New Roman" w:cs="Times New Roman"/>
        </w:rPr>
        <w:fldChar w:fldCharType="end"/>
      </w:r>
      <w:bookmarkEnd w:id="224"/>
      <w:bookmarkEnd w:id="225"/>
      <w:r w:rsidRPr="00D6136B">
        <w:rPr>
          <w:rFonts w:ascii="Times New Roman" w:hAnsi="Times New Roman" w:cs="Times New Roman"/>
          <w:lang w:val="en-ID"/>
        </w:rPr>
        <w:t xml:space="preserve">. </w:t>
      </w:r>
      <w:r w:rsidRPr="00D6136B">
        <w:rPr>
          <w:rFonts w:ascii="Times New Roman" w:hAnsi="Times New Roman" w:cs="Times New Roman"/>
        </w:rPr>
        <w:t>In general, people will experience retirement when they are 50 to 60 years old</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004A5E0E" w:rsidRPr="00D6136B">
        <w:rPr>
          <w:rFonts w:ascii="Times New Roman" w:hAnsi="Times New Roman" w:cs="Times New Roman"/>
        </w:rPr>
        <w:instrText>ADDIN CSL_CITATION {"citationItems":[{"id":"ITEM-1","itemData":{"DOI":"10.1017/S0714980809090047","ISSN":"07149808","PMID":"19860967","abstract":"Because the concept of retirement is prominent in both popular thinking and academic studies, it would be helpful if the notion were analytically sound, could be measured with precision, and would make possible comparisons of patterns of retirement over time and among different populations. This paper reviews and assesses the many concepts and measures that have been proposed, summarizing them in groupings that reflect non-participation or reduced participation in the labour force, receipt of pension income, end-of-career employment, self-assessed retirement, or combinations of those characteristics. It concludes that there is no agreed measure and that no one measure dominates. Instead, new proposed measures continue to take account of additional refinements as new data sets become available, thereby further restricting possible comparisons. The confusing array of definitions reflects the practical problem that underlies the concept of retirement: It is an essentially negative notion, a notion of what people are not doing - namely, that they are not working. A more positive approach would be to focus, instead, on what people are doing, including especially their involvement in non-market activities that are socially productive, even if those activities do not contribute to national income as conventionally measured. © 2009 Canadian Association on Gerontology.","author":[{"dropping-particle":"","family":"Denton","given":"Frank T.","non-dropping-particle":"","parse-names":false,"suffix":""},{"dropping-particle":"","family":"Spencer","given":"Byron G.","non-dropping-particle":"","parse-names":false,"suffix":""}],"container-title":"Canadian Journal on Aging","id":"ITEM-1","issue":"1","issued":{"date-parts":[["2009"]]},"page":"63-76","title":"What is retirement? A review and assessment of alternative concepts and measures","type":"article-journal","volume":"28"},"uris":["http://www.mendeley.com/documents/?uuid=d42dbb3e-7a7d-421c-b1b6-993286bde872"]}],"mendeley":{"formattedCitation":"(Denton &amp; Spencer, 2009)","manualFormatting":"(Denton &amp; Spencer, 2009; and Xie et al.,2023)","plainTextFormattedCitation":"(Denton &amp; Spencer, 2009)","previouslyFormattedCitation":"(Denton &amp; Spencer, 2009)"},"properties":{"noteIndex":0},"schema":"https://github.com/citation-style-language/schema/raw/master/csl-citation.json"}</w:instrText>
      </w:r>
      <w:r w:rsidRPr="00D6136B">
        <w:rPr>
          <w:rFonts w:ascii="Times New Roman" w:hAnsi="Times New Roman" w:cs="Times New Roman"/>
        </w:rPr>
        <w:fldChar w:fldCharType="separate"/>
      </w:r>
      <w:bookmarkStart w:id="226" w:name="Bookmark139"/>
      <w:r w:rsidRPr="00D6136B">
        <w:rPr>
          <w:rFonts w:ascii="Times New Roman" w:hAnsi="Times New Roman" w:cs="Times New Roman"/>
          <w:noProof/>
        </w:rPr>
        <w:t>(</w:t>
      </w:r>
      <w:bookmarkStart w:id="227" w:name="Bookmark1281"/>
      <w:r w:rsidRPr="00D6136B">
        <w:rPr>
          <w:rFonts w:ascii="Times New Roman" w:hAnsi="Times New Roman" w:cs="Times New Roman"/>
          <w:noProof/>
        </w:rPr>
        <w:t>Denton &amp; Spencer, 2009; and Xie et al.,2023)</w:t>
      </w:r>
      <w:r w:rsidRPr="00D6136B">
        <w:rPr>
          <w:rFonts w:ascii="Times New Roman" w:hAnsi="Times New Roman" w:cs="Times New Roman"/>
        </w:rPr>
        <w:fldChar w:fldCharType="end"/>
      </w:r>
      <w:r w:rsidRPr="00D6136B">
        <w:rPr>
          <w:rFonts w:ascii="Times New Roman" w:hAnsi="Times New Roman" w:cs="Times New Roman"/>
        </w:rPr>
        <w:fldChar w:fldCharType="begin" w:fldLock="1"/>
      </w:r>
      <w:r w:rsidR="004A5E0E" w:rsidRPr="00D6136B">
        <w:rPr>
          <w:rFonts w:ascii="Times New Roman" w:hAnsi="Times New Roman" w:cs="Times New Roman"/>
        </w:rPr>
        <w:instrText>ADDIN CSL_CITATION {"citationItems":[{"id":"ITEM-1","itemData":{"DOI":"10.1016/j.jpolmod.2023.05.003","ISSN":"01618938","abstract":"Concerns about the population aging and global trends to shift more responsibility for future retirement from the state to the individual need policy planning to increase youth's savings for retirement. The study aims to identify behavioral, financial, demographic, and educational determinants of savings for retirement in two groups of young adults with reference to people aged 50–60. The binary logit model and pairwise comparison results showed that the probability of saving for retirement increases with age and responsibility fosters saving behavior among young adults. The observed differences allow the formulation of policy recommendations adapted to the preferences of generations Z and Y.","author":[{"dropping-particle":"","family":"Xie","given":"Xiaohong","non-dropping-particle":"","parse-names":false,"suffix":""},{"dropping-particle":"","family":"Osińska","given":"Magdalena","non-dropping-particle":"","parse-names":false,"suffix":""},{"dropping-particle":"","family":"Szczepaniak","given":"Małgorzata","non-dropping-particle":"","parse-names":false,"suffix":""}],"container-title":"Journal of Policy Modeling","id":"ITEM-1","issue":"3","issued":{"date-parts":[["2023"]]},"page":"644-668","title":"Do young generations save for retirement? Ensuring financial security of Gen Z and Gen Y","type":"article-journal","volume":"45"},"uris":["http://www.mendeley.com/documents/?uuid=437f425a-9699-46e6-82ce-3f088a035020"]}],"mendeley":{"formattedCitation":"(Xie et al., 2023)","plainTextFormattedCitation":"(Xie et al., 2023)","previouslyFormattedCitation":"(Xie et al., 2023)"},"properties":{"noteIndex":0},"schema":"https://github.com/citation-style-language/schema/raw/master/csl-citation.json"}</w:instrText>
      </w:r>
      <w:r w:rsidRPr="00D6136B">
        <w:rPr>
          <w:rFonts w:ascii="Times New Roman" w:hAnsi="Times New Roman" w:cs="Times New Roman"/>
        </w:rPr>
        <w:fldChar w:fldCharType="end"/>
      </w:r>
      <w:bookmarkStart w:id="228" w:name="Bookmark140"/>
      <w:bookmarkStart w:id="229" w:name="Bookmark1291"/>
      <w:bookmarkEnd w:id="226"/>
      <w:bookmarkEnd w:id="227"/>
      <w:bookmarkEnd w:id="228"/>
      <w:bookmarkEnd w:id="229"/>
      <w:r w:rsidR="007B1169" w:rsidRPr="00D6136B">
        <w:rPr>
          <w:rFonts w:ascii="Times New Roman" w:hAnsi="Times New Roman" w:cs="Times New Roman"/>
        </w:rPr>
        <w:t>.</w:t>
      </w:r>
      <w:r w:rsidRPr="00D6136B">
        <w:rPr>
          <w:rFonts w:ascii="Times New Roman" w:hAnsi="Times New Roman" w:cs="Times New Roman"/>
        </w:rPr>
        <w:t xml:space="preserve"> Each country has its own system by differentiating private employees from the public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{"citationItems":[{"id":"ITEM-1","itemData":{"DOI":"10.5539/jpl.v9n4p43","ISSN":"1913-9055","abstract":"&lt;p class=\"MsoNormal\" style=\"text-align: justify;\"&gt;Problems have been identified pertaining to retirement scheme of the private sector employees in Malaysia where there is no legislated pension system in force. As a result of that, pension scheme and savings are more of a voluntary basis; although the principle is good but in practice many retirees suffer financially during their retirement. The objectives of this study are to examine factors contributing to individual’s retirement planning behavior and the private pension system in the private sector in Malaysia. Retirement planning behaviour in this study was measured with series of questions on behaviour about retirement planning. A total of 500 working individuals from private sectors in the age group of 40 years and above had participated in this study. The results identified several significant variables in the prediction of retirement planning among working individuals in Malaysia, including individual who had higher levels of education, higher levels of income, financial literacy, retirement goal clarity and attitude towards retirement. There is a correlation between retirement planning behavior and saving for old aged. As a response to the result collected from the survey, a legal proposition is put forward to address issues of pension during retirement among private sector’s employees.&lt;/p&gt;","author":[{"dropping-particle":"","family":"Hassan","given":"Kamal Halili","non-dropping-particle":"","parse-names":false,"suffix":""},{"dropping-particle":"","family":"Rahim","given":"Rohani Abdul","non-dropping-particle":"","parse-names":false,"suffix":""},{"dropping-particle":"","family":"Ahmad","given":"Fariza","non-dropping-particle":"","parse-names":false,"suffix":""},{"dropping-particle":"","family":"Tengku Zainuddin","given":"Tengku Noor Azira","non-dropping-particle":"","parse-names":false,"suffix":""},{"dropping-particle":"","family":"Merican","given":"Rooshida Rahim","non-dropping-particle":"","parse-names":false,"suffix":""},{"dropping-particle":"","family":"Bahari","given":"Siti Kholijah","non-dropping-particle":"","parse-names":false,"suffix":""}],"container-title":"Journal of Politics and Law","id":"ITEM-1","issue":"4","issued":{"date-parts":[["2016","5","29"]]},"page":"43","title":"Retirement Planning Behaviour of Working Individuals and Legal Proposition for New Pension System in Malaysia","type":"article-journal","volume":"9"},"uris":["http://www.mendeley.com/documents/?uuid=075416ed-bc93-4cc8-8d70-0538e55d3c61"]}],"mendeley":{"formattedCitation":"(Hassan et al., 2016)","plainTextFormattedCitation":"(Hassan et al., 2016)","previouslyFormattedCitation":"(Hassan et al., 2016)"},"properties":{"noteIndex":0},"schema":"https://github.com/citation-style-language/schema/raw/master/csl-citation.json"}</w:instrText>
      </w:r>
      <w:r w:rsidRPr="00D6136B">
        <w:rPr>
          <w:rFonts w:ascii="Times New Roman" w:hAnsi="Times New Roman" w:cs="Times New Roman"/>
        </w:rPr>
        <w:fldChar w:fldCharType="separate"/>
      </w:r>
      <w:bookmarkStart w:id="230" w:name="Bookmark142"/>
      <w:r w:rsidRPr="00D6136B">
        <w:rPr>
          <w:rFonts w:ascii="Times New Roman" w:hAnsi="Times New Roman" w:cs="Times New Roman"/>
          <w:noProof/>
          <w:lang w:val="en-ID"/>
        </w:rPr>
        <w:t>(</w:t>
      </w:r>
      <w:bookmarkStart w:id="231" w:name="Bookmark1301"/>
      <w:r w:rsidRPr="00D6136B">
        <w:rPr>
          <w:rFonts w:ascii="Times New Roman" w:hAnsi="Times New Roman" w:cs="Times New Roman"/>
          <w:noProof/>
          <w:lang w:val="en-ID"/>
        </w:rPr>
        <w:t>Hassan et al., 2016)</w:t>
      </w:r>
      <w:r w:rsidRPr="00D6136B">
        <w:rPr>
          <w:rFonts w:ascii="Times New Roman" w:hAnsi="Times New Roman" w:cs="Times New Roman"/>
        </w:rPr>
        <w:fldChar w:fldCharType="end"/>
      </w:r>
      <w:bookmarkEnd w:id="230"/>
      <w:bookmarkEnd w:id="231"/>
      <w:r w:rsidRPr="00D6136B">
        <w:rPr>
          <w:rFonts w:ascii="Times New Roman" w:hAnsi="Times New Roman" w:cs="Times New Roman"/>
          <w:lang w:val="en-ID"/>
        </w:rPr>
        <w:t xml:space="preserve">. </w:t>
      </w:r>
      <w:r w:rsidRPr="00D6136B">
        <w:rPr>
          <w:rFonts w:ascii="Times New Roman" w:hAnsi="Times New Roman" w:cs="Times New Roman"/>
        </w:rPr>
        <w:t>Part of RP</w:t>
      </w:r>
      <w:r w:rsidR="007B1169" w:rsidRPr="00D6136B">
        <w:rPr>
          <w:rFonts w:ascii="Times New Roman" w:hAnsi="Times New Roman" w:cs="Times New Roman"/>
        </w:rPr>
        <w:t xml:space="preserve"> </w:t>
      </w:r>
      <w:r w:rsidRPr="00D6136B">
        <w:rPr>
          <w:rFonts w:ascii="Times New Roman" w:hAnsi="Times New Roman" w:cs="Times New Roman"/>
        </w:rPr>
        <w:t xml:space="preserve">activities leads to prosperity and income protection in old age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{"citationItems":[{"id":"ITEM-1","itemData":{"abstract":"We implement a customized survey to a representative sample of 1,024 Australians to examine the relationship between financial literacy and retirement planning. Overall we find aggregate levels of financial literacy similar to comparable countries with the young, least educated, unemployed and those not in the labor force most at risk. However, unlike the international norm, we find that financial skills increase with age. The role played by the Australia's mandatory private retirement arrangements, system of defaults, and interactions with the means-tested safety net pension at older ages remain open questions.","author":[{"dropping-particle":"","family":"Agnew","given":"Julie","non-dropping-particle":"","parse-names":false,"suffix":""},{"dropping-particle":"","family":"Bateman","given":"Hazel","non-dropping-particle":"","parse-names":false,"suffix":""},{"dropping-particle":"","family":"Thorp","given":"Susan","non-dropping-particle":"","parse-names":false,"suffix":""},{"dropping-particle":"","family":"Agnew","given":"Julie R","non-dropping-particle":"","parse-names":false,"suffix":""}],"container-title":"SSRN Electronic Journal","id":"ITEM-1","issue":"2012","issued":{"date-parts":[["2013"]]},"title":"Financial Literacy and Retirement Planning in Australian Australian School of Business Working Paper Financial literacy and retirement planning in Australia","type":"article-journal"},"uris":["http://www.mendeley.com/documents/?uuid=c36dee83-740f-4b1a-941c-4a954f3b5fac"]}],"mendeley":{"formattedCitation":"(Agnew et al., 2013)","manualFormatting":"(Agnew et al.,2013)","plainTextFormattedCitation":"(Agnew et al., 2013)","previouslyFormattedCitation":"(Agnew et al., 2013)"},"properties":{"noteIndex":0},"schema":"https://github.com/citation-style-language/schema/raw/master/csl-citation.json"}</w:instrText>
      </w:r>
      <w:r w:rsidRPr="00D6136B">
        <w:rPr>
          <w:rFonts w:ascii="Times New Roman" w:hAnsi="Times New Roman" w:cs="Times New Roman"/>
        </w:rPr>
        <w:fldChar w:fldCharType="separate"/>
      </w:r>
      <w:bookmarkStart w:id="232" w:name="Bookmark143"/>
      <w:r w:rsidRPr="00D6136B">
        <w:rPr>
          <w:rFonts w:ascii="Times New Roman" w:hAnsi="Times New Roman" w:cs="Times New Roman"/>
          <w:noProof/>
        </w:rPr>
        <w:t>(</w:t>
      </w:r>
      <w:bookmarkStart w:id="233" w:name="Bookmark1311"/>
      <w:r w:rsidRPr="00D6136B">
        <w:rPr>
          <w:rFonts w:ascii="Times New Roman" w:hAnsi="Times New Roman" w:cs="Times New Roman"/>
          <w:noProof/>
        </w:rPr>
        <w:t>Agnew et al.,2013)</w:t>
      </w:r>
      <w:r w:rsidRPr="00D6136B">
        <w:rPr>
          <w:rFonts w:ascii="Times New Roman" w:hAnsi="Times New Roman" w:cs="Times New Roman"/>
        </w:rPr>
        <w:fldChar w:fldCharType="end"/>
      </w:r>
      <w:bookmarkEnd w:id="232"/>
      <w:bookmarkEnd w:id="233"/>
      <w:r w:rsidRPr="00D6136B">
        <w:rPr>
          <w:rFonts w:ascii="Times New Roman" w:hAnsi="Times New Roman" w:cs="Times New Roman"/>
        </w:rPr>
        <w:t xml:space="preserve">. </w:t>
      </w:r>
      <w:r w:rsidRPr="00D6136B">
        <w:rPr>
          <w:rFonts w:ascii="Times New Roman" w:hAnsi="Times New Roman" w:cs="Times New Roman"/>
          <w:lang w:val="en-ID"/>
        </w:rPr>
        <w:t xml:space="preserve">Research by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{"citationItems":[{"id":"ITEM-1","itemData":{"DOI":"10.1017/S1474747214000031","ISSN":"1474-7472","abstract":"Using a special-purpose module implemented in the Health and Retirement Study, we evaluate financial sophistication in the American population over the age of 50. We combine several financial literacy questions into an overall index to highlight which questions best capture financial sophistication and examine the sensitivity of financial literacy responses to framing effects. Results show that many older respondents are not financially sophisticated: they fail to grasp essential aspects of risk diversification, asset valuation, portfolio choice, and investment fees. Subgroups with notable deficits include women, the least educated, non-Whites, and those age 75+. In view of the fact that retirees increasingly must take on responsibility for their own retirement security, such meager levels of knowledge have potentially serious and negative implications.","author":[{"dropping-particle":"","family":"Lusardi","given":"Annamaria","non-dropping-particle":"","parse-names":false,"suffix":""},{"dropping-particle":"","family":"Mitchell","given":"Olivia.S","non-dropping-particle":"","parse-names":false,"suffix":""},{"dropping-particle":"","family":"Curto","given":"Vilsa","non-dropping-particle":"","parse-names":false,"suffix":""}],"container-title":"Journal of Pension Economics and Finance","id":"ITEM-1","issue":"4","issued":{"date-parts":[["2011","10","26"]]},"language":"English","note":"Copyright - Copyright © Cambridge University Press 2014\n\nDocument feature - Equations; Tables\n\nLast updated - 2023-11-28\n\nSubjectsTermNotLitGenreText - United States--US","page":"347-366","publisher":"Cambridge University Press PP - Cambridge","publisher-place":"Cambridge","title":"Financial literacy and financial sophistication in the older population","type":"article-journal","volume":"13"},"uris":["http://www.mendeley.com/documents/?uuid=4b6a9184-d17e-42dc-a2e7-f50158590b18"]}],"mendeley":{"formattedCitation":"(Lusardi et al., 2011)","manualFormatting":"Lusardi &amp; Mitchell (2014","plainTextFormattedCitation":"(Lusardi et al., 2011)","previouslyFormattedCitation":"(Lusardi et al., 2011)"},"properties":{"noteIndex":0},"schema":"https://github.com/citation-style-language/schema/raw/master/csl-citation.json"}</w:instrText>
      </w:r>
      <w:r w:rsidRPr="00D6136B">
        <w:rPr>
          <w:rFonts w:ascii="Times New Roman" w:hAnsi="Times New Roman" w:cs="Times New Roman"/>
        </w:rPr>
        <w:fldChar w:fldCharType="separate"/>
      </w:r>
      <w:bookmarkStart w:id="234" w:name="Bookmark144"/>
      <w:r w:rsidRPr="00D6136B">
        <w:rPr>
          <w:rFonts w:ascii="Times New Roman" w:hAnsi="Times New Roman" w:cs="Times New Roman"/>
          <w:noProof/>
          <w:lang w:val="en-ID"/>
        </w:rPr>
        <w:t>L</w:t>
      </w:r>
      <w:bookmarkStart w:id="235" w:name="Bookmark1321"/>
      <w:r w:rsidRPr="00D6136B">
        <w:rPr>
          <w:rFonts w:ascii="Times New Roman" w:hAnsi="Times New Roman" w:cs="Times New Roman"/>
          <w:noProof/>
          <w:lang w:val="en-ID"/>
        </w:rPr>
        <w:t>usardi &amp; Mitchell (2014</w:t>
      </w:r>
      <w:r w:rsidRPr="00D6136B">
        <w:rPr>
          <w:rFonts w:ascii="Times New Roman" w:hAnsi="Times New Roman" w:cs="Times New Roman"/>
        </w:rPr>
        <w:fldChar w:fldCharType="end"/>
      </w:r>
      <w:bookmarkEnd w:id="234"/>
      <w:bookmarkEnd w:id="235"/>
      <w:r w:rsidRPr="00D6136B">
        <w:rPr>
          <w:rFonts w:ascii="Times New Roman" w:hAnsi="Times New Roman" w:cs="Times New Roman"/>
          <w:lang w:val="en-ID"/>
        </w:rPr>
        <w:t xml:space="preserve">) </w:t>
      </w:r>
      <w:r w:rsidRPr="00D6136B">
        <w:rPr>
          <w:rFonts w:ascii="Times New Roman" w:hAnsi="Times New Roman" w:cs="Times New Roman"/>
        </w:rPr>
        <w:t>found a positive influence between FLand RP</w:t>
      </w:r>
      <w:r w:rsidR="00BC52EC" w:rsidRPr="00D6136B">
        <w:rPr>
          <w:rFonts w:ascii="Times New Roman" w:hAnsi="Times New Roman" w:cs="Times New Roman"/>
        </w:rPr>
        <w:t xml:space="preserve"> </w:t>
      </w:r>
      <w:r w:rsidRPr="00D6136B">
        <w:rPr>
          <w:rFonts w:ascii="Times New Roman" w:hAnsi="Times New Roman" w:cs="Times New Roman"/>
        </w:rPr>
        <w:t>in the United States. Research in Indonesia also shows that the higher a person's financial literacy, the better their RP</w:t>
      </w:r>
      <w:r w:rsidR="00BC52EC" w:rsidRPr="00D6136B">
        <w:rPr>
          <w:rFonts w:ascii="Times New Roman" w:hAnsi="Times New Roman" w:cs="Times New Roman"/>
        </w:rPr>
        <w:t xml:space="preserve"> </w:t>
      </w:r>
      <w:r w:rsidRPr="00D6136B">
        <w:rPr>
          <w:rFonts w:ascii="Times New Roman" w:hAnsi="Times New Roman" w:cs="Times New Roman"/>
        </w:rPr>
        <w:t xml:space="preserve">will be </w:t>
      </w:r>
      <w:r w:rsidRPr="00D6136B">
        <w:rPr>
          <w:rFonts w:ascii="Times New Roman" w:hAnsi="Times New Roman" w:cs="Times New Roman"/>
        </w:rPr>
        <w:fldChar w:fldCharType="begin" w:fldLock="1"/>
      </w:r>
      <w:r w:rsidR="004A5E0E" w:rsidRPr="00D6136B">
        <w:rPr>
          <w:rFonts w:ascii="Times New Roman" w:hAnsi="Times New Roman" w:cs="Times New Roman"/>
        </w:rPr>
        <w:instrText>ADDIN CSL_CITATION {"citationItems":[{"id":"ITEM-1","itemData":{"DOI":"10.30596/ijbe.v1i1.3442","ISSN":"2686472X","abstract":"This study aims to determine the effect of financial literacy and financial inclusion on retirement planning. This study used a quantitative method with 236 respondents and processed by the method of multiple linear regression analysis. The results of the study show that financial literacy and financial inclusion have a significant effect on retirement planning, means that the higher financial literacy and financial inclusion of a person, the better their retirement planning. In addition, the results of the study showed that respondents were dominated by moderate financial literacy levels with a percentage of 55.08%, moderate financial inclusion levels with a percentage of 57.20% and high retirement planning levels with presentations of 52.54% of the total respondents. Researchers also conduct additional research by choosing one of the demographic factors, which is monthly income. The results that monthly earnings also influence retirement planning where the higher a person's monthly income, the better their retirement planning.","author":[{"dropping-particle":"","family":"Baskoro","given":"Rahmat Aryo","non-dropping-particle":"","parse-names":false,"suffix":""},{"dropping-particle":"","family":"Aulia","given":"Rensi","non-dropping-particle":"","parse-names":false,"suffix":""}],"container-title":"International Journal of Business Economics (IJBE)","id":"ITEM-1","issue":"1","issued":{"date-parts":[["2019","9","30"]]},"page":"49-58","title":"The Effect of Financial Literacy and Financial Inclusion on Retirement Planning","type":"article-journal","volume":"1"},"uris":["http://www.mendeley.com/documents/?uuid=03e253cd-141e-492b-9ffe-7316e8e519b7"]},{"id":"ITEM-2","itemData":{"DOI":"10.3390/ijfs10030066","ISSN":"2227-7072","abstract":"This research examined the gist of financial literacy on the medium entrepreneurs in Indonesia, impacting the retirement planning through some mediator and moderating variables. Implementing the prospect theory and theory of planned behavior to explore these interactions, a series of hypotheses were constructed, considering financial risk tolerance and saving behavior as mediator variables and herding behavior as moderator variables. The study examined partial least square-structural equation modelling (PLS-SEM) obtained by sampling data from 388 entrepreneurs of medium-scale in the Bekasi Regency, Indonesia. The study revealed (a) how financial literacy on retirement planning is serial mediated by financial risk tolerance and saving behavior, (b) herding behavior can strengthen financial literacy’s influence on retirement planning, and (c) saving behavior as a mediator does not influence the relationship between financial literacy and retirement planning. The study confirm</w:instrText>
      </w:r>
      <w:r w:rsidR="004A5E0E" w:rsidRPr="00D6136B">
        <w:rPr>
          <w:rFonts w:ascii="Times New Roman" w:hAnsi="Times New Roman" w:cs="Times New Roman"/>
          <w:lang w:val="sv-SE"/>
        </w:rPr>
        <w:instrText>s how financial risk tolerance and herding behavior bridge a positive relationship between financial literacy and retirement planning.","author":[{"dropping-particle":"","family":"Harahap","given":"Subur","non-dropping-particle":"","parse-names":false,"suffix":""},{"dropping-particle":"","family":"Thoyib","given":"Armanu","non-dropping-particle":"","parse-names":false,"suffix":""},{"dropping-particle":"","family":"Sumiati","given":"Sumiati","non-dropping-particle":"","parse-names":false,"suffix":""},{"dropping-particle":"","family":"Djazuli","given":"Atim","non-dropping-particle":"","parse-names":false,"suffix":""}],"container-title":"International Journal of Financial Studies","id":"ITEM-2","issue":"3","issued":{"date-parts":[["2022","8","9"]]},"page":"66","title":"The Impact of Financial Literacy on Retirement Planning with Serial Mediation of Financial Risk Tolerance and Saving Behavior: Evidence of Medium Entrepreneurs in Indonesia","type":"article-journal","volume":"10"},"uris":["http://www.mendeley.com/documents/?uuid=4e83eb41-a281-4528-8b4f-b5b5cc6e69fe"]}],"mendeley":{"formattedCitation":"(Baskoro &amp; Aulia, 2019; Harahap et al., 2022)","manualFormatting":"(Baskoro &amp; Aulia, 2019; Pijoh et al.,2020","plainTextFormattedCitation":"(Baskoro &amp; Aulia, 2019; Harahap et al., 2022)","previouslyFormattedCitation":"(Baskoro &amp; Aulia, 2019; Harahap et al., 2022)"},"properties":{"noteIndex":0},"schema":"https://github.com/citation-style-language/schema/raw/master/csl-citation.json"}</w:instrText>
      </w:r>
      <w:r w:rsidRPr="00D6136B">
        <w:rPr>
          <w:rFonts w:ascii="Times New Roman" w:hAnsi="Times New Roman" w:cs="Times New Roman"/>
        </w:rPr>
        <w:fldChar w:fldCharType="separate"/>
      </w:r>
      <w:bookmarkStart w:id="236" w:name="Bookmark145"/>
      <w:r w:rsidRPr="00D6136B">
        <w:rPr>
          <w:rFonts w:ascii="Times New Roman" w:hAnsi="Times New Roman" w:cs="Times New Roman"/>
          <w:noProof/>
          <w:lang w:val="sv-SE"/>
        </w:rPr>
        <w:t>(</w:t>
      </w:r>
      <w:bookmarkStart w:id="237" w:name="Bookmark1331"/>
      <w:r w:rsidRPr="00D6136B">
        <w:rPr>
          <w:rFonts w:ascii="Times New Roman" w:hAnsi="Times New Roman" w:cs="Times New Roman"/>
          <w:noProof/>
          <w:lang w:val="sv-SE"/>
        </w:rPr>
        <w:t>Baskoro &amp; Aulia, 2019; Pijoh et al.,2020</w:t>
      </w:r>
      <w:r w:rsidRPr="00D6136B">
        <w:rPr>
          <w:rFonts w:ascii="Times New Roman" w:hAnsi="Times New Roman" w:cs="Times New Roman"/>
        </w:rPr>
        <w:fldChar w:fldCharType="end"/>
      </w:r>
      <w:r w:rsidRPr="00D6136B">
        <w:rPr>
          <w:rFonts w:ascii="Times New Roman" w:hAnsi="Times New Roman" w:cs="Times New Roman"/>
        </w:rPr>
        <w:fldChar w:fldCharType="begin" w:fldLock="1"/>
      </w:r>
      <w:r w:rsidR="004A5E0E" w:rsidRPr="00D6136B">
        <w:rPr>
          <w:rFonts w:ascii="Times New Roman" w:hAnsi="Times New Roman" w:cs="Times New Roman"/>
          <w:lang w:val="sv-SE"/>
        </w:rPr>
        <w:instrText>ADDIN CSL_CITATION {"citationItems":[{"id":"ITEM-1","itemData":{"ISBN":"0000000345","abstract":"This study aims to analyze how Financial Literacy, Financial Behaviour and Financial Anxiety influence Financial Well Being of Top Management Level Employees. A cross-sectional survey was employed on 256 respondents randomly selected from top management level of manufacture company. It then tests their hypothesized relationships with the use of Partial Least Squares (PLS), a structural equation modelling technique. The result reveal that financial behaviour and financial anxiety significantly influence the financial well-being of employee. Financial literacy also influences the financial anxiety, financial behaviour and financial well-being. Financial behaviour of an individual also determine the level of financial wellbeing of the respondents. Positive and healthy financial behavior leads toward the higher level of financial wellbeing. There is significant and positive effect of financial literacy to financial behaviour of top management level of employees.","author":[{"dropping-particle":"","family":"Pijoh Lidwina, Indradewa Rhian","given":"Syah TYR","non-dropping-particle":"","parse-names":false,"suffix":""}],"container-title":"Financial Literacy, Financial Behaviour and Financial Anxiety; Implication Well Being of Top Management Level Employees","id":"ITEM-1","issue":"4","issued":{"date-parts":[["2020"]]},"page":"527-534","title":"Research Article Research Article","type":"article-journal","volume":"4"},"uris":["http://www.mendeley.com/documents/?uuid=057e1fb0-8edf-4219-83ab-081523504fd2"]}],"mendeley":{"formattedCitation":"(Pijoh Lidwina, Indradewa Rhian, 2020)","plainTextFormattedCitation":"(Pijoh Lidwina, Indradewa Rhian, 2020)","previouslyFormattedCitation":"(Pijoh Lidwina, Indradewa Rhian, 2020)"},"properties":{"noteIndex":0},"schema":"https://github.com/citation-style-language/schema/raw/master/csl-citation.json"}</w:instrText>
      </w:r>
      <w:r w:rsidRPr="00D6136B">
        <w:rPr>
          <w:rFonts w:ascii="Times New Roman" w:hAnsi="Times New Roman" w:cs="Times New Roman"/>
        </w:rPr>
        <w:fldChar w:fldCharType="end"/>
      </w:r>
      <w:bookmarkStart w:id="238" w:name="Bookmark146"/>
      <w:bookmarkStart w:id="239" w:name="Bookmark1341"/>
      <w:bookmarkEnd w:id="236"/>
      <w:bookmarkEnd w:id="237"/>
      <w:bookmarkEnd w:id="238"/>
      <w:bookmarkEnd w:id="239"/>
      <w:r w:rsidRPr="00D6136B">
        <w:rPr>
          <w:rFonts w:ascii="Times New Roman" w:hAnsi="Times New Roman" w:cs="Times New Roman"/>
          <w:lang w:val="sv-SE"/>
        </w:rPr>
        <w:t xml:space="preserve">; and Harahap et al.,2022). Other research results conducted by </w:t>
      </w:r>
      <w:r w:rsidRPr="00D6136B">
        <w:rPr>
          <w:rFonts w:ascii="Times New Roman" w:hAnsi="Times New Roman" w:cs="Times New Roman"/>
        </w:rPr>
        <w:fldChar w:fldCharType="begin" w:fldLock="1"/>
      </w:r>
      <w:r w:rsidRPr="00D6136B">
        <w:rPr>
          <w:rFonts w:ascii="Times New Roman" w:hAnsi="Times New Roman" w:cs="Times New Roman"/>
          <w:lang w:val="sv-SE"/>
        </w:rPr>
        <w:instrText>ADDIN CSL_CITATION {"citationItems":[{"id":"ITEM-1","itemData":{"DOI":"10.30596/ijbe.v1i1.3442","ISSN":"2686472X","abstract":"This study aims to determine the effect of financial literacy and financial inclusion on retirement planning. This study used a quantitative method with 236 respondents and processed by the method of multiple linear regression analysis. The results of the study show that financial literacy and financial inclusion have a significant effect on retirement planning, means that the higher financial literacy and financial inclusion of a person, the better their retirement planning. In addition, the results of the study showed that respondents were dominated by moderate financial literacy levels with a percentage of 55.08%, moderate financial inclusion levels with a percentage of 57.20% and high retirement planning levels with presentations of 52.54% of the total respondents. Researchers also conduct additional research by choosing one of the demographic factors, which is monthly income. The results that monthly earnings also influence retirement planning where the higher a person's monthly income, the better their retirement planning.","author":[{"dropping-particle":"","family":"Baskoro","given":"Rahmat Aryo","non-dropping-particle":"","parse-names":false,"suffix":""},{"dropping-particle":"","family":"Aulia","given":"Rensi","non-dropping-particle":"","parse-names":false,"suffix":""}],"container-title":"International Journ</w:instrText>
      </w:r>
      <w:r w:rsidRPr="00D6136B">
        <w:rPr>
          <w:rFonts w:ascii="Times New Roman" w:hAnsi="Times New Roman" w:cs="Times New Roman"/>
        </w:rPr>
        <w:instrText>al of Business Economics (IJBE)","id":"ITEM-1","issue":"1","issued":{"date-parts":[["2019","9","30"]]},"page":"49-58","title":"The Effect of Financial Literacy and Financial Inclusion on Retirement Planning","type":"article-journal","volume":"1"},"uris":["http://www.mendeley.com/documents/?uuid=03e253cd-141e-492b-9ffe-7316e8e519b7"]},{"id":"ITEM-2","itemData":{"abstract":"This study examined the financial risk of tolerant behavior at the household level with particular emphasis on different household sectors in Sri Lanka. The analysis measured, the household willingness to take financial risk or risk tolerance based on a questionnaire survey. Financial risk tolerance was measured with the help of a likert-scale and a composite index was developed using the values for the answers. The study used descriptive statistics and also the one-way analysis of variance (ANOVA) test to compare the risk tolerance between the three main household sectors, i.e. urban, rural and estate. The effects of socio-econ-demographic factors upon financial risk tolerance of households were investigated using Tobit regression analysis. The results revealed that a majority of respondents exhibited an above average (high) risk tolerance as a whole and demonstrated significant differences in risk tolerance preferences of households at sectoral level. The results indicate that gender, age, education, occupational status, income, income diversification, distance to a financial institute and financial literacy are significant in the determination of the financial risk tolerance. The findings provide inputs for designing policies for the development of the financial markets in the Sri Lankan context.","author":[{"dropping-particle":"","family":"Heenkenda","given":"Shirantha","non-dropping-particle":"","parse-names":false,"suffix":""}],"container-title":"Asian Journal of Empirical Research","id":"ITEM-2","issue":"11","issued":{"date-parts":[["2014"]]},"page":"206-222","title":"Determination of financial risk tolerance among different household sectors in Sri Lanka","type":"article-journal","volume":"5"},"uris":["http://www.mendeley.com/documents/?uuid=d29b31da-ad2b-45d9-b715-247c87e06b7f"]},{"id":"ITEM-3","itemData":{"abstract":"This study uses a national dataset to examine the association among risk tolerance, fi nancial literacy, and goals-based savings behavior of households. The results indicate that three out of fi ve households do not have any emergency funds set aside, and about half the households have not calculated how much money they will need for retirement. However, both fi nancial literacy and risk tolerance are associated with goals-based savings behavior, such as saving for emergencies, and planning for retirement among households. Although risk tolerance appears to be an important factor in the savings and investment decisions of households, the fi ndings of this study provide further evidence regarding the role of fi nancial literacy in improving household fi nancial capability. Implications for policy makers, scholars, and researchers in the area of behavioral economics and household fi nance are included.","author":[{"dropping-particle":"","family":"Chatterjee","given":"Swarn","non-dropping-particle":"","parse-names":false,"suffix":""},{"dropping-particle":"","family":"Fan","given":"Lu","non-dropping-particle":"","parse-names":false,"suffix":""},{"dropping-particle":"","family":"Jacobs","given":"Ben","non-dropping-particle":"","parse-names":false,"suffix":""},{"dropping-particle":"","family":"Haas","given":"Robin","non-dropping-particle":"","parse-names":false,"suffix":""}],"container-title":"Journal of Personal Finance","id":"ITEM-3","issue":"1","issued":{"date-parts":[["2017"]]},"page":"66-77","title":"Risk Tolerance and Goals-based Savings Behavior of Households: The Role of Financial Literacy","type":"article-journal","volume":"16"},"uris":["http://www.mendeley.com/documents/?uuid=d107e7d3-c780-4160-b182-90bed307cb27"]}],"mendeley":{"formattedCitation":"(Baskoro &amp; Aulia, 2019; Chatterjee et al., 2017; Heenkenda, 2014)","manualFormatting":"Chatterjee et al. (2017); and Heenkenda, (2014)","plainTextFormattedCitation":"(Baskoro &amp; Aulia, 2019; Chatterjee et al., 2017; Heenkenda, 2014)","previouslyFormattedCitation":"(Baskoro &amp; Aulia, 2019; Chatterjee et al., 2017; Heenkenda, 2014)"},"properties":{"noteIndex":0},"schema":"https://github.com/citation-style-language/schema/raw/master/csl-citation.json"}</w:instrText>
      </w:r>
      <w:r w:rsidRPr="00D6136B">
        <w:rPr>
          <w:rFonts w:ascii="Times New Roman" w:hAnsi="Times New Roman" w:cs="Times New Roman"/>
        </w:rPr>
        <w:fldChar w:fldCharType="separate"/>
      </w:r>
      <w:bookmarkStart w:id="240" w:name="Bookmark147"/>
      <w:r w:rsidRPr="00D6136B">
        <w:rPr>
          <w:rFonts w:ascii="Times New Roman" w:hAnsi="Times New Roman" w:cs="Times New Roman"/>
          <w:noProof/>
          <w:lang w:val="en-ID"/>
        </w:rPr>
        <w:t>C</w:t>
      </w:r>
      <w:bookmarkStart w:id="241" w:name="Bookmark1351"/>
      <w:r w:rsidRPr="00D6136B">
        <w:rPr>
          <w:rFonts w:ascii="Times New Roman" w:hAnsi="Times New Roman" w:cs="Times New Roman"/>
          <w:noProof/>
          <w:lang w:val="en-ID"/>
        </w:rPr>
        <w:t>hatterjee et al. (2017); and Heenkenda, (2014)</w:t>
      </w:r>
      <w:r w:rsidRPr="00D6136B">
        <w:rPr>
          <w:rFonts w:ascii="Times New Roman" w:hAnsi="Times New Roman" w:cs="Times New Roman"/>
        </w:rPr>
        <w:fldChar w:fldCharType="end"/>
      </w:r>
      <w:bookmarkEnd w:id="240"/>
      <w:bookmarkEnd w:id="241"/>
      <w:r w:rsidRPr="00D6136B">
        <w:rPr>
          <w:rFonts w:ascii="Times New Roman" w:hAnsi="Times New Roman" w:cs="Times New Roman"/>
          <w:lang w:val="en-ID"/>
        </w:rPr>
        <w:t xml:space="preserve"> </w:t>
      </w:r>
      <w:r w:rsidRPr="00D6136B">
        <w:rPr>
          <w:rFonts w:ascii="Times New Roman" w:hAnsi="Times New Roman" w:cs="Times New Roman"/>
        </w:rPr>
        <w:t>it is known that people can be involved in financial planning for retirement. Similar research was conducted in various countries including the Netherlands by</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{"citationItems":[{"id":"ITEM-1","itemData":{"DOI":"10.1016/j.jfineco.2011.03.006","ISSN":"0304405X","abstract":"We have devised two special modules for De Nederlandsche Bank (DNB) Household Survey to measure financial literacy and study its relationship to stock market participation. We find that the majority of respondents display basic financial knowledge and have some grasp of concepts such as interest compounding, inflation, and the time value of money. However, very few go beyond these basic concepts; many respondents do not know the difference between bonds and stocks, the relationship between bond prices and interest rates, and the basics of risk diversification. Most importantly, we find that financial literacy affects financial decision-making: Those with low literacy are much less likely to invest in stocks. © 2011 Elsevier B.V.","author":[{"dropping-particle":"","family":"Rooij","given":"Maarten","non-dropping-particle":"Van","parse-names":false,"suffix":""},{"dropping-particle":"","family":"Lusardi","given":"Annamaria","non-dropping-particle":"","parse-names":false,"suffix":""},{"dropping-particle":"","family":"Alessie","given":"Rob","non-dropping-particle":"","parse-names":false,"suffix":""}],"container-title":"Journal of Financial Economics","id":"ITEM-1","issue":"2","issued":{"date-parts":[["2011","8"]]},"page":"449-472","publisher":"Elsevier","title":"Financial literacy and stock market participation","type":"article-journal","volume":"101"},"uris":["http://www.mendeley.com/documents/?uuid=db955c5b-560d-46ee-908d-0d97a9ac11c9"]}],"mendeley":{"formattedCitation":"(M. Van Rooij et al., 2011)","manualFormatting":"Rooij et al. (2011)","plainTextFormattedCitation":"(M. Van Rooij et al., 2011)","previouslyFormattedCitation":"(M. Van Rooij et al., 2011)"},"properties":{"noteIndex":0},"schema":"https://github.com/citation-style-language/schema/raw/master/csl-citation.json"}</w:instrText>
      </w:r>
      <w:r w:rsidRPr="00D6136B">
        <w:rPr>
          <w:rFonts w:ascii="Times New Roman" w:hAnsi="Times New Roman" w:cs="Times New Roman"/>
        </w:rPr>
        <w:fldChar w:fldCharType="separate"/>
      </w:r>
      <w:bookmarkStart w:id="242" w:name="Bookmark148"/>
      <w:r w:rsidRPr="00D6136B">
        <w:rPr>
          <w:rFonts w:ascii="Times New Roman" w:hAnsi="Times New Roman" w:cs="Times New Roman"/>
          <w:noProof/>
        </w:rPr>
        <w:t>R</w:t>
      </w:r>
      <w:bookmarkStart w:id="243" w:name="Bookmark1361"/>
      <w:r w:rsidRPr="00D6136B">
        <w:rPr>
          <w:rFonts w:ascii="Times New Roman" w:hAnsi="Times New Roman" w:cs="Times New Roman"/>
          <w:noProof/>
        </w:rPr>
        <w:t>ooij et al. (2011)</w:t>
      </w:r>
      <w:r w:rsidRPr="00D6136B">
        <w:rPr>
          <w:rFonts w:ascii="Times New Roman" w:hAnsi="Times New Roman" w:cs="Times New Roman"/>
        </w:rPr>
        <w:fldChar w:fldCharType="end"/>
      </w:r>
      <w:bookmarkEnd w:id="242"/>
      <w:bookmarkEnd w:id="243"/>
      <w:r w:rsidRPr="00D6136B">
        <w:rPr>
          <w:rFonts w:ascii="Times New Roman" w:hAnsi="Times New Roman" w:cs="Times New Roman"/>
        </w:rPr>
        <w:t xml:space="preserve">, Australia by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{"citationItems":[{"id":"ITEM-1","itemData":{"abstract":"We implement a customized survey to a representative sample of 1,024 Australians to examine the relationship between financial literacy and retirement planning. Overall we find aggregate levels of financial literacy similar to comparable countries with the young, least educated, unemployed and those not in the labor force most at risk. However, unlike the international norm, we find that financial skills increase with age. The role played by the Australia's mandatory private retirement arrangements, system of defaults, and interactions with the means-tested safety net pension at older ages remain open questions.","author":[{"dropping-particle":"","family":"Agnew","given":"Julie","non-dropping-particle":"","parse-names":false,"suffix":""},{"dropping-particle":"","family":"Bateman","given":"Hazel","non-dropping-particle":"","parse-names":false,"suffix":""},{"dropping-particle":"","family":"Thorp","given":"Susan","non-dropping-particle":"","parse-names":false,"suffix":""},{"dropping-particle":"","family":"Agnew","given":"Julie R","non-dropping-particle":"","parse-names":false,"suffix":""}],"container-title":"SSRN Electronic Journal","id":"ITEM-1","issue":"2012","issued":{"date-parts":[["2013"]]},"title":"Financial Literacy and Retirement Planning in Australian Australian School of Business Working Paper Financial literacy and retirement planning in Australia","type":"article-journal"},"uris":["http://www.mendeley.com/documents/?uuid=c36dee83-740f-4b1a-941c-4a954f3b5fac"]}],"mendeley":{"formattedCitation":"(Agnew et al., 2013)","manualFormatting":"Agnew et al. (2013)","plainTextFormattedCitation":"(Agnew et al., 2013)","previouslyFormattedCitation":"(Agnew et al., 2013)"},"properties":{"noteIndex":0},"schema":"https://github.com/citation-style-language/schema/raw/master/csl-citation.json"}</w:instrText>
      </w:r>
      <w:r w:rsidRPr="00D6136B">
        <w:rPr>
          <w:rFonts w:ascii="Times New Roman" w:hAnsi="Times New Roman" w:cs="Times New Roman"/>
        </w:rPr>
        <w:fldChar w:fldCharType="separate"/>
      </w:r>
      <w:bookmarkStart w:id="244" w:name="Bookmark149"/>
      <w:r w:rsidRPr="00D6136B">
        <w:rPr>
          <w:rFonts w:ascii="Times New Roman" w:hAnsi="Times New Roman" w:cs="Times New Roman"/>
          <w:noProof/>
        </w:rPr>
        <w:t>A</w:t>
      </w:r>
      <w:bookmarkStart w:id="245" w:name="Bookmark1371"/>
      <w:r w:rsidRPr="00D6136B">
        <w:rPr>
          <w:rFonts w:ascii="Times New Roman" w:hAnsi="Times New Roman" w:cs="Times New Roman"/>
          <w:noProof/>
        </w:rPr>
        <w:t>gnew et al. (2013)</w:t>
      </w:r>
      <w:r w:rsidRPr="00D6136B">
        <w:rPr>
          <w:rFonts w:ascii="Times New Roman" w:hAnsi="Times New Roman" w:cs="Times New Roman"/>
        </w:rPr>
        <w:fldChar w:fldCharType="end"/>
      </w:r>
      <w:bookmarkEnd w:id="244"/>
      <w:bookmarkEnd w:id="245"/>
      <w:r w:rsidRPr="00D6136B">
        <w:rPr>
          <w:rFonts w:ascii="Times New Roman" w:hAnsi="Times New Roman" w:cs="Times New Roman"/>
        </w:rPr>
        <w:t xml:space="preserve"> and research conducted in Malaysia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{"citationItems":[{"id":"ITEM-1","itemData":{"DOI":"10.22610/imbr.v15i3(I).3543","ISSN":"2220-3796","abstract":"Financial planning for retirement for gig workers is relatively hard given their insecure employment. Factors like employer misplacement of gig workers, a lack of employer-sponsored pension plans, uncertain income, and insufficient financial guidance may make it difficult and stressful for gig workers to arrange their money for retirement. The researchers offer a relationship model in this study, with a quantitative research design chosen to validate the hypothesized elements and construct linkages between them. The main factors that may influence financial planning for retirement stated as financial literacy, retirement goals, future time perspective, social influence, and saving attitude as a mediator. To confirm that, a design questionnaire, which is reliable and acceptable, two steps of verification have followed. First, there is a validation phase in which the questionnaire is reviewed by a panel of experts. Before moving on to the next level, the feedback gathered was followed up on. Second, the pilot study proceeding to investigate the consistency of the instrument analyzed through Cronbach’s Alpha coefficient reliability screening in SPSS 26 software package. Moreover, the results found that all the items were reliable and the Cronbach’s Alpha coefficient above 0.7.","author":[{"dropping-particle":"","family":"Aizad","given":"Muhammad Eddy","non-dropping-particle":"","parse-names":false,"suffix":""},{"dropping-particle":"","family":"Ismail","given":"Shafinar","non-dropping-particle":"","parse-names":false,"suffix":""},{"dropping-particle":"","family":"Abd Samad","given":"Khairunnisa","non-dropping-particle":"","parse-names":false,"suffix":""}],"container-title":"Information Management and Business Review","id":"ITEM-1","issue":"3(I)","issued":{"date-parts":[["2023","10","8"]]},"page":"325-340","title":"Measuring Financial Planning for Retirement of Gig Workers in Malaysia: A Pilot Study","type":"article-journal","volume":"15"},"uris":["http://www.mendeley.com/documents/?uuid=e3a1369a-711f-405c-bbfd-fabedd678c6e"]},{"id":"ITEM-2","itemData":{"DOI":"10.14254/2071-789X.2019/12-2/18","ISSN":"2071-789X","abstract":"Many government policies contain recommendations how to improve financial literacy, particularly through programmes of financial education and personal finance. However, personal financial management is not solely related to knowledge and financial literacy; individual confidence level in own financial abilities and household differences need to be considered in this regard. This paper investigates household financial efficacy through application of psychometric instruments, financial literacy, risk preference and demographic characteristics towards saving decision behaviour. The sample covers 404 households in Peninsular Malaysia and utilises the logistic and probit empirical model. The results show that household’s financial efficacy is essential for household’s saving decision behaviour and choice of saving instrument. Financial literacy, race, education and dependence ratio and location (rural or urban) of the household also play a role in saving instruments selection. More specifically, households with higher levels of financial efficacy are more likely to use bank</w:instrText>
      </w:r>
      <w:r w:rsidRPr="00D6136B">
        <w:rPr>
          <w:rFonts w:ascii="Times New Roman" w:hAnsi="Times New Roman" w:cs="Times New Roman"/>
          <w:lang w:val="sv-SE"/>
        </w:rPr>
        <w:instrText>-based or other lower risk saving instruments as compared to non-banking-based instruments.","author":[{"dropping-particle":"","family":"Kusairi","given":"Suhal","non-dropping-particle":"","parse-names":false,"suffix":""},{"dropping-particle":"","family":"Sanusi","given":"Nur Azura","non-dropping-particle":"","parse-names":false,"suffix":""},{"dropping-particle":"","family":"Muhamad","given":"Suriyani","non-dropping-particle":"","parse-names":false,"suffix":""},{"dropping-particle":"","family":"Shukri","given":"Madihah","non-dropping-particle":"","parse-names":false,"suffix":""},{"dropping-particle":"","family":"Zamri","given":"Nadia","non-dropping-particle":"","parse-names":false,"suffix":""}],"container-title":"Economics &amp; Sociology","id":"ITEM-2","issue":"2","issued":{"date-parts":[["2019","6"]]},"page":"301-318","title":"Financial households’ efficacy, risk preference and saving behaviour: Lessons from lower-income households in Malaysia","type":"article-journal","volume":"12"},"uris":["http://www.mendeley.com/documents/?uuid=73d4418b-d468-4681-ad99-b6be5addc62f"]}],"mendeley":{"formattedCitation":"(Aizad et al., 2023; Kusairi et al., 2019)","manualFormatting":"Anuar et al.,2023; and Kusairi et al., 2019)","plainTextFormattedCitation":"(Aizad et al., 2023; Kusairi et al., 2019)","previouslyFormattedCitation":"(Aizad et al., 2023; Kusairi et al., 2019)"},"properties":{"noteIndex":0},"schema":"https://github.com/citation-style-language/schema/raw/master/csl-citation.json"}</w:instrText>
      </w:r>
      <w:r w:rsidRPr="00D6136B">
        <w:rPr>
          <w:rFonts w:ascii="Times New Roman" w:hAnsi="Times New Roman" w:cs="Times New Roman"/>
        </w:rPr>
        <w:fldChar w:fldCharType="separate"/>
      </w:r>
      <w:bookmarkStart w:id="246" w:name="Bookmark150"/>
      <w:r w:rsidRPr="00D6136B">
        <w:rPr>
          <w:rFonts w:ascii="Times New Roman" w:hAnsi="Times New Roman" w:cs="Times New Roman"/>
          <w:noProof/>
          <w:lang w:val="sv-SE"/>
        </w:rPr>
        <w:t>A</w:t>
      </w:r>
      <w:bookmarkStart w:id="247" w:name="Bookmark1381"/>
      <w:r w:rsidRPr="00D6136B">
        <w:rPr>
          <w:rFonts w:ascii="Times New Roman" w:hAnsi="Times New Roman" w:cs="Times New Roman"/>
          <w:noProof/>
          <w:lang w:val="sv-SE"/>
        </w:rPr>
        <w:t>nuar et al.,2023; and Kusairi et al., 2019)</w:t>
      </w:r>
      <w:r w:rsidRPr="00D6136B">
        <w:rPr>
          <w:rFonts w:ascii="Times New Roman" w:hAnsi="Times New Roman" w:cs="Times New Roman"/>
        </w:rPr>
        <w:fldChar w:fldCharType="end"/>
      </w:r>
      <w:bookmarkEnd w:id="246"/>
      <w:bookmarkEnd w:id="247"/>
      <w:r w:rsidRPr="00D6136B">
        <w:rPr>
          <w:rFonts w:ascii="Times New Roman" w:hAnsi="Times New Roman" w:cs="Times New Roman"/>
          <w:lang w:val="sv-SE"/>
        </w:rPr>
        <w:t xml:space="preserve">. </w:t>
      </w:r>
      <w:r w:rsidRPr="00D6136B">
        <w:rPr>
          <w:rFonts w:ascii="Times New Roman" w:hAnsi="Times New Roman" w:cs="Times New Roman"/>
        </w:rPr>
        <w:fldChar w:fldCharType="begin" w:fldLock="1"/>
      </w:r>
      <w:r w:rsidRPr="00D6136B">
        <w:rPr>
          <w:rFonts w:ascii="Times New Roman" w:hAnsi="Times New Roman" w:cs="Times New Roman"/>
          <w:lang w:val="sv-SE"/>
        </w:rPr>
        <w:instrText>ADDIN CSL_CITATION {"citationItems":[{"id":"ITEM-1","itemData":{"DOI":"10.14254/2071-789X.2019/12-2/18","ISSN":"2071-789X","abstract":"Many government policies contain recommendations how to improve financial literacy, particularly through programmes of financial education and personal finance. However, personal financial management is not solely related to knowledge and financial literacy; individual confidence level in own financial abilities and household differences need to be considered in this regard. This paper investigates household financial efficacy through application of psychometric instruments, financial literacy, risk preference and demographic characteristics towards saving decision behaviour. The sample covers 404 households in Peninsular Malaysia and utilises the logistic and probit empirical model. The results show that household’s financial efficacy is essential for household’s saving decision behaviour and choice of saving instrument. Financial literacy, race, education and dependence ratio and location (rural or urban) of the household also play a role in saving instruments selection. More specifically, households with higher levels of financial efficacy are more likely to use bank-based or other lower risk saving instruments as compared to non-banking-based instruments.","author":[{"dropping-particle":"","family":"Kusairi","given":"Suhal","non-dropping-particle":"","parse-names":false,"suffix":""},{"dropping-particle":"","family":"Sanusi","given":"Nur Azura","non-dropping-particle":"","parse-names":false,"suffix":""},{"dropping-particle":"","family":"Muhamad","given":"Suriyani","non-dropping-particle":"","parse-names":false,"suffix":""},{"dropping-particle":"","family":"Shukri","given":"Madihah","non-dropping-particle":"","parse-names":false,"suffix":""},{"dropping-particle":"","family":"Zamri","given":"Nadia","non-dropping-particle":"","parse-names":false,"suffix":""}],"container-title":"Economics &amp; Sociology","id":"ITEM-1","issue":"2","issued":{"date-parts":[["2019","6"]]},"page":"301-318","title":"Financial households’ efficacy, risk preference and saving behaviour: Lessons from lower-income households in Malaysia","type":"article-journal","volume":"12"},"uris":["http://www.mendeley.com/documents/?uuid=73d4418b-d468-4681-ad99-b6be5addc62f"]}],"mendeley":{"formattedCitation":"(Kusairi et al., 2019)","manualFormatting":"Kusairi et al. (2019)","plainTextFormattedCitation":"(Kusairi et al., 2019)","previouslyFormattedCitation":"(Kusairi et al., 2019)"},"properties":{"noteIndex":0},"schema":"https://github.com/citation-style-language/schema/raw/master/csl-citation.json"}</w:instrText>
      </w:r>
      <w:r w:rsidRPr="00D6136B">
        <w:rPr>
          <w:rFonts w:ascii="Times New Roman" w:hAnsi="Times New Roman" w:cs="Times New Roman"/>
        </w:rPr>
        <w:fldChar w:fldCharType="separate"/>
      </w:r>
      <w:bookmarkStart w:id="248" w:name="Bookmark152"/>
      <w:r w:rsidRPr="00D6136B">
        <w:rPr>
          <w:rFonts w:ascii="Times New Roman" w:hAnsi="Times New Roman" w:cs="Times New Roman"/>
          <w:noProof/>
          <w:lang w:val="sv-SE"/>
        </w:rPr>
        <w:t>K</w:t>
      </w:r>
      <w:bookmarkStart w:id="249" w:name="Bookmark1391"/>
      <w:r w:rsidRPr="00D6136B">
        <w:rPr>
          <w:rFonts w:ascii="Times New Roman" w:hAnsi="Times New Roman" w:cs="Times New Roman"/>
          <w:noProof/>
          <w:lang w:val="sv-SE"/>
        </w:rPr>
        <w:t xml:space="preserve">usairi et al. </w:t>
      </w:r>
      <w:r w:rsidRPr="00D6136B">
        <w:rPr>
          <w:rFonts w:ascii="Times New Roman" w:hAnsi="Times New Roman" w:cs="Times New Roman"/>
          <w:noProof/>
          <w:lang w:val="en-ID"/>
        </w:rPr>
        <w:t>(2019)</w:t>
      </w:r>
      <w:r w:rsidRPr="00D6136B">
        <w:rPr>
          <w:rFonts w:ascii="Times New Roman" w:hAnsi="Times New Roman" w:cs="Times New Roman"/>
        </w:rPr>
        <w:fldChar w:fldCharType="end"/>
      </w:r>
      <w:bookmarkEnd w:id="248"/>
      <w:bookmarkEnd w:id="249"/>
      <w:r w:rsidRPr="00D6136B">
        <w:rPr>
          <w:rFonts w:ascii="Times New Roman" w:hAnsi="Times New Roman" w:cs="Times New Roman"/>
          <w:lang w:val="en-ID"/>
        </w:rPr>
        <w:t xml:space="preserve"> </w:t>
      </w:r>
      <w:r w:rsidRPr="00D6136B">
        <w:rPr>
          <w:rFonts w:ascii="Times New Roman" w:hAnsi="Times New Roman" w:cs="Times New Roman"/>
        </w:rPr>
        <w:t>states that FL</w:t>
      </w:r>
      <w:r w:rsidR="00BC52EC" w:rsidRPr="00D6136B">
        <w:rPr>
          <w:rFonts w:ascii="Times New Roman" w:hAnsi="Times New Roman" w:cs="Times New Roman"/>
        </w:rPr>
        <w:t xml:space="preserve"> </w:t>
      </w:r>
      <w:r w:rsidRPr="00D6136B">
        <w:rPr>
          <w:rFonts w:ascii="Times New Roman" w:hAnsi="Times New Roman" w:cs="Times New Roman"/>
        </w:rPr>
        <w:t xml:space="preserve">includes money, currency, and capital assets, such as the ability to understand how money operates in the world, how people earn or bring it, manage it, increase its amount, and donate it to support others. The need for money in retirement can be more prosperous because of the wealth that a person owns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{"citationItems":[{"id":"ITEM-1","itemData":{"DOI":"10.5539/jpl.v9n4p43","ISSN":"1913-9055","abstract":"&lt;p class=\"MsoNormal\" style=\"text-align: justify;\"&gt;Problems have been identified pertaining to retirement scheme of the private sector employees in Malaysia where there is no legislated pension system in force. As a result of that, pension scheme and savings are more of a voluntary basis; although the principle is good but in practice many retirees suffer financially during their retirement. The objectives of this study are to examine factors contributing to individual’s retirement planning behavior and the private pension system in the private sector in Malaysia. Retirement planning behaviour in this study was measured with series of questions on behaviour about retirement planning. A total of 500 working individuals from private sectors in the age group of 40 years and above had participated in this study. The results identified several significant variables in the prediction of retirement planning among working individuals in Malaysia, including individual who had higher levels of education, higher levels of income, financial literacy, retirement goal clarity and attitude towards retirement. There is a correlation between retirement planning behavior and saving for old aged. As a response to the result collected from the survey, a legal proposition is put forward to address issues of pension during retirement among private sector’s employees.&lt;/p&gt;","author":[{"dropping-particle":"","family":"Hassan","given":"Kamal Halili","non-dropping-particle":"","parse-names":false,"suffix":""},{"dropping-particle":"","family":"Rahim","given":"Rohani Abdul","non-dropping-particle":"","parse-names":false,"suffix":""},{"dropping-particle":"","family":"Ahmad","given":"Fariza","non-dropping-particle":"","parse-names":false,"suffix":""},{"dropping-particle":"","family":"Tengku Zainuddin","given":"Tengku Noor Azira","non-dropping-particle":"","parse-names":false,"suffix":""},{"dropping-particle":"","family":"Merican","given":"Rooshida Rahim","non-dropping-particle":"","parse-names":false,"suffix":""},{"dropping-particle":"","family":"Bahari","given":"Siti Kholijah","non-dropping-particle":"","parse-names":false,"suffix":""}],"container-title":"Journal of Politics and Law","id":"ITEM-1","issue":"4","issued":{"date-parts":[["2016","5","29"]]},"page":"43","title":"Retirement Planning Behaviour of Working Individuals and Legal Proposition for New Pension System in Malaysia","type":"article-journal","volume":"9"},"uris":["http://www.mendeley.com/documents/?uuid=075416ed-bc93-4cc8-8d70-0538e55d3c61"]},{"id":"ITEM-2","itemData":{"DOI":"10.1086/690950","ISSN":"1537534X","abstract":"We show that financial knowledge is a key determinant of wealth inequality in a stochastic life cycle model with endogenous financial knowledge accumulation, where financial knowledge enables individuals to better allocate lifetime resources in a world of uncertainty and imperfect insurance. Moreover, because of how the US social insurance system works, better-educated individuals have most to gain from investing in financial knowledge. Our parsimonious specification generates substantial wealth inequality relative to a one-asset saving model and one in which returns on wealth depend on portfolio composition alone. We estimate that 30–40 percent of retirement wealth inequality is accounted for by financial knowledge.","author":[{"dropping-particle":"","family":"Lusardi","given":"Annamaria","non-dropping-particle":"","parse-names":false,"suffix":""},{"dropping-particle":"","family":"Michaud","given":"Pierre Carl","non-dropping-particle":"","parse-names":false,"suffix":""},{"dropping-particle":"","family":"Mitchell","given":"Olivia S.","non-dropping-particle":"","parse-names":false,"suffix":""}],"container-title":"Journal of Political Economy","id":"ITEM-2","issue":"2","issued":{"date-parts":[["2017"]]},"page":"431-477","title":"Optimal financial knowledge and wealth inequality","type":"article-journal","volume":"125"},"uris":["http://www.mendeley.com/documents/?uuid=07fb1e9f-32f6-4aea-84f8-173201220e3f"]},{"id":"ITEM-3","itemData":{"DOI":"10.1108/RBF-04-2020-0079","ISSN":"19405987","abstract":"Purpose: The purpose of this study is to examine the effects of demographical factors (age, education and income); psychological factors which are future time perspective (FTP) and financial risk tolerance (FRT); along with financial literacy on retirement planning among female workers in Indonesia. Design/methodology/approach: This study applies a quantitative approach, where primary data was acquired through online surveys to 529 workers in various locations in Indonesia. After data cleaning, the final sample size was 304. The PLS-SEM technique was utilised to assess the structural model in the study. Findings: The results of this study show that income affects an individual's perspective towards the future. Financial literacy is confirmed to have a direct effect on retirement planning activity. Furthermore, financial literacy appears to be a significant mediator between demographical factors and FTP in affecting retirement planning. An individual's acceptance towards risk is also affected by financial literacy. Practical implications: The general public, especially female workers group who have no retirement funds, need to be educated on financial literacy. The government might need to encourage other parties and work together to financially educate the public, specifically regarding investments for retirement planning. Originality/value: Most previous studies on retirement planning focused on demographical factors in general, and not specifically on a certain group. Filling the gap of existing studies, this study specifically discusses retirement planning done by female workers in Indonesia. Women's role as a workforce, with their psychological conditions and financial literacy, makes for an interesting topic to be studied further in terms of retirement planning.","author":[{"dropping-particle":"","family":"Larisa","given":"Linda Evelina","non-dropping-particle":"","parse-names":false,"suffix":""},{"dropping-particle":"","family":"Njo","given":"Anastasia","non-dropping-particle":"","parse-names":false,"suffix":""},{"dropping-particle":"","family":"Wijaya","given":"Serli","non-dropping-particle":"","parse-names":false,"suffix":""}],"container-title":"Review of Behavioral Finance","id":"ITEM-3","issue":"5","issued":{"date-parts":[["2020"]]},"page":"566-583","title":"Female workers' readiness for retirement planning: an evidence from Indonesia","type":"article-journal","volume":"13"},"uris":["http://www.mendeley.com/documents/?uuid=fa71b83e-b137-4477-9570-b5dd2918ad9b"]}],"mendeley":{"formattedCitation":"(Hassan et al., 2016; Larisa et al., 2020; Lusardi et al., 2017)","manualFormatting":"(Larisa et al., 2020; dan Lusardi et al., 2017)","plainTextFormattedCitation":"(Hassan et al., 2016; Larisa et al., 2020; Lusardi et al., 2017)","previouslyFormattedCitation":"(Hassan et al., 2016; Larisa et al., 2020; Lusardi et al., 2017)"},"properties":{"noteIndex":0},"schema":"https://github.com/citation-style-language/schema/raw/master/csl-citation.json"}</w:instrText>
      </w:r>
      <w:r w:rsidRPr="00D6136B">
        <w:rPr>
          <w:rFonts w:ascii="Times New Roman" w:hAnsi="Times New Roman" w:cs="Times New Roman"/>
        </w:rPr>
        <w:fldChar w:fldCharType="separate"/>
      </w:r>
      <w:bookmarkStart w:id="250" w:name="Bookmark153"/>
      <w:r w:rsidRPr="00D6136B">
        <w:rPr>
          <w:rFonts w:ascii="Times New Roman" w:hAnsi="Times New Roman" w:cs="Times New Roman"/>
          <w:noProof/>
          <w:lang w:val="en-ID"/>
        </w:rPr>
        <w:t>(</w:t>
      </w:r>
      <w:bookmarkStart w:id="251" w:name="Bookmark1401"/>
      <w:r w:rsidRPr="00D6136B">
        <w:rPr>
          <w:rFonts w:ascii="Times New Roman" w:hAnsi="Times New Roman" w:cs="Times New Roman"/>
          <w:noProof/>
          <w:lang w:val="en-ID"/>
        </w:rPr>
        <w:t>Larisa et al., 2020; dan Lusardi et al., 2017)</w:t>
      </w:r>
      <w:r w:rsidRPr="00D6136B">
        <w:rPr>
          <w:rFonts w:ascii="Times New Roman" w:hAnsi="Times New Roman" w:cs="Times New Roman"/>
        </w:rPr>
        <w:fldChar w:fldCharType="end"/>
      </w:r>
      <w:bookmarkEnd w:id="250"/>
      <w:bookmarkEnd w:id="251"/>
      <w:r w:rsidRPr="00D6136B">
        <w:rPr>
          <w:rFonts w:ascii="Times New Roman" w:hAnsi="Times New Roman" w:cs="Times New Roman"/>
          <w:lang w:val="en-ID"/>
        </w:rPr>
        <w:t xml:space="preserve">. </w:t>
      </w:r>
      <w:r w:rsidR="007E4D8B" w:rsidRPr="00D6136B">
        <w:rPr>
          <w:rFonts w:ascii="Times New Roman" w:hAnsi="Times New Roman" w:cs="Times New Roman"/>
        </w:rPr>
        <w:t>FL</w:t>
      </w:r>
      <w:r w:rsidRPr="00D6136B">
        <w:rPr>
          <w:rFonts w:ascii="Times New Roman" w:hAnsi="Times New Roman" w:cs="Times New Roman"/>
        </w:rPr>
        <w:t xml:space="preserve">, financial behavior, and financial anxiety affect financial well-being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{"citationItems":[{"id":"ITEM-1","itemData":{"ISBN":"0000000345","abstract":"This study aims to analyze how Financial Literacy, Financial Behaviour and Financial Anxiety influence Financial Well Being of Top Management Level Employees. A cross-sectional survey was employed on 256 respondents randomly selected from top management level of manufacture company. It then tests their hypothesized relationships with the use of Partial Least Squares (PLS), a structural equation modelling technique. The result reveal that financial behaviour and financial anxiety significantly influence the financial well-being of employee. Financial literacy also influences the financial anxiety, financial behaviour and financial well-being. Financial behaviour of an individual also determine the level of financial wellbeing of the respondents. Positive and healthy financial behavior leads toward the higher level of financial wellbeing. There is significant and positive effect of financial literacy to financial behaviour of top management level of employees.","author":[{"dropping-particle":"","family":"Pijoh Lidwina, Indradewa Rhian","given":"Syah TYR","non-dropping-particle":"","parse-names":false,"suffix":""}],"container-title":"Financial Literacy, Financial Behaviour and Financial Anxiety; Implication Well Being of Top Management Level Employees","id":"ITEM-1","issue":"4","issued":{"date-parts":[["2020"]]},"page":"527-534","title":"Research Article Research Article","type":"article-journal","volume":"4"},"uris":["http://www.mendeley.com/documents/?uuid=057e1fb0-8edf-4219-83ab-081523504fd2"]}],"mendeley":{"formattedCitation":"(Pijoh Lidwina, Indradewa Rhian, 2020)","manualFormatting":"(Syah et al., 2020)","plainTextFormattedCitation":"(Pijoh Lidwina, Indradewa Rhian, 2020)","previouslyFormattedCitation":"(Pijoh Lidwina, Indradewa Rhian, 2020)"},"properties":{"noteIndex":0},"schema":"https://github.com/citation-style-language/schema/raw/master/csl-citation.json"}</w:instrText>
      </w:r>
      <w:r w:rsidRPr="00D6136B">
        <w:rPr>
          <w:rFonts w:ascii="Times New Roman" w:hAnsi="Times New Roman" w:cs="Times New Roman"/>
        </w:rPr>
        <w:fldChar w:fldCharType="separate"/>
      </w:r>
      <w:bookmarkStart w:id="252" w:name="Bookmark154"/>
      <w:r w:rsidRPr="00D6136B">
        <w:rPr>
          <w:rFonts w:ascii="Times New Roman" w:hAnsi="Times New Roman" w:cs="Times New Roman"/>
          <w:noProof/>
          <w:lang w:val="en-ID"/>
        </w:rPr>
        <w:t>(</w:t>
      </w:r>
      <w:bookmarkStart w:id="253" w:name="Bookmark1411"/>
      <w:r w:rsidRPr="00D6136B">
        <w:rPr>
          <w:rFonts w:ascii="Times New Roman" w:hAnsi="Times New Roman" w:cs="Times New Roman"/>
          <w:noProof/>
          <w:lang w:val="en-ID"/>
        </w:rPr>
        <w:t>Syah et al., 2020)</w:t>
      </w:r>
      <w:r w:rsidRPr="00D6136B">
        <w:rPr>
          <w:rFonts w:ascii="Times New Roman" w:hAnsi="Times New Roman" w:cs="Times New Roman"/>
        </w:rPr>
        <w:fldChar w:fldCharType="end"/>
      </w:r>
      <w:bookmarkEnd w:id="252"/>
      <w:bookmarkEnd w:id="253"/>
      <w:r w:rsidRPr="00D6136B">
        <w:rPr>
          <w:rFonts w:ascii="Times New Roman" w:hAnsi="Times New Roman" w:cs="Times New Roman"/>
          <w:lang w:val="en-ID"/>
        </w:rPr>
        <w:t>.</w:t>
      </w:r>
      <w:r w:rsidR="007E4D8B" w:rsidRPr="00D6136B">
        <w:rPr>
          <w:rFonts w:ascii="Times New Roman" w:hAnsi="Times New Roman" w:cs="Times New Roman"/>
          <w:lang w:val="en-ID"/>
        </w:rPr>
        <w:t xml:space="preserve"> </w:t>
      </w:r>
      <w:r w:rsidRPr="00D6136B">
        <w:rPr>
          <w:rFonts w:ascii="Times New Roman" w:hAnsi="Times New Roman" w:cs="Times New Roman"/>
        </w:rPr>
        <w:t xml:space="preserve">From research </w:t>
      </w:r>
      <w:r w:rsidRPr="00D6136B">
        <w:rPr>
          <w:rFonts w:ascii="Times New Roman" w:hAnsi="Times New Roman" w:cs="Times New Roman"/>
          <w:lang w:val="en-ID"/>
        </w:rPr>
        <w:t xml:space="preserve">Syah et al. (2020) </w:t>
      </w:r>
      <w:r w:rsidRPr="00D6136B">
        <w:rPr>
          <w:rFonts w:ascii="Times New Roman" w:hAnsi="Times New Roman" w:cs="Times New Roman"/>
        </w:rPr>
        <w:t>also found that a person with higher FL</w:t>
      </w:r>
      <w:r w:rsidR="00BC52EC" w:rsidRPr="00D6136B">
        <w:rPr>
          <w:rFonts w:ascii="Times New Roman" w:hAnsi="Times New Roman" w:cs="Times New Roman"/>
        </w:rPr>
        <w:t xml:space="preserve"> </w:t>
      </w:r>
      <w:r w:rsidRPr="00D6136B">
        <w:rPr>
          <w:rFonts w:ascii="Times New Roman" w:hAnsi="Times New Roman" w:cs="Times New Roman"/>
        </w:rPr>
        <w:t>will get better financial well-being</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{"citationItems":[{"id":"ITEM-1","itemData":{"DOI":"10.30596/ijbe.v1i1.3442","ISSN":"2686472X","abstract":"This study aims to determine the effect of financial literacy and financial inclusion on retirement planning. This study used a quantitative method with 236 respondents and processed by the method of multiple linear regression analysis. The results of the study show that financial literacy and financial inclusion have a significant effect on retirement planning, means that the higher financial literacy and financial inclusion of a person, the better their retirement planning. In addition, the results of the study showed that respondents were dominated by moderate financial literacy levels with a percentage of 55.08%, moderate financial inclusion levels with a percentage of 57.20% and high retirement planning levels with presentations of 52.54% of the total respondents. Researchers also conduct additional research by choosing one of the demographic factors, which is monthly income. The results that monthly earnings also influence retirement planning where the higher a person's monthly income, the better their retirement planning.","author":[{"dropping-particle":"","family":"Baskoro","given":"Rahmat Aryo","non-dropping-particle":"","parse-names":false,"suffix":""},{"dropping-particle":"","family":"Aulia","given":"Rensi","non-dropping-particle":"","parse-names":false,"suffix":""}],"container-title":"International Journal of Business Economics (IJBE)","id":"ITEM-1","issue":"1","issued":{"date-parts":[["2019","9","30"]]},"page":"49-58","title":"The Effect of Financial Literacy and Financial Inclusion on Retirement Planning","type":"article-journal","volume":"1"},"uris":["http://www.mendeley.com/documents/?uuid=03e253cd-141e-492b-9ffe-7316e8e519b7"]},{"id":"ITEM-2","itemData":{"DOI":"10.3390/ijfs10030066","ISSN":"2227-7072","abstract":"This research examined the gist of financial literacy on the medium entrepreneurs in Indonesia, impacting the retirement planning through some mediator and moderating variables. Implementing the prospect theory and theory of planned behavior to explore these interactions, a series of hypotheses were constructed, considering financial risk tolerance and saving behavior as mediator variables and herding behavior as moderator variables. The study examined partial least square-structural equation modelling (PLS-SEM) obtained by sampling data from 388 entrepreneurs of medium-scale in the Bekasi Regency, Indonesia. The study revealed (a) how financial literacy on retirement planning is serial mediated by financial risk tolerance and saving behavior, (b) herding behavior can strengthen financial literacy’s influence on retirement planning, and (c) saving behavior as a mediator does not influence the relationship between financial literacy and retirement planning. The study confirms how financial risk tolerance and herding behavior bridge a positive relationship between financial literacy and retirement planning.","author":[{"dropping-particle":"","family":"Harahap","given":"Subur","non-dropping-particle":"","parse-names":false,"suffix":""},{"dropping-particle":"","family":"Thoyib","given":"Armanu","non-dropping-particle":"","parse-names":false,"suffix":""},{"dropping-particle":"","family":"Sumiati","given":"Sumiati","non-dropping-particle":"","parse-names":false,"suffix":""},{"dropping-particle":"","family":"Djazuli","given":"Atim","non-dropping-particle":"","parse-names":false,"suffix":""}],"container-title":"International Journal of Financial Studies","id":"ITEM-2","issue":"3","issued":{"date-parts":[["2022","8","9"]]},"page":"66","title":"The Impact of Financial Literacy on Retirement Planning with Serial Mediation of Financial Risk Tolerance and Saving Behavior: Evidence of Medium Entrepreneurs in Indonesia","type":"article-journal","volume":"10"},"uris":["http://www.mendeley.com/documents/?uuid=4e83eb41-a281-4528-8b4f-b5b5cc6e69fe"]}],"mendeley":{"formattedCitation":"(Baskoro &amp; Aulia, 2019; Harahap et al., 2022)","manualFormatting":"Harahap et al. (2022) ","plainTextFormattedCitation":"(Baskoro &amp; Aulia, 2019; Harahap et al., 2022)","previouslyFormattedCitation":"(Baskoro &amp; Aulia, 2019; Harahap et al., 2022)"},"properties":{"noteIndex":0},"schema":"https://github.com/citation-style-language/schema/raw/master/csl-citation.json"}</w:instrText>
      </w:r>
      <w:r w:rsidRPr="00D6136B">
        <w:rPr>
          <w:rFonts w:ascii="Times New Roman" w:hAnsi="Times New Roman" w:cs="Times New Roman"/>
        </w:rPr>
        <w:fldChar w:fldCharType="separate"/>
      </w:r>
      <w:bookmarkStart w:id="254" w:name="Bookmark155"/>
      <w:r w:rsidRPr="00D6136B">
        <w:rPr>
          <w:rFonts w:ascii="Times New Roman" w:hAnsi="Times New Roman" w:cs="Times New Roman"/>
          <w:noProof/>
          <w:lang w:val="en-ID"/>
        </w:rPr>
        <w:t>H</w:t>
      </w:r>
      <w:bookmarkStart w:id="255" w:name="Bookmark1421"/>
      <w:r w:rsidRPr="00D6136B">
        <w:rPr>
          <w:rFonts w:ascii="Times New Roman" w:hAnsi="Times New Roman" w:cs="Times New Roman"/>
          <w:noProof/>
          <w:lang w:val="en-ID"/>
        </w:rPr>
        <w:t xml:space="preserve">arahap et al. (2022) </w:t>
      </w:r>
      <w:r w:rsidRPr="00D6136B">
        <w:rPr>
          <w:rFonts w:ascii="Times New Roman" w:hAnsi="Times New Roman" w:cs="Times New Roman"/>
        </w:rPr>
        <w:fldChar w:fldCharType="end"/>
      </w:r>
      <w:bookmarkEnd w:id="254"/>
      <w:bookmarkEnd w:id="255"/>
      <w:r w:rsidRPr="00D6136B">
        <w:rPr>
          <w:rFonts w:ascii="Times New Roman" w:hAnsi="Times New Roman" w:cs="Times New Roman"/>
        </w:rPr>
        <w:t>conveying the results of his research that there is a direct comparison between FLand retirement preparation, where the better the financial literacy, the better the retirement preparation of an individual. Based on the explanation above, the following hypothesis is proposed:</w:t>
      </w:r>
    </w:p>
    <w:p w14:paraId="6253FCE2" w14:textId="56035554" w:rsidR="00D97723" w:rsidRPr="00D05EC2" w:rsidRDefault="00456E38">
      <w:pPr>
        <w:pStyle w:val="Heading2"/>
        <w:tabs>
          <w:tab w:val="left" w:pos="620"/>
        </w:tabs>
        <w:spacing w:before="93" w:line="276" w:lineRule="auto"/>
        <w:ind w:firstLine="0"/>
        <w:jc w:val="both"/>
        <w:rPr>
          <w:rFonts w:ascii="Times New Roman" w:hAnsi="Times New Roman" w:cs="Times New Roman"/>
          <w:b w:val="0"/>
          <w:bCs w:val="0"/>
          <w:i w:val="0"/>
          <w:iCs w:val="0"/>
          <w:color w:val="231F20"/>
          <w:w w:val="90"/>
          <w:sz w:val="24"/>
          <w:szCs w:val="24"/>
          <w:lang w:val="en-ID"/>
        </w:rPr>
      </w:pPr>
      <w:r w:rsidRPr="00D05EC2">
        <w:rPr>
          <w:rFonts w:ascii="Times New Roman" w:hAnsi="Times New Roman" w:cs="Times New Roman"/>
          <w:b w:val="0"/>
          <w:bCs w:val="0"/>
          <w:i w:val="0"/>
          <w:iCs w:val="0"/>
          <w:color w:val="231F20"/>
          <w:w w:val="90"/>
          <w:sz w:val="24"/>
          <w:szCs w:val="24"/>
          <w:lang w:val="en-ID"/>
        </w:rPr>
        <w:t>H4: FL</w:t>
      </w:r>
      <w:r w:rsidR="00D05EC2" w:rsidRPr="00D05EC2">
        <w:rPr>
          <w:rFonts w:ascii="Times New Roman" w:hAnsi="Times New Roman" w:cs="Times New Roman"/>
          <w:b w:val="0"/>
          <w:bCs w:val="0"/>
          <w:i w:val="0"/>
          <w:iCs w:val="0"/>
          <w:color w:val="231F20"/>
          <w:w w:val="90"/>
          <w:sz w:val="24"/>
          <w:szCs w:val="24"/>
          <w:lang w:val="en-ID"/>
        </w:rPr>
        <w:t xml:space="preserve"> </w:t>
      </w:r>
      <w:r w:rsidRPr="00D05EC2">
        <w:rPr>
          <w:rFonts w:ascii="Times New Roman" w:hAnsi="Times New Roman" w:cs="Times New Roman"/>
          <w:b w:val="0"/>
          <w:bCs w:val="0"/>
          <w:i w:val="0"/>
          <w:iCs w:val="0"/>
          <w:color w:val="231F20"/>
          <w:w w:val="90"/>
          <w:sz w:val="24"/>
          <w:szCs w:val="24"/>
          <w:lang w:val="en-ID"/>
        </w:rPr>
        <w:t xml:space="preserve">has a positive effect on </w:t>
      </w:r>
      <w:proofErr w:type="spellStart"/>
      <w:r w:rsidR="00D6136B">
        <w:rPr>
          <w:rFonts w:ascii="Times New Roman" w:hAnsi="Times New Roman" w:cs="Times New Roman"/>
          <w:b w:val="0"/>
          <w:bCs w:val="0"/>
          <w:i w:val="0"/>
          <w:iCs w:val="0"/>
          <w:color w:val="231F20"/>
          <w:w w:val="90"/>
          <w:sz w:val="24"/>
          <w:szCs w:val="24"/>
          <w:lang w:val="en-ID"/>
        </w:rPr>
        <w:t>rp</w:t>
      </w:r>
      <w:proofErr w:type="spellEnd"/>
    </w:p>
    <w:p w14:paraId="4B195819" w14:textId="77777777" w:rsidR="00D97723" w:rsidRPr="00D05EC2" w:rsidRDefault="00D97723">
      <w:pPr>
        <w:pStyle w:val="Heading2"/>
        <w:tabs>
          <w:tab w:val="left" w:pos="620"/>
        </w:tabs>
        <w:spacing w:before="93" w:line="276" w:lineRule="auto"/>
        <w:ind w:firstLine="0"/>
        <w:jc w:val="both"/>
        <w:rPr>
          <w:rFonts w:ascii="Times New Roman" w:hAnsi="Times New Roman" w:cs="Times New Roman"/>
          <w:b w:val="0"/>
          <w:bCs w:val="0"/>
          <w:i w:val="0"/>
          <w:iCs w:val="0"/>
          <w:sz w:val="24"/>
          <w:szCs w:val="24"/>
          <w:lang w:val="en-ID"/>
        </w:rPr>
      </w:pPr>
    </w:p>
    <w:p w14:paraId="26558370" w14:textId="3AEB4431" w:rsidR="00D97723" w:rsidRPr="00D05EC2" w:rsidRDefault="00456E38">
      <w:pPr>
        <w:pStyle w:val="Heading2"/>
        <w:numPr>
          <w:ilvl w:val="2"/>
          <w:numId w:val="1"/>
        </w:numPr>
        <w:tabs>
          <w:tab w:val="left" w:pos="620"/>
        </w:tabs>
        <w:spacing w:before="93"/>
        <w:jc w:val="both"/>
        <w:rPr>
          <w:rFonts w:ascii="Times New Roman" w:hAnsi="Times New Roman" w:cs="Times New Roman"/>
          <w:b w:val="0"/>
          <w:bCs w:val="0"/>
          <w:sz w:val="24"/>
          <w:szCs w:val="24"/>
          <w:lang w:val="en-ID"/>
        </w:rPr>
      </w:pPr>
      <w:r w:rsidRPr="00D05EC2">
        <w:rPr>
          <w:rFonts w:ascii="Times New Roman" w:hAnsi="Times New Roman" w:cs="Times New Roman"/>
          <w:b w:val="0"/>
          <w:bCs w:val="0"/>
          <w:sz w:val="24"/>
          <w:szCs w:val="24"/>
        </w:rPr>
        <w:t>Herding behavior</w:t>
      </w:r>
      <w:r w:rsidR="00EF27A7" w:rsidRPr="00D05EC2">
        <w:rPr>
          <w:rFonts w:ascii="Times New Roman" w:hAnsi="Times New Roman" w:cs="Times New Roman"/>
          <w:b w:val="0"/>
          <w:bCs w:val="0"/>
          <w:sz w:val="24"/>
          <w:szCs w:val="24"/>
        </w:rPr>
        <w:t xml:space="preserve"> </w:t>
      </w:r>
      <w:r w:rsidRPr="00D05EC2">
        <w:rPr>
          <w:rFonts w:ascii="Times New Roman" w:hAnsi="Times New Roman" w:cs="Times New Roman"/>
          <w:b w:val="0"/>
          <w:bCs w:val="0"/>
          <w:sz w:val="24"/>
          <w:szCs w:val="24"/>
        </w:rPr>
        <w:t>positively moderates the influence of FL</w:t>
      </w:r>
      <w:r w:rsidR="00EF27A7" w:rsidRPr="00D05EC2">
        <w:rPr>
          <w:rFonts w:ascii="Times New Roman" w:hAnsi="Times New Roman" w:cs="Times New Roman"/>
          <w:b w:val="0"/>
          <w:bCs w:val="0"/>
          <w:sz w:val="24"/>
          <w:szCs w:val="24"/>
        </w:rPr>
        <w:t xml:space="preserve"> </w:t>
      </w:r>
      <w:r w:rsidRPr="00D05EC2">
        <w:rPr>
          <w:rFonts w:ascii="Times New Roman" w:hAnsi="Times New Roman" w:cs="Times New Roman"/>
          <w:b w:val="0"/>
          <w:bCs w:val="0"/>
          <w:sz w:val="24"/>
          <w:szCs w:val="24"/>
        </w:rPr>
        <w:t xml:space="preserve">on retirement </w:t>
      </w:r>
      <w:r w:rsidR="00D05EC2" w:rsidRPr="00D05EC2">
        <w:rPr>
          <w:rFonts w:ascii="Times New Roman" w:hAnsi="Times New Roman" w:cs="Times New Roman"/>
          <w:b w:val="0"/>
          <w:bCs w:val="0"/>
          <w:sz w:val="24"/>
          <w:szCs w:val="24"/>
        </w:rPr>
        <w:t>preparation.</w:t>
      </w:r>
    </w:p>
    <w:p w14:paraId="39A016B0" w14:textId="0099601C" w:rsidR="00D97723" w:rsidRPr="00D6136B" w:rsidRDefault="00456E38">
      <w:pPr>
        <w:spacing w:line="276" w:lineRule="auto"/>
        <w:ind w:left="60"/>
        <w:jc w:val="both"/>
        <w:rPr>
          <w:rFonts w:ascii="Times New Roman" w:hAnsi="Times New Roman" w:cs="Times New Roman"/>
        </w:rPr>
      </w:pP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{"citationItems":[{"id":"ITEM-1","itemData":{"DOI":"10.1111/j.1532-950X.1995.tb01298.x","ISSN":"0161-3499","PMID":"7701774","abstract":"This paper provides an overview of the recent theoretical and empirical research on herd behavior in financial markets. It looks at what precisely is meant by herding, the causes of herd behavior, the success of existing studies in identifying the phenomenon, and the effect that herding has on financial markets.","author":[{"dropping-particle":"","family":"Bikhchandani","given":"Sushil","non-dropping-particle":"","parse-names":false,"suffix":""},{"dropping-particle":"","family":"Sharma","given":"Sunil","non-dropping-particle":"","parse-names":false,"suffix":""}],"id":"ITEM-1","issue":"1","issued":{"date-parts":[["2001","1","28"]]},"page":"69-72","title":"Herd Behavior in Financial Markets","type":"article-journal","volume":"24"},"uris":["http://www.mendeley.com/documents/?uuid=5ab7261b-a531-4150-9e80-b9d3af38d447"]}],"mendeley":{"formattedCitation":"(Bikhchandani &amp; Sharma, 2001)","manualFormatting":"Bikhchandani &amp; Sharma  (2001)","plainTextFormattedCitation":"(Bikhchandani &amp; Sharma, 2001)","previouslyFormattedCitation":"(Bikhchandani &amp; Sharma, 2001)"},"properties":{"noteIndex":0},"schema":"https://github.com/citation-style-language/schema/raw/master/csl-citation.json"}</w:instrText>
      </w:r>
      <w:r w:rsidRPr="00D6136B">
        <w:rPr>
          <w:rFonts w:ascii="Times New Roman" w:hAnsi="Times New Roman" w:cs="Times New Roman"/>
        </w:rPr>
        <w:fldChar w:fldCharType="separate"/>
      </w:r>
      <w:bookmarkStart w:id="256" w:name="Bookmark156"/>
      <w:r w:rsidRPr="00D6136B">
        <w:rPr>
          <w:rFonts w:ascii="Times New Roman" w:hAnsi="Times New Roman" w:cs="Times New Roman"/>
          <w:noProof/>
          <w:lang w:val="en-ID"/>
        </w:rPr>
        <w:t>B</w:t>
      </w:r>
      <w:bookmarkStart w:id="257" w:name="Bookmark1431"/>
      <w:r w:rsidRPr="00D6136B">
        <w:rPr>
          <w:rFonts w:ascii="Times New Roman" w:hAnsi="Times New Roman" w:cs="Times New Roman"/>
          <w:noProof/>
          <w:lang w:val="en-ID"/>
        </w:rPr>
        <w:t>ikhchandani &amp; Sharma  (2001)</w:t>
      </w:r>
      <w:r w:rsidRPr="00D6136B">
        <w:rPr>
          <w:rFonts w:ascii="Times New Roman" w:hAnsi="Times New Roman" w:cs="Times New Roman"/>
        </w:rPr>
        <w:fldChar w:fldCharType="end"/>
      </w:r>
      <w:bookmarkEnd w:id="256"/>
      <w:bookmarkEnd w:id="257"/>
      <w:r w:rsidRPr="00D6136B">
        <w:rPr>
          <w:rFonts w:ascii="Times New Roman" w:hAnsi="Times New Roman" w:cs="Times New Roman"/>
          <w:lang w:val="en-ID"/>
        </w:rPr>
        <w:t xml:space="preserve"> </w:t>
      </w:r>
      <w:r w:rsidRPr="00D6136B">
        <w:rPr>
          <w:rFonts w:ascii="Times New Roman" w:hAnsi="Times New Roman" w:cs="Times New Roman"/>
        </w:rPr>
        <w:t xml:space="preserve">making observations about herding behavior can be in the form of rational or irrational investor behavior, where rational behavior occurs when an investor takes advantage of information about the behavior of others. From the results of the research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{"citationItems":[{"id":"ITEM-1","itemData":{"abstract":"The present paper introduces a new dataset, the Rand American Life Panel (ALP), which offers several appealing features for an analysis of financial literacy and retirement planning. It allows us to evaluate financial knowledge during workers’ prime earning years when they are making key financial decisions, and it offers detailed financial literacy and retirement planning questions, permitting a finer assessment of respondents’ financial literacy than heretofore feasible. We can also compare respondents’ self- assessed financial knowledge levels with objective measures of financial literacy, and most valuably, we can investigate prior financial training which permits us to identify key causal links. By every measure, and in every sample we examine, financial literacy proves to be a key determinant of retirement planning. We also find that respondent literacy is higher when they were exposed to economics in school and to company-based financial education programs. Authors’","author":[{"dropping-particle":"","family":"Lusardi","given":"Annamaria","non-dropping-particle":"","parse-names":false,"suffix":""},{"dropping-particle":"","family":"Mitchell","given":"Olivia S","non-dropping-particle":"","parse-names":false,"suffix":""}],"id":"ITEM-1","issued":{"date-parts":[["2007"]]},"title":"Financial Literacy and Retirement Planning: New Evidence from the Rand American Life Panel","type":"article-journal"},"uris":["http://www.mendeley.com/documents/?uuid=5bfada0c-5fd9-4345-a01d-cd1dfe13cac1"]}],"mendeley":{"formattedCitation":"(Lusardi &amp; Mitchell, 2007)","manualFormatting":"Lusardi &amp; Mitchell (2007)","plainTextFormattedCitation":"(Lusardi &amp; Mitchell, 2007)","previouslyFormattedCitation":"(Lusardi &amp; Mitchell, 2007)"},"properties":{"noteIndex":0},"schema":"https://github.com/citation-style-language/schema/raw/master/csl-citation.json"}</w:instrText>
      </w:r>
      <w:r w:rsidRPr="00D6136B">
        <w:rPr>
          <w:rFonts w:ascii="Times New Roman" w:hAnsi="Times New Roman" w:cs="Times New Roman"/>
        </w:rPr>
        <w:fldChar w:fldCharType="separate"/>
      </w:r>
      <w:bookmarkStart w:id="258" w:name="Bookmark157"/>
      <w:r w:rsidRPr="00D6136B">
        <w:rPr>
          <w:rFonts w:ascii="Times New Roman" w:hAnsi="Times New Roman" w:cs="Times New Roman"/>
          <w:noProof/>
          <w:lang w:val="en-ID"/>
        </w:rPr>
        <w:t>L</w:t>
      </w:r>
      <w:bookmarkStart w:id="259" w:name="Bookmark1441"/>
      <w:r w:rsidRPr="00D6136B">
        <w:rPr>
          <w:rFonts w:ascii="Times New Roman" w:hAnsi="Times New Roman" w:cs="Times New Roman"/>
          <w:noProof/>
          <w:lang w:val="en-ID"/>
        </w:rPr>
        <w:t>usardi &amp; Mitchell (2007)</w:t>
      </w:r>
      <w:r w:rsidRPr="00D6136B">
        <w:rPr>
          <w:rFonts w:ascii="Times New Roman" w:hAnsi="Times New Roman" w:cs="Times New Roman"/>
        </w:rPr>
        <w:fldChar w:fldCharType="end"/>
      </w:r>
      <w:bookmarkEnd w:id="258"/>
      <w:bookmarkEnd w:id="259"/>
      <w:r w:rsidRPr="00D6136B">
        <w:rPr>
          <w:rFonts w:ascii="Times New Roman" w:hAnsi="Times New Roman" w:cs="Times New Roman"/>
          <w:lang w:val="en-ID"/>
        </w:rPr>
        <w:t xml:space="preserve"> </w:t>
      </w:r>
      <w:r w:rsidRPr="00D6136B">
        <w:rPr>
          <w:rFonts w:ascii="Times New Roman" w:hAnsi="Times New Roman" w:cs="Times New Roman"/>
        </w:rPr>
        <w:t>it is known that FL</w:t>
      </w:r>
      <w:r w:rsidR="00EF27A7" w:rsidRPr="00D6136B">
        <w:rPr>
          <w:rFonts w:ascii="Times New Roman" w:hAnsi="Times New Roman" w:cs="Times New Roman"/>
        </w:rPr>
        <w:t xml:space="preserve"> </w:t>
      </w:r>
      <w:r w:rsidRPr="00D6136B">
        <w:rPr>
          <w:rFonts w:ascii="Times New Roman" w:hAnsi="Times New Roman" w:cs="Times New Roman"/>
        </w:rPr>
        <w:t>affects retirement planning. Investors with high FL</w:t>
      </w:r>
      <w:r w:rsidR="00EF27A7" w:rsidRPr="00D6136B">
        <w:rPr>
          <w:rFonts w:ascii="Times New Roman" w:hAnsi="Times New Roman" w:cs="Times New Roman"/>
        </w:rPr>
        <w:t xml:space="preserve"> </w:t>
      </w:r>
      <w:r w:rsidRPr="00D6136B">
        <w:rPr>
          <w:rFonts w:ascii="Times New Roman" w:hAnsi="Times New Roman" w:cs="Times New Roman"/>
        </w:rPr>
        <w:t>tend to engage in irrational behavior less often than others</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{"citationItems":[{"id":"ITEM-1","itemData":{"DOI":"10.1016/j.jbankfin.2013.01.013","ISSN":"03784266","abstract":"We use survey data from a sample of UK households to analyse the relationship between financial literacy and consumer credit portfolios. We show that individuals who borrow on consumer credit exhibit worse financial literacy than those who do not. Borrowers with poor financial literacy hold higher shares of high cost credit (such as home collected credit, mail order catalogue debt and payday loans) than those with higher literacy. We also show that individuals with poor financial literacy are more likely to lack confidence when interpreting credit terms, and to exhibit confusion over financial concepts. They are also less likely to engage in behaviour which might help them to improve their awareness of the credit market. © 2013 Elsevier B.V.","author":[{"dropping-particle":"","family":"Disney","given":"Richard","non-dropping-particle":"","parse-names":false,"suffix":""},{"dropping-particle":"","family":"Gathergood","given":"John","non-dropping-particle":"","parse-names":false,"suffix":""}],"container-title":"Journal of Banking &amp; Finance","id":"ITEM-1","issue":"7","issued":{"date-parts":[["2013","7"]]},"page":"2246-2254","publisher":"Elsevier B.V.","title":"Financial literacy and consumer credit portfolios","type":"article-journal","volume":"37"},"uris":["http://www.mendeley.com/documents/?uuid=c5e4278d-b801-4f9d-8e78-f62d5f3bef2e"]}],"mendeley":{"formattedCitation":"(Disney &amp; Gathergood, 2013)","plainTextFormattedCitation":"(Disney &amp; Gathergood, 2013)","previouslyFormattedCitation":"(Disney &amp; Gathergood, 2013)"},"properties":{"noteIndex":0},"schema":"https://github.com/citation-style-language/schema/raw/master/csl-citation.json"}</w:instrText>
      </w:r>
      <w:r w:rsidRPr="00D6136B">
        <w:rPr>
          <w:rFonts w:ascii="Times New Roman" w:hAnsi="Times New Roman" w:cs="Times New Roman"/>
        </w:rPr>
        <w:fldChar w:fldCharType="separate"/>
      </w:r>
      <w:bookmarkStart w:id="260" w:name="Bookmark158"/>
      <w:r w:rsidRPr="00D6136B">
        <w:rPr>
          <w:rFonts w:ascii="Times New Roman" w:hAnsi="Times New Roman" w:cs="Times New Roman"/>
          <w:noProof/>
          <w:lang w:val="en-ID"/>
        </w:rPr>
        <w:t>(</w:t>
      </w:r>
      <w:bookmarkStart w:id="261" w:name="Bookmark1451"/>
      <w:r w:rsidRPr="00D6136B">
        <w:rPr>
          <w:rFonts w:ascii="Times New Roman" w:hAnsi="Times New Roman" w:cs="Times New Roman"/>
          <w:noProof/>
          <w:lang w:val="en-ID"/>
        </w:rPr>
        <w:t>Disney &amp; Gathergood, 2013)</w:t>
      </w:r>
      <w:r w:rsidRPr="00D6136B">
        <w:rPr>
          <w:rFonts w:ascii="Times New Roman" w:hAnsi="Times New Roman" w:cs="Times New Roman"/>
        </w:rPr>
        <w:fldChar w:fldCharType="end"/>
      </w:r>
      <w:bookmarkEnd w:id="260"/>
      <w:bookmarkEnd w:id="261"/>
      <w:r w:rsidRPr="00D6136B">
        <w:rPr>
          <w:rFonts w:ascii="Times New Roman" w:hAnsi="Times New Roman" w:cs="Times New Roman"/>
          <w:lang w:val="en-ID"/>
        </w:rPr>
        <w:t xml:space="preserve">. </w:t>
      </w:r>
      <w:r w:rsidRPr="00D6136B">
        <w:rPr>
          <w:rFonts w:ascii="Times New Roman" w:hAnsi="Times New Roman" w:cs="Times New Roman"/>
        </w:rPr>
        <w:t xml:space="preserve">Therefore, these investors apply the right methods when making investment decisions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{"citationItems":[{"id":"ITEM-1","itemData":{"DOI":"10.1108/15265940911001402","ISSN":"1526-5943","abstract":"Purpose – The purpose of this paper is to assess the financial literacy of the UAE individual investors who invest in the local financial markets. In addition, it examines the relationship between financial literacy and the influence of the factors that affect the investment decision. Design/methodology/approach – A modified questionnaire has been developed divided into three parts. The first part covers demographic variables. The second part identifies 37 factors affecting the investment decision of the UAE investors. The third part is devoted to financial literacy using exam-type questions of true or false and includes 18 questions. A convenient sample of 290 of UAE national investors is used. Findings – The results indicate that the financial literacy of UAE investors is far from the needed level. The financial literacy level is found to be affected by income level, education level, and workplace activity. High-income respondents hold high educational degrees, and those who work in the field of finance/banking or investment had as expected a higher financial literacy level than others. Whereas, financial illiteracy exists regardless of the age of the respondents. A significant difference in the level of financial literacy was found as well between the respondents according to their gender. Specifically, women have a lower level of financial literacy than men. Finally, the results indicate that there is a significant relationship between financial literacy and investment decisions. The most influencing factor that affects the investment decision is religious reasons and the least affecting factor is rumors. Originality/value – The current study is considered the first of its kind conducted on the UAE. To the best of our knowledge, no such studies have been conducted regarding measuring financial literacy in the UAE or the relation between financial literacy level and the factors that influence the investment decisions.","author":[{"dropping-particle":"","family":"Hassan Al‐Tamimi","given":"Hussein A.","non-dropping-particle":"","parse-names":false,"suffix":""},{"dropping-particle":"","family":"Anood Bin Kalli","given":"Al","non-dropping-particle":"","parse-names":false,"suffix":""}],"container-title":"The Journal of Risk Finance","id":"ITEM-1","issue":"5","issued":{"date-parts":[["2009","11","6"]]},"page":"500-516","title":"Financial literacy and investment decisions of UAE investors","type":"article-journal","volume":"10"},"uris":["http://www.mendeley.com/documents/?uuid=bd6e8699-0e2c-4df0-a33c-ee6d0869d6e5"]}],"mendeley":{"formattedCitation":"(Hassan Al‐Tamimi &amp; Anood Bin Kalli, 2009)","manualFormatting":"(Tamimi &amp; Kalli, 2009)","plainTextFormattedCitation":"(Hassan Al‐Tamimi &amp; Anood Bin Kalli, 2009)","previouslyFormattedCitation":"(Hassan Al‐Tamimi &amp; Anood Bin Kalli, 2009)"},"properties":{"noteIndex":0},"schema":"https://github.com/citation-style-language/schema/raw/master/csl-citation.json"}</w:instrText>
      </w:r>
      <w:r w:rsidRPr="00D6136B">
        <w:rPr>
          <w:rFonts w:ascii="Times New Roman" w:hAnsi="Times New Roman" w:cs="Times New Roman"/>
        </w:rPr>
        <w:fldChar w:fldCharType="separate"/>
      </w:r>
      <w:bookmarkStart w:id="262" w:name="Bookmark159"/>
      <w:r w:rsidRPr="00D6136B">
        <w:rPr>
          <w:rFonts w:ascii="Times New Roman" w:hAnsi="Times New Roman" w:cs="Times New Roman"/>
          <w:noProof/>
          <w:lang w:val="en-ID"/>
        </w:rPr>
        <w:t>(</w:t>
      </w:r>
      <w:bookmarkStart w:id="263" w:name="Bookmark1461"/>
      <w:r w:rsidRPr="00D6136B">
        <w:rPr>
          <w:rFonts w:ascii="Times New Roman" w:hAnsi="Times New Roman" w:cs="Times New Roman"/>
          <w:noProof/>
          <w:lang w:val="en-ID"/>
        </w:rPr>
        <w:t>Tamimi &amp; Kalli, 2009)</w:t>
      </w:r>
      <w:r w:rsidRPr="00D6136B">
        <w:rPr>
          <w:rFonts w:ascii="Times New Roman" w:hAnsi="Times New Roman" w:cs="Times New Roman"/>
        </w:rPr>
        <w:fldChar w:fldCharType="end"/>
      </w:r>
      <w:bookmarkEnd w:id="262"/>
      <w:bookmarkEnd w:id="263"/>
      <w:r w:rsidRPr="00D6136B">
        <w:rPr>
          <w:rFonts w:ascii="Times New Roman" w:hAnsi="Times New Roman" w:cs="Times New Roman"/>
          <w:lang w:val="en-ID"/>
        </w:rPr>
        <w:t xml:space="preserve">. </w:t>
      </w:r>
      <w:r w:rsidRPr="00D6136B">
        <w:rPr>
          <w:rFonts w:ascii="Times New Roman" w:hAnsi="Times New Roman" w:cs="Times New Roman"/>
        </w:rPr>
        <w:t xml:space="preserve">They ignore inaccurate information and only consider information that is appropriate for the investment analysis period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{"citationItems":[{"id":"ITEM-1","itemData":{"ISSN":"0972-5342","abstract":"In earlier research, it has been discovered that contrary to the assumptions and theories of conventional finance, many irrational behaviors related to investment judgment occur in real life. In this paper, we have made an extensive review of various behavioral biases that affect investment decision making of the individual investors. Extant research indicates that individual investor makes his/her investment decision under the influence of some combination of behavioral biases, which mainly include disposition effect, mental accounting, investors' overconfidence, representativeness, narrow framing, aversion to ambiguity, anchoring, availability bias, and regret aversion. Under the influence of some such biases or combination of the same, individual investors often make irrational investment decisions. And therefore, individual investors, in aggregate, earn poor long-run returns. These aspects have been highlighted in this paper. Potential solutions to mitigate the adverse impact of behavioral biases on decision making of individual investors have also been discussed. Finally, future research direction relevant to such an area has been indicated in this paper.","author":[{"dropping-particle":"","family":"Jain","given":"Ravindra","non-dropping-particle":"","parse-names":false,"suffix":""},{"dropping-particle":"","family":"Jain","given":"Prachi","non-dropping-particle":"","parse-names":false,"suffix":""},{"dropping-particle":"","family":"Jain","given":"Cherry","non-dropping-particle":"","parse-names":false,"suffix":""}],"container-title":"The IUP Journal of Management Research","id":"ITEM-1","issue":"3","issued":{"date-parts":[["2015"]]},"page":"7-27","title":"Behavioral Biases in the Decision Making of Individual Investors","type":"article-journal","volume":"14"},"uris":["http://www.mendeley.com/documents/?uuid=611d21c5-17c0-4a5c-b9d4-57145a6cc951"]}],"mendeley":{"formattedCitation":"(Jain et al., 2015)","manualFormatting":"(Jain et al.,2015)","plainTextFormattedCitation":"(Jain et al., 2015)","previouslyFormattedCitation":"(Jain et al., 2015)"},"properties":{"noteIndex":0},"schema":"https://github.com/citation-style-language/schema/raw/master/csl-citation.json"}</w:instrText>
      </w:r>
      <w:r w:rsidRPr="00D6136B">
        <w:rPr>
          <w:rFonts w:ascii="Times New Roman" w:hAnsi="Times New Roman" w:cs="Times New Roman"/>
        </w:rPr>
        <w:fldChar w:fldCharType="separate"/>
      </w:r>
      <w:bookmarkStart w:id="264" w:name="Bookmark160"/>
      <w:r w:rsidRPr="00D6136B">
        <w:rPr>
          <w:rFonts w:ascii="Times New Roman" w:hAnsi="Times New Roman" w:cs="Times New Roman"/>
          <w:noProof/>
          <w:lang w:val="en-ID"/>
        </w:rPr>
        <w:t>(</w:t>
      </w:r>
      <w:bookmarkStart w:id="265" w:name="Bookmark1471"/>
      <w:r w:rsidRPr="00D6136B">
        <w:rPr>
          <w:rFonts w:ascii="Times New Roman" w:hAnsi="Times New Roman" w:cs="Times New Roman"/>
          <w:noProof/>
          <w:lang w:val="en-ID"/>
        </w:rPr>
        <w:t>Jain et al.,2015)</w:t>
      </w:r>
      <w:r w:rsidRPr="00D6136B">
        <w:rPr>
          <w:rFonts w:ascii="Times New Roman" w:hAnsi="Times New Roman" w:cs="Times New Roman"/>
        </w:rPr>
        <w:fldChar w:fldCharType="end"/>
      </w:r>
      <w:bookmarkEnd w:id="264"/>
      <w:bookmarkEnd w:id="265"/>
      <w:r w:rsidRPr="00D6136B">
        <w:rPr>
          <w:rFonts w:ascii="Times New Roman" w:hAnsi="Times New Roman" w:cs="Times New Roman"/>
          <w:lang w:val="en-ID"/>
        </w:rPr>
        <w:t xml:space="preserve">. </w:t>
      </w:r>
      <w:r w:rsidRPr="00D6136B">
        <w:rPr>
          <w:rFonts w:ascii="Times New Roman" w:hAnsi="Times New Roman" w:cs="Times New Roman"/>
        </w:rPr>
        <w:t>For people who have poor FL</w:t>
      </w:r>
      <w:r w:rsidR="00D91D6E" w:rsidRPr="00D6136B">
        <w:rPr>
          <w:rFonts w:ascii="Times New Roman" w:hAnsi="Times New Roman" w:cs="Times New Roman"/>
        </w:rPr>
        <w:t xml:space="preserve"> </w:t>
      </w:r>
      <w:r w:rsidRPr="00D6136B">
        <w:rPr>
          <w:rFonts w:ascii="Times New Roman" w:hAnsi="Times New Roman" w:cs="Times New Roman"/>
        </w:rPr>
        <w:t>in financial decision-making, the role  of herd  behavior can help improve an individual's level of FL</w:t>
      </w:r>
      <w:r w:rsidR="00D91D6E" w:rsidRPr="00D6136B">
        <w:rPr>
          <w:rFonts w:ascii="Times New Roman" w:hAnsi="Times New Roman" w:cs="Times New Roman"/>
        </w:rPr>
        <w:t xml:space="preserve"> </w:t>
      </w:r>
      <w:r w:rsidRPr="00D6136B">
        <w:rPr>
          <w:rFonts w:ascii="Times New Roman" w:hAnsi="Times New Roman" w:cs="Times New Roman"/>
        </w:rPr>
        <w:t>through input and guidance from other individuals</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{"citationItems":[{"id":"ITEM-1","itemData":{"DOI":"10.1016/j.jbankfin.2013.01.013","ISSN":"03784266","abstract":"We use survey data from a sample of UK households to analyse the relationship between financial literacy and consumer credit portfolios. We show that individuals who borrow on consumer credit exhibit worse financial literacy than those who do not. Borrowers with poor financial literacy hold higher shares of high cost credit (such as home collected credit, mail order catalogue debt and payday loans) than those with higher literacy. We also show that individuals with poor financial literacy are more likely to lack confidence when interpreting credit terms, and to exhibit confusion over financial concepts. They are also less likely to engage in behaviour which might help them to improve their awareness of the credit market. © 2013 Elsevier B.V.","author":[{"dropping-particle":"","family":"Disney","given":"Richard","non-dropping-particle":"","parse-names":false,"suffix":""},{"dropping-particle":"","family":"Gathergood","given":"John","non-dropping-particle":"","parse-names":false,"suffix":""}],"container-title":"Journal of Banking &amp; Finance","id":"ITEM-1","issue":"7","issued":{"date-parts":[["2013","7"]]},"page":"2246-2254","publisher":"Elsevier B.V.","title":"Financial literacy and consumer credit portfolios","type":"article-journal","volume":"37"},"uris":["http://www.mendeley.com/documents/?uuid=c5e4278d-b801-4f9d-8e78-f62d5f3bef2e"]},{"id":"ITEM-2","itemData":{"DOI":"10.1177/0047287520919515","ISSN":"0047-2875","abstract":"Communications can be integral in persuading funders to invest in visitor economy crowdfunding. Despite the important role of diverse communications on consumer persuasion, research on the effectiveness of persuasive communications related to crowdfunding ventures has been limited. To bridge the gap, this study aims to verify an elaboration likelihood model to better understand the role of dual-route persuasive communications. Seven hypotheses related to argument quality, source credibility, benefit of crowdfunding, attachment to fundraiser and platform, and continued crowdfunding were examined, using herding behavior as a moderator. The findings revealed that argument quality had a substantial impact on benefit. Further, source credibility was found to have positive impacts on benefit and attachment; benefit had a significant effect on attachment and continued crowdfunding, and attachment had the strongest influence on continued crowdfunding. Additionally, herding behavior was found to moderate five of the six hypotheses.","author":[{"dropping-particle":"","family":"Kim","given":"Myung Ja","non-dropping-particle":"","parse-names":false,"suffix":""},{"dropping-particle":"","family":"Petrick","given":"James F.","non-dropping-particle":"","parse-names":false,"suffix":""}],"container-title":"Journal of Travel Research","id":"ITEM-2","issue":"5","issued":{"date-parts":[["2021","5","21"]]},"page":"947-964","title":"The Effect of Herding Behaviors on Dual-Route Processing of Communications Aimed at Tourism Crowdfunding Ventures","type":"article-journal","volume":"60"},"uris":["http://www.mendeley.com/documents/?uuid=e0237168-975a-4fc6-affa-70a5e0b24160"]}],"mendeley":{"formattedCitation":"(Disney &amp; Gathergood, 2013; Kim &amp; Petrick, 2021)","manualFormatting":"(Disney &amp; Gathergood, 2013). ","plainTextFormattedCitation":"(Disney &amp; Gathergood, 2013; Kim &amp; Petrick, 2021)","previouslyFormattedCitation":"(Disney &amp; Gathergood, 2013; Kim &amp; Petrick, 2021)"},"properties":{"noteIndex":0},"schema":"https://github.com/citation-style-language/schema/raw/master/csl-citation.json"}</w:instrText>
      </w:r>
      <w:r w:rsidRPr="00D6136B">
        <w:rPr>
          <w:rFonts w:ascii="Times New Roman" w:hAnsi="Times New Roman" w:cs="Times New Roman"/>
        </w:rPr>
        <w:fldChar w:fldCharType="separate"/>
      </w:r>
      <w:bookmarkStart w:id="266" w:name="Bookmark162"/>
      <w:r w:rsidRPr="00D6136B">
        <w:rPr>
          <w:rFonts w:ascii="Times New Roman" w:hAnsi="Times New Roman" w:cs="Times New Roman"/>
          <w:noProof/>
        </w:rPr>
        <w:t>(</w:t>
      </w:r>
      <w:bookmarkStart w:id="267" w:name="Bookmark1481"/>
      <w:r w:rsidRPr="00D6136B">
        <w:rPr>
          <w:rFonts w:ascii="Times New Roman" w:hAnsi="Times New Roman" w:cs="Times New Roman"/>
          <w:noProof/>
        </w:rPr>
        <w:t xml:space="preserve">Disney &amp; Gathergood, 2013). </w:t>
      </w:r>
      <w:r w:rsidRPr="00D6136B">
        <w:rPr>
          <w:rFonts w:ascii="Times New Roman" w:hAnsi="Times New Roman" w:cs="Times New Roman"/>
        </w:rPr>
        <w:fldChar w:fldCharType="end"/>
      </w:r>
      <w:bookmarkEnd w:id="266"/>
      <w:bookmarkEnd w:id="267"/>
      <w:r w:rsidRPr="00D6136B">
        <w:rPr>
          <w:rFonts w:ascii="Times New Roman" w:hAnsi="Times New Roman" w:cs="Times New Roman"/>
        </w:rPr>
        <w:t xml:space="preserve">According to the research conducted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{"citationItems":[{"id":"ITEM-1","itemData":{"DOI":"10.53369/RKXA7855","ISSN":"20700296","abstract":"The objective of this study is to examine the Impact of Overconfidence bias and Herding bias on Investment Decision Making with Moderating Role of Financial Literacy. The population was Investor, Employee and Graduate Student. A sample of 200 was selected using convenience technique. Data were collected through structure questionnaire adopted from different papers. Correlation and Regression analysis were performed to examine the result. The Results show that overconfidence bias and herding bias have a positive impact on investment decision making and Financial Literacy has positive impact on investment decision making. Based on the results and discussions of the study findings as well as the limitations, theoretical and practical implications of the study have been provided.","author":[{"dropping-particle":"","family":"Hayat, Amir","given":"","non-dropping-particle":"","parse-names":false,"suffix":""},{"dropping-particle":"","family":"Anwar","given":"Muhammad","non-dropping-particle":"","parse-names":false,"suffix":""}],"container-title":"Jinnah Business Review","id":"ITEM-1","issue":"2","issued":{"date-parts":[["2016","7","1"]]},"page":"34-41","title":"Impact of Behavioral Biases on Investment Decision Making with Moderating Role of Financial Literacy","type":"article-journal","volume":"6"},"uris":["http://www.mendeley.com/documents/?uuid=debd784b-7068-409d-b6cc-8ad1b9bdb129"]}],"mendeley":{"formattedCitation":"(Hayat, Amir &amp; Anwar, 2016)","manualFormatting":"Hayat &amp; Anwar (2016)","plainTextFormattedCitation":"(Hayat, Amir &amp; Anwar, 2016)","previouslyFormattedCitation":"(Hayat, Amir &amp; Anwar, 2016)"},"properties":{"noteIndex":0},"schema":"https://github.com/citation-style-language/schema/raw/master/csl-citation.json"}</w:instrText>
      </w:r>
      <w:r w:rsidRPr="00D6136B">
        <w:rPr>
          <w:rFonts w:ascii="Times New Roman" w:hAnsi="Times New Roman" w:cs="Times New Roman"/>
        </w:rPr>
        <w:fldChar w:fldCharType="separate"/>
      </w:r>
      <w:bookmarkStart w:id="268" w:name="Bookmark163"/>
      <w:r w:rsidRPr="00D6136B">
        <w:rPr>
          <w:rFonts w:ascii="Times New Roman" w:hAnsi="Times New Roman" w:cs="Times New Roman"/>
          <w:noProof/>
        </w:rPr>
        <w:t>H</w:t>
      </w:r>
      <w:bookmarkStart w:id="269" w:name="Bookmark1491"/>
      <w:r w:rsidRPr="00D6136B">
        <w:rPr>
          <w:rFonts w:ascii="Times New Roman" w:hAnsi="Times New Roman" w:cs="Times New Roman"/>
          <w:noProof/>
        </w:rPr>
        <w:t>ayat &amp; Anwar (2016)</w:t>
      </w:r>
      <w:r w:rsidRPr="00D6136B">
        <w:rPr>
          <w:rFonts w:ascii="Times New Roman" w:hAnsi="Times New Roman" w:cs="Times New Roman"/>
        </w:rPr>
        <w:fldChar w:fldCharType="end"/>
      </w:r>
      <w:bookmarkEnd w:id="268"/>
      <w:bookmarkEnd w:id="269"/>
      <w:r w:rsidRPr="00D6136B">
        <w:rPr>
          <w:rFonts w:ascii="Times New Roman" w:hAnsi="Times New Roman" w:cs="Times New Roman"/>
        </w:rPr>
        <w:t xml:space="preserve"> it is known that the lower the financial literacy, the greater the influence of feelings in the retirement decision-making process. In addition, FL</w:t>
      </w:r>
      <w:r w:rsidR="00EF27A7" w:rsidRPr="00D6136B">
        <w:rPr>
          <w:rFonts w:ascii="Times New Roman" w:hAnsi="Times New Roman" w:cs="Times New Roman"/>
        </w:rPr>
        <w:t xml:space="preserve"> </w:t>
      </w:r>
      <w:r w:rsidRPr="00D6136B">
        <w:rPr>
          <w:rFonts w:ascii="Times New Roman" w:hAnsi="Times New Roman" w:cs="Times New Roman"/>
        </w:rPr>
        <w:t>encourages investors to improve their decision-making abilities by properly managing and analyzing information that indirectly affects herding  behavior</w:t>
      </w:r>
      <w:r w:rsidR="00AC7F48" w:rsidRPr="00D6136B">
        <w:rPr>
          <w:rFonts w:ascii="Times New Roman" w:hAnsi="Times New Roman" w:cs="Times New Roman"/>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{"citationItems":[{"id":"ITEM-1","itemData":{"DOI":"10.1177/0047287520919515","ISSN":"0047-2875","abstract":"Communications can be integral in persuading funders to invest in visitor economy crowdfunding. Despite the important role of diverse communications on consumer persuasion, research on the effectiveness of persuasive communications related to crowdfunding ventures has been limited. To bridge the gap, this study aims to verify an elaboration likelihood model to better understand the role of dual-route persuasive communications. Seven hypotheses related to argument quality, source credibility, benefit of crowdfunding, attachment to fundraiser and platform, and continued crowdfunding were examined, using herding behavior as a moderator. The findings revealed that argument quality had a substantial impact on benefit. Further, source credibility was found to have positive impacts on benefit and attachment; benefit had a significant effect on attachment and continued crowdfunding, and attachment had the strongest influence on continued crowdfunding. Additionally, herding behavior was found to moderate five of the six hypotheses.","author":[{"dropping-particle":"","family":"Kim","given":"Myung Ja","non-dropping-particle":"","parse-names":false,"suffix":""},{"dropping-particle":"","family":"Petrick","given":"James F.","non-dropping-particle":"","parse-names":false,"suffix":""}],"container-title":"Journal of Travel Research","id":"ITEM-1","issue":"5","issued":{"date-parts":[["2021","5","21"]]},"page":"947-964","title":"The Effect of Herding Behaviors on Dual-Route Processing of Communications Aimed at Tourism Crowdfunding Ventures","type":"article-journal","volume":"60"},"uris":["http://www.mendeley.com/documents/?uuid=e0237168-975a-4fc6-affa-70a5e0b24160"]}],"mendeley":{"formattedCitation":"(Kim &amp; Petrick, 2021)","plainTextFormattedCitation":"(Kim &amp; Petrick, 2021)","previouslyFormattedCitation":"(Kim &amp; Petrick, 2021)"},"properties":{"noteIndex":0},"schema":"https://github.com/citation-style-language/schema/raw/master/csl-citation.json"}</w:instrText>
      </w:r>
      <w:r w:rsidRPr="00D6136B">
        <w:rPr>
          <w:rFonts w:ascii="Times New Roman" w:hAnsi="Times New Roman" w:cs="Times New Roman"/>
        </w:rPr>
        <w:fldChar w:fldCharType="separate"/>
      </w:r>
      <w:bookmarkStart w:id="270" w:name="Bookmark164"/>
      <w:r w:rsidRPr="00D6136B">
        <w:rPr>
          <w:rFonts w:ascii="Times New Roman" w:hAnsi="Times New Roman" w:cs="Times New Roman"/>
          <w:noProof/>
        </w:rPr>
        <w:t>(</w:t>
      </w:r>
      <w:bookmarkStart w:id="271" w:name="Bookmark1501"/>
      <w:r w:rsidRPr="00D6136B">
        <w:rPr>
          <w:rFonts w:ascii="Times New Roman" w:hAnsi="Times New Roman" w:cs="Times New Roman"/>
          <w:noProof/>
        </w:rPr>
        <w:t>Kim &amp; Petrick, 2021)</w:t>
      </w:r>
      <w:r w:rsidRPr="00D6136B">
        <w:rPr>
          <w:rFonts w:ascii="Times New Roman" w:hAnsi="Times New Roman" w:cs="Times New Roman"/>
        </w:rPr>
        <w:fldChar w:fldCharType="end"/>
      </w:r>
      <w:bookmarkEnd w:id="270"/>
      <w:bookmarkEnd w:id="271"/>
      <w:r w:rsidRPr="00D6136B">
        <w:rPr>
          <w:rFonts w:ascii="Times New Roman" w:hAnsi="Times New Roman" w:cs="Times New Roman"/>
        </w:rPr>
        <w:t>.</w:t>
      </w:r>
      <w:r w:rsidR="007E4D8B" w:rsidRPr="00D6136B">
        <w:rPr>
          <w:rFonts w:ascii="Times New Roman" w:hAnsi="Times New Roman" w:cs="Times New Roman"/>
        </w:rPr>
        <w:t xml:space="preserve"> </w:t>
      </w:r>
      <w:r w:rsidRPr="00D6136B">
        <w:rPr>
          <w:rFonts w:ascii="Times New Roman" w:hAnsi="Times New Roman" w:cs="Times New Roman"/>
        </w:rPr>
        <w:t xml:space="preserve">Other research conducted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{"citationItems":[{"id":"ITEM-1","itemData":{"DOI":"10.33844/ijol.2018.60258","ISSN":"2345-6744","abstract":"Keywords: Family, Peer, Behavior, Saving and Spending behavior, Influence Financial Literacy Financial literacy has become a significant challenge in society especially among the young generation. Financial literacy is about distinct knowledge, behavior and normative influence towards financial literacy affairs. It will help the youthful generation to make good financial commitment. Financial literacy also involves the distinct ability to understand financial idea and interpret data. Hence, the purpose of this study is to assess the height of financial literacy amid the young generation in Malaysia. It directs to developing a unique representation of financial literacy among youthful age as assumed Family, Peer, Attitude, Saving and spending behavior significantly influence Financial Literacy among Young Generations. Considered relationships were tested using survey response from Kedah, Perlis, Perak, Johor and Kuala Lumpur, with a sample of 500 respondents. About 410 answers from the respondents were received. The questionnaire consisted of 42 items. The results revealed a significant positive relationship between Behavior and Financial Literacy. Furthermore, the findings showed that Family/Parental and Peer significantly influenced Financial Literacy. Hence, this study implies that it is related to the public, academic and university administrators, government, and financial advisor to grow the level of financial literacy by implementing several financial educational programmers. Ultimately, this study is considered one of the studies that have contributed to the literature by developing apprehensions of financial literacy.","author":[{"dropping-particle":"","family":"Mohammed Esmail Alekam","given":"Jamal","non-dropping-particle":"","parse-names":false,"suffix":""},{"dropping-particle":"","family":"Salniza Bt Md. Salleh","given":"Madya","non-dropping-particle":"","parse-names":false,"suffix":""},{"dropping-particle":"","family":"Sanuri bin Mohd. Mokhtar","given":"Sany","non-dropping-particle":"","parse-names":false,"suffix":""}],"container-title":"International Journal of Organizational Leadership","id":"ITEM-1","issue":"3","issued":{"date-parts":[["2018","7","1"]]},"page":"309-323","title":"The Effect of Family, Peer, Behavior, Saving and Spending Behavior on Financial Literacy among Young Generations","type":"article-journal","volume":"7"},"uris":["http://www.mendeley.com/documents/?uuid=045b2e8b-9de3-4b54-93fe-5c2bdbe233f6"]}],"mendeley":{"formattedCitation":"(Mohammed Esmail Alekam et al., 2018)","manualFormatting":"Alekam et al. (2018)","plainTextFormattedCitation":"(Mohammed Esmail Alekam et al., 2018)","previouslyFormattedCitation":"(Mohammed Esmail Alekam et al., 2018)"},"properties":{"noteIndex":0},"schema":"https://github.com/citation-style-language/schema/raw/master/csl-citation.json"}</w:instrText>
      </w:r>
      <w:r w:rsidRPr="00D6136B">
        <w:rPr>
          <w:rFonts w:ascii="Times New Roman" w:hAnsi="Times New Roman" w:cs="Times New Roman"/>
        </w:rPr>
        <w:fldChar w:fldCharType="separate"/>
      </w:r>
      <w:bookmarkStart w:id="272" w:name="Bookmark165"/>
      <w:r w:rsidRPr="00D6136B">
        <w:rPr>
          <w:rFonts w:ascii="Times New Roman" w:hAnsi="Times New Roman" w:cs="Times New Roman"/>
          <w:noProof/>
          <w:lang w:val="en-ID"/>
        </w:rPr>
        <w:t>A</w:t>
      </w:r>
      <w:bookmarkStart w:id="273" w:name="Bookmark1511"/>
      <w:r w:rsidRPr="00D6136B">
        <w:rPr>
          <w:rFonts w:ascii="Times New Roman" w:hAnsi="Times New Roman" w:cs="Times New Roman"/>
          <w:noProof/>
          <w:lang w:val="en-ID"/>
        </w:rPr>
        <w:t>lekam et al.(2018)</w:t>
      </w:r>
      <w:r w:rsidRPr="00D6136B">
        <w:rPr>
          <w:rFonts w:ascii="Times New Roman" w:hAnsi="Times New Roman" w:cs="Times New Roman"/>
        </w:rPr>
        <w:fldChar w:fldCharType="end"/>
      </w:r>
      <w:bookmarkEnd w:id="272"/>
      <w:bookmarkEnd w:id="273"/>
      <w:r w:rsidRPr="00D6136B">
        <w:rPr>
          <w:rFonts w:ascii="Times New Roman" w:hAnsi="Times New Roman" w:cs="Times New Roman"/>
          <w:lang w:val="en-ID"/>
        </w:rPr>
        <w:t xml:space="preserve"> </w:t>
      </w:r>
      <w:r w:rsidRPr="00D6136B">
        <w:rPr>
          <w:rFonts w:ascii="Times New Roman" w:hAnsi="Times New Roman" w:cs="Times New Roman"/>
        </w:rPr>
        <w:t>found that behavior, family influence and peer influence have a significant and positive effect on the level of FL</w:t>
      </w:r>
      <w:r w:rsidR="00AC7F48" w:rsidRPr="00D6136B">
        <w:rPr>
          <w:rFonts w:ascii="Times New Roman" w:hAnsi="Times New Roman" w:cs="Times New Roman"/>
        </w:rPr>
        <w:t xml:space="preserve"> </w:t>
      </w:r>
      <w:r w:rsidRPr="00D6136B">
        <w:rPr>
          <w:rFonts w:ascii="Times New Roman" w:hAnsi="Times New Roman" w:cs="Times New Roman"/>
        </w:rPr>
        <w:t>of the younger generation in Malaysia. The findings are similar to previous studies</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{"citationItems":[{"id":"ITEM-1","itemData":{"ISSN":"02053292","abstract":"In the region of Smolyan in Bulgaria and specifically in the cities of Zlatograd, Madan, Rudozem and Velingrad, the saving behaviour appears to be gaining more importance for Pomak households. Based on the Theory of Planned Behaviour, path analysis was applied to explore the factors that determine the intention of Pomak households to enhance their saving behaviour. The strongest influence was exerted by attitudes followed by subjective norms. Saving motives of households showed that those had the most significant influence on the intention towards saving. As regards the perceived behavioural control factor, the results indicated a direct positive effect on final saving behaviour, but a non-significant one on the intention to save. Furthermore, religiosity emerged as an important factor that affects the intention towards saving. JEL: D10; D14.","author":[{"dropping-particle":"","family":"Satsios","given":"Nikolaos","non-dropping-particle":"","parse-names":false,"suffix":""},{"dropping-particle":"","family":"Karamanis","given":"Kostas","non-dropping-particle":"","parse-names":false,"suffix":""},{"dropping-particle":"","family":"Galanou","given":"Aikaterini","non-dropping-particle":"","parse-names":false,"suffix":""},{"dropping-particle":"","family":"Sotiropoulos","given":"Ioannis","non-dropping-particle":"","parse-names":false,"suffix":""}],"container-title":"Ikonomicheski Izsledvania","id":"ITEM-1","issue":"3","issued":{"date-parts":[["2020"]]},"page":"105-120","title":"The saving behaviour of pomaks in Bulgaria: A path analysis approach","type":"article-journal","volume":"29"},"uris":["http://www.mendeley.com/documents/?uuid=64659a0a-ba4d-4709-a040-1cf066ec641d"]},{"id":"ITEM-2","itemData":{"DOI":"10.24018/ejbmr.2021.6.5.1064","ISSN":"2507-1076","abstract":"This study investigated the effect of financial literacy on savings behavior, considering the mediation effect of intention to savings. A structured questionnaire was distributed among 206 employed individuals in the Colombo district, Sri Lanka. Three Stage Least Squares technique was initially used to analyze the structural equations model fitted to measure the hypothesized mediation effect. Then the result was rousted using path analysis. The findings indicated that financial literacy has a direct and positively significant influence on savings behavior. Moreover, the mediation effect of intention was also found as positively significant in the above relationship. This indicates that the knowledge of the financial system leads to good savings behavior, and especially it creates an intention to save more. Therefore, policymakers and financial institutions can consider enhancing financial literature among individuals as a worthy strategy when encouraging savings as it both encourages savings behavior and the intention to do so.","author":[{"dropping-particle":"","family":"Peiris","given":"T. U. I.","non-dropping-particle":"","parse-names":false,"suffix":""}],"container-title":"European Journal of Business and Management Research","id":"ITEM-2","issue":"5","issued":{"date-parts":[["2021","9","12"]]},"page":"94-99","title":"Effect of Financial Literacy on Individual Savings Behavior; the Mediation Role of Intention to Saving","type":"article-journal","volume":"6"},"uris":["http://www.mendeley.com/documents/?uuid=2ee38184-7d5c-4cea-9447-dab0ea3033b8"]},{"id":"ITEM-3","itemData":{"abstract":"Thrace is a region where the religious minority group of Pomaks lives. This study aims to quantify the effect of religiosity and self mastery on their saving behaviour. A structured questionnaire with academic scales was used to collect data from households, in this region. It was found that religiosity is a significant predictor of intention towards saving, while self mastery is a significant predictor of saving habits. The understanding of the Pomaks' saving behaviour could provide guidance to the interested economic authorities in the pursuit of a healthy household's financial life.","author":[{"dropping-particle":"","family":"Satsios","given":"Nikolaos","non-dropping-particle":"","parse-names":false,"suffix":""},{"dropping-particle":"","family":"Hadjidakis","given":"Spyros","non-dropping-particle":"","parse-names":false,"suffix":""}],"container-title":"Journal Sustainable Development, Culture, Traditions","id":"ITEM-3","issue":"May","issued":{"date-parts":[["2017"]]},"page":"17-27","title":"The Effect of Religiosity and Self Mastery on Saving Behaviour of Pomak Households in Thrace","type":"article-journal","volume":"1b"},"uris":["http://www.mendeley.com/documents/?uuid=1c6ac48d-21b2-4402-b951-0653a45fe3e9"]},{"id":"ITEM-4","itemData":{"DOI":"10.5901/mjss.2016.v7n6p41","ISSN":"20399340","abstract":"One of the national agendas in Indonesia is delivering financial literacy towards its society. This movement was in response to a report that Indonesia was ranked as a country with the lowest financial literacy lever among other countries in the Asia-Pacific region. This study aims to investigate the impact of attitude, subjective norm, and financial literacy on saving intention and behaviour among teacher students in a public university in Jakarta, Indonesia. Teacher students are pre-service teachers who could promote financial literacy at schools in the future. Data was collected using an online survey. In total, there were 212 usable instruments and data was analysed using exploratory and confirmatory factor analysis. As a result, two hypotheses were rejected: financial literacy was insignificant to influence attitude towards saving and saving intention. Other results, financial literacy and saving intention significantly influenced saving behaviour. In addition, attitude and subjective norm significantly influenced saving intention. Implication for practice and future research are discussed.","author":[{"dropping-particle":"","family":"Widyastuti","given":"Umi","non-dropping-particle":"","parse-names":false,"suffix":""},{"dropping-particle":"","family":"Suhud","given":"Usep","non-dropping-particle":"","parse-names":false,"suffix":""},{"dropping-particle":"","family":"Sumiati","given":"Ati","non-dropping-particle":"","parse-names":false,"suffix":""}],"container-title":"Mediterranean Journal of Social Sciences","id":"ITEM-4","issue":"November 2016","issued":{"date-parts":[["2016","11","1"]]},"title":"The Impact of Financial Literacy on Student Teachers’ Saving Intention and Saving Behaviour","type":"article-journal"},"uris":["http://www.mendeley.com/documents/?uuid=36ec9e7d-457a-421b-b1b6-c6aefa597ffa"]}],"mendeley":{"formattedCitation":"(Peiris, 2021; Satsios et al., 2020; Satsios &amp; Hadjidakis, 2017; Widyastuti et al., 2016)","manualFormatting":"(Peiris, 2021; Satsios et al.,2020; Satsios &amp; Hadjidakis, 2017; and Widyastuti et al.,2016)","plainTextFormattedCitation":"(Peiris, 2021; Satsios et al., 2020; Satsios &amp; Hadjidakis, 2017; Widyastuti et al., 2016)","previouslyFormattedCitation":"(Peiris, 2021; Satsios et al., 2020; Satsios &amp; Hadjidakis, 2017; Widyastuti et al., 2016)"},"properties":{"noteIndex":0},"schema":"https://github.com/citation-style-language/schema/raw/master/csl-citation.json"}</w:instrText>
      </w:r>
      <w:r w:rsidRPr="00D6136B">
        <w:rPr>
          <w:rFonts w:ascii="Times New Roman" w:hAnsi="Times New Roman" w:cs="Times New Roman"/>
        </w:rPr>
        <w:fldChar w:fldCharType="separate"/>
      </w:r>
      <w:bookmarkStart w:id="274" w:name="Bookmark166"/>
      <w:r w:rsidRPr="00D6136B">
        <w:rPr>
          <w:rFonts w:ascii="Times New Roman" w:hAnsi="Times New Roman" w:cs="Times New Roman"/>
          <w:noProof/>
          <w:lang w:val="en-ID"/>
        </w:rPr>
        <w:t>(</w:t>
      </w:r>
      <w:bookmarkStart w:id="275" w:name="Bookmark1521"/>
      <w:r w:rsidRPr="00D6136B">
        <w:rPr>
          <w:rFonts w:ascii="Times New Roman" w:hAnsi="Times New Roman" w:cs="Times New Roman"/>
          <w:noProof/>
          <w:lang w:val="en-ID"/>
        </w:rPr>
        <w:t>Peiris, 2021; Satsios et al.,2020; Satsios &amp; Hadjidakis, 2017; and Widyastuti et al.,2016)</w:t>
      </w:r>
      <w:r w:rsidRPr="00D6136B">
        <w:rPr>
          <w:rFonts w:ascii="Times New Roman" w:hAnsi="Times New Roman" w:cs="Times New Roman"/>
        </w:rPr>
        <w:fldChar w:fldCharType="end"/>
      </w:r>
      <w:bookmarkEnd w:id="274"/>
      <w:bookmarkEnd w:id="275"/>
      <w:r w:rsidRPr="00D6136B">
        <w:rPr>
          <w:rFonts w:ascii="Times New Roman" w:hAnsi="Times New Roman" w:cs="Times New Roman"/>
          <w:lang w:val="en-ID"/>
        </w:rPr>
        <w:t xml:space="preserve">. </w:t>
      </w:r>
      <w:r w:rsidRPr="00D6136B">
        <w:rPr>
          <w:rFonts w:ascii="Times New Roman" w:hAnsi="Times New Roman" w:cs="Times New Roman"/>
        </w:rPr>
        <w:t>From the review of this study, the researcher proposed the following hypothesis:</w:t>
      </w:r>
    </w:p>
    <w:p w14:paraId="4D931DDA" w14:textId="1DDA0F45" w:rsidR="00D97723" w:rsidRPr="00D6136B" w:rsidRDefault="00456E38">
      <w:pPr>
        <w:pStyle w:val="Heading2"/>
        <w:tabs>
          <w:tab w:val="left" w:pos="620"/>
        </w:tabs>
        <w:spacing w:before="93"/>
        <w:ind w:firstLine="0"/>
        <w:jc w:val="both"/>
        <w:rPr>
          <w:rFonts w:ascii="Times New Roman" w:hAnsi="Times New Roman" w:cs="Times New Roman"/>
          <w:b w:val="0"/>
          <w:bCs w:val="0"/>
          <w:i w:val="0"/>
          <w:iCs w:val="0"/>
        </w:rPr>
      </w:pPr>
      <w:r w:rsidRPr="00D6136B">
        <w:rPr>
          <w:rFonts w:ascii="Times New Roman" w:hAnsi="Times New Roman" w:cs="Times New Roman"/>
          <w:b w:val="0"/>
          <w:bCs w:val="0"/>
          <w:i w:val="0"/>
          <w:iCs w:val="0"/>
          <w:lang w:val="en-ID"/>
        </w:rPr>
        <w:t xml:space="preserve">H5: </w:t>
      </w:r>
      <w:r w:rsidRPr="00D6136B">
        <w:rPr>
          <w:rFonts w:ascii="Times New Roman" w:hAnsi="Times New Roman" w:cs="Times New Roman"/>
          <w:b w:val="0"/>
          <w:bCs w:val="0"/>
          <w:i w:val="0"/>
          <w:iCs w:val="0"/>
        </w:rPr>
        <w:t>Herding behavior positively moderates the influence of FL</w:t>
      </w:r>
      <w:r w:rsidR="00AC7F48" w:rsidRPr="00D6136B">
        <w:rPr>
          <w:rFonts w:ascii="Times New Roman" w:hAnsi="Times New Roman" w:cs="Times New Roman"/>
          <w:b w:val="0"/>
          <w:bCs w:val="0"/>
          <w:i w:val="0"/>
          <w:iCs w:val="0"/>
        </w:rPr>
        <w:t xml:space="preserve"> </w:t>
      </w:r>
      <w:r w:rsidRPr="00D6136B">
        <w:rPr>
          <w:rFonts w:ascii="Times New Roman" w:hAnsi="Times New Roman" w:cs="Times New Roman"/>
          <w:b w:val="0"/>
          <w:bCs w:val="0"/>
          <w:i w:val="0"/>
          <w:iCs w:val="0"/>
        </w:rPr>
        <w:t>on retirement preparation</w:t>
      </w:r>
    </w:p>
    <w:p w14:paraId="2209669B" w14:textId="77777777" w:rsidR="00D05EC2" w:rsidRPr="00D05EC2" w:rsidRDefault="00D05EC2">
      <w:pPr>
        <w:pStyle w:val="Heading2"/>
        <w:tabs>
          <w:tab w:val="left" w:pos="620"/>
        </w:tabs>
        <w:spacing w:before="93"/>
        <w:ind w:firstLine="0"/>
        <w:jc w:val="both"/>
        <w:rPr>
          <w:rFonts w:ascii="Times New Roman" w:hAnsi="Times New Roman" w:cs="Times New Roman"/>
          <w:b w:val="0"/>
          <w:bCs w:val="0"/>
          <w:i w:val="0"/>
          <w:iCs w:val="0"/>
          <w:sz w:val="24"/>
          <w:szCs w:val="24"/>
          <w:lang w:val="en-ID"/>
        </w:rPr>
      </w:pPr>
    </w:p>
    <w:p w14:paraId="1FED0BB7" w14:textId="77777777" w:rsidR="00D97723" w:rsidRPr="00D05EC2" w:rsidRDefault="00456E38">
      <w:pPr>
        <w:pStyle w:val="Heading2"/>
        <w:numPr>
          <w:ilvl w:val="2"/>
          <w:numId w:val="1"/>
        </w:numPr>
        <w:tabs>
          <w:tab w:val="left" w:pos="620"/>
        </w:tabs>
        <w:spacing w:before="93"/>
        <w:jc w:val="both"/>
        <w:rPr>
          <w:rFonts w:ascii="Times New Roman" w:hAnsi="Times New Roman" w:cs="Times New Roman"/>
          <w:sz w:val="24"/>
          <w:szCs w:val="24"/>
          <w:lang w:val="en-ID"/>
        </w:rPr>
      </w:pPr>
      <w:r w:rsidRPr="00D05EC2">
        <w:rPr>
          <w:rFonts w:ascii="Times New Roman" w:hAnsi="Times New Roman" w:cs="Times New Roman"/>
          <w:b w:val="0"/>
          <w:bCs w:val="0"/>
          <w:sz w:val="24"/>
          <w:szCs w:val="24"/>
        </w:rPr>
        <w:t>High Social Economic Status Strengthens the Influence on Saving Intention and Saving Behavior</w:t>
      </w:r>
    </w:p>
    <w:p w14:paraId="63E724F3" w14:textId="2FEDCE2F" w:rsidR="00D97723" w:rsidRPr="00D6136B" w:rsidRDefault="00456E38">
      <w:pPr>
        <w:spacing w:line="276" w:lineRule="auto"/>
        <w:ind w:left="60"/>
        <w:jc w:val="both"/>
        <w:rPr>
          <w:rFonts w:ascii="Times New Roman" w:hAnsi="Times New Roman" w:cs="Times New Roman"/>
        </w:rPr>
      </w:pPr>
      <w:r w:rsidRPr="00D6136B">
        <w:rPr>
          <w:rFonts w:ascii="Times New Roman" w:hAnsi="Times New Roman" w:cs="Times New Roman"/>
        </w:rPr>
        <w:t xml:space="preserve">The environment can encourage individuals to choose and decide on the type and form of savings aimed at the retirement fund, in accordance with the </w:t>
      </w:r>
      <w:r w:rsidRPr="00D6136B">
        <w:rPr>
          <w:rFonts w:ascii="Times New Roman" w:hAnsi="Times New Roman" w:cs="Times New Roman"/>
          <w:lang w:val="en-ID"/>
        </w:rPr>
        <w:t xml:space="preserve">The Planned </w:t>
      </w:r>
      <w:proofErr w:type="spellStart"/>
      <w:r w:rsidRPr="00D6136B">
        <w:rPr>
          <w:rFonts w:ascii="Times New Roman" w:hAnsi="Times New Roman" w:cs="Times New Roman"/>
          <w:lang w:val="en-ID"/>
        </w:rPr>
        <w:t>Behavior</w:t>
      </w:r>
      <w:proofErr w:type="spellEnd"/>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{"citationItems":[{"id":"ITEM-1","itemData":{"DOI":"10.47985/dcidj.475","ISSN":"2211-5242","abstract":"Research dealing with various aspects of the theory of planned behavior (Ajzen, 1985, 1987) is reviewed, and some unresolved issues are discussed. In broad terms, the theory is found to be well supported by empirical evidence. Intentions to perform behaviors of different kinds can be predicted with high accuracy from attitudes toward the behavior, subjective norms, and perceived behavioral control; and these intentions, together with perceptions of behavioral control, account for considerable variance in actual behavior. Attitudes, subjective norms, and perceived behavioral control are shown to be related to appropriate sets of salient behavioral, normative, and control beliefs about the behavior, but the exact nature of these relations is still uncertain. Expectancyvalue formulations are found to be only partly successful in dealing with these relations. Optimal rescahng of expectancy and value measures is offered as a means of dealing with measurement limitations. Finally, inclusion of past behavior in the prediction equation is shown to provide a means of testing the theory’s sufficiency, another issue that remains unresolved. The limited available evidence concerning this question shows that the theory is predicting behavior quite well in comparison to the ceiling imposed by behavioral reliability.","author":[{"dropping-particle":"","family":"Ajzen","given":"Icek","non-dropping-particle":"","parse-names":false,"suffix":""}],"container-title":"Organizational Behavior and Human Decision Processes","id":"ITEM-1","issue":"1","issued":{"date-parts":[["1991","5","15"]]},"page":"52","title":"The Theory of Planned Behavior","type":"article-journal","volume":"33"},"uris":["http://www.mendeley.com/documents/?uuid=11d8eb31-6517-4e7c-b26e-b8503fb565c8"]}],"mendeley":{"formattedCitation":"(Ajzen, 1991)","manualFormatting":"(Ajzen, 1991)","plainTextFormattedCitation":"(Ajzen, 1991)","previouslyFormattedCitation":"(Ajzen, 1991)"},"properties":{"noteIndex":0},"schema":"https://github.com/citation-style-language/schema/raw/master/csl-citation.json"}</w:instrText>
      </w:r>
      <w:r w:rsidRPr="00D6136B">
        <w:rPr>
          <w:rFonts w:ascii="Times New Roman" w:hAnsi="Times New Roman" w:cs="Times New Roman"/>
        </w:rPr>
        <w:fldChar w:fldCharType="separate"/>
      </w:r>
      <w:bookmarkStart w:id="276" w:name="Bookmark167"/>
      <w:r w:rsidRPr="00D6136B">
        <w:rPr>
          <w:rFonts w:ascii="Times New Roman" w:hAnsi="Times New Roman" w:cs="Times New Roman"/>
          <w:noProof/>
          <w:lang w:val="en-ID"/>
        </w:rPr>
        <w:t>(</w:t>
      </w:r>
      <w:bookmarkStart w:id="277" w:name="Bookmark1531"/>
      <w:r w:rsidRPr="00D6136B">
        <w:rPr>
          <w:rFonts w:ascii="Times New Roman" w:hAnsi="Times New Roman" w:cs="Times New Roman"/>
          <w:noProof/>
          <w:lang w:val="en-ID"/>
        </w:rPr>
        <w:t>Ajzen, 1991)</w:t>
      </w:r>
      <w:r w:rsidRPr="00D6136B">
        <w:rPr>
          <w:rFonts w:ascii="Times New Roman" w:hAnsi="Times New Roman" w:cs="Times New Roman"/>
        </w:rPr>
        <w:fldChar w:fldCharType="end"/>
      </w:r>
      <w:bookmarkEnd w:id="276"/>
      <w:bookmarkEnd w:id="277"/>
      <w:r w:rsidRPr="00D6136B">
        <w:rPr>
          <w:rFonts w:ascii="Times New Roman" w:hAnsi="Times New Roman" w:cs="Times New Roman"/>
          <w:lang w:val="en-ID"/>
        </w:rPr>
        <w:t xml:space="preserve">. </w:t>
      </w:r>
      <w:r w:rsidRPr="00D6136B">
        <w:rPr>
          <w:rFonts w:ascii="Times New Roman" w:hAnsi="Times New Roman" w:cs="Times New Roman"/>
        </w:rPr>
        <w:t>Situational factors (ethnicity, community, family, and employment situation), individual variation (interests, participation, knowledge, behaviors, character, lifestyle, and demographics), and aspects of psychological processes (information processing, acquisition) are related to people's readiness and ability to save for retirement</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{"citationItems":[{"id":"ITEM-1","itemData":{"ISSN":"19477910","abstract":"This study develops a framework that can be used to examine the retirement savings decision. Using Retirement Confidence Survey data (N = 751), this analysis determined that respondents with higher education levels, higher income, a smaller household size, and favorable financial attitudes tend to currently have a retirement savings program in place. Those who are exposed to workplace financial education are more likely to have a retirement savings program and having a retirement savings program related positively to retirement confidence. ©2005, Association for Financial Counseling and Planning Education. All rights of reproduction in any form reserved.","author":[{"dropping-particle":"","family":"Joo","given":"So Hyun","non-dropping-particle":"","parse-names":false,"suffix":""},{"dropping-particle":"","family":"Grable","given":"John E.","non-dropping-particle":"","parse-names":false,"suffix":""}],"container-title":"Journal of Financial Counseling and Planning","id":"ITEM-1","issue":"1","issued":{"date-parts":[["2005"]]},"page":"37-49","title":"Employee education and the likelihood of having a retirement savings program","type":"article-journal","volume":"16"},"uris":["http://www.mendeley.com/documents/?uuid=5afc3f4a-a21b-4bc4-acea-176ecd8e8e39"]}],"mendeley":{"formattedCitation":"(Joo &amp; Grable, 2005)","plainTextFormattedCitation":"(Joo &amp; Grable, 2005)","previouslyFormattedCitation":"(Joo &amp; Grable, 2005)"},"properties":{"noteIndex":0},"schema":"https://github.com/citation-style-language/schema/raw/master/csl-citation.json"}</w:instrText>
      </w:r>
      <w:r w:rsidRPr="00D6136B">
        <w:rPr>
          <w:rFonts w:ascii="Times New Roman" w:hAnsi="Times New Roman" w:cs="Times New Roman"/>
        </w:rPr>
        <w:fldChar w:fldCharType="separate"/>
      </w:r>
      <w:bookmarkStart w:id="278" w:name="Bookmark168"/>
      <w:r w:rsidRPr="00D6136B">
        <w:rPr>
          <w:rFonts w:ascii="Times New Roman" w:hAnsi="Times New Roman" w:cs="Times New Roman"/>
          <w:noProof/>
          <w:lang w:val="en-ID"/>
        </w:rPr>
        <w:t>(</w:t>
      </w:r>
      <w:bookmarkStart w:id="279" w:name="Bookmark1541"/>
      <w:r w:rsidRPr="00D6136B">
        <w:rPr>
          <w:rFonts w:ascii="Times New Roman" w:hAnsi="Times New Roman" w:cs="Times New Roman"/>
          <w:noProof/>
          <w:lang w:val="en-ID"/>
        </w:rPr>
        <w:t>Joo &amp; Grable, 2005)</w:t>
      </w:r>
      <w:r w:rsidRPr="00D6136B">
        <w:rPr>
          <w:rFonts w:ascii="Times New Roman" w:hAnsi="Times New Roman" w:cs="Times New Roman"/>
        </w:rPr>
        <w:fldChar w:fldCharType="end"/>
      </w:r>
      <w:bookmarkEnd w:id="278"/>
      <w:bookmarkEnd w:id="279"/>
      <w:r w:rsidRPr="00D6136B">
        <w:rPr>
          <w:rFonts w:ascii="Times New Roman" w:hAnsi="Times New Roman" w:cs="Times New Roman"/>
          <w:lang w:val="en-ID"/>
        </w:rPr>
        <w:t xml:space="preserve">. </w:t>
      </w:r>
      <w:r w:rsidRPr="00D6136B">
        <w:rPr>
          <w:rFonts w:ascii="Times New Roman" w:hAnsi="Times New Roman" w:cs="Times New Roman"/>
        </w:rPr>
        <w:t>In Indonesia itself, it is known that the experience and support of parents greatly influence their children's saving behavior</w:t>
      </w:r>
      <w:r w:rsidRPr="00D6136B">
        <w:rPr>
          <w:rFonts w:ascii="Times New Roman" w:hAnsi="Times New Roman" w:cs="Times New Roman"/>
          <w:b/>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{"citationItems":[{"id":"ITEM-1","itemData":{"DOI":"10.2139/ssrn.2358346","ISSN":"1556-5068","abstract":"-Parents are the primary community for their children, and parents are the key education of their children. Poor management income is related to how parents teach their children on doing saving. They often confident about their saving whereas they do not focus on educating their children on managing income. This research is conducted to find the influence of family \" s backgrounds toward student \" s saving behavior, which in this research college student in Jabodetabek, Indonesia is chosen as the source of information. Using quantitative data analysis, 300 questionnaires are spread to Jabodetabek area to obtain information about their saving behavior. The discussion is the correlation of family \" s background, including parents, toward their children \" s saving behavior.","author":[{"dropping-particle":"","family":"Firmansyah","given":"Danny","non-dropping-particle":"","parse-names":false,"suffix":""}],"container-title":"SSRN Electronic Journal","id":"ITEM-1","issue":"1","issued":{"date-parts":[["2014"]]},"page":"1-6","title":"The Influence of Family Backgrounds Toward Student's Saving Behavior: A Survey of College Students in Jabodetabek","type":"article-journal","volume":"4"},"uris":["http://www.mendeley.com/documents/?uuid=86eb8694-6fb8-4641-9693-e4c92b8c8b27"]}],"mendeley":{"formattedCitation":"(Firmansyah, 2014)","plainTextFormattedCitation":"(Firmansyah, 2014)","previouslyFormattedCitation":"(Firmansyah, 2014)"},"properties":{"noteIndex":0},"schema":"https://github.com/citation-style-language/schema/raw/master/csl-citation.json"}</w:instrText>
      </w:r>
      <w:r w:rsidRPr="00D6136B">
        <w:rPr>
          <w:rFonts w:ascii="Times New Roman" w:hAnsi="Times New Roman" w:cs="Times New Roman"/>
        </w:rPr>
        <w:fldChar w:fldCharType="separate"/>
      </w:r>
      <w:bookmarkStart w:id="280" w:name="Bookmark169"/>
      <w:r w:rsidRPr="00D6136B">
        <w:rPr>
          <w:rFonts w:ascii="Times New Roman" w:hAnsi="Times New Roman" w:cs="Times New Roman"/>
          <w:noProof/>
          <w:lang w:val="en-ID"/>
        </w:rPr>
        <w:t>(</w:t>
      </w:r>
      <w:bookmarkStart w:id="281" w:name="Bookmark1551"/>
      <w:r w:rsidRPr="00D6136B">
        <w:rPr>
          <w:rFonts w:ascii="Times New Roman" w:hAnsi="Times New Roman" w:cs="Times New Roman"/>
          <w:noProof/>
          <w:lang w:val="en-ID"/>
        </w:rPr>
        <w:t>Firmansyah, 2014)</w:t>
      </w:r>
      <w:r w:rsidRPr="00D6136B">
        <w:rPr>
          <w:rFonts w:ascii="Times New Roman" w:hAnsi="Times New Roman" w:cs="Times New Roman"/>
        </w:rPr>
        <w:fldChar w:fldCharType="end"/>
      </w:r>
      <w:bookmarkEnd w:id="280"/>
      <w:bookmarkEnd w:id="281"/>
      <w:r w:rsidRPr="00D6136B">
        <w:rPr>
          <w:rFonts w:ascii="Times New Roman" w:hAnsi="Times New Roman" w:cs="Times New Roman"/>
          <w:lang w:val="en-ID"/>
        </w:rPr>
        <w:t xml:space="preserve">. </w:t>
      </w:r>
      <w:r w:rsidRPr="00D6136B">
        <w:rPr>
          <w:rFonts w:ascii="Times New Roman" w:hAnsi="Times New Roman" w:cs="Times New Roman"/>
        </w:rPr>
        <w:t xml:space="preserve">In Kota Kinabalu, a significant determinant of their saving behavior is the involvement of family and peer influence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{"citationItems":[{"id":"ITEM-1","itemData":{"abstract":"Economists generally believe that higher savings will spur economic growth, thus strengthening the economy further. In Malaysia however, the sharp increase in the ratio of household debt to disposable income particularly over the past ten years has raised doubts on the ability of Malaysians to save and plan for their future. As a result, total household savings remained low and there is high risk that Malaysians would not have sufficient savings for their retirement. Even more worrying is that young adults reportedly are the main group who are trapped into this financial difficulty. The issue has raised concern on the needs to educate young Malaysian adults on the fundamental importance of savings in order to ensure financial sufficiency on their retirement. With regards to savings behavior, the needs for savings are different amongst individuals due to different mind-set, behavior, knowledge, and social environment. This study intends to explore the savings behavior amongst students of higher learning institutions in Kota Kinabalu, Sabah. Specifically, the study intends: (i) to investigate the determinants of savings behavior; and, (ii) to examine the mediating effect of attitude towards the relationship between financial literacy and savings behavior. Data was collected using structured questionnaire and analyzed using SMART-PLS, a second generation structural equation modelling software. The results indicate that family involvement plays a major role in nurturing students' savings behavior, followed by financial literacy and peer influence. In addition, students are said to have more favorable financial attitude when they are financially literate. Financial attitude however, does not mediate the relationship between financial literacy and savings behavior. This research is expected to contribute to the body of knowledge within the financial wellness and personal financial planning context.","author":[{"dropping-particle":"","family":"Jamal","given":"Abdul","non-dropping-particle":"","parse-names":false,"suffix":""},{"dropping-particle":"","family":"Azlan","given":"Amer","non-dropping-particle":"","parse-names":false,"suffix":""},{"dropping-particle":"","family":"Kamal","given":"Wijaya","non-dropping-particle":"","parse-names":false,"suffix":""},{"dropping-particle":"","family":"Mohdrahimie","given":"Ramlan","non-dropping-particle":"","parse-names":false,"suffix":""},{"dropping-particle":"","family":"Roslemohidin","given":"Abdul Karim","non-dropping-particle":"","parse-names":false,"suffix":""},{"dropping-particle":"","family":"Osman","given":"Zaiton","non-dropping-particle":"","parse-names":false,"suffix":""}],"container-title":"International Journal of Business and Social Science","id":"ITEM-1","issue":"111","issued":{"date-parts":[["2015"]]},"page":"110-119","title":"The Effects of Social Influence and Financial Literacy on Savings Behavior: A Study on Students of Higher Learning Institutions in Kota Kinabalu, Sabah","type":"article-journal","volume":"6"},"uris":["http://www.mendeley.com/documents/?uuid=bd944c69-4cd0-4a18-b9c0-9d2e6ef30af3"]}],"mendeley":{"formattedCitation":"(Jamal et al., 2015)","manualFormatting":"(Jamal et al.,2015)","plainTextFormattedCitation":"(Jamal et al., 2015)","previouslyFormattedCitation":"(Jamal et al., 2015)"},"properties":{"noteIndex":0},"schema":"https://github.com/citation-style-language/schema/raw/master/csl-citation.json"}</w:instrText>
      </w:r>
      <w:r w:rsidRPr="00D6136B">
        <w:rPr>
          <w:rFonts w:ascii="Times New Roman" w:hAnsi="Times New Roman" w:cs="Times New Roman"/>
        </w:rPr>
        <w:fldChar w:fldCharType="separate"/>
      </w:r>
      <w:bookmarkStart w:id="282" w:name="Bookmark170"/>
      <w:r w:rsidRPr="00D6136B">
        <w:rPr>
          <w:rFonts w:ascii="Times New Roman" w:hAnsi="Times New Roman" w:cs="Times New Roman"/>
          <w:noProof/>
          <w:lang w:val="en-ID"/>
        </w:rPr>
        <w:t>(</w:t>
      </w:r>
      <w:bookmarkStart w:id="283" w:name="Bookmark1561"/>
      <w:r w:rsidRPr="00D6136B">
        <w:rPr>
          <w:rFonts w:ascii="Times New Roman" w:hAnsi="Times New Roman" w:cs="Times New Roman"/>
          <w:noProof/>
          <w:lang w:val="en-ID"/>
        </w:rPr>
        <w:t>Jamal et al.,2015)</w:t>
      </w:r>
      <w:r w:rsidRPr="00D6136B">
        <w:rPr>
          <w:rFonts w:ascii="Times New Roman" w:hAnsi="Times New Roman" w:cs="Times New Roman"/>
        </w:rPr>
        <w:fldChar w:fldCharType="end"/>
      </w:r>
      <w:bookmarkEnd w:id="282"/>
      <w:bookmarkEnd w:id="283"/>
      <w:r w:rsidRPr="00D6136B">
        <w:rPr>
          <w:rFonts w:ascii="Times New Roman" w:hAnsi="Times New Roman" w:cs="Times New Roman"/>
          <w:lang w:val="en-ID"/>
        </w:rPr>
        <w:t xml:space="preserve">. </w:t>
      </w:r>
      <w:r w:rsidRPr="00D6136B">
        <w:rPr>
          <w:rFonts w:ascii="Times New Roman" w:hAnsi="Times New Roman" w:cs="Times New Roman"/>
        </w:rPr>
        <w:t>In Bangladesh, a significant impact of student saving behavior is the implementation of parental socialization regarding FL</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{"citationItems":[{"id":"ITEM-1","itemData":{"DOI":"10.29322/ijsrp.8.12.2018.p8440","abstract":"This study examines for evidence of peer effects in the trading decisions of individual investors from Mainland China, a country whose cultural and social structures are vastly different from those of Western countries. Cultural differences, as widely documented, play a significant role in social interactions and word-of-mouth behavior. In contrast to US studies, we find robust evidence that the trading decisions of Chinese investors are influenced, via word of mouth, by those of their peers who maintain brokerage accounts at the same branch, but not by those whose accounts are maintained at another branch located in the same city. © 2010 Financial Management Association International.","author":[{"dropping-particle":"","family":"Khatun","given":"Mabia","non-dropping-particle":"","parse-names":false,"suffix":""}],"container-title":"International Journal of Scientific and Research Publications (IJSRP)","id":"ITEM-1","issue":"12","issued":{"date-parts":[["2018"]]},"page":"296-305","title":"Effect of Financial Literacy and Parental Socialization on Students Savings Behavior of Bangladesh","type":"article-journal","volume":"8"},"uris":["http://www.mendeley.com/documents/?uuid=99a09ce4-3b85-4075-8bdb-27715630bce3"]}],"mendeley":{"formattedCitation":"(Khatun, 2018)","plainTextFormattedCitation":"(Khatun, 2018)","previouslyFormattedCitation":"(Khatun, 2018)"},"properties":{"noteIndex":0},"schema":"https://github.com/citation-style-language/schema/raw/master/csl-citation.json"}</w:instrText>
      </w:r>
      <w:r w:rsidRPr="00D6136B">
        <w:rPr>
          <w:rFonts w:ascii="Times New Roman" w:hAnsi="Times New Roman" w:cs="Times New Roman"/>
        </w:rPr>
        <w:fldChar w:fldCharType="separate"/>
      </w:r>
      <w:bookmarkStart w:id="284" w:name="Bookmark172"/>
      <w:r w:rsidRPr="00D6136B">
        <w:rPr>
          <w:rFonts w:ascii="Times New Roman" w:hAnsi="Times New Roman" w:cs="Times New Roman"/>
          <w:noProof/>
          <w:lang w:val="en-ID"/>
        </w:rPr>
        <w:t>(</w:t>
      </w:r>
      <w:bookmarkStart w:id="285" w:name="Bookmark1571"/>
      <w:r w:rsidRPr="00D6136B">
        <w:rPr>
          <w:rFonts w:ascii="Times New Roman" w:hAnsi="Times New Roman" w:cs="Times New Roman"/>
          <w:noProof/>
          <w:lang w:val="en-ID"/>
        </w:rPr>
        <w:t>Khatun, 2018)</w:t>
      </w:r>
      <w:r w:rsidRPr="00D6136B">
        <w:rPr>
          <w:rFonts w:ascii="Times New Roman" w:hAnsi="Times New Roman" w:cs="Times New Roman"/>
        </w:rPr>
        <w:fldChar w:fldCharType="end"/>
      </w:r>
      <w:bookmarkEnd w:id="284"/>
      <w:bookmarkEnd w:id="285"/>
      <w:r w:rsidRPr="00D6136B">
        <w:rPr>
          <w:rFonts w:ascii="Times New Roman" w:hAnsi="Times New Roman" w:cs="Times New Roman"/>
          <w:lang w:val="en-ID"/>
        </w:rPr>
        <w:t>. While in Nepal, t</w:t>
      </w:r>
      <w:r w:rsidRPr="00D6136B">
        <w:rPr>
          <w:rFonts w:ascii="Times New Roman" w:hAnsi="Times New Roman" w:cs="Times New Roman"/>
        </w:rPr>
        <w:t xml:space="preserve">he factors that influence the saving behavior of adolescents aged 21 to 40 who are master's degree holders, are the financial teaching of parents, and the influence of peers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{"citationItems":[{"id":"ITEM-1","itemData":{"DOI":"10.3126/irjms.v3i0.28035","ISSN":"2542-2510","abstract":"This paper explores the parental and peer factors which influence the saving behavior of the youth. This paper is based on a structured questionnaire with various dimensions of the saving behavior, parental and peer influence. Judgmental and convenience sampling techniques were used to collect the data of 390 respondents from Kathmandu Valley who have completed Master’s degree and are employed. The study reveals that there is significant relationship between peer influence and saving behavior. Similarly, there is significant relationship between parental financial teaching and saving behavior. Independence, control, habit formation, encouraging saving are mechanisms that influences saving behavior. However parent’s encouragement to save highly affects the saving behavior. Therefore receiving financial teaching from parents ensures sound saving behavior.","author":[{"dropping-particle":"","family":"Dangol","given":"Jeetendra","non-dropping-particle":"","parse-names":false,"suffix":""},{"dropping-particle":"","family":"Maharjan","given":"Saru","non-dropping-particle":"","parse-names":false,"suffix":""}],"container-title":"International Research Journal of Management Science","id":"ITEM-1","issue":"1","issued":{"date-parts":[["2018"]]},"page":"42-63","title":"Parental and Peer Influence on the Saving Behavior of the Youth","type":"article-journal","volume":"3"},"uris":["http://www.mendeley.com/documents/?uuid=2d4640cf-e9ee-4295-83fc-b991d76b74b8"]}],"mendeley":{"formattedCitation":"(Dangol &amp; Maharjan, 2018)","plainTextFormattedCitation":"(Dangol &amp; Maharjan, 2018)","previouslyFormattedCitation":"(Dangol &amp; Maharjan, 2018)"},"properties":{"noteIndex":0},"schema":"https://github.com/citation-style-language/schema/raw/master/csl-citation.json"}</w:instrText>
      </w:r>
      <w:r w:rsidRPr="00D6136B">
        <w:rPr>
          <w:rFonts w:ascii="Times New Roman" w:hAnsi="Times New Roman" w:cs="Times New Roman"/>
        </w:rPr>
        <w:fldChar w:fldCharType="separate"/>
      </w:r>
      <w:bookmarkStart w:id="286" w:name="Bookmark173"/>
      <w:r w:rsidRPr="00D6136B">
        <w:rPr>
          <w:rFonts w:ascii="Times New Roman" w:hAnsi="Times New Roman" w:cs="Times New Roman"/>
        </w:rPr>
        <w:t>(</w:t>
      </w:r>
      <w:bookmarkStart w:id="287" w:name="Bookmark1581"/>
      <w:r w:rsidRPr="00D6136B">
        <w:rPr>
          <w:rFonts w:ascii="Times New Roman" w:hAnsi="Times New Roman" w:cs="Times New Roman"/>
        </w:rPr>
        <w:t>Dangol &amp; Maharjan, 2018)</w:t>
      </w:r>
      <w:r w:rsidRPr="00D6136B">
        <w:rPr>
          <w:rFonts w:ascii="Times New Roman" w:hAnsi="Times New Roman" w:cs="Times New Roman"/>
        </w:rPr>
        <w:fldChar w:fldCharType="end"/>
      </w:r>
      <w:bookmarkEnd w:id="286"/>
      <w:bookmarkEnd w:id="287"/>
      <w:r w:rsidRPr="00D6136B">
        <w:rPr>
          <w:rFonts w:ascii="Times New Roman" w:hAnsi="Times New Roman" w:cs="Times New Roman"/>
        </w:rPr>
        <w:t>. Various socio-economic and demographic factors such as age, gender, income, marital status and educational attainment affect the level of FL</w:t>
      </w:r>
      <w:r w:rsidR="00BC52EC" w:rsidRPr="00D6136B">
        <w:rPr>
          <w:rFonts w:ascii="Times New Roman" w:hAnsi="Times New Roman" w:cs="Times New Roman"/>
        </w:rPr>
        <w:t xml:space="preserve"> </w:t>
      </w:r>
      <w:r w:rsidRPr="00D6136B">
        <w:rPr>
          <w:rFonts w:ascii="Times New Roman" w:hAnsi="Times New Roman" w:cs="Times New Roman"/>
        </w:rPr>
        <w:t xml:space="preserve">of young people and there is a link between financial literacy, financial attitudes and financial behavior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{"citationItems":[{"id":"ITEM-1","itemData":{"DOI":"10.1108/IJSE-11-2016-0303","ISSN":"0306-8293","abstract":"Purpose: The purpose of this paper is to analyse the level of financial literacy among youth in the world based on previous studies. The study, particularly, focus at how socio-economic and demographic factors such as age, gender, marital status and income influence financial literacy level of youth and whether there is any interrelationship between financial knowledge, financial attitude and financial behaviour. Strong endeavour of the world economies to improve the financial well-being of their citizens has contributed to the rising importance of financial literacy as it equips the individuals to take quality financial decisions to enhance their financial well-being. Design/methodology/approach: This literature review consists of seven key sections. The first ection of this paper reviews the conceptual definitions of youth. Second part summarises the literature on financial literacy. Third, fourth and fifth section summarises the literature on the components of financial literacy, i.e. financial knowledge, financial attitude and financial behaviour, respectively. Sixth section reviews the empirical studies on the influence of socio-economic and demographic factors on financial literacy level. Seventh section summarises the literature on interrelationship between financial knowledge, financial attitude and financial behaviour. Findings: The study reveals that the financial literacy level among youth is low across the most part of the world that has become a cause of concern. Also, it has been observed that various socio-economic and demographic factors such as age, gender, income, marital status and educational attainment influenceflie financial literacy level of youth and there exists an interrelationship between financial knowledge, financial attitude and financial behaviour. Originality/value: Youth have to live a longer life ahead, thus, the decisions taken by them are going to affect thenifora longer period of time, making it imperative for them to develop an understanding of the world of finance so as to avoid wrong choice of financial products. Thus, financial literacy is of significant relevance. This paper aims to understand the influence of various factors influencing the financial literacy as understanding the factors that contribute to or detract from the acquisition of financial literacy among youth can help in making policy interventions targeted at youth to enhance their financial well-being.","author":[{"dropping-particle":"","family":"Garg","given":"Neha","non-dropping-particle":"","parse-names":false,"suffix":""},{"dropping-particle":"","family":"Singh","given":"Shveta","non-dropping-particle":"","parse-names":false,"suffix":""}],"container-title":"International Journal of Social Economics","id":"ITEM-1","issue":"1","issued":{"date-parts":[["2018","1","8"]]},"page":"173-186","title":"Financial literacy among youth","type":"article-journal","volume":"45"},"uris":["http://www.mendeley.com/documents/?uuid=102ea7c6-4c6a-4584-b23e-e289904672aa"]}],"mendeley":{"formattedCitation":"(Garg &amp; Singh, 2018)","plainTextFormattedCitation":"(Garg &amp; Singh, 2018)","previouslyFormattedCitation":"(Garg &amp; Singh, 2018)"},"properties":{"noteIndex":0},"schema":"https://github.com/citation-style-language/schema/raw/master/csl-citation.json"}</w:instrText>
      </w:r>
      <w:r w:rsidRPr="00D6136B">
        <w:rPr>
          <w:rFonts w:ascii="Times New Roman" w:hAnsi="Times New Roman" w:cs="Times New Roman"/>
        </w:rPr>
        <w:fldChar w:fldCharType="separate"/>
      </w:r>
      <w:bookmarkStart w:id="288" w:name="Bookmark174"/>
      <w:r w:rsidRPr="00D6136B">
        <w:rPr>
          <w:rFonts w:ascii="Times New Roman" w:hAnsi="Times New Roman" w:cs="Times New Roman"/>
        </w:rPr>
        <w:t>(</w:t>
      </w:r>
      <w:bookmarkStart w:id="289" w:name="Bookmark1591"/>
      <w:r w:rsidRPr="00D6136B">
        <w:rPr>
          <w:rFonts w:ascii="Times New Roman" w:hAnsi="Times New Roman" w:cs="Times New Roman"/>
        </w:rPr>
        <w:t>Garg &amp; Singh, 2018)</w:t>
      </w:r>
      <w:r w:rsidRPr="00D6136B">
        <w:rPr>
          <w:rFonts w:ascii="Times New Roman" w:hAnsi="Times New Roman" w:cs="Times New Roman"/>
        </w:rPr>
        <w:fldChar w:fldCharType="end"/>
      </w:r>
      <w:bookmarkEnd w:id="288"/>
      <w:bookmarkEnd w:id="289"/>
      <w:r w:rsidRPr="00D6136B">
        <w:rPr>
          <w:rFonts w:ascii="Times New Roman" w:hAnsi="Times New Roman" w:cs="Times New Roman"/>
        </w:rPr>
        <w:t xml:space="preserve">. </w:t>
      </w:r>
    </w:p>
    <w:p w14:paraId="3FF2D37E" w14:textId="738E51BF" w:rsidR="00D97723" w:rsidRPr="00D6136B" w:rsidRDefault="00456E38">
      <w:pPr>
        <w:spacing w:line="276" w:lineRule="auto"/>
        <w:ind w:left="60" w:firstLine="560"/>
        <w:jc w:val="both"/>
        <w:rPr>
          <w:rFonts w:ascii="Times New Roman" w:hAnsi="Times New Roman" w:cs="Times New Roman"/>
        </w:rPr>
      </w:pPr>
      <w:r w:rsidRPr="00D6136B">
        <w:rPr>
          <w:rFonts w:ascii="Times New Roman" w:hAnsi="Times New Roman" w:cs="Times New Roman"/>
        </w:rPr>
        <w:t xml:space="preserve">According to research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{"citationItems":[{"id":"ITEM-1","itemData":{"DOI":"10.17576/JEM","ISSN":"01272713","abstract":"This study aims to explore the relationship between socio-demographics and financial literacy with an individual’s engagement in personal financial planning, with the target population being the youths residing in Klang Valley, Malaysia. Questionnaires adopted from past literature were distributed to gather relevant data from the target population and 400 respondents participated in this study in total. The results show that age, education level, income level and financial literacy have relationships with personal financial planning, while gender does not. The limitations of this study include the omission of other variables such as behavioral, environmental, and psychological factors that may affect financial planning, as well as geographical constraints whereby other states and federal territories with varying state of development, cost of living and lifestyle may need to be considered to present a more comprehensive research framework and provide more accurate findings. Lastly, this research serves as a guide to the relevant authorities in reviewing the sufficiency and effectiveness of financial education currently in place in the country.","author":[{"dropping-particle":"","family":"Chun","given":"Yong Kah","non-dropping-particle":"","parse-names":false,"suffix":""},{"dropping-particle":"","family":"Fenn","given":"Chung Jee","non-dropping-particle":"","parse-names":false,"suffix":""},{"dropping-particle":"","family":"Al-Khaled","given":"Akram Abdulraqeb Sultan","non-dropping-particle":"","parse-names":false,"suffix":""}],"container-title":"Jurnal Pengurusan","id":"ITEM-1","issued":{"date-parts":[["2021"]]},"title":"The Relationship between Socio-Demographics and Financial Literacy with Financial Planning Among Young Adults in Klang Valley, Malaysia","type":"article-journal","volume":"63"},"uris":["http://www.mendeley.com/documents/?uuid=3cea0833-1750-4ffe-973b-4ba410f376a4"]}],"mendeley":{"formattedCitation":"(Chun et al., 2021)","manualFormatting":"Chun et al. (2021)","plainTextFormattedCitation":"(Chun et al., 2021)","previouslyFormattedCitation":"(Chun et al., 2021)"},"properties":{"noteIndex":0},"schema":"https://github.com/citation-style-language/schema/raw/master/csl-citation.json"}</w:instrText>
      </w:r>
      <w:r w:rsidRPr="00D6136B">
        <w:rPr>
          <w:rFonts w:ascii="Times New Roman" w:hAnsi="Times New Roman" w:cs="Times New Roman"/>
        </w:rPr>
        <w:fldChar w:fldCharType="separate"/>
      </w:r>
      <w:bookmarkStart w:id="290" w:name="Bookmark175"/>
      <w:r w:rsidRPr="00D6136B">
        <w:rPr>
          <w:rFonts w:ascii="Times New Roman" w:hAnsi="Times New Roman" w:cs="Times New Roman"/>
          <w:noProof/>
        </w:rPr>
        <w:t>C</w:t>
      </w:r>
      <w:bookmarkStart w:id="291" w:name="Bookmark1601"/>
      <w:r w:rsidRPr="00D6136B">
        <w:rPr>
          <w:rFonts w:ascii="Times New Roman" w:hAnsi="Times New Roman" w:cs="Times New Roman"/>
          <w:noProof/>
        </w:rPr>
        <w:t>hun et al. (2021)</w:t>
      </w:r>
      <w:r w:rsidRPr="00D6136B">
        <w:rPr>
          <w:rFonts w:ascii="Times New Roman" w:hAnsi="Times New Roman" w:cs="Times New Roman"/>
        </w:rPr>
        <w:fldChar w:fldCharType="end"/>
      </w:r>
      <w:bookmarkEnd w:id="290"/>
      <w:bookmarkEnd w:id="291"/>
      <w:r w:rsidRPr="00D6136B">
        <w:rPr>
          <w:rFonts w:ascii="Times New Roman" w:hAnsi="Times New Roman" w:cs="Times New Roman"/>
        </w:rPr>
        <w:t xml:space="preserve"> that age, education level, income level and skill literacy have a relationship with personal skill considerations in financial planning. </w:t>
      </w:r>
      <w:r w:rsidRPr="00D6136B">
        <w:rPr>
          <w:rFonts w:ascii="Times New Roman" w:hAnsi="Times New Roman" w:cs="Times New Roman"/>
          <w:lang w:val="en-ID"/>
        </w:rPr>
        <w:t xml:space="preserve">Research by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{"citationItems":[{"id":"ITEM-1","itemData":{"DOI":"10.3390/su14148780","ISSN":"2071-1050","abstract":"This study examined the impact of social influence, i.e., parents and peers, on the level of financial literacy among Saudi young adults (students). It also assessed the effect of financial literacy on the development of saving behaviour and the role of self-control as a moderator in the relationship between financial literacy and saving behaviour among the same respondents. The study’s sample included 270 respondents (male and female) from an applied college affiliated with King Faisal University. The study employed partial least squares structural equation modelling (PLS-SEM) for data analysis and interpretation. Some intriguing findings were generated. It was discovered that the influence of both parents and peers can positively predict financial literacy. Furthermore, financial literacy can positively impact young people’s saving habits. One surprising finding was that self-control negatively moderated the relationship between financial literacy and saving behaviour. Self-control was found to dampen the ties between Saudi young people’s financial literacy and saving behaviour.","author":[{"dropping-particle":"","family":"Alshebami","given":"Ali Saleh","non-dropping-particle":"","parse-names":false,"suffix":""},{"dropping-particle":"","family":"Aldhyani","given":"Theyazn H. H.","non-dropping-particle":"","parse-names":false,"suffix":""}],"container-title":"Sustainability","id":"ITEM-1","issue":"14","issued":{"date-parts":[["2022","7","18"]]},"page":"8780","title":"The Interplay of Social Influence, Financial Literacy, and Saving Behaviour among Saudi Youth and the Moderating Effect of Self-Control","type":"article-journal","volume":"14"},"uris":["http://www.mendeley.com/documents/?uuid=d46dd693-a411-4bf6-8b26-694b249b4dd5"]}],"mendeley":{"formattedCitation":"(Alshebami &amp; Aldhyani, 2022)","manualFormatting":"Alshebami &amp; Aldhyani (2022","plainTextFormattedCitation":"(Alshebami &amp; Aldhyani, 2022)","previouslyFormattedCitation":"(Alshebami &amp; Aldhyani, 2022)"},"properties":{"noteIndex":0},"schema":"https://github.com/citation-style-language/schema/raw/master/csl-citation.json"}</w:instrText>
      </w:r>
      <w:r w:rsidRPr="00D6136B">
        <w:rPr>
          <w:rFonts w:ascii="Times New Roman" w:hAnsi="Times New Roman" w:cs="Times New Roman"/>
        </w:rPr>
        <w:fldChar w:fldCharType="separate"/>
      </w:r>
      <w:bookmarkStart w:id="292" w:name="Bookmark176"/>
      <w:r w:rsidRPr="00D6136B">
        <w:rPr>
          <w:rFonts w:ascii="Times New Roman" w:hAnsi="Times New Roman" w:cs="Times New Roman"/>
          <w:noProof/>
          <w:lang w:val="en-ID"/>
        </w:rPr>
        <w:t>A</w:t>
      </w:r>
      <w:bookmarkStart w:id="293" w:name="Bookmark1611"/>
      <w:r w:rsidRPr="00D6136B">
        <w:rPr>
          <w:rFonts w:ascii="Times New Roman" w:hAnsi="Times New Roman" w:cs="Times New Roman"/>
          <w:noProof/>
          <w:lang w:val="en-ID"/>
        </w:rPr>
        <w:t>lshebami &amp; Aldhyani (2022</w:t>
      </w:r>
      <w:r w:rsidRPr="00D6136B">
        <w:rPr>
          <w:rFonts w:ascii="Times New Roman" w:hAnsi="Times New Roman" w:cs="Times New Roman"/>
        </w:rPr>
        <w:fldChar w:fldCharType="end"/>
      </w:r>
      <w:bookmarkEnd w:id="292"/>
      <w:bookmarkEnd w:id="293"/>
      <w:r w:rsidRPr="00D6136B">
        <w:rPr>
          <w:rFonts w:ascii="Times New Roman" w:hAnsi="Times New Roman" w:cs="Times New Roman"/>
          <w:lang w:val="en-ID"/>
        </w:rPr>
        <w:t xml:space="preserve">) </w:t>
      </w:r>
      <w:r w:rsidRPr="00D6136B">
        <w:rPr>
          <w:rFonts w:ascii="Times New Roman" w:hAnsi="Times New Roman" w:cs="Times New Roman"/>
        </w:rPr>
        <w:t xml:space="preserve">it is known that the importance of social behavior in saving behavior. Socialization from parents can increase their children's awareness of the need to save by developing character, habits and setting an example through parental behavior </w:t>
      </w:r>
      <w:r w:rsidRPr="00D6136B">
        <w:rPr>
          <w:rFonts w:ascii="Times New Roman" w:hAnsi="Times New Roman" w:cs="Times New Roman"/>
        </w:rPr>
        <w:fldChar w:fldCharType="begin" w:fldLock="1"/>
      </w:r>
      <w:r w:rsidR="004A5E0E" w:rsidRPr="00D6136B">
        <w:rPr>
          <w:rFonts w:ascii="Times New Roman" w:hAnsi="Times New Roman" w:cs="Times New Roman"/>
        </w:rPr>
        <w:instrText>ADDIN CSL_CITATION {"citationItems":[{"id":"ITEM-1","itemData":{"abstract":"The household debt in Malaysia was recorded at 83 per cent of gross domestic product in 2018. This contributed to insufficient amount of saving by household who are mostly not prepared for retirement. Meanwhile, youths in emerging countries however are reported as the main group trapped into the financial problem. The tendency of saving among individual is different from one another due to differences in financial knowledge, peers influence, parent's socialization and self-control based on Theory of Planned Behavior. A survey was conducted on 133 students in emerging country, Malaysia, to examine the factors which affected their savings behavior. Structured questionnaires were distributed using convenient sampling technique. Results revealed that financial knowledge, peer influence and parent socialization have a significant effect on students' saving behavior. Findings serve to inform policy makers who are formulating strategies to enhance students' financial knowledge and to maximize the role of parents and peers in order to encourage higher saving behavior in emerging countries.","author":[{"dropping-particle":"","family":"Kadir","given":"Juliana Mohd Abdul","non-dropping-particle":"","parse-names":false,"suffix":""},{"dropping-particle":"","family":"Shoukat","given":"Ayesha","non-dropping-particle":"","parse-names":false,"suffix":""},{"dropping-particle":"","family":"Naghavi","given":"Navaz","non-dropping-particle":"","parse-names":false,"suffix":""},{"dropping-particle":"","family":"Jamaluddin","given":"Amirul Azri","non-dropping-particle":"","parse-names":false,"suffix":""}],"container-title":"Paskistan Business Review","id":"ITEM-1","issue":"4","issued":{"date-parts":[["2021"]]},"page":"629-644","title":"Saving Behavior in Emerging Country: The Role of Financial Knowledge, Peer Influence and Parent Socialization","type":"article-journal","volume":"22"},"uris":["http://www.mendeley.com/documents/?uuid=a68e692d-7e63-4c3d-a6d0-dd3ce6cedd94"]},{"id":"ITEM-2","itemData":{"DOI":"10.2991/assehr.k.220404.217","abstract":"ABSTRACT Savings activities are very important to be instilled early by their parents so that good saving behavior can be formed and developed in children from a young age to adulthood. the formation and development of saving behavior in a person will make it easier for individuals to manage their finances well.The purpose of this study was to determine the effect of financial literacy, parental socialization, peer influence and self-control on saving behavior. This study used a sample of 543 employees who live in Jakarta. Data collection was obtained by distributing questionnaires via google form and the method used was convenience sampling. All data obtained will be analyzed using the PLS-SEM method using Smart PLS software version 3.3.5. Based on the results of data processing, the authors conclude that financial literacy, parental socialization and self-control have a positive and significant effect on saving behavior. Meanwhile, peer influence has no effect on saving behavior.","author":[{"dropping-particle":"","family":"Angela","given":"Gabriella","non-dropping-particle":"","parse-names":false,"suffix":""},{"dropping-particle":"","family":"Pamungkas","given":"Ary Satria","non-dropping-particle":"","parse-names":false,"suffix":""}],"container-title":"Proceedings of the 3rd Tarumanagara International Conference on the Applications of Social Sciences and Humanities (TICASH 2021)","id":"ITEM-2","issue":"Icebm 2021","issued":{"date-parts":[["2022"]]},"page":"560-566","title":"The Influence of Financial Literacy, Parental Socialization, Peer Influence and Self-Control on Saving Behavior","type":"paper-conference","volume":"655"},"uris":["http://www.mendeley.com/documents/?uuid=e9128c75-0129-457a-a660-b9cb93770d5e"]}],"mendeley":{"formattedCitation":"(Angela &amp; Pamungkas, 2022; Kadir et al., 2021)","manualFormatting":"(Angela &amp; Pamungkas, 2022; and Kadir et al.,2021)","plainTextFormattedCitation":"(Angela &amp; Pamungkas, 2022; Kadir et al., 2021)","previouslyFormattedCitation":"(Angela &amp; Pamungkas, 2022; Kadir et al., 2021)"},"properties":{"noteIndex":0},"schema":"https://github.com/citation-style-language/schema/raw/master/csl-citation.json"}</w:instrText>
      </w:r>
      <w:r w:rsidRPr="00D6136B">
        <w:rPr>
          <w:rFonts w:ascii="Times New Roman" w:hAnsi="Times New Roman" w:cs="Times New Roman"/>
        </w:rPr>
        <w:fldChar w:fldCharType="separate"/>
      </w:r>
      <w:bookmarkStart w:id="294" w:name="Bookmark177"/>
      <w:r w:rsidRPr="00D6136B">
        <w:rPr>
          <w:rFonts w:ascii="Times New Roman" w:hAnsi="Times New Roman" w:cs="Times New Roman"/>
          <w:noProof/>
          <w:lang w:val="en-ID"/>
        </w:rPr>
        <w:t>(</w:t>
      </w:r>
      <w:bookmarkStart w:id="295" w:name="Bookmark1621"/>
      <w:r w:rsidRPr="00D6136B">
        <w:rPr>
          <w:rFonts w:ascii="Times New Roman" w:hAnsi="Times New Roman" w:cs="Times New Roman"/>
          <w:noProof/>
          <w:lang w:val="en-ID"/>
        </w:rPr>
        <w:t>Angela &amp; Pamungkas, 2022; and Kadir et al.,2021)</w:t>
      </w:r>
      <w:r w:rsidRPr="00D6136B">
        <w:rPr>
          <w:rFonts w:ascii="Times New Roman" w:hAnsi="Times New Roman" w:cs="Times New Roman"/>
        </w:rPr>
        <w:fldChar w:fldCharType="end"/>
      </w:r>
      <w:bookmarkEnd w:id="294"/>
      <w:bookmarkEnd w:id="295"/>
      <w:r w:rsidRPr="00D6136B">
        <w:rPr>
          <w:rFonts w:ascii="Times New Roman" w:hAnsi="Times New Roman" w:cs="Times New Roman"/>
          <w:lang w:val="en-ID"/>
        </w:rPr>
        <w:t xml:space="preserve">. </w:t>
      </w:r>
      <w:r w:rsidRPr="00D6136B">
        <w:rPr>
          <w:rFonts w:ascii="Times New Roman" w:hAnsi="Times New Roman" w:cs="Times New Roman"/>
        </w:rPr>
        <w:t>Other research has found that a person's saving behavior can stem from family and peer influences</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{"citationItems":[{"id":"ITEM-1","itemData":{"DOI":"10.3126/irjms.v3i0.28035","ISSN":"2542-2510","abstract":"This paper explores the parental and peer factors which influence the saving behavior of the youth. This paper is based on a structured questionnaire with various dimensions of the saving behavior, parental and peer influence. Judgmental and convenience sampling techniques were used to collect the data of 390 respondents from Kathmandu Valley who have completed Master’s degree and are employed. The study reveals that there is significant relationship between peer influence and saving behavior. Similarly, there is significant relationship between parental financial teaching and saving behavior. Independence, control, habit formation, encouraging saving are mechanisms that influences saving behavior. However parent’s encouragement to save highly affects the saving behavior. Therefore receiving financial teaching from parents ensures sound saving behavior.","author":[{"dropping-particle":"","family":"Dangol","given":"Jeetendra","non-dropping-particle":"","parse-names":false,"suffix":""},{"dropping-particle":"","family":"Maharjan","given":"Saru","non-dropping-particle":"","parse-names":false,"suffix":""}],"container-title":"International Research Journal of Management Science","id":"ITEM-1","issue":"1","issued":{"date-parts":[["2018"]]},"page":"42-63","title":"Parental and Peer Influence on the Saving Behavior of the Youth","type":"article-journal","volume":"3"},"uris":["http://www.mendeley.com/documents/?uuid=2d4640cf-e9ee-4295-83fc-b991d76b74b8"]},{"id":"ITEM-2","itemData":{"DOI":"10.2991/assehr.k.220404.217","abstract":"The purpose of this study was to determine the effect of financial literacy, parental socialization, and peer influences on saving behavior. The sample selection method in this study uses convenience sampling with a sample of 316 respondents who are residents of DKI Jakarta who already have an income. The data analysis method used in this research is to use the smart partial least square (PLS) software version 3.00. The results of the data analysis conclude that there is a positive and significant influence between financial literacy, parental socialization, and peer influences on saving behavior.","author":[{"dropping-particle":"","family":"Salim","given":"Alvin Sanjaya","non-dropping-particle":"","parse-names":false,"suffix":""},{"dropping-particle":"","family":"Pamungkas","given":"Ary Satria","non-dropping-particle":"","parse-names":false,"suffix":""}],"container-title":"Proceedings of the 3rd Tarumanagara International Conference on the Applications of Social Sciences and Humanities (TICASH 2021)","id":"ITEM-2","issue":"Ticash 2021","issued":{"date-parts":[["2022"]]},"page":"1356-1361","title":"The Influence of Financial Literacy, Parental Socialization, and Peer Influences on Saving Behavior","type":"article-journal","volume":"655"},"uris":["http://www.mendeley.com/documents/?uuid=ff7332c6-ceb7-4a0a-b10b-6ae4e353c5e2"]},{"id":"ITEM-3","itemData":{"abstract":"The household debt in Malaysia was recorded at 83 per cent of gross domestic product in 2018. This contributed to insufficient amount of saving by household who are mostly not prepared for retirement. Meanwhile, youths in emerging countries however are reported as the main group trapped into the financial problem. The tendency of saving among individual is different from one another due to differences in financial knowledge, peers influence, parent's socialization and self-control based on Theory of Planned Behavior. A survey was conducted on 133 students in emerging country, Malaysia, to examine the factors which affected their savings behavior. Structured questionnaires were distributed using convenient sampling technique. Results revealed that financial knowledge, peer influence and parent socialization have a significant effect on students' saving behavior. Findings serve to inform policy makers who are formulating strategies to enhance students' financial knowledge and to maximize the role of parents and peers in order to encourage higher saving behavior in emerging countries.","author":[{"dropping-particle":"","family":"Kadir","given":"Juliana Mohd Abdul","non-dropping-particle":"","parse-names":false,"suffix":""},{"dropping-particle":"","family":"Shoukat","given":"Ayesha","non-dropping-particle":"","parse-names":false,"suffix":""},{"dropping-particle":"","family":"Naghavi","given":"Navaz","non-dropping-particle":"","parse-names":false,"suffix":""},{"dropping-particle":"","family":"Jamaluddin","given":"Amirul Azri","non-dropping-particle":"","parse-names":false,"suffix":""}],"container-title":"Paskistan Business Review","id":"ITEM-3","issue":"4","issued":{"date-parts":[["2021"]]},"page":"629-644","title":"Saving Behavior in Emerging Country: The Role of Financial Knowledge, Peer Influence and Parent Socialization","type":"article-journal","volume":"22"},"uris":["http://www.mendeley.com/documents/?uuid=a68e692d-7e63-4c3d-a6d0-dd3ce6cedd94"]},{"id":"ITEM-4","itemData":{"DOI":"10.25236/fsst.2021.030510","ISSN":"26167433","abstract":"Saving is the final manifestation of surplus in an economic cycle and it is the most common way for people to manage their wealth. In recent years, China's domestic saving rate still remains the highest level in the world. This research focuses on Guangdong province, whose saving scale ranks the top among mainland China. At present, there are few researches based on the influencing factors of Guangdong university students' saving behaviour. Therefore, this research is aims to investigate whether financial literacy (FL), parent influence (PaI), peer influence (PeI) and self-restraint (SR) have significant influence on the saving behaviour (SB) of university students in Guangdong province. Primary data are collected using self-administered questionnaire. The samples comprised 404 students from 16 different cities in Guangdong. Meanwhile, Pearson Correlations and Multiple Regression Analysis are employed to identify whether the four factors have relationship with the saving behaviour of university students. The results show that all the FL, PaI, PeI and SR have positive relationship with SB while FL has the greatest impact on SB among the four independent variables. In terms of practical significance, not only this research can fills in the academic gap to a certain extent, but also can contribute to university students, parents, universities commercial banks and other relevant parties.","author":[{"dropping-particle":"","family":"Ling","given":"Hanlu","non-dropping-particle":"","parse-names":false,"suffix":""}],"container-title":"The Frontiers of Society, Science and Technology","id":"ITEM-4","issue":"5","issued":{"date-parts":[["2021"]]},"page":"51-70","title":"Determinants of Saving Behaviour among Universities Students in Guangdong Province","type":"article-journal","volume":"3"},"uris":["http://www.mendeley.com/documents/?uuid=9bcc816b-947a-48b1-ac56-6c1fe45ed5e1"]}],"mendeley":{"formattedCitation":"(Dangol &amp; Maharjan, 2018; Kadir et al., 2021; Ling, 2021; Salim &amp; Pamungkas, 2022)","manualFormatting":"(Dangol &amp; Maharjan, 2018; Kadir et al.,2021; Ling, 2021; and Salim &amp; Pamungkas, 2022)","plainTextFormattedCitation":"(Dangol &amp; Maharjan, 2018; Kadir et al., 2021; Ling, 2021; Salim &amp; Pamungkas, 2022)","previouslyFormattedCitation":"(Dangol &amp; Maharjan, 2018; Kadir et al., 2021; Ling, 2021; Salim &amp; Pamungkas, 2022)"},"properties":{"noteIndex":0},"schema":"https://github.com/citation-style-language/schema/raw/master/csl-citation.json"}</w:instrText>
      </w:r>
      <w:r w:rsidRPr="00D6136B">
        <w:rPr>
          <w:rFonts w:ascii="Times New Roman" w:hAnsi="Times New Roman" w:cs="Times New Roman"/>
        </w:rPr>
        <w:fldChar w:fldCharType="separate"/>
      </w:r>
      <w:bookmarkStart w:id="296" w:name="Bookmark178"/>
      <w:r w:rsidRPr="00D6136B">
        <w:rPr>
          <w:rFonts w:ascii="Times New Roman" w:hAnsi="Times New Roman" w:cs="Times New Roman"/>
          <w:noProof/>
          <w:lang w:val="en-ID"/>
        </w:rPr>
        <w:t>(</w:t>
      </w:r>
      <w:bookmarkStart w:id="297" w:name="Bookmark1631"/>
      <w:r w:rsidRPr="00D6136B">
        <w:rPr>
          <w:rFonts w:ascii="Times New Roman" w:hAnsi="Times New Roman" w:cs="Times New Roman"/>
          <w:noProof/>
          <w:lang w:val="en-ID"/>
        </w:rPr>
        <w:t>Dangol &amp; Maharjan, 2018; Kadir et al.,2021; Ling, 2021; and Salim &amp; Pamungkas, 2022)</w:t>
      </w:r>
      <w:r w:rsidRPr="00D6136B">
        <w:rPr>
          <w:rFonts w:ascii="Times New Roman" w:hAnsi="Times New Roman" w:cs="Times New Roman"/>
        </w:rPr>
        <w:fldChar w:fldCharType="end"/>
      </w:r>
      <w:bookmarkEnd w:id="296"/>
      <w:bookmarkEnd w:id="297"/>
      <w:r w:rsidRPr="00D6136B">
        <w:rPr>
          <w:rFonts w:ascii="Times New Roman" w:hAnsi="Times New Roman" w:cs="Times New Roman"/>
          <w:lang w:val="en-ID"/>
        </w:rPr>
        <w:t xml:space="preserve">. </w:t>
      </w:r>
      <w:r w:rsidRPr="00D6136B">
        <w:rPr>
          <w:rFonts w:ascii="Times New Roman" w:hAnsi="Times New Roman" w:cs="Times New Roman"/>
        </w:rPr>
        <w:t>Thus, it is hypothesized that:</w:t>
      </w:r>
    </w:p>
    <w:p w14:paraId="3CB400E6" w14:textId="77777777" w:rsidR="00EF27A7" w:rsidRPr="00D6136B" w:rsidRDefault="00456E38" w:rsidP="00EF27A7">
      <w:pPr>
        <w:pStyle w:val="Heading2"/>
        <w:tabs>
          <w:tab w:val="left" w:pos="620"/>
        </w:tabs>
        <w:spacing w:before="93"/>
        <w:ind w:firstLine="0"/>
        <w:jc w:val="both"/>
        <w:rPr>
          <w:rFonts w:ascii="Times New Roman" w:hAnsi="Times New Roman" w:cs="Times New Roman"/>
          <w:b w:val="0"/>
          <w:bCs w:val="0"/>
          <w:i w:val="0"/>
          <w:iCs w:val="0"/>
        </w:rPr>
      </w:pPr>
      <w:r w:rsidRPr="00D6136B">
        <w:rPr>
          <w:rFonts w:ascii="Times New Roman" w:hAnsi="Times New Roman" w:cs="Times New Roman"/>
          <w:b w:val="0"/>
          <w:bCs w:val="0"/>
          <w:i w:val="0"/>
          <w:iCs w:val="0"/>
          <w:color w:val="231F20"/>
          <w:w w:val="90"/>
          <w:lang w:val="en-ID"/>
        </w:rPr>
        <w:t xml:space="preserve">H6: </w:t>
      </w:r>
      <w:r w:rsidRPr="00D6136B">
        <w:rPr>
          <w:rFonts w:ascii="Times New Roman" w:hAnsi="Times New Roman" w:cs="Times New Roman"/>
          <w:b w:val="0"/>
          <w:bCs w:val="0"/>
          <w:i w:val="0"/>
          <w:iCs w:val="0"/>
        </w:rPr>
        <w:t>High Social Economic Status Strengthens the Influence on Saving Intention and Saving Behavior</w:t>
      </w:r>
    </w:p>
    <w:p w14:paraId="5C2451A2" w14:textId="6A77B415" w:rsidR="00EF27A7" w:rsidRDefault="00EF27A7" w:rsidP="00EF27A7">
      <w:pPr>
        <w:pStyle w:val="Heading2"/>
        <w:tabs>
          <w:tab w:val="left" w:pos="620"/>
        </w:tabs>
        <w:spacing w:before="93"/>
        <w:ind w:firstLine="0"/>
        <w:jc w:val="both"/>
        <w:rPr>
          <w:rFonts w:ascii="Times New Roman" w:hAnsi="Times New Roman" w:cs="Times New Roman"/>
          <w:b w:val="0"/>
          <w:bCs w:val="0"/>
          <w:i w:val="0"/>
          <w:iCs w:val="0"/>
          <w:sz w:val="24"/>
          <w:szCs w:val="24"/>
        </w:rPr>
      </w:pPr>
    </w:p>
    <w:p w14:paraId="16F2FE60" w14:textId="77777777" w:rsidR="00D6136B" w:rsidRDefault="00D6136B" w:rsidP="00EF27A7">
      <w:pPr>
        <w:pStyle w:val="Heading2"/>
        <w:tabs>
          <w:tab w:val="left" w:pos="620"/>
        </w:tabs>
        <w:spacing w:before="93"/>
        <w:ind w:firstLine="0"/>
        <w:jc w:val="both"/>
        <w:rPr>
          <w:rFonts w:ascii="Times New Roman" w:hAnsi="Times New Roman" w:cs="Times New Roman"/>
          <w:b w:val="0"/>
          <w:bCs w:val="0"/>
          <w:i w:val="0"/>
          <w:iCs w:val="0"/>
          <w:sz w:val="24"/>
          <w:szCs w:val="24"/>
        </w:rPr>
      </w:pPr>
    </w:p>
    <w:p w14:paraId="3B2A6734" w14:textId="77777777" w:rsidR="00AB301B" w:rsidRDefault="00AB301B" w:rsidP="00EF27A7">
      <w:pPr>
        <w:pStyle w:val="Heading2"/>
        <w:tabs>
          <w:tab w:val="left" w:pos="620"/>
        </w:tabs>
        <w:spacing w:before="93"/>
        <w:ind w:firstLine="0"/>
        <w:jc w:val="both"/>
        <w:rPr>
          <w:rFonts w:ascii="Times New Roman" w:hAnsi="Times New Roman" w:cs="Times New Roman"/>
          <w:b w:val="0"/>
          <w:bCs w:val="0"/>
          <w:i w:val="0"/>
          <w:iCs w:val="0"/>
          <w:sz w:val="24"/>
          <w:szCs w:val="24"/>
        </w:rPr>
      </w:pPr>
    </w:p>
    <w:p w14:paraId="64C60EC1" w14:textId="77777777" w:rsidR="00AB301B" w:rsidRDefault="00AB301B" w:rsidP="00EF27A7">
      <w:pPr>
        <w:pStyle w:val="Heading2"/>
        <w:tabs>
          <w:tab w:val="left" w:pos="620"/>
        </w:tabs>
        <w:spacing w:before="93"/>
        <w:ind w:firstLine="0"/>
        <w:jc w:val="both"/>
        <w:rPr>
          <w:rFonts w:ascii="Times New Roman" w:hAnsi="Times New Roman" w:cs="Times New Roman"/>
          <w:b w:val="0"/>
          <w:bCs w:val="0"/>
          <w:i w:val="0"/>
          <w:iCs w:val="0"/>
          <w:sz w:val="24"/>
          <w:szCs w:val="24"/>
        </w:rPr>
      </w:pPr>
    </w:p>
    <w:p w14:paraId="1D30EC4A" w14:textId="77777777" w:rsidR="00AB301B" w:rsidRDefault="00AB301B" w:rsidP="00EF27A7">
      <w:pPr>
        <w:pStyle w:val="Heading2"/>
        <w:tabs>
          <w:tab w:val="left" w:pos="620"/>
        </w:tabs>
        <w:spacing w:before="93"/>
        <w:ind w:firstLine="0"/>
        <w:jc w:val="both"/>
        <w:rPr>
          <w:rFonts w:ascii="Times New Roman" w:hAnsi="Times New Roman" w:cs="Times New Roman"/>
          <w:b w:val="0"/>
          <w:bCs w:val="0"/>
          <w:i w:val="0"/>
          <w:iCs w:val="0"/>
          <w:sz w:val="24"/>
          <w:szCs w:val="24"/>
        </w:rPr>
      </w:pPr>
    </w:p>
    <w:p w14:paraId="78E5951E" w14:textId="77777777" w:rsidR="00AB301B" w:rsidRDefault="00AB301B" w:rsidP="00EF27A7">
      <w:pPr>
        <w:pStyle w:val="Heading2"/>
        <w:tabs>
          <w:tab w:val="left" w:pos="620"/>
        </w:tabs>
        <w:spacing w:before="93"/>
        <w:ind w:firstLine="0"/>
        <w:jc w:val="both"/>
        <w:rPr>
          <w:rFonts w:ascii="Times New Roman" w:hAnsi="Times New Roman" w:cs="Times New Roman"/>
          <w:b w:val="0"/>
          <w:bCs w:val="0"/>
          <w:i w:val="0"/>
          <w:iCs w:val="0"/>
          <w:sz w:val="24"/>
          <w:szCs w:val="24"/>
        </w:rPr>
      </w:pPr>
    </w:p>
    <w:p w14:paraId="57BD3C6A" w14:textId="77FD251E" w:rsidR="00D97723" w:rsidRDefault="00456E38" w:rsidP="00AB301B">
      <w:pPr>
        <w:pStyle w:val="Heading2"/>
        <w:spacing w:before="93"/>
        <w:ind w:left="90" w:firstLine="0"/>
        <w:jc w:val="both"/>
        <w:rPr>
          <w:rFonts w:ascii="Times New Roman" w:hAnsi="Times New Roman" w:cs="Times New Roman"/>
          <w:b w:val="0"/>
          <w:bCs w:val="0"/>
          <w:i w:val="0"/>
          <w:iCs w:val="0"/>
          <w:sz w:val="24"/>
          <w:szCs w:val="24"/>
        </w:rPr>
      </w:pPr>
      <w:r>
        <w:rPr>
          <w:rFonts w:ascii="Times New Roman" w:hAnsi="Times New Roman" w:cs="Times New Roman"/>
          <w:b w:val="0"/>
          <w:bCs w:val="0"/>
          <w:i w:val="0"/>
          <w:iCs w:val="0"/>
          <w:sz w:val="24"/>
          <w:szCs w:val="24"/>
        </w:rPr>
        <w:t>Based on the hypothesis framework above, the research model can be depicted in figure 1 below:</w:t>
      </w:r>
    </w:p>
    <w:p w14:paraId="493CAB2A" w14:textId="77777777" w:rsidR="00AB301B" w:rsidRDefault="00AB301B" w:rsidP="00AB301B">
      <w:pPr>
        <w:pStyle w:val="Heading2"/>
        <w:spacing w:before="93"/>
        <w:ind w:left="90" w:firstLine="0"/>
        <w:jc w:val="both"/>
        <w:rPr>
          <w:rFonts w:ascii="Times New Roman" w:hAnsi="Times New Roman" w:cs="Times New Roman"/>
          <w:b w:val="0"/>
          <w:bCs w:val="0"/>
          <w:i w:val="0"/>
          <w:iCs w:val="0"/>
          <w:sz w:val="24"/>
          <w:szCs w:val="24"/>
        </w:rPr>
      </w:pPr>
    </w:p>
    <w:p w14:paraId="58313AF2" w14:textId="77777777" w:rsidR="00AB301B" w:rsidRDefault="00AB301B" w:rsidP="00AB301B">
      <w:pPr>
        <w:pStyle w:val="Heading2"/>
        <w:spacing w:before="93"/>
        <w:ind w:left="90" w:firstLine="0"/>
        <w:jc w:val="both"/>
        <w:rPr>
          <w:rFonts w:ascii="Times New Roman" w:hAnsi="Times New Roman" w:cs="Times New Roman"/>
          <w:b w:val="0"/>
          <w:bCs w:val="0"/>
          <w:i w:val="0"/>
          <w:iCs w:val="0"/>
          <w:sz w:val="24"/>
          <w:szCs w:val="24"/>
        </w:rPr>
      </w:pPr>
    </w:p>
    <w:p w14:paraId="1D831801" w14:textId="77777777" w:rsidR="00AB301B" w:rsidRDefault="00AB301B" w:rsidP="00AB301B">
      <w:pPr>
        <w:spacing w:before="73"/>
        <w:ind w:left="2790" w:right="603"/>
        <w:rPr>
          <w:rFonts w:ascii="Times New Roman" w:hAnsi="Times New Roman" w:cs="Times New Roman"/>
          <w:b/>
          <w:color w:val="231F20"/>
          <w:spacing w:val="-2"/>
          <w:sz w:val="24"/>
          <w:szCs w:val="24"/>
        </w:rPr>
      </w:pPr>
      <w:r>
        <w:rPr>
          <w:rFonts w:ascii="Times New Roman" w:hAnsi="Times New Roman" w:cs="Times New Roman"/>
          <w:b/>
          <w:color w:val="231F20"/>
          <w:spacing w:val="-2"/>
          <w:sz w:val="24"/>
          <w:szCs w:val="24"/>
        </w:rPr>
        <w:t>Figure 1:</w:t>
      </w:r>
      <w:r>
        <w:rPr>
          <w:rFonts w:ascii="Times New Roman" w:hAnsi="Times New Roman" w:cs="Times New Roman"/>
          <w:b/>
          <w:color w:val="231F20"/>
          <w:spacing w:val="-1"/>
          <w:sz w:val="24"/>
          <w:szCs w:val="24"/>
        </w:rPr>
        <w:t xml:space="preserve"> </w:t>
      </w:r>
      <w:r>
        <w:rPr>
          <w:rFonts w:ascii="Times New Roman" w:hAnsi="Times New Roman" w:cs="Times New Roman"/>
          <w:b/>
          <w:color w:val="231F20"/>
          <w:spacing w:val="-2"/>
          <w:sz w:val="24"/>
          <w:szCs w:val="24"/>
        </w:rPr>
        <w:t>Research Model</w:t>
      </w:r>
    </w:p>
    <w:p w14:paraId="27ADE1FF" w14:textId="7BC13008" w:rsidR="00AB301B" w:rsidRDefault="00AB301B" w:rsidP="00AB301B">
      <w:pPr>
        <w:pStyle w:val="Heading2"/>
        <w:spacing w:before="93"/>
        <w:ind w:left="90" w:firstLine="0"/>
        <w:jc w:val="both"/>
        <w:rPr>
          <w:rFonts w:ascii="Times New Roman" w:hAnsi="Times New Roman" w:cs="Times New Roman"/>
          <w:b w:val="0"/>
          <w:bCs w:val="0"/>
          <w:i w:val="0"/>
          <w:iCs w:val="0"/>
          <w:sz w:val="24"/>
          <w:szCs w:val="24"/>
        </w:rPr>
      </w:pPr>
    </w:p>
    <w:p w14:paraId="54C3AFF4" w14:textId="3FED6533" w:rsidR="00AB301B" w:rsidRPr="00EF27A7" w:rsidRDefault="00AB301B" w:rsidP="00AB301B">
      <w:pPr>
        <w:pStyle w:val="Heading2"/>
        <w:spacing w:before="93"/>
        <w:ind w:left="90" w:firstLine="0"/>
        <w:jc w:val="both"/>
        <w:rPr>
          <w:rFonts w:ascii="Times New Roman" w:hAnsi="Times New Roman" w:cs="Times New Roman"/>
          <w:b w:val="0"/>
          <w:bCs w:val="0"/>
          <w:i w:val="0"/>
          <w:iCs w:val="0"/>
          <w:sz w:val="24"/>
          <w:szCs w:val="24"/>
        </w:rPr>
      </w:pPr>
      <w:r>
        <w:rPr>
          <w:noProof/>
        </w:rPr>
        <mc:AlternateContent>
          <mc:Choice Requires="wps">
            <w:drawing>
              <wp:anchor distT="0" distB="0" distL="0" distR="0" simplePos="0" relativeHeight="10" behindDoc="0" locked="0" layoutInCell="1" allowOverlap="1" wp14:anchorId="198C0B53" wp14:editId="42B8AED2">
                <wp:simplePos x="0" y="0"/>
                <wp:positionH relativeFrom="column">
                  <wp:posOffset>1922145</wp:posOffset>
                </wp:positionH>
                <wp:positionV relativeFrom="paragraph">
                  <wp:posOffset>187325</wp:posOffset>
                </wp:positionV>
                <wp:extent cx="1249680" cy="588010"/>
                <wp:effectExtent l="0" t="0" r="26670" b="21590"/>
                <wp:wrapNone/>
                <wp:docPr id="9" name="Oval 13"/>
                <wp:cNvGraphicFramePr/>
                <a:graphic xmlns:a="http://schemas.openxmlformats.org/drawingml/2006/main">
                  <a:graphicData uri="http://schemas.microsoft.com/office/word/2010/wordprocessingShape">
                    <wps:wsp>
                      <wps:cNvSpPr/>
                      <wps:spPr>
                        <a:xfrm>
                          <a:off x="0" y="0"/>
                          <a:ext cx="1249680" cy="588010"/>
                        </a:xfrm>
                        <a:prstGeom prst="ellipse">
                          <a:avLst/>
                        </a:prstGeom>
                        <a:noFill/>
                        <a:ln w="9360">
                          <a:round/>
                        </a:ln>
                      </wps:spPr>
                      <wps:style>
                        <a:lnRef idx="2">
                          <a:schemeClr val="accent1">
                            <a:shade val="15000"/>
                          </a:schemeClr>
                        </a:lnRef>
                        <a:fillRef idx="1">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oval w14:anchorId="1EFBE59E" id="Oval 13" o:spid="_x0000_s1026" style="position:absolute;margin-left:151.35pt;margin-top:14.75pt;width:98.4pt;height:46.3pt;z-index: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" filled="f" strokecolor="#0a121c [484]" strokeweight=".26mm"/>
            </w:pict>
          </mc:Fallback>
        </mc:AlternateContent>
      </w:r>
    </w:p>
    <w:p w14:paraId="11C38281" w14:textId="7FB78EC7" w:rsidR="00D97723" w:rsidRDefault="00456E38">
      <w:pPr>
        <w:spacing w:line="276" w:lineRule="auto"/>
        <w:jc w:val="both"/>
        <w:rPr>
          <w:lang w:val="en-ID"/>
        </w:rPr>
      </w:pPr>
      <w:r>
        <w:rPr>
          <w:noProof/>
        </w:rPr>
        <mc:AlternateContent>
          <mc:Choice Requires="wps">
            <w:drawing>
              <wp:anchor distT="0" distB="0" distL="0" distR="0" simplePos="0" relativeHeight="3" behindDoc="0" locked="0" layoutInCell="1" allowOverlap="1" wp14:anchorId="6EB4505A" wp14:editId="0543B028">
                <wp:simplePos x="0" y="0"/>
                <wp:positionH relativeFrom="column">
                  <wp:posOffset>1858010</wp:posOffset>
                </wp:positionH>
                <wp:positionV relativeFrom="paragraph">
                  <wp:posOffset>57150</wp:posOffset>
                </wp:positionV>
                <wp:extent cx="1402080" cy="458470"/>
                <wp:effectExtent l="0" t="0" r="7620" b="0"/>
                <wp:wrapNone/>
                <wp:docPr id="7" name="Text Box 5"/>
                <wp:cNvGraphicFramePr/>
                <a:graphic xmlns:a="http://schemas.openxmlformats.org/drawingml/2006/main">
                  <a:graphicData uri="http://schemas.microsoft.com/office/word/2010/wordprocessingShape">
                    <wps:wsp>
                      <wps:cNvSpPr/>
                      <wps:spPr>
                        <a:xfrm>
                          <a:off x="0" y="0"/>
                          <a:ext cx="1402080" cy="45847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03174C02" w14:textId="77777777" w:rsidR="00716E2C" w:rsidRDefault="00716E2C">
                            <w:pPr>
                              <w:pStyle w:val="FrameContents"/>
                              <w:jc w:val="center"/>
                              <w:rPr>
                                <w:color w:val="000000"/>
                              </w:rPr>
                            </w:pPr>
                            <w:r>
                              <w:rPr>
                                <w:color w:val="000000"/>
                              </w:rPr>
                              <w:t>Social Economic Status</w:t>
                            </w:r>
                          </w:p>
                        </w:txbxContent>
                      </wps:txbx>
                      <wps:bodyPr>
                        <a:prstTxWarp prst="textNoShape">
                          <a:avLst/>
                        </a:prstTxWarp>
                        <a:noAutofit/>
                      </wps:bodyPr>
                    </wps:wsp>
                  </a:graphicData>
                </a:graphic>
              </wp:anchor>
            </w:drawing>
          </mc:Choice>
          <mc:Fallback>
            <w:pict>
              <v:rect w14:anchorId="6EB4505A" id="Text Box 5" o:spid="_x0000_s1026" style="position:absolute;left:0;text-align:left;margin-left:146.3pt;margin-top:4.5pt;width:110.4pt;height:36.1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" fillcolor="white [3201]" stroked="f" strokeweight=".18mm">
                <v:textbox>
                  <w:txbxContent>
                    <w:p w14:paraId="03174C02" w14:textId="77777777" w:rsidR="00716E2C" w:rsidRDefault="00716E2C">
                      <w:pPr>
                        <w:pStyle w:val="FrameContents"/>
                        <w:jc w:val="center"/>
                        <w:rPr>
                          <w:color w:val="000000"/>
                        </w:rPr>
                      </w:pPr>
                      <w:r>
                        <w:rPr>
                          <w:color w:val="000000"/>
                        </w:rPr>
                        <w:t>Social Economic Status</w:t>
                      </w:r>
                    </w:p>
                  </w:txbxContent>
                </v:textbox>
              </v:rect>
            </w:pict>
          </mc:Fallback>
        </mc:AlternateContent>
      </w:r>
      <w:r>
        <w:rPr>
          <w:noProof/>
        </w:rPr>
        <w:drawing>
          <wp:anchor distT="0" distB="0" distL="0" distR="0" simplePos="0" relativeHeight="9" behindDoc="0" locked="0" layoutInCell="1" allowOverlap="1" wp14:anchorId="5ADEFA5E" wp14:editId="3737DA31">
            <wp:simplePos x="0" y="0"/>
            <wp:positionH relativeFrom="column">
              <wp:posOffset>974725</wp:posOffset>
            </wp:positionH>
            <wp:positionV relativeFrom="paragraph">
              <wp:posOffset>85090</wp:posOffset>
            </wp:positionV>
            <wp:extent cx="14605" cy="14605"/>
            <wp:effectExtent l="0" t="0" r="0" b="0"/>
            <wp:wrapNone/>
            <wp:docPr id="10" name="In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k 52"/>
                    <pic:cNvPicPr>
                      <a:picLocks noChangeAspect="1" noChangeArrowheads="1"/>
                    </pic:cNvPicPr>
                  </pic:nvPicPr>
                  <pic:blipFill>
                    <a:blip r:embed="rId12"/>
                    <a:stretch>
                      <a:fillRect/>
                    </a:stretch>
                  </pic:blipFill>
                  <pic:spPr bwMode="auto">
                    <a:xfrm>
                      <a:off x="0" y="0"/>
                      <a:ext cx="14605" cy="14605"/>
                    </a:xfrm>
                    <a:prstGeom prst="rect">
                      <a:avLst/>
                    </a:prstGeom>
                  </pic:spPr>
                </pic:pic>
              </a:graphicData>
            </a:graphic>
          </wp:anchor>
        </w:drawing>
      </w:r>
    </w:p>
    <w:p w14:paraId="14725A18" w14:textId="2D6EE161" w:rsidR="00D97723" w:rsidRDefault="00D97723">
      <w:pPr>
        <w:spacing w:line="276" w:lineRule="auto"/>
        <w:jc w:val="both"/>
        <w:rPr>
          <w:lang w:val="en-ID"/>
        </w:rPr>
      </w:pPr>
    </w:p>
    <w:p w14:paraId="01F70C49" w14:textId="187C4005" w:rsidR="00D97723" w:rsidRDefault="00BC52EC">
      <w:pPr>
        <w:spacing w:line="276" w:lineRule="auto"/>
        <w:jc w:val="both"/>
        <w:rPr>
          <w:lang w:val="en-ID"/>
        </w:rPr>
      </w:pPr>
      <w:r>
        <w:rPr>
          <w:noProof/>
        </w:rPr>
        <mc:AlternateContent>
          <mc:Choice Requires="wps">
            <w:drawing>
              <wp:anchor distT="0" distB="0" distL="0" distR="0" simplePos="0" relativeHeight="18" behindDoc="0" locked="0" layoutInCell="1" allowOverlap="1" wp14:anchorId="5E6CC302" wp14:editId="6A440561">
                <wp:simplePos x="0" y="0"/>
                <wp:positionH relativeFrom="column">
                  <wp:posOffset>2559685</wp:posOffset>
                </wp:positionH>
                <wp:positionV relativeFrom="paragraph">
                  <wp:posOffset>182549</wp:posOffset>
                </wp:positionV>
                <wp:extent cx="1905" cy="485775"/>
                <wp:effectExtent l="57150" t="0" r="74295" b="66675"/>
                <wp:wrapNone/>
                <wp:docPr id="14" name="Straight Arrow Connector 16"/>
                <wp:cNvGraphicFramePr/>
                <a:graphic xmlns:a="http://schemas.openxmlformats.org/drawingml/2006/main">
                  <a:graphicData uri="http://schemas.microsoft.com/office/word/2010/wordprocessingShape">
                    <wps:wsp>
                      <wps:cNvSpPr/>
                      <wps:spPr>
                        <a:xfrm>
                          <a:off x="0" y="0"/>
                          <a:ext cx="1905" cy="485775"/>
                        </a:xfrm>
                        <a:custGeom>
                          <a:avLst/>
                          <a:gdLst/>
                          <a:ahLst/>
                          <a:cxnLst/>
                          <a:rect l="l" t="t" r="r" b="b"/>
                          <a:pathLst>
                            <a:path w="21600" h="21600">
                              <a:moveTo>
                                <a:pt x="0" y="0"/>
                              </a:moveTo>
                              <a:lnTo>
                                <a:pt x="21600" y="21600"/>
                              </a:lnTo>
                            </a:path>
                          </a:pathLst>
                        </a:custGeom>
                        <a:noFill/>
                        <a:ln>
                          <a:solidFill>
                            <a:srgbClr val="4A7EBB"/>
                          </a:solidFill>
                          <a:round/>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052ADBBE" id="Straight Arrow Connector 16" o:spid="_x0000_s1026" style="position:absolute;margin-left:201.55pt;margin-top:14.35pt;width:.15pt;height:38.25pt;z-index:1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" path="m,l21600,21600e" filled="f" strokecolor="#4a7ebb">
                <v:stroke endarrow="block"/>
                <v:path arrowok="t"/>
              </v:shape>
            </w:pict>
          </mc:Fallback>
        </mc:AlternateContent>
      </w:r>
    </w:p>
    <w:p w14:paraId="7D9EFD85" w14:textId="43C5DB56" w:rsidR="00D97723" w:rsidRDefault="00771849">
      <w:pPr>
        <w:spacing w:line="276" w:lineRule="auto"/>
        <w:jc w:val="both"/>
        <w:rPr>
          <w:lang w:val="en-ID"/>
        </w:rPr>
      </w:pPr>
      <w:r>
        <w:rPr>
          <w:noProof/>
        </w:rPr>
        <mc:AlternateContent>
          <mc:Choice Requires="wps">
            <w:drawing>
              <wp:anchor distT="0" distB="0" distL="0" distR="0" simplePos="0" relativeHeight="12" behindDoc="0" locked="0" layoutInCell="1" allowOverlap="1" wp14:anchorId="74BA4ECF" wp14:editId="2A6E4034">
                <wp:simplePos x="0" y="0"/>
                <wp:positionH relativeFrom="column">
                  <wp:posOffset>3462655</wp:posOffset>
                </wp:positionH>
                <wp:positionV relativeFrom="paragraph">
                  <wp:posOffset>158750</wp:posOffset>
                </wp:positionV>
                <wp:extent cx="992505" cy="498475"/>
                <wp:effectExtent l="0" t="0" r="17145" b="15875"/>
                <wp:wrapNone/>
                <wp:docPr id="13" name="Oval 13"/>
                <wp:cNvGraphicFramePr/>
                <a:graphic xmlns:a="http://schemas.openxmlformats.org/drawingml/2006/main">
                  <a:graphicData uri="http://schemas.microsoft.com/office/word/2010/wordprocessingShape">
                    <wps:wsp>
                      <wps:cNvSpPr/>
                      <wps:spPr>
                        <a:xfrm>
                          <a:off x="0" y="0"/>
                          <a:ext cx="992505" cy="498475"/>
                        </a:xfrm>
                        <a:prstGeom prst="ellipse">
                          <a:avLst/>
                        </a:prstGeom>
                        <a:noFill/>
                        <a:ln w="9360">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w14:anchorId="1FB8F2FD" id="Oval 13" o:spid="_x0000_s1026" style="position:absolute;margin-left:272.65pt;margin-top:12.5pt;width:78.15pt;height:39.25pt;z-index: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" filled="f" strokecolor="#0a121c [484]" strokeweight=".26mm"/>
            </w:pict>
          </mc:Fallback>
        </mc:AlternateContent>
      </w:r>
      <w:r w:rsidR="00456E38">
        <w:rPr>
          <w:noProof/>
        </w:rPr>
        <mc:AlternateContent>
          <mc:Choice Requires="wps">
            <w:drawing>
              <wp:anchor distT="0" distB="0" distL="0" distR="0" simplePos="0" relativeHeight="4" behindDoc="0" locked="0" layoutInCell="1" allowOverlap="1" wp14:anchorId="62A1DF09" wp14:editId="71B0C81F">
                <wp:simplePos x="0" y="0"/>
                <wp:positionH relativeFrom="column">
                  <wp:posOffset>3476625</wp:posOffset>
                </wp:positionH>
                <wp:positionV relativeFrom="paragraph">
                  <wp:posOffset>179070</wp:posOffset>
                </wp:positionV>
                <wp:extent cx="958215" cy="475615"/>
                <wp:effectExtent l="0" t="0" r="0" b="1905"/>
                <wp:wrapNone/>
                <wp:docPr id="11" name="Text Box 6"/>
                <wp:cNvGraphicFramePr/>
                <a:graphic xmlns:a="http://schemas.openxmlformats.org/drawingml/2006/main">
                  <a:graphicData uri="http://schemas.microsoft.com/office/word/2010/wordprocessingShape">
                    <wps:wsp>
                      <wps:cNvSpPr/>
                      <wps:spPr>
                        <a:xfrm>
                          <a:off x="0" y="0"/>
                          <a:ext cx="957600" cy="47484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2FBBB982" w14:textId="77777777" w:rsidR="00716E2C" w:rsidRDefault="00716E2C">
                            <w:pPr>
                              <w:pStyle w:val="FrameContents"/>
                              <w:jc w:val="center"/>
                              <w:rPr>
                                <w:color w:val="000000"/>
                              </w:rPr>
                            </w:pPr>
                            <w:r>
                              <w:rPr>
                                <w:color w:val="000000"/>
                              </w:rPr>
                              <w:t>Saving Behavior</w:t>
                            </w:r>
                          </w:p>
                        </w:txbxContent>
                      </wps:txbx>
                      <wps:bodyPr>
                        <a:prstTxWarp prst="textNoShape">
                          <a:avLst/>
                        </a:prstTxWarp>
                        <a:noAutofit/>
                      </wps:bodyPr>
                    </wps:wsp>
                  </a:graphicData>
                </a:graphic>
              </wp:anchor>
            </w:drawing>
          </mc:Choice>
          <mc:Fallback>
            <w:pict>
              <v:rect w14:anchorId="62A1DF09" id="Text Box 6" o:spid="_x0000_s1027" style="position:absolute;left:0;text-align:left;margin-left:273.75pt;margin-top:14.1pt;width:75.45pt;height:37.4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" fillcolor="white [3201]" stroked="f" strokeweight=".18mm">
                <v:textbox>
                  <w:txbxContent>
                    <w:p w14:paraId="2FBBB982" w14:textId="77777777" w:rsidR="00716E2C" w:rsidRDefault="00716E2C">
                      <w:pPr>
                        <w:pStyle w:val="FrameContents"/>
                        <w:jc w:val="center"/>
                        <w:rPr>
                          <w:color w:val="000000"/>
                        </w:rPr>
                      </w:pPr>
                      <w:r>
                        <w:rPr>
                          <w:color w:val="000000"/>
                        </w:rPr>
                        <w:t>Saving Behavior</w:t>
                      </w:r>
                    </w:p>
                  </w:txbxContent>
                </v:textbox>
              </v:rect>
            </w:pict>
          </mc:Fallback>
        </mc:AlternateContent>
      </w:r>
      <w:r w:rsidR="00456E38">
        <w:rPr>
          <w:noProof/>
        </w:rPr>
        <mc:AlternateContent>
          <mc:Choice Requires="wps">
            <w:drawing>
              <wp:anchor distT="0" distB="0" distL="0" distR="0" simplePos="0" relativeHeight="23" behindDoc="0" locked="0" layoutInCell="1" allowOverlap="1" wp14:anchorId="4EAA3831" wp14:editId="733A9720">
                <wp:simplePos x="0" y="0"/>
                <wp:positionH relativeFrom="column">
                  <wp:posOffset>1853565</wp:posOffset>
                </wp:positionH>
                <wp:positionV relativeFrom="paragraph">
                  <wp:posOffset>196850</wp:posOffset>
                </wp:positionV>
                <wp:extent cx="400685" cy="286385"/>
                <wp:effectExtent l="0" t="0" r="0" b="635"/>
                <wp:wrapNone/>
                <wp:docPr id="15" name="Text Box 18"/>
                <wp:cNvGraphicFramePr/>
                <a:graphic xmlns:a="http://schemas.openxmlformats.org/drawingml/2006/main">
                  <a:graphicData uri="http://schemas.microsoft.com/office/word/2010/wordprocessingShape">
                    <wps:wsp>
                      <wps:cNvSpPr/>
                      <wps:spPr>
                        <a:xfrm>
                          <a:off x="0" y="0"/>
                          <a:ext cx="399960" cy="285840"/>
                        </a:xfrm>
                        <a:prstGeom prst="rect">
                          <a:avLst/>
                        </a:prstGeom>
                        <a:noFill/>
                        <a:ln w="6480">
                          <a:noFill/>
                        </a:ln>
                      </wps:spPr>
                      <wps:style>
                        <a:lnRef idx="0">
                          <a:scrgbClr r="0" g="0" b="0"/>
                        </a:lnRef>
                        <a:fillRef idx="0">
                          <a:scrgbClr r="0" g="0" b="0"/>
                        </a:fillRef>
                        <a:effectRef idx="0">
                          <a:scrgbClr r="0" g="0" b="0"/>
                        </a:effectRef>
                        <a:fontRef idx="minor"/>
                      </wps:style>
                      <wps:txbx>
                        <w:txbxContent>
                          <w:p w14:paraId="59715659" w14:textId="77777777" w:rsidR="00716E2C" w:rsidRDefault="00716E2C">
                            <w:pPr>
                              <w:pStyle w:val="FrameContents"/>
                              <w:rPr>
                                <w:color w:val="000000"/>
                              </w:rPr>
                            </w:pPr>
                            <w:r>
                              <w:rPr>
                                <w:color w:val="000000"/>
                              </w:rPr>
                              <w:t>H2</w:t>
                            </w:r>
                          </w:p>
                        </w:txbxContent>
                      </wps:txbx>
                      <wps:bodyPr>
                        <a:prstTxWarp prst="textNoShape">
                          <a:avLst/>
                        </a:prstTxWarp>
                        <a:noAutofit/>
                      </wps:bodyPr>
                    </wps:wsp>
                  </a:graphicData>
                </a:graphic>
              </wp:anchor>
            </w:drawing>
          </mc:Choice>
          <mc:Fallback>
            <w:pict>
              <v:rect w14:anchorId="4EAA3831" id="Text Box 18" o:spid="_x0000_s1028" style="position:absolute;left:0;text-align:left;margin-left:145.95pt;margin-top:15.5pt;width:31.55pt;height:22.55pt;z-index:2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" filled="f" stroked="f" strokeweight=".18mm">
                <v:textbox>
                  <w:txbxContent>
                    <w:p w14:paraId="59715659" w14:textId="77777777" w:rsidR="00716E2C" w:rsidRDefault="00716E2C">
                      <w:pPr>
                        <w:pStyle w:val="FrameContents"/>
                        <w:rPr>
                          <w:color w:val="000000"/>
                        </w:rPr>
                      </w:pPr>
                      <w:r>
                        <w:rPr>
                          <w:color w:val="000000"/>
                        </w:rPr>
                        <w:t>H2</w:t>
                      </w:r>
                    </w:p>
                  </w:txbxContent>
                </v:textbox>
              </v:rect>
            </w:pict>
          </mc:Fallback>
        </mc:AlternateContent>
      </w:r>
      <w:r w:rsidR="00456E38">
        <w:rPr>
          <w:noProof/>
        </w:rPr>
        <mc:AlternateContent>
          <mc:Choice Requires="wps">
            <w:drawing>
              <wp:anchor distT="0" distB="0" distL="0" distR="0" simplePos="0" relativeHeight="24" behindDoc="0" locked="0" layoutInCell="1" allowOverlap="1" wp14:anchorId="29C492F9" wp14:editId="7547271B">
                <wp:simplePos x="0" y="0"/>
                <wp:positionH relativeFrom="column">
                  <wp:posOffset>2504440</wp:posOffset>
                </wp:positionH>
                <wp:positionV relativeFrom="paragraph">
                  <wp:posOffset>62865</wp:posOffset>
                </wp:positionV>
                <wp:extent cx="400685" cy="287020"/>
                <wp:effectExtent l="0" t="0" r="0" b="635"/>
                <wp:wrapNone/>
                <wp:docPr id="17" name="Text Box 18"/>
                <wp:cNvGraphicFramePr/>
                <a:graphic xmlns:a="http://schemas.openxmlformats.org/drawingml/2006/main">
                  <a:graphicData uri="http://schemas.microsoft.com/office/word/2010/wordprocessingShape">
                    <wps:wsp>
                      <wps:cNvSpPr/>
                      <wps:spPr>
                        <a:xfrm>
                          <a:off x="0" y="0"/>
                          <a:ext cx="399960" cy="286560"/>
                        </a:xfrm>
                        <a:prstGeom prst="rect">
                          <a:avLst/>
                        </a:prstGeom>
                        <a:noFill/>
                        <a:ln w="6480">
                          <a:noFill/>
                        </a:ln>
                      </wps:spPr>
                      <wps:style>
                        <a:lnRef idx="0">
                          <a:scrgbClr r="0" g="0" b="0"/>
                        </a:lnRef>
                        <a:fillRef idx="0">
                          <a:scrgbClr r="0" g="0" b="0"/>
                        </a:fillRef>
                        <a:effectRef idx="0">
                          <a:scrgbClr r="0" g="0" b="0"/>
                        </a:effectRef>
                        <a:fontRef idx="minor"/>
                      </wps:style>
                      <wps:txbx>
                        <w:txbxContent>
                          <w:p w14:paraId="6B19B2A6" w14:textId="77777777" w:rsidR="00716E2C" w:rsidRDefault="00716E2C">
                            <w:pPr>
                              <w:pStyle w:val="FrameContents"/>
                              <w:rPr>
                                <w:color w:val="000000"/>
                              </w:rPr>
                            </w:pPr>
                            <w:r>
                              <w:rPr>
                                <w:color w:val="000000"/>
                              </w:rPr>
                              <w:t>H6</w:t>
                            </w:r>
                          </w:p>
                        </w:txbxContent>
                      </wps:txbx>
                      <wps:bodyPr>
                        <a:prstTxWarp prst="textNoShape">
                          <a:avLst/>
                        </a:prstTxWarp>
                        <a:noAutofit/>
                      </wps:bodyPr>
                    </wps:wsp>
                  </a:graphicData>
                </a:graphic>
              </wp:anchor>
            </w:drawing>
          </mc:Choice>
          <mc:Fallback>
            <w:pict>
              <v:rect w14:anchorId="29C492F9" id="_x0000_s1029" style="position:absolute;left:0;text-align:left;margin-left:197.2pt;margin-top:4.95pt;width:31.55pt;height:22.6pt;z-index: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" filled="f" stroked="f" strokeweight=".18mm">
                <v:textbox>
                  <w:txbxContent>
                    <w:p w14:paraId="6B19B2A6" w14:textId="77777777" w:rsidR="00716E2C" w:rsidRDefault="00716E2C">
                      <w:pPr>
                        <w:pStyle w:val="FrameContents"/>
                        <w:rPr>
                          <w:color w:val="000000"/>
                        </w:rPr>
                      </w:pPr>
                      <w:r>
                        <w:rPr>
                          <w:color w:val="000000"/>
                        </w:rPr>
                        <w:t>H6</w:t>
                      </w:r>
                    </w:p>
                  </w:txbxContent>
                </v:textbox>
              </v:rect>
            </w:pict>
          </mc:Fallback>
        </mc:AlternateContent>
      </w:r>
    </w:p>
    <w:p w14:paraId="5770CF94" w14:textId="77777777" w:rsidR="00D97723" w:rsidRDefault="00456E38">
      <w:pPr>
        <w:tabs>
          <w:tab w:val="left" w:pos="4836"/>
        </w:tabs>
        <w:spacing w:line="276" w:lineRule="auto"/>
        <w:jc w:val="both"/>
        <w:rPr>
          <w:lang w:val="en-ID"/>
        </w:rPr>
      </w:pPr>
      <w:r>
        <w:rPr>
          <w:noProof/>
        </w:rPr>
        <mc:AlternateContent>
          <mc:Choice Requires="wps">
            <w:drawing>
              <wp:anchor distT="0" distB="0" distL="0" distR="0" simplePos="0" relativeHeight="5" behindDoc="0" locked="0" layoutInCell="1" allowOverlap="1" wp14:anchorId="45B4300B" wp14:editId="6C08D4A5">
                <wp:simplePos x="0" y="0"/>
                <wp:positionH relativeFrom="column">
                  <wp:posOffset>439751</wp:posOffset>
                </wp:positionH>
                <wp:positionV relativeFrom="paragraph">
                  <wp:posOffset>37465</wp:posOffset>
                </wp:positionV>
                <wp:extent cx="1005205" cy="449580"/>
                <wp:effectExtent l="0" t="0" r="4445" b="7620"/>
                <wp:wrapNone/>
                <wp:docPr id="19" name="Text Box 7"/>
                <wp:cNvGraphicFramePr/>
                <a:graphic xmlns:a="http://schemas.openxmlformats.org/drawingml/2006/main">
                  <a:graphicData uri="http://schemas.microsoft.com/office/word/2010/wordprocessingShape">
                    <wps:wsp>
                      <wps:cNvSpPr/>
                      <wps:spPr>
                        <a:xfrm>
                          <a:off x="0" y="0"/>
                          <a:ext cx="1005205" cy="44958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727A88D6" w14:textId="570A3E1E" w:rsidR="00716E2C" w:rsidRDefault="00716E2C">
                            <w:pPr>
                              <w:pStyle w:val="FrameContents"/>
                              <w:jc w:val="center"/>
                              <w:rPr>
                                <w:color w:val="000000"/>
                              </w:rPr>
                            </w:pPr>
                            <w:r>
                              <w:rPr>
                                <w:color w:val="000000"/>
                              </w:rPr>
                              <w:t xml:space="preserve">Intention to Save                     </w:t>
                            </w:r>
                          </w:p>
                        </w:txbxContent>
                      </wps:txbx>
                      <wps:bodyPr>
                        <a:prstTxWarp prst="textNoShape">
                          <a:avLst/>
                        </a:prstTxWarp>
                        <a:noAutofit/>
                      </wps:bodyPr>
                    </wps:wsp>
                  </a:graphicData>
                </a:graphic>
              </wp:anchor>
            </w:drawing>
          </mc:Choice>
          <mc:Fallback>
            <w:pict>
              <v:rect w14:anchorId="45B4300B" id="Text Box 7" o:spid="_x0000_s1030" style="position:absolute;left:0;text-align:left;margin-left:34.65pt;margin-top:2.95pt;width:79.15pt;height:35.4pt;z-index: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" fillcolor="white [3201]" stroked="f" strokeweight=".18mm">
                <v:textbox>
                  <w:txbxContent>
                    <w:p w14:paraId="727A88D6" w14:textId="570A3E1E" w:rsidR="00716E2C" w:rsidRDefault="00716E2C">
                      <w:pPr>
                        <w:pStyle w:val="FrameContents"/>
                        <w:jc w:val="center"/>
                        <w:rPr>
                          <w:color w:val="000000"/>
                        </w:rPr>
                      </w:pPr>
                      <w:r>
                        <w:rPr>
                          <w:color w:val="000000"/>
                        </w:rPr>
                        <w:t xml:space="preserve">Intention to Save                     </w:t>
                      </w:r>
                    </w:p>
                  </w:txbxContent>
                </v:textbox>
              </v:rect>
            </w:pict>
          </mc:Fallback>
        </mc:AlternateContent>
      </w:r>
      <w:r>
        <w:rPr>
          <w:noProof/>
        </w:rPr>
        <mc:AlternateContent>
          <mc:Choice Requires="wps">
            <w:drawing>
              <wp:anchor distT="0" distB="0" distL="0" distR="0" simplePos="0" relativeHeight="11" behindDoc="0" locked="0" layoutInCell="1" allowOverlap="1" wp14:anchorId="279F3D24" wp14:editId="22F95796">
                <wp:simplePos x="0" y="0"/>
                <wp:positionH relativeFrom="column">
                  <wp:posOffset>448945</wp:posOffset>
                </wp:positionH>
                <wp:positionV relativeFrom="paragraph">
                  <wp:posOffset>5080</wp:posOffset>
                </wp:positionV>
                <wp:extent cx="992505" cy="461010"/>
                <wp:effectExtent l="0" t="0" r="18415" b="17145"/>
                <wp:wrapNone/>
                <wp:docPr id="21" name="Oval 13"/>
                <wp:cNvGraphicFramePr/>
                <a:graphic xmlns:a="http://schemas.openxmlformats.org/drawingml/2006/main">
                  <a:graphicData uri="http://schemas.microsoft.com/office/word/2010/wordprocessingShape">
                    <wps:wsp>
                      <wps:cNvSpPr/>
                      <wps:spPr>
                        <a:xfrm>
                          <a:off x="0" y="0"/>
                          <a:ext cx="991800" cy="460440"/>
                        </a:xfrm>
                        <a:prstGeom prst="ellipse">
                          <a:avLst/>
                        </a:prstGeom>
                        <a:noFill/>
                        <a:ln w="9360">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3" stroked="t" style="position:absolute;margin-left:35.35pt;margin-top:0.4pt;width:78.05pt;height:36.2pt" wp14:anchorId="15C98638">
                <w10:wrap type="none"/>
                <v:fill o:detectmouseclick="t" on="false"/>
                <v:stroke color="#223852" weight="9360" joinstyle="round" endcap="flat"/>
              </v:oval>
            </w:pict>
          </mc:Fallback>
        </mc:AlternateContent>
      </w:r>
      <w:r>
        <w:rPr>
          <w:lang w:val="en-ID"/>
        </w:rPr>
        <w:t xml:space="preserve">               </w:t>
      </w:r>
    </w:p>
    <w:p w14:paraId="1DD83FB4" w14:textId="77777777" w:rsidR="00D97723" w:rsidRDefault="00456E38">
      <w:pPr>
        <w:spacing w:line="276" w:lineRule="auto"/>
        <w:jc w:val="both"/>
        <w:rPr>
          <w:lang w:val="en-ID"/>
        </w:rPr>
      </w:pPr>
      <w:r>
        <w:rPr>
          <w:noProof/>
        </w:rPr>
        <mc:AlternateContent>
          <mc:Choice Requires="wps">
            <w:drawing>
              <wp:anchor distT="0" distB="0" distL="0" distR="0" simplePos="0" relativeHeight="17" behindDoc="0" locked="0" layoutInCell="1" allowOverlap="1" wp14:anchorId="52A1D03C" wp14:editId="24BE7739">
                <wp:simplePos x="0" y="0"/>
                <wp:positionH relativeFrom="column">
                  <wp:posOffset>1440815</wp:posOffset>
                </wp:positionH>
                <wp:positionV relativeFrom="paragraph">
                  <wp:posOffset>78105</wp:posOffset>
                </wp:positionV>
                <wp:extent cx="2014220" cy="1905"/>
                <wp:effectExtent l="0" t="76200" r="25400" b="95250"/>
                <wp:wrapNone/>
                <wp:docPr id="22" name="Straight Arrow Connector 15"/>
                <wp:cNvGraphicFramePr/>
                <a:graphic xmlns:a="http://schemas.openxmlformats.org/drawingml/2006/main">
                  <a:graphicData uri="http://schemas.microsoft.com/office/word/2010/wordprocessingShape">
                    <wps:wsp>
                      <wps:cNvSpPr/>
                      <wps:spPr>
                        <a:xfrm>
                          <a:off x="0" y="0"/>
                          <a:ext cx="2013480" cy="1440"/>
                        </a:xfrm>
                        <a:custGeom>
                          <a:avLst/>
                          <a:gdLst/>
                          <a:ahLst/>
                          <a:cxnLst/>
                          <a:rect l="l" t="t" r="r" b="b"/>
                          <a:pathLst>
                            <a:path w="21600" h="21600">
                              <a:moveTo>
                                <a:pt x="0" y="0"/>
                              </a:moveTo>
                              <a:lnTo>
                                <a:pt x="21600" y="21600"/>
                              </a:lnTo>
                            </a:path>
                          </a:pathLst>
                        </a:custGeom>
                        <a:noFill/>
                        <a:ln>
                          <a:solidFill>
                            <a:srgbClr val="4A7EBB"/>
                          </a:solidFill>
                          <a:round/>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noProof/>
        </w:rPr>
        <w:drawing>
          <wp:anchor distT="0" distB="0" distL="0" distR="0" simplePos="0" relativeHeight="2" behindDoc="1" locked="0" layoutInCell="1" allowOverlap="1" wp14:anchorId="39F08EFD" wp14:editId="5CAA4C1C">
            <wp:simplePos x="0" y="0"/>
            <wp:positionH relativeFrom="column">
              <wp:posOffset>5715</wp:posOffset>
            </wp:positionH>
            <wp:positionV relativeFrom="paragraph">
              <wp:posOffset>172720</wp:posOffset>
            </wp:positionV>
            <wp:extent cx="22225" cy="27305"/>
            <wp:effectExtent l="0" t="0" r="0" b="0"/>
            <wp:wrapNone/>
            <wp:docPr id="2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7.png"/>
                    <pic:cNvPicPr>
                      <a:picLocks noChangeAspect="1" noChangeArrowheads="1"/>
                    </pic:cNvPicPr>
                  </pic:nvPicPr>
                  <pic:blipFill>
                    <a:blip r:embed="rId13"/>
                    <a:stretch>
                      <a:fillRect/>
                    </a:stretch>
                  </pic:blipFill>
                  <pic:spPr bwMode="auto">
                    <a:xfrm>
                      <a:off x="0" y="0"/>
                      <a:ext cx="22225" cy="27305"/>
                    </a:xfrm>
                    <a:prstGeom prst="rect">
                      <a:avLst/>
                    </a:prstGeom>
                  </pic:spPr>
                </pic:pic>
              </a:graphicData>
            </a:graphic>
          </wp:anchor>
        </w:drawing>
      </w:r>
    </w:p>
    <w:p w14:paraId="0C109531" w14:textId="76E2AC72" w:rsidR="00D97723" w:rsidRDefault="00BC52EC">
      <w:pPr>
        <w:spacing w:line="276" w:lineRule="auto"/>
        <w:jc w:val="both"/>
        <w:rPr>
          <w:lang w:val="en-ID"/>
        </w:rPr>
      </w:pPr>
      <w:r>
        <w:rPr>
          <w:noProof/>
        </w:rPr>
        <mc:AlternateContent>
          <mc:Choice Requires="wps">
            <w:drawing>
              <wp:anchor distT="0" distB="0" distL="0" distR="0" simplePos="0" relativeHeight="16" behindDoc="0" locked="0" layoutInCell="1" allowOverlap="1" wp14:anchorId="0C36C3F6" wp14:editId="28ABDEF7">
                <wp:simplePos x="0" y="0"/>
                <wp:positionH relativeFrom="column">
                  <wp:posOffset>430612</wp:posOffset>
                </wp:positionH>
                <wp:positionV relativeFrom="paragraph">
                  <wp:posOffset>54471</wp:posOffset>
                </wp:positionV>
                <wp:extent cx="269185" cy="502589"/>
                <wp:effectExtent l="0" t="38100" r="55245" b="12065"/>
                <wp:wrapNone/>
                <wp:docPr id="24" name="Straight Arrow Connector 14"/>
                <wp:cNvGraphicFramePr/>
                <a:graphic xmlns:a="http://schemas.openxmlformats.org/drawingml/2006/main">
                  <a:graphicData uri="http://schemas.microsoft.com/office/word/2010/wordprocessingShape">
                    <wps:wsp>
                      <wps:cNvSpPr/>
                      <wps:spPr>
                        <a:xfrm flipV="1">
                          <a:off x="0" y="0"/>
                          <a:ext cx="269185" cy="502589"/>
                        </a:xfrm>
                        <a:custGeom>
                          <a:avLst/>
                          <a:gdLst/>
                          <a:ahLst/>
                          <a:cxnLst/>
                          <a:rect l="l" t="t" r="r" b="b"/>
                          <a:pathLst>
                            <a:path w="21600" h="21600">
                              <a:moveTo>
                                <a:pt x="0" y="0"/>
                              </a:moveTo>
                              <a:lnTo>
                                <a:pt x="21600" y="21600"/>
                              </a:lnTo>
                            </a:path>
                          </a:pathLst>
                        </a:custGeom>
                        <a:noFill/>
                        <a:ln>
                          <a:solidFill>
                            <a:srgbClr val="4A7EBB"/>
                          </a:solidFill>
                          <a:round/>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shape w14:anchorId="631B4C85" id="Straight Arrow Connector 14" o:spid="_x0000_s1026" style="position:absolute;margin-left:33.9pt;margin-top:4.3pt;width:21.2pt;height:39.55pt;flip:y;z-index: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" path="m,l21600,21600e" filled="f" strokecolor="#4a7ebb">
                <v:stroke endarrow="block"/>
                <v:path arrowok="t"/>
              </v:shape>
            </w:pict>
          </mc:Fallback>
        </mc:AlternateContent>
      </w:r>
      <w:r>
        <w:rPr>
          <w:noProof/>
        </w:rPr>
        <mc:AlternateContent>
          <mc:Choice Requires="wps">
            <w:drawing>
              <wp:anchor distT="0" distB="0" distL="0" distR="0" simplePos="0" relativeHeight="20" behindDoc="0" locked="0" layoutInCell="1" allowOverlap="1" wp14:anchorId="5C9DF772" wp14:editId="402BD058">
                <wp:simplePos x="0" y="0"/>
                <wp:positionH relativeFrom="column">
                  <wp:posOffset>4264964</wp:posOffset>
                </wp:positionH>
                <wp:positionV relativeFrom="paragraph">
                  <wp:posOffset>52705</wp:posOffset>
                </wp:positionV>
                <wp:extent cx="418465" cy="506095"/>
                <wp:effectExtent l="0" t="0" r="76835" b="65405"/>
                <wp:wrapNone/>
                <wp:docPr id="25" name="Straight Arrow Connector 14"/>
                <wp:cNvGraphicFramePr/>
                <a:graphic xmlns:a="http://schemas.openxmlformats.org/drawingml/2006/main">
                  <a:graphicData uri="http://schemas.microsoft.com/office/word/2010/wordprocessingShape">
                    <wps:wsp>
                      <wps:cNvSpPr/>
                      <wps:spPr>
                        <a:xfrm>
                          <a:off x="0" y="0"/>
                          <a:ext cx="418465" cy="506095"/>
                        </a:xfrm>
                        <a:custGeom>
                          <a:avLst/>
                          <a:gdLst/>
                          <a:ahLst/>
                          <a:cxnLst/>
                          <a:rect l="l" t="t" r="r" b="b"/>
                          <a:pathLst>
                            <a:path w="21600" h="21600">
                              <a:moveTo>
                                <a:pt x="0" y="0"/>
                              </a:moveTo>
                              <a:lnTo>
                                <a:pt x="21600" y="21600"/>
                              </a:lnTo>
                            </a:path>
                          </a:pathLst>
                        </a:custGeom>
                        <a:noFill/>
                        <a:ln>
                          <a:solidFill>
                            <a:srgbClr val="4A7EBB"/>
                          </a:solidFill>
                          <a:round/>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7E4581B6" id="Straight Arrow Connector 14" o:spid="_x0000_s1026" style="position:absolute;margin-left:335.8pt;margin-top:4.15pt;width:32.95pt;height:39.85pt;z-index:20;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" path="m,l21600,21600e" filled="f" strokecolor="#4a7ebb">
                <v:stroke endarrow="block"/>
                <v:path arrowok="t"/>
              </v:shape>
            </w:pict>
          </mc:Fallback>
        </mc:AlternateContent>
      </w:r>
      <w:r w:rsidR="00456E38">
        <w:rPr>
          <w:noProof/>
        </w:rPr>
        <mc:AlternateContent>
          <mc:Choice Requires="wps">
            <w:drawing>
              <wp:anchor distT="0" distB="0" distL="0" distR="0" simplePos="0" relativeHeight="25" behindDoc="0" locked="0" layoutInCell="1" allowOverlap="1" wp14:anchorId="08C67AC9" wp14:editId="41612FE2">
                <wp:simplePos x="0" y="0"/>
                <wp:positionH relativeFrom="column">
                  <wp:posOffset>4433570</wp:posOffset>
                </wp:positionH>
                <wp:positionV relativeFrom="paragraph">
                  <wp:posOffset>118745</wp:posOffset>
                </wp:positionV>
                <wp:extent cx="400685" cy="287020"/>
                <wp:effectExtent l="0" t="0" r="0" b="635"/>
                <wp:wrapNone/>
                <wp:docPr id="26" name="Text Box 18"/>
                <wp:cNvGraphicFramePr/>
                <a:graphic xmlns:a="http://schemas.openxmlformats.org/drawingml/2006/main">
                  <a:graphicData uri="http://schemas.microsoft.com/office/word/2010/wordprocessingShape">
                    <wps:wsp>
                      <wps:cNvSpPr/>
                      <wps:spPr>
                        <a:xfrm>
                          <a:off x="0" y="0"/>
                          <a:ext cx="399960" cy="286560"/>
                        </a:xfrm>
                        <a:prstGeom prst="rect">
                          <a:avLst/>
                        </a:prstGeom>
                        <a:noFill/>
                        <a:ln w="6480">
                          <a:noFill/>
                        </a:ln>
                      </wps:spPr>
                      <wps:style>
                        <a:lnRef idx="0">
                          <a:scrgbClr r="0" g="0" b="0"/>
                        </a:lnRef>
                        <a:fillRef idx="0">
                          <a:scrgbClr r="0" g="0" b="0"/>
                        </a:fillRef>
                        <a:effectRef idx="0">
                          <a:scrgbClr r="0" g="0" b="0"/>
                        </a:effectRef>
                        <a:fontRef idx="minor"/>
                      </wps:style>
                      <wps:txbx>
                        <w:txbxContent>
                          <w:p w14:paraId="79B641A0" w14:textId="77777777" w:rsidR="00716E2C" w:rsidRDefault="00716E2C">
                            <w:pPr>
                              <w:pStyle w:val="FrameContents"/>
                              <w:rPr>
                                <w:color w:val="000000"/>
                              </w:rPr>
                            </w:pPr>
                            <w:r>
                              <w:rPr>
                                <w:color w:val="000000"/>
                              </w:rPr>
                              <w:t>H3</w:t>
                            </w:r>
                          </w:p>
                        </w:txbxContent>
                      </wps:txbx>
                      <wps:bodyPr>
                        <a:prstTxWarp prst="textNoShape">
                          <a:avLst/>
                        </a:prstTxWarp>
                        <a:noAutofit/>
                      </wps:bodyPr>
                    </wps:wsp>
                  </a:graphicData>
                </a:graphic>
              </wp:anchor>
            </w:drawing>
          </mc:Choice>
          <mc:Fallback>
            <w:pict>
              <v:rect w14:anchorId="08C67AC9" id="_x0000_s1031" style="position:absolute;left:0;text-align:left;margin-left:349.1pt;margin-top:9.35pt;width:31.55pt;height:22.6pt;z-index:2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" filled="f" stroked="f" strokeweight=".18mm">
                <v:textbox>
                  <w:txbxContent>
                    <w:p w14:paraId="79B641A0" w14:textId="77777777" w:rsidR="00716E2C" w:rsidRDefault="00716E2C">
                      <w:pPr>
                        <w:pStyle w:val="FrameContents"/>
                        <w:rPr>
                          <w:color w:val="000000"/>
                        </w:rPr>
                      </w:pPr>
                      <w:r>
                        <w:rPr>
                          <w:color w:val="000000"/>
                        </w:rPr>
                        <w:t>H3</w:t>
                      </w:r>
                    </w:p>
                  </w:txbxContent>
                </v:textbox>
              </v:rect>
            </w:pict>
          </mc:Fallback>
        </mc:AlternateContent>
      </w:r>
    </w:p>
    <w:p w14:paraId="73382023" w14:textId="77777777" w:rsidR="00D97723" w:rsidRDefault="00456E38">
      <w:pPr>
        <w:spacing w:line="276" w:lineRule="auto"/>
        <w:jc w:val="both"/>
        <w:rPr>
          <w:lang w:val="en-ID"/>
        </w:rPr>
      </w:pPr>
      <w:r>
        <w:rPr>
          <w:noProof/>
        </w:rPr>
        <mc:AlternateContent>
          <mc:Choice Requires="wps">
            <w:drawing>
              <wp:anchor distT="0" distB="0" distL="0" distR="0" simplePos="0" relativeHeight="22" behindDoc="0" locked="0" layoutInCell="1" allowOverlap="1" wp14:anchorId="4876DA27" wp14:editId="129BD6F9">
                <wp:simplePos x="0" y="0"/>
                <wp:positionH relativeFrom="column">
                  <wp:posOffset>127635</wp:posOffset>
                </wp:positionH>
                <wp:positionV relativeFrom="paragraph">
                  <wp:posOffset>12065</wp:posOffset>
                </wp:positionV>
                <wp:extent cx="400685" cy="287020"/>
                <wp:effectExtent l="0" t="0" r="0" b="635"/>
                <wp:wrapNone/>
                <wp:docPr id="28" name="Text Box 18"/>
                <wp:cNvGraphicFramePr/>
                <a:graphic xmlns:a="http://schemas.openxmlformats.org/drawingml/2006/main">
                  <a:graphicData uri="http://schemas.microsoft.com/office/word/2010/wordprocessingShape">
                    <wps:wsp>
                      <wps:cNvSpPr/>
                      <wps:spPr>
                        <a:xfrm>
                          <a:off x="0" y="0"/>
                          <a:ext cx="399960" cy="286560"/>
                        </a:xfrm>
                        <a:prstGeom prst="rect">
                          <a:avLst/>
                        </a:prstGeom>
                        <a:noFill/>
                        <a:ln w="6480">
                          <a:noFill/>
                        </a:ln>
                      </wps:spPr>
                      <wps:style>
                        <a:lnRef idx="0">
                          <a:scrgbClr r="0" g="0" b="0"/>
                        </a:lnRef>
                        <a:fillRef idx="0">
                          <a:scrgbClr r="0" g="0" b="0"/>
                        </a:fillRef>
                        <a:effectRef idx="0">
                          <a:scrgbClr r="0" g="0" b="0"/>
                        </a:effectRef>
                        <a:fontRef idx="minor"/>
                      </wps:style>
                      <wps:txbx>
                        <w:txbxContent>
                          <w:p w14:paraId="0E140D5F" w14:textId="77777777" w:rsidR="00716E2C" w:rsidRDefault="00716E2C">
                            <w:pPr>
                              <w:pStyle w:val="FrameContents"/>
                              <w:rPr>
                                <w:color w:val="000000"/>
                              </w:rPr>
                            </w:pPr>
                            <w:r>
                              <w:rPr>
                                <w:color w:val="000000"/>
                              </w:rPr>
                              <w:t>H1</w:t>
                            </w:r>
                          </w:p>
                        </w:txbxContent>
                      </wps:txbx>
                      <wps:bodyPr>
                        <a:prstTxWarp prst="textNoShape">
                          <a:avLst/>
                        </a:prstTxWarp>
                        <a:noAutofit/>
                      </wps:bodyPr>
                    </wps:wsp>
                  </a:graphicData>
                </a:graphic>
              </wp:anchor>
            </w:drawing>
          </mc:Choice>
          <mc:Fallback>
            <w:pict>
              <v:rect w14:anchorId="4876DA27" id="_x0000_s1032" style="position:absolute;left:0;text-align:left;margin-left:10.05pt;margin-top:.95pt;width:31.55pt;height:22.6pt;z-index:2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" filled="f" stroked="f" strokeweight=".18mm">
                <v:textbox>
                  <w:txbxContent>
                    <w:p w14:paraId="0E140D5F" w14:textId="77777777" w:rsidR="00716E2C" w:rsidRDefault="00716E2C">
                      <w:pPr>
                        <w:pStyle w:val="FrameContents"/>
                        <w:rPr>
                          <w:color w:val="000000"/>
                        </w:rPr>
                      </w:pPr>
                      <w:r>
                        <w:rPr>
                          <w:color w:val="000000"/>
                        </w:rPr>
                        <w:t>H1</w:t>
                      </w:r>
                    </w:p>
                  </w:txbxContent>
                </v:textbox>
              </v:rect>
            </w:pict>
          </mc:Fallback>
        </mc:AlternateContent>
      </w:r>
      <w:r>
        <w:rPr>
          <w:lang w:val="en-ID"/>
        </w:rPr>
        <w:t xml:space="preserve">              </w:t>
      </w:r>
    </w:p>
    <w:p w14:paraId="4B35C66A" w14:textId="77777777" w:rsidR="00D97723" w:rsidRDefault="00456E38">
      <w:pPr>
        <w:spacing w:line="276" w:lineRule="auto"/>
        <w:jc w:val="both"/>
        <w:rPr>
          <w:lang w:val="en-ID"/>
        </w:rPr>
      </w:pPr>
      <w:r>
        <w:rPr>
          <w:noProof/>
        </w:rPr>
        <mc:AlternateContent>
          <mc:Choice Requires="wps">
            <w:drawing>
              <wp:anchor distT="0" distB="0" distL="0" distR="0" simplePos="0" relativeHeight="13" behindDoc="0" locked="0" layoutInCell="1" allowOverlap="1" wp14:anchorId="7F92C8E6" wp14:editId="3D321378">
                <wp:simplePos x="0" y="0"/>
                <wp:positionH relativeFrom="column">
                  <wp:posOffset>4347845</wp:posOffset>
                </wp:positionH>
                <wp:positionV relativeFrom="paragraph">
                  <wp:posOffset>180975</wp:posOffset>
                </wp:positionV>
                <wp:extent cx="992505" cy="596265"/>
                <wp:effectExtent l="0" t="0" r="18415" b="15240"/>
                <wp:wrapNone/>
                <wp:docPr id="30" name="Oval 13"/>
                <wp:cNvGraphicFramePr/>
                <a:graphic xmlns:a="http://schemas.openxmlformats.org/drawingml/2006/main">
                  <a:graphicData uri="http://schemas.microsoft.com/office/word/2010/wordprocessingShape">
                    <wps:wsp>
                      <wps:cNvSpPr/>
                      <wps:spPr>
                        <a:xfrm>
                          <a:off x="0" y="0"/>
                          <a:ext cx="991800" cy="595800"/>
                        </a:xfrm>
                        <a:prstGeom prst="ellipse">
                          <a:avLst/>
                        </a:prstGeom>
                        <a:noFill/>
                        <a:ln w="9360">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3" stroked="t" style="position:absolute;margin-left:342.35pt;margin-top:14.25pt;width:78.05pt;height:46.85pt" wp14:anchorId="3DC57AD9">
                <w10:wrap type="none"/>
                <v:fill o:detectmouseclick="t" on="false"/>
                <v:stroke color="#223852" weight="9360" joinstyle="round" endcap="flat"/>
              </v:oval>
            </w:pict>
          </mc:Fallback>
        </mc:AlternateContent>
      </w:r>
      <w:r>
        <w:rPr>
          <w:noProof/>
        </w:rPr>
        <mc:AlternateContent>
          <mc:Choice Requires="wps">
            <w:drawing>
              <wp:anchor distT="0" distB="0" distL="0" distR="0" simplePos="0" relativeHeight="14" behindDoc="0" locked="0" layoutInCell="1" allowOverlap="1" wp14:anchorId="4521BC6F" wp14:editId="3A46BFFF">
                <wp:simplePos x="0" y="0"/>
                <wp:positionH relativeFrom="column">
                  <wp:posOffset>-165735</wp:posOffset>
                </wp:positionH>
                <wp:positionV relativeFrom="paragraph">
                  <wp:posOffset>180340</wp:posOffset>
                </wp:positionV>
                <wp:extent cx="992505" cy="542925"/>
                <wp:effectExtent l="0" t="0" r="18415" b="11430"/>
                <wp:wrapNone/>
                <wp:docPr id="31" name="Oval 13"/>
                <wp:cNvGraphicFramePr/>
                <a:graphic xmlns:a="http://schemas.openxmlformats.org/drawingml/2006/main">
                  <a:graphicData uri="http://schemas.microsoft.com/office/word/2010/wordprocessingShape">
                    <wps:wsp>
                      <wps:cNvSpPr/>
                      <wps:spPr>
                        <a:xfrm>
                          <a:off x="0" y="0"/>
                          <a:ext cx="991800" cy="542160"/>
                        </a:xfrm>
                        <a:prstGeom prst="ellipse">
                          <a:avLst/>
                        </a:prstGeom>
                        <a:noFill/>
                        <a:ln w="9360">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3" stroked="t" style="position:absolute;margin-left:-13.05pt;margin-top:14.2pt;width:78.05pt;height:42.65pt" wp14:anchorId="07C5C762">
                <w10:wrap type="none"/>
                <v:fill o:detectmouseclick="t" on="false"/>
                <v:stroke color="#223852" weight="9360" joinstyle="round" endcap="flat"/>
              </v:oval>
            </w:pict>
          </mc:Fallback>
        </mc:AlternateContent>
      </w:r>
      <w:r>
        <w:rPr>
          <w:lang w:val="en-ID"/>
        </w:rPr>
        <w:t xml:space="preserve">                                                                                                                               </w:t>
      </w:r>
    </w:p>
    <w:p w14:paraId="6909B955" w14:textId="1468CD4E" w:rsidR="00D97723" w:rsidRDefault="00BC52EC">
      <w:pPr>
        <w:spacing w:line="276" w:lineRule="auto"/>
        <w:jc w:val="both"/>
        <w:rPr>
          <w:lang w:val="en-ID"/>
        </w:rPr>
      </w:pPr>
      <w:r>
        <w:rPr>
          <w:noProof/>
        </w:rPr>
        <mc:AlternateContent>
          <mc:Choice Requires="wps">
            <w:drawing>
              <wp:anchor distT="0" distB="0" distL="0" distR="0" simplePos="0" relativeHeight="7" behindDoc="0" locked="0" layoutInCell="1" allowOverlap="1" wp14:anchorId="510FCE51" wp14:editId="3991212B">
                <wp:simplePos x="0" y="0"/>
                <wp:positionH relativeFrom="column">
                  <wp:posOffset>-94615</wp:posOffset>
                </wp:positionH>
                <wp:positionV relativeFrom="paragraph">
                  <wp:posOffset>54914</wp:posOffset>
                </wp:positionV>
                <wp:extent cx="855345" cy="501650"/>
                <wp:effectExtent l="0" t="0" r="1905" b="0"/>
                <wp:wrapNone/>
                <wp:docPr id="34" name="Text Box 9"/>
                <wp:cNvGraphicFramePr/>
                <a:graphic xmlns:a="http://schemas.openxmlformats.org/drawingml/2006/main">
                  <a:graphicData uri="http://schemas.microsoft.com/office/word/2010/wordprocessingShape">
                    <wps:wsp>
                      <wps:cNvSpPr/>
                      <wps:spPr>
                        <a:xfrm>
                          <a:off x="0" y="0"/>
                          <a:ext cx="855345" cy="50165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7F907BEA" w14:textId="77777777" w:rsidR="00716E2C" w:rsidRDefault="00716E2C">
                            <w:pPr>
                              <w:pStyle w:val="FrameContents"/>
                              <w:jc w:val="center"/>
                              <w:rPr>
                                <w:color w:val="000000"/>
                              </w:rPr>
                            </w:pPr>
                            <w:r>
                              <w:rPr>
                                <w:color w:val="000000"/>
                              </w:rPr>
                              <w:t>Financial Literacy</w:t>
                            </w:r>
                          </w:p>
                        </w:txbxContent>
                      </wps:txbx>
                      <wps:bodyPr>
                        <a:prstTxWarp prst="textNoShape">
                          <a:avLst/>
                        </a:prstTxWarp>
                        <a:noAutofit/>
                      </wps:bodyPr>
                    </wps:wsp>
                  </a:graphicData>
                </a:graphic>
              </wp:anchor>
            </w:drawing>
          </mc:Choice>
          <mc:Fallback>
            <w:pict>
              <v:rect w14:anchorId="510FCE51" id="Text Box 9" o:spid="_x0000_s1033" style="position:absolute;left:0;text-align:left;margin-left:-7.45pt;margin-top:4.3pt;width:67.35pt;height:39.5pt;z-index: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" fillcolor="white [3201]" stroked="f" strokeweight=".18mm">
                <v:textbox>
                  <w:txbxContent>
                    <w:p w14:paraId="7F907BEA" w14:textId="77777777" w:rsidR="00716E2C" w:rsidRDefault="00716E2C">
                      <w:pPr>
                        <w:pStyle w:val="FrameContents"/>
                        <w:jc w:val="center"/>
                        <w:rPr>
                          <w:color w:val="000000"/>
                        </w:rPr>
                      </w:pPr>
                      <w:r>
                        <w:rPr>
                          <w:color w:val="000000"/>
                        </w:rPr>
                        <w:t>Financial Literacy</w:t>
                      </w:r>
                    </w:p>
                  </w:txbxContent>
                </v:textbox>
              </v:rect>
            </w:pict>
          </mc:Fallback>
        </mc:AlternateContent>
      </w:r>
      <w:r w:rsidR="00456E38">
        <w:rPr>
          <w:noProof/>
        </w:rPr>
        <mc:AlternateContent>
          <mc:Choice Requires="wps">
            <w:drawing>
              <wp:anchor distT="0" distB="0" distL="0" distR="0" simplePos="0" relativeHeight="6" behindDoc="0" locked="0" layoutInCell="1" allowOverlap="1" wp14:anchorId="47407307" wp14:editId="1398E31C">
                <wp:simplePos x="0" y="0"/>
                <wp:positionH relativeFrom="column">
                  <wp:posOffset>4389755</wp:posOffset>
                </wp:positionH>
                <wp:positionV relativeFrom="paragraph">
                  <wp:posOffset>81915</wp:posOffset>
                </wp:positionV>
                <wp:extent cx="904875" cy="454660"/>
                <wp:effectExtent l="0" t="0" r="9525" b="2540"/>
                <wp:wrapNone/>
                <wp:docPr id="32" name="Text Box 8"/>
                <wp:cNvGraphicFramePr/>
                <a:graphic xmlns:a="http://schemas.openxmlformats.org/drawingml/2006/main">
                  <a:graphicData uri="http://schemas.microsoft.com/office/word/2010/wordprocessingShape">
                    <wps:wsp>
                      <wps:cNvSpPr/>
                      <wps:spPr>
                        <a:xfrm>
                          <a:off x="0" y="0"/>
                          <a:ext cx="904875" cy="45466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0350D221" w14:textId="77777777" w:rsidR="00716E2C" w:rsidRDefault="00716E2C">
                            <w:pPr>
                              <w:pStyle w:val="FrameContents"/>
                              <w:jc w:val="center"/>
                              <w:rPr>
                                <w:color w:val="000000"/>
                              </w:rPr>
                            </w:pPr>
                            <w:r>
                              <w:rPr>
                                <w:color w:val="000000"/>
                              </w:rPr>
                              <w:t>Retirement Planning</w:t>
                            </w:r>
                          </w:p>
                        </w:txbxContent>
                      </wps:txbx>
                      <wps:bodyPr>
                        <a:prstTxWarp prst="textNoShape">
                          <a:avLst/>
                        </a:prstTxWarp>
                        <a:noAutofit/>
                      </wps:bodyPr>
                    </wps:wsp>
                  </a:graphicData>
                </a:graphic>
              </wp:anchor>
            </w:drawing>
          </mc:Choice>
          <mc:Fallback>
            <w:pict>
              <v:rect w14:anchorId="47407307" id="Text Box 8" o:spid="_x0000_s1034" style="position:absolute;left:0;text-align:left;margin-left:345.65pt;margin-top:6.45pt;width:71.25pt;height:35.8pt;z-index: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" fillcolor="white [3201]" stroked="f" strokeweight=".18mm">
                <v:textbox>
                  <w:txbxContent>
                    <w:p w14:paraId="0350D221" w14:textId="77777777" w:rsidR="00716E2C" w:rsidRDefault="00716E2C">
                      <w:pPr>
                        <w:pStyle w:val="FrameContents"/>
                        <w:jc w:val="center"/>
                        <w:rPr>
                          <w:color w:val="000000"/>
                        </w:rPr>
                      </w:pPr>
                      <w:r>
                        <w:rPr>
                          <w:color w:val="000000"/>
                        </w:rPr>
                        <w:t>Retirement Planning</w:t>
                      </w:r>
                    </w:p>
                  </w:txbxContent>
                </v:textbox>
              </v:rect>
            </w:pict>
          </mc:Fallback>
        </mc:AlternateContent>
      </w:r>
      <w:r w:rsidR="00456E38">
        <w:rPr>
          <w:noProof/>
        </w:rPr>
        <mc:AlternateContent>
          <mc:Choice Requires="wps">
            <w:drawing>
              <wp:anchor distT="0" distB="0" distL="0" distR="0" simplePos="0" relativeHeight="26" behindDoc="0" locked="0" layoutInCell="1" allowOverlap="1" wp14:anchorId="2EE39F16" wp14:editId="6D5AE382">
                <wp:simplePos x="0" y="0"/>
                <wp:positionH relativeFrom="column">
                  <wp:posOffset>1859280</wp:posOffset>
                </wp:positionH>
                <wp:positionV relativeFrom="paragraph">
                  <wp:posOffset>97790</wp:posOffset>
                </wp:positionV>
                <wp:extent cx="400685" cy="287020"/>
                <wp:effectExtent l="0" t="0" r="0" b="635"/>
                <wp:wrapNone/>
                <wp:docPr id="36" name="Text Box 18"/>
                <wp:cNvGraphicFramePr/>
                <a:graphic xmlns:a="http://schemas.openxmlformats.org/drawingml/2006/main">
                  <a:graphicData uri="http://schemas.microsoft.com/office/word/2010/wordprocessingShape">
                    <wps:wsp>
                      <wps:cNvSpPr/>
                      <wps:spPr>
                        <a:xfrm>
                          <a:off x="0" y="0"/>
                          <a:ext cx="399960" cy="286560"/>
                        </a:xfrm>
                        <a:prstGeom prst="rect">
                          <a:avLst/>
                        </a:prstGeom>
                        <a:noFill/>
                        <a:ln w="6480">
                          <a:noFill/>
                        </a:ln>
                      </wps:spPr>
                      <wps:style>
                        <a:lnRef idx="0">
                          <a:scrgbClr r="0" g="0" b="0"/>
                        </a:lnRef>
                        <a:fillRef idx="0">
                          <a:scrgbClr r="0" g="0" b="0"/>
                        </a:fillRef>
                        <a:effectRef idx="0">
                          <a:scrgbClr r="0" g="0" b="0"/>
                        </a:effectRef>
                        <a:fontRef idx="minor"/>
                      </wps:style>
                      <wps:txbx>
                        <w:txbxContent>
                          <w:p w14:paraId="3564F3F8" w14:textId="77777777" w:rsidR="00716E2C" w:rsidRDefault="00716E2C">
                            <w:pPr>
                              <w:pStyle w:val="FrameContents"/>
                              <w:rPr>
                                <w:color w:val="000000"/>
                              </w:rPr>
                            </w:pPr>
                            <w:r>
                              <w:rPr>
                                <w:color w:val="000000"/>
                              </w:rPr>
                              <w:t>H4</w:t>
                            </w:r>
                          </w:p>
                        </w:txbxContent>
                      </wps:txbx>
                      <wps:bodyPr>
                        <a:prstTxWarp prst="textNoShape">
                          <a:avLst/>
                        </a:prstTxWarp>
                        <a:noAutofit/>
                      </wps:bodyPr>
                    </wps:wsp>
                  </a:graphicData>
                </a:graphic>
              </wp:anchor>
            </w:drawing>
          </mc:Choice>
          <mc:Fallback>
            <w:pict>
              <v:rect w14:anchorId="2EE39F16" id="_x0000_s1035" style="position:absolute;left:0;text-align:left;margin-left:146.4pt;margin-top:7.7pt;width:31.55pt;height:22.6pt;z-index:2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" filled="f" stroked="f" strokeweight=".18mm">
                <v:textbox>
                  <w:txbxContent>
                    <w:p w14:paraId="3564F3F8" w14:textId="77777777" w:rsidR="00716E2C" w:rsidRDefault="00716E2C">
                      <w:pPr>
                        <w:pStyle w:val="FrameContents"/>
                        <w:rPr>
                          <w:color w:val="000000"/>
                        </w:rPr>
                      </w:pPr>
                      <w:r>
                        <w:rPr>
                          <w:color w:val="000000"/>
                        </w:rPr>
                        <w:t>H4</w:t>
                      </w:r>
                    </w:p>
                  </w:txbxContent>
                </v:textbox>
              </v:rect>
            </w:pict>
          </mc:Fallback>
        </mc:AlternateContent>
      </w:r>
    </w:p>
    <w:p w14:paraId="3517D024" w14:textId="77777777" w:rsidR="00D97723" w:rsidRDefault="00456E38">
      <w:pPr>
        <w:spacing w:line="276" w:lineRule="auto"/>
        <w:jc w:val="both"/>
        <w:rPr>
          <w:lang w:val="en-ID"/>
        </w:rPr>
      </w:pPr>
      <w:r>
        <w:rPr>
          <w:noProof/>
        </w:rPr>
        <mc:AlternateContent>
          <mc:Choice Requires="wps">
            <w:drawing>
              <wp:anchor distT="0" distB="0" distL="0" distR="0" simplePos="0" relativeHeight="19" behindDoc="0" locked="0" layoutInCell="1" allowOverlap="1" wp14:anchorId="52D6EE3B" wp14:editId="1A7E3EF4">
                <wp:simplePos x="0" y="0"/>
                <wp:positionH relativeFrom="column">
                  <wp:posOffset>826770</wp:posOffset>
                </wp:positionH>
                <wp:positionV relativeFrom="paragraph">
                  <wp:posOffset>147320</wp:posOffset>
                </wp:positionV>
                <wp:extent cx="3527425" cy="1905"/>
                <wp:effectExtent l="0" t="76200" r="17145" b="95250"/>
                <wp:wrapNone/>
                <wp:docPr id="38" name="Straight Arrow Connector 15"/>
                <wp:cNvGraphicFramePr/>
                <a:graphic xmlns:a="http://schemas.openxmlformats.org/drawingml/2006/main">
                  <a:graphicData uri="http://schemas.microsoft.com/office/word/2010/wordprocessingShape">
                    <wps:wsp>
                      <wps:cNvSpPr/>
                      <wps:spPr>
                        <a:xfrm>
                          <a:off x="0" y="0"/>
                          <a:ext cx="3526920" cy="1440"/>
                        </a:xfrm>
                        <a:custGeom>
                          <a:avLst/>
                          <a:gdLst/>
                          <a:ahLst/>
                          <a:cxnLst/>
                          <a:rect l="l" t="t" r="r" b="b"/>
                          <a:pathLst>
                            <a:path w="21600" h="21600">
                              <a:moveTo>
                                <a:pt x="0" y="0"/>
                              </a:moveTo>
                              <a:lnTo>
                                <a:pt x="21600" y="21600"/>
                              </a:lnTo>
                            </a:path>
                          </a:pathLst>
                        </a:custGeom>
                        <a:noFill/>
                        <a:ln>
                          <a:solidFill>
                            <a:srgbClr val="4A7EBB"/>
                          </a:solidFill>
                          <a:round/>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noProof/>
        </w:rPr>
        <mc:AlternateContent>
          <mc:Choice Requires="wps">
            <w:drawing>
              <wp:anchor distT="0" distB="0" distL="0" distR="0" simplePos="0" relativeHeight="21" behindDoc="0" locked="0" layoutInCell="1" allowOverlap="1" wp14:anchorId="7841D13B" wp14:editId="1004C64A">
                <wp:simplePos x="0" y="0"/>
                <wp:positionH relativeFrom="column">
                  <wp:posOffset>2555240</wp:posOffset>
                </wp:positionH>
                <wp:positionV relativeFrom="paragraph">
                  <wp:posOffset>144145</wp:posOffset>
                </wp:positionV>
                <wp:extent cx="1905" cy="701040"/>
                <wp:effectExtent l="76200" t="38100" r="57150" b="24130"/>
                <wp:wrapNone/>
                <wp:docPr id="39" name="Straight Arrow Connector 17"/>
                <wp:cNvGraphicFramePr/>
                <a:graphic xmlns:a="http://schemas.openxmlformats.org/drawingml/2006/main">
                  <a:graphicData uri="http://schemas.microsoft.com/office/word/2010/wordprocessingShape">
                    <wps:wsp>
                      <wps:cNvSpPr/>
                      <wps:spPr>
                        <a:xfrm flipV="1">
                          <a:off x="0" y="0"/>
                          <a:ext cx="1440" cy="700560"/>
                        </a:xfrm>
                        <a:custGeom>
                          <a:avLst/>
                          <a:gdLst/>
                          <a:ahLst/>
                          <a:cxnLst/>
                          <a:rect l="l" t="t" r="r" b="b"/>
                          <a:pathLst>
                            <a:path w="21600" h="21600">
                              <a:moveTo>
                                <a:pt x="0" y="0"/>
                              </a:moveTo>
                              <a:lnTo>
                                <a:pt x="21600" y="21600"/>
                              </a:lnTo>
                            </a:path>
                          </a:pathLst>
                        </a:custGeom>
                        <a:noFill/>
                        <a:ln>
                          <a:solidFill>
                            <a:srgbClr val="4A7EBB"/>
                          </a:solidFill>
                          <a:round/>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lang w:val="en-ID"/>
        </w:rPr>
        <w:t xml:space="preserve">                                                                                              </w:t>
      </w:r>
    </w:p>
    <w:p w14:paraId="6D98BBE2" w14:textId="77777777" w:rsidR="00D97723" w:rsidRDefault="00D97723">
      <w:pPr>
        <w:spacing w:line="276" w:lineRule="auto"/>
        <w:jc w:val="both"/>
        <w:rPr>
          <w:lang w:val="en-ID"/>
        </w:rPr>
      </w:pPr>
    </w:p>
    <w:p w14:paraId="176CBFE5" w14:textId="77777777" w:rsidR="00D97723" w:rsidRDefault="00456E38">
      <w:pPr>
        <w:spacing w:line="276" w:lineRule="auto"/>
        <w:jc w:val="both"/>
        <w:rPr>
          <w:lang w:val="en-ID"/>
        </w:rPr>
      </w:pPr>
      <w:r>
        <w:rPr>
          <w:noProof/>
        </w:rPr>
        <mc:AlternateContent>
          <mc:Choice Requires="wps">
            <w:drawing>
              <wp:anchor distT="0" distB="0" distL="0" distR="0" simplePos="0" relativeHeight="27" behindDoc="0" locked="0" layoutInCell="1" allowOverlap="1" wp14:anchorId="2237B01E" wp14:editId="4D6C4152">
                <wp:simplePos x="0" y="0"/>
                <wp:positionH relativeFrom="column">
                  <wp:posOffset>2504440</wp:posOffset>
                </wp:positionH>
                <wp:positionV relativeFrom="paragraph">
                  <wp:posOffset>27305</wp:posOffset>
                </wp:positionV>
                <wp:extent cx="400685" cy="287020"/>
                <wp:effectExtent l="0" t="0" r="0" b="635"/>
                <wp:wrapNone/>
                <wp:docPr id="40" name="Text Box 18"/>
                <wp:cNvGraphicFramePr/>
                <a:graphic xmlns:a="http://schemas.openxmlformats.org/drawingml/2006/main">
                  <a:graphicData uri="http://schemas.microsoft.com/office/word/2010/wordprocessingShape">
                    <wps:wsp>
                      <wps:cNvSpPr/>
                      <wps:spPr>
                        <a:xfrm>
                          <a:off x="0" y="0"/>
                          <a:ext cx="399960" cy="286560"/>
                        </a:xfrm>
                        <a:prstGeom prst="rect">
                          <a:avLst/>
                        </a:prstGeom>
                        <a:noFill/>
                        <a:ln w="6480">
                          <a:noFill/>
                        </a:ln>
                      </wps:spPr>
                      <wps:style>
                        <a:lnRef idx="0">
                          <a:scrgbClr r="0" g="0" b="0"/>
                        </a:lnRef>
                        <a:fillRef idx="0">
                          <a:scrgbClr r="0" g="0" b="0"/>
                        </a:fillRef>
                        <a:effectRef idx="0">
                          <a:scrgbClr r="0" g="0" b="0"/>
                        </a:effectRef>
                        <a:fontRef idx="minor"/>
                      </wps:style>
                      <wps:txbx>
                        <w:txbxContent>
                          <w:p w14:paraId="2957E5EC" w14:textId="77777777" w:rsidR="00716E2C" w:rsidRDefault="00716E2C">
                            <w:pPr>
                              <w:pStyle w:val="FrameContents"/>
                              <w:rPr>
                                <w:color w:val="000000"/>
                              </w:rPr>
                            </w:pPr>
                            <w:r>
                              <w:rPr>
                                <w:color w:val="000000"/>
                              </w:rPr>
                              <w:t>H5</w:t>
                            </w:r>
                          </w:p>
                        </w:txbxContent>
                      </wps:txbx>
                      <wps:bodyPr>
                        <a:prstTxWarp prst="textNoShape">
                          <a:avLst/>
                        </a:prstTxWarp>
                        <a:noAutofit/>
                      </wps:bodyPr>
                    </wps:wsp>
                  </a:graphicData>
                </a:graphic>
              </wp:anchor>
            </w:drawing>
          </mc:Choice>
          <mc:Fallback>
            <w:pict>
              <v:rect w14:anchorId="2237B01E" id="_x0000_s1036" style="position:absolute;left:0;text-align:left;margin-left:197.2pt;margin-top:2.15pt;width:31.55pt;height:22.6pt;z-index:2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" filled="f" stroked="f" strokeweight=".18mm">
                <v:textbox>
                  <w:txbxContent>
                    <w:p w14:paraId="2957E5EC" w14:textId="77777777" w:rsidR="00716E2C" w:rsidRDefault="00716E2C">
                      <w:pPr>
                        <w:pStyle w:val="FrameContents"/>
                        <w:rPr>
                          <w:color w:val="000000"/>
                        </w:rPr>
                      </w:pPr>
                      <w:r>
                        <w:rPr>
                          <w:color w:val="000000"/>
                        </w:rPr>
                        <w:t>H5</w:t>
                      </w:r>
                    </w:p>
                  </w:txbxContent>
                </v:textbox>
              </v:rect>
            </w:pict>
          </mc:Fallback>
        </mc:AlternateContent>
      </w:r>
      <w:r>
        <w:rPr>
          <w:lang w:val="en-ID"/>
        </w:rPr>
        <w:t xml:space="preserve">                                                                             </w:t>
      </w:r>
    </w:p>
    <w:p w14:paraId="420A7228" w14:textId="77777777" w:rsidR="00D97723" w:rsidRDefault="00456E38">
      <w:pPr>
        <w:spacing w:line="276" w:lineRule="auto"/>
        <w:jc w:val="both"/>
        <w:rPr>
          <w:lang w:val="en-ID"/>
        </w:rPr>
      </w:pPr>
      <w:r>
        <w:rPr>
          <w:lang w:val="en-ID"/>
        </w:rPr>
        <w:t xml:space="preserve">                                                                </w:t>
      </w:r>
    </w:p>
    <w:p w14:paraId="25CA4AB0" w14:textId="77777777" w:rsidR="00D97723" w:rsidRDefault="00456E38">
      <w:pPr>
        <w:spacing w:line="276" w:lineRule="auto"/>
        <w:jc w:val="both"/>
        <w:rPr>
          <w:lang w:val="en-ID"/>
        </w:rPr>
      </w:pPr>
      <w:r>
        <w:rPr>
          <w:noProof/>
        </w:rPr>
        <mc:AlternateContent>
          <mc:Choice Requires="wps">
            <w:drawing>
              <wp:anchor distT="0" distB="0" distL="0" distR="0" simplePos="0" relativeHeight="8" behindDoc="0" locked="0" layoutInCell="1" allowOverlap="1" wp14:anchorId="4D12B923" wp14:editId="62553F17">
                <wp:simplePos x="0" y="0"/>
                <wp:positionH relativeFrom="column">
                  <wp:posOffset>1985010</wp:posOffset>
                </wp:positionH>
                <wp:positionV relativeFrom="paragraph">
                  <wp:posOffset>89535</wp:posOffset>
                </wp:positionV>
                <wp:extent cx="1165225" cy="586740"/>
                <wp:effectExtent l="0" t="0" r="0" b="5715"/>
                <wp:wrapNone/>
                <wp:docPr id="42" name="Text Box 10"/>
                <wp:cNvGraphicFramePr/>
                <a:graphic xmlns:a="http://schemas.openxmlformats.org/drawingml/2006/main">
                  <a:graphicData uri="http://schemas.microsoft.com/office/word/2010/wordprocessingShape">
                    <wps:wsp>
                      <wps:cNvSpPr/>
                      <wps:spPr>
                        <a:xfrm>
                          <a:off x="0" y="0"/>
                          <a:ext cx="1164600" cy="58608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5421D7E8" w14:textId="77777777" w:rsidR="00716E2C" w:rsidRDefault="00716E2C">
                            <w:pPr>
                              <w:pStyle w:val="FrameContents"/>
                              <w:jc w:val="center"/>
                              <w:rPr>
                                <w:color w:val="000000"/>
                              </w:rPr>
                            </w:pPr>
                            <w:r>
                              <w:rPr>
                                <w:color w:val="000000"/>
                              </w:rPr>
                              <w:t xml:space="preserve">Herding Behavior  </w:t>
                            </w:r>
                          </w:p>
                        </w:txbxContent>
                      </wps:txbx>
                      <wps:bodyPr>
                        <a:prstTxWarp prst="textNoShape">
                          <a:avLst/>
                        </a:prstTxWarp>
                        <a:noAutofit/>
                      </wps:bodyPr>
                    </wps:wsp>
                  </a:graphicData>
                </a:graphic>
              </wp:anchor>
            </w:drawing>
          </mc:Choice>
          <mc:Fallback>
            <w:pict>
              <v:rect w14:anchorId="4D12B923" id="Text Box 10" o:spid="_x0000_s1037" style="position:absolute;left:0;text-align:left;margin-left:156.3pt;margin-top:7.05pt;width:91.75pt;height:46.2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" fillcolor="white [3201]" stroked="f" strokeweight=".18mm">
                <v:textbox>
                  <w:txbxContent>
                    <w:p w14:paraId="5421D7E8" w14:textId="77777777" w:rsidR="00716E2C" w:rsidRDefault="00716E2C">
                      <w:pPr>
                        <w:pStyle w:val="FrameContents"/>
                        <w:jc w:val="center"/>
                        <w:rPr>
                          <w:color w:val="000000"/>
                        </w:rPr>
                      </w:pPr>
                      <w:r>
                        <w:rPr>
                          <w:color w:val="000000"/>
                        </w:rPr>
                        <w:t xml:space="preserve">Herding Behavior  </w:t>
                      </w:r>
                    </w:p>
                  </w:txbxContent>
                </v:textbox>
              </v:rect>
            </w:pict>
          </mc:Fallback>
        </mc:AlternateContent>
      </w:r>
      <w:r>
        <w:rPr>
          <w:noProof/>
        </w:rPr>
        <mc:AlternateContent>
          <mc:Choice Requires="wps">
            <w:drawing>
              <wp:anchor distT="0" distB="0" distL="0" distR="0" simplePos="0" relativeHeight="15" behindDoc="0" locked="0" layoutInCell="1" allowOverlap="1" wp14:anchorId="7B624B37" wp14:editId="04EC7279">
                <wp:simplePos x="0" y="0"/>
                <wp:positionH relativeFrom="column">
                  <wp:posOffset>1999615</wp:posOffset>
                </wp:positionH>
                <wp:positionV relativeFrom="paragraph">
                  <wp:posOffset>52705</wp:posOffset>
                </wp:positionV>
                <wp:extent cx="1107440" cy="498475"/>
                <wp:effectExtent l="0" t="0" r="17780" b="17145"/>
                <wp:wrapNone/>
                <wp:docPr id="44" name="Oval 13"/>
                <wp:cNvGraphicFramePr/>
                <a:graphic xmlns:a="http://schemas.openxmlformats.org/drawingml/2006/main">
                  <a:graphicData uri="http://schemas.microsoft.com/office/word/2010/wordprocessingShape">
                    <wps:wsp>
                      <wps:cNvSpPr/>
                      <wps:spPr>
                        <a:xfrm>
                          <a:off x="0" y="0"/>
                          <a:ext cx="1106640" cy="497880"/>
                        </a:xfrm>
                        <a:prstGeom prst="ellipse">
                          <a:avLst/>
                        </a:prstGeom>
                        <a:noFill/>
                        <a:ln w="9360">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3" stroked="t" style="position:absolute;margin-left:157.45pt;margin-top:4.15pt;width:87.1pt;height:39.15pt" wp14:anchorId="26998CE1">
                <w10:wrap type="none"/>
                <v:fill o:detectmouseclick="t" on="false"/>
                <v:stroke color="#223852" weight="9360" joinstyle="round" endcap="flat"/>
              </v:oval>
            </w:pict>
          </mc:Fallback>
        </mc:AlternateContent>
      </w:r>
    </w:p>
    <w:p w14:paraId="5CA019D4" w14:textId="77777777" w:rsidR="00D97723" w:rsidRDefault="00D97723">
      <w:pPr>
        <w:spacing w:line="276" w:lineRule="auto"/>
        <w:jc w:val="both"/>
        <w:rPr>
          <w:lang w:val="en-ID"/>
        </w:rPr>
      </w:pPr>
    </w:p>
    <w:p w14:paraId="1E461938" w14:textId="021BCD21" w:rsidR="00D97723" w:rsidRDefault="00D97723" w:rsidP="00AB301B">
      <w:pPr>
        <w:spacing w:before="73"/>
        <w:ind w:right="603"/>
        <w:rPr>
          <w:rFonts w:ascii="Times New Roman" w:hAnsi="Times New Roman" w:cs="Times New Roman"/>
          <w:b/>
          <w:color w:val="231F20"/>
          <w:spacing w:val="-2"/>
          <w:sz w:val="24"/>
          <w:szCs w:val="24"/>
        </w:rPr>
      </w:pPr>
    </w:p>
    <w:p w14:paraId="3153E880" w14:textId="77777777" w:rsidR="00EC0498" w:rsidRDefault="00EC0498" w:rsidP="00D6136B">
      <w:pPr>
        <w:pStyle w:val="Heading2"/>
        <w:tabs>
          <w:tab w:val="left" w:pos="620"/>
        </w:tabs>
        <w:spacing w:before="93"/>
        <w:ind w:firstLine="0"/>
        <w:rPr>
          <w:rFonts w:ascii="Times New Roman" w:hAnsi="Times New Roman" w:cs="Times New Roman"/>
          <w:sz w:val="24"/>
          <w:szCs w:val="24"/>
          <w:lang w:val="sv-SE"/>
        </w:rPr>
      </w:pPr>
    </w:p>
    <w:p w14:paraId="3FDB04AB" w14:textId="77777777" w:rsidR="00D97723" w:rsidRDefault="00456E38" w:rsidP="00716E2C">
      <w:pPr>
        <w:pStyle w:val="Heading2"/>
        <w:numPr>
          <w:ilvl w:val="0"/>
          <w:numId w:val="1"/>
        </w:numPr>
        <w:tabs>
          <w:tab w:val="left" w:pos="620"/>
        </w:tabs>
        <w:spacing w:before="93" w:line="276" w:lineRule="auto"/>
        <w:rPr>
          <w:rFonts w:ascii="Times New Roman" w:hAnsi="Times New Roman" w:cs="Times New Roman"/>
          <w:i w:val="0"/>
          <w:iCs w:val="0"/>
          <w:sz w:val="24"/>
          <w:szCs w:val="24"/>
        </w:rPr>
      </w:pPr>
      <w:r>
        <w:rPr>
          <w:rFonts w:ascii="Times New Roman" w:hAnsi="Times New Roman" w:cs="Times New Roman"/>
          <w:i w:val="0"/>
          <w:iCs w:val="0"/>
          <w:sz w:val="24"/>
          <w:szCs w:val="24"/>
        </w:rPr>
        <w:t xml:space="preserve">Result and Discussion </w:t>
      </w:r>
    </w:p>
    <w:p w14:paraId="504EEAAA" w14:textId="2BDF23F3" w:rsidR="00D97723" w:rsidRDefault="00456E38" w:rsidP="00716E2C">
      <w:pPr>
        <w:pStyle w:val="ListParagraph"/>
        <w:spacing w:line="276" w:lineRule="auto"/>
        <w:ind w:firstLine="0"/>
        <w:jc w:val="both"/>
        <w:rPr>
          <w:rFonts w:ascii="Times New Roman" w:hAnsi="Times New Roman" w:cs="Times New Roman"/>
        </w:rPr>
      </w:pPr>
      <w:r w:rsidRPr="00D6136B">
        <w:rPr>
          <w:rFonts w:ascii="Times New Roman" w:hAnsi="Times New Roman" w:cs="Times New Roman"/>
        </w:rPr>
        <w:t>The respondents of the study were retail private employees. The criteria chosen are those over 40 to 55 years old with the manager level below. The total number of respondents who entered the sample criteria was 132 respondents consisting of 30 respondents or 18.2% aged over 40 to 45 years, 64 people aged 45 to 50 years or 38.8% and 38 people aged 50 to 55 years or 23%. The Respondent Profile of this study is detailed in the Research Respondent Profile.</w:t>
      </w:r>
    </w:p>
    <w:p w14:paraId="7F992C2C" w14:textId="77777777" w:rsidR="00AB301B" w:rsidRPr="00D6136B" w:rsidRDefault="00AB301B" w:rsidP="00716E2C">
      <w:pPr>
        <w:pStyle w:val="ListParagraph"/>
        <w:spacing w:line="276" w:lineRule="auto"/>
        <w:ind w:firstLine="0"/>
        <w:jc w:val="both"/>
        <w:rPr>
          <w:rFonts w:ascii="Times New Roman" w:hAnsi="Times New Roman" w:cs="Times New Roman"/>
          <w:spacing w:val="-2"/>
        </w:rPr>
      </w:pPr>
    </w:p>
    <w:tbl>
      <w:tblPr>
        <w:tblW w:w="7683" w:type="dxa"/>
        <w:tblInd w:w="562" w:type="dxa"/>
        <w:tblCellMar>
          <w:left w:w="5" w:type="dxa"/>
          <w:right w:w="5" w:type="dxa"/>
        </w:tblCellMar>
        <w:tblLook w:val="01E0" w:firstRow="1" w:lastRow="1" w:firstColumn="1" w:lastColumn="1" w:noHBand="0" w:noVBand="0"/>
      </w:tblPr>
      <w:tblGrid>
        <w:gridCol w:w="16"/>
        <w:gridCol w:w="16"/>
        <w:gridCol w:w="5422"/>
        <w:gridCol w:w="1298"/>
        <w:gridCol w:w="931"/>
      </w:tblGrid>
      <w:tr w:rsidR="00D97723" w14:paraId="115E4622" w14:textId="77777777">
        <w:trPr>
          <w:trHeight w:val="292"/>
          <w:tblHeader/>
        </w:trPr>
        <w:tc>
          <w:tcPr>
            <w:tcW w:w="7683" w:type="dxa"/>
            <w:gridSpan w:val="5"/>
            <w:tcBorders>
              <w:top w:val="single" w:sz="4" w:space="0" w:color="000000"/>
              <w:left w:val="single" w:sz="4" w:space="0" w:color="000000"/>
              <w:bottom w:val="single" w:sz="4" w:space="0" w:color="000000"/>
              <w:right w:val="single" w:sz="4" w:space="0" w:color="000000"/>
            </w:tcBorders>
            <w:shd w:val="clear" w:color="auto" w:fill="auto"/>
          </w:tcPr>
          <w:p w14:paraId="7E8D64BB" w14:textId="77777777" w:rsidR="00D97723" w:rsidRDefault="00456E38" w:rsidP="00D6136B">
            <w:pPr>
              <w:pStyle w:val="TableParagraph"/>
              <w:spacing w:before="0"/>
              <w:jc w:val="left"/>
              <w:rPr>
                <w:rFonts w:ascii="Times New Roman" w:hAnsi="Times New Roman" w:cs="Times New Roman"/>
                <w:b/>
                <w:spacing w:val="-10"/>
                <w:sz w:val="24"/>
                <w:szCs w:val="24"/>
              </w:rPr>
            </w:pPr>
            <w:r>
              <w:rPr>
                <w:rFonts w:ascii="Times New Roman" w:hAnsi="Times New Roman" w:cs="Times New Roman"/>
                <w:b/>
                <w:color w:val="231F20"/>
                <w:spacing w:val="-2"/>
                <w:sz w:val="24"/>
                <w:szCs w:val="24"/>
                <w:lang w:val="en-ID"/>
              </w:rPr>
              <w:t>Table 1.</w:t>
            </w:r>
            <w:r>
              <w:rPr>
                <w:rFonts w:ascii="Times New Roman" w:hAnsi="Times New Roman" w:cs="Times New Roman"/>
                <w:sz w:val="24"/>
                <w:szCs w:val="24"/>
              </w:rPr>
              <w:t xml:space="preserve"> Profile of Research Respondents</w:t>
            </w:r>
          </w:p>
        </w:tc>
      </w:tr>
      <w:tr w:rsidR="00D97723" w14:paraId="78BF5ABF" w14:textId="77777777">
        <w:trPr>
          <w:trHeight w:val="292"/>
          <w:tblHeader/>
        </w:trPr>
        <w:tc>
          <w:tcPr>
            <w:tcW w:w="5454" w:type="dxa"/>
            <w:gridSpan w:val="3"/>
            <w:tcBorders>
              <w:top w:val="single" w:sz="4" w:space="0" w:color="000000"/>
              <w:left w:val="single" w:sz="4" w:space="0" w:color="000000"/>
              <w:bottom w:val="single" w:sz="4" w:space="0" w:color="000000"/>
              <w:right w:val="single" w:sz="4" w:space="0" w:color="000000"/>
            </w:tcBorders>
            <w:shd w:val="clear" w:color="auto" w:fill="9CC2E4"/>
          </w:tcPr>
          <w:p w14:paraId="68B544EA" w14:textId="77777777" w:rsidR="00D97723" w:rsidRPr="00EF27A7" w:rsidRDefault="00456E38" w:rsidP="00D6136B">
            <w:pPr>
              <w:pStyle w:val="TableParagraph"/>
              <w:spacing w:before="0"/>
              <w:jc w:val="left"/>
              <w:rPr>
                <w:rFonts w:ascii="Times New Roman" w:hAnsi="Times New Roman" w:cs="Times New Roman"/>
                <w:b/>
                <w:sz w:val="24"/>
                <w:szCs w:val="24"/>
              </w:rPr>
            </w:pPr>
            <w:r w:rsidRPr="00EF27A7">
              <w:rPr>
                <w:rFonts w:ascii="Times New Roman" w:hAnsi="Times New Roman" w:cs="Times New Roman"/>
                <w:b/>
                <w:spacing w:val="-2"/>
                <w:sz w:val="24"/>
                <w:szCs w:val="24"/>
              </w:rPr>
              <w:t>Characteristic</w:t>
            </w:r>
          </w:p>
        </w:tc>
        <w:tc>
          <w:tcPr>
            <w:tcW w:w="1298" w:type="dxa"/>
            <w:tcBorders>
              <w:top w:val="single" w:sz="4" w:space="0" w:color="000000"/>
              <w:left w:val="single" w:sz="4" w:space="0" w:color="000000"/>
              <w:bottom w:val="single" w:sz="4" w:space="0" w:color="000000"/>
              <w:right w:val="single" w:sz="4" w:space="0" w:color="000000"/>
            </w:tcBorders>
            <w:shd w:val="clear" w:color="auto" w:fill="9CC2E4"/>
          </w:tcPr>
          <w:p w14:paraId="0D21B88D" w14:textId="77777777" w:rsidR="00D97723" w:rsidRPr="00EF27A7" w:rsidRDefault="00456E38" w:rsidP="00D6136B">
            <w:pPr>
              <w:pStyle w:val="TableParagraph"/>
              <w:spacing w:before="0"/>
              <w:ind w:firstLine="69"/>
              <w:jc w:val="left"/>
              <w:rPr>
                <w:rFonts w:ascii="Times New Roman" w:hAnsi="Times New Roman" w:cs="Times New Roman"/>
                <w:b/>
                <w:sz w:val="24"/>
                <w:szCs w:val="24"/>
              </w:rPr>
            </w:pPr>
            <w:r w:rsidRPr="00EF27A7">
              <w:rPr>
                <w:rFonts w:ascii="Times New Roman" w:hAnsi="Times New Roman" w:cs="Times New Roman"/>
                <w:b/>
                <w:spacing w:val="-2"/>
                <w:sz w:val="24"/>
                <w:szCs w:val="24"/>
              </w:rPr>
              <w:t>Frequency</w:t>
            </w:r>
          </w:p>
        </w:tc>
        <w:tc>
          <w:tcPr>
            <w:tcW w:w="931" w:type="dxa"/>
            <w:tcBorders>
              <w:top w:val="single" w:sz="4" w:space="0" w:color="000000"/>
              <w:left w:val="single" w:sz="4" w:space="0" w:color="000000"/>
              <w:bottom w:val="single" w:sz="4" w:space="0" w:color="000000"/>
              <w:right w:val="single" w:sz="4" w:space="0" w:color="000000"/>
            </w:tcBorders>
            <w:shd w:val="clear" w:color="auto" w:fill="9CC2E4"/>
          </w:tcPr>
          <w:p w14:paraId="61B1B025" w14:textId="77777777" w:rsidR="00D97723" w:rsidRPr="00EF27A7" w:rsidRDefault="00456E38" w:rsidP="00D6136B">
            <w:pPr>
              <w:pStyle w:val="TableParagraph"/>
              <w:spacing w:before="0"/>
              <w:ind w:firstLine="54"/>
              <w:jc w:val="left"/>
              <w:rPr>
                <w:rFonts w:ascii="Times New Roman" w:hAnsi="Times New Roman" w:cs="Times New Roman"/>
                <w:b/>
                <w:sz w:val="24"/>
                <w:szCs w:val="24"/>
              </w:rPr>
            </w:pPr>
            <w:r w:rsidRPr="00EF27A7">
              <w:rPr>
                <w:rFonts w:ascii="Times New Roman" w:hAnsi="Times New Roman" w:cs="Times New Roman"/>
                <w:b/>
                <w:spacing w:val="-10"/>
                <w:sz w:val="24"/>
                <w:szCs w:val="24"/>
              </w:rPr>
              <w:t>%</w:t>
            </w:r>
          </w:p>
        </w:tc>
      </w:tr>
      <w:tr w:rsidR="00D97723" w14:paraId="1E63E832" w14:textId="77777777">
        <w:trPr>
          <w:trHeight w:val="265"/>
        </w:trPr>
        <w:tc>
          <w:tcPr>
            <w:tcW w:w="5454" w:type="dxa"/>
            <w:gridSpan w:val="3"/>
            <w:tcBorders>
              <w:top w:val="single" w:sz="4" w:space="0" w:color="000000"/>
              <w:left w:val="single" w:sz="4" w:space="0" w:color="000000"/>
              <w:bottom w:val="single" w:sz="4" w:space="0" w:color="000000"/>
              <w:right w:val="single" w:sz="4" w:space="0" w:color="000000"/>
            </w:tcBorders>
            <w:shd w:val="clear" w:color="auto" w:fill="auto"/>
          </w:tcPr>
          <w:p w14:paraId="035EDAE2" w14:textId="77777777" w:rsidR="00D97723" w:rsidRPr="00D6136B" w:rsidRDefault="00456E38">
            <w:pPr>
              <w:pStyle w:val="ListParagraph"/>
              <w:ind w:left="19" w:right="278" w:firstLine="0"/>
              <w:jc w:val="both"/>
              <w:rPr>
                <w:rFonts w:ascii="Times New Roman" w:hAnsi="Times New Roman" w:cs="Times New Roman"/>
                <w:b/>
                <w:sz w:val="20"/>
                <w:szCs w:val="20"/>
              </w:rPr>
            </w:pPr>
            <w:r w:rsidRPr="00D6136B">
              <w:rPr>
                <w:rFonts w:ascii="Times New Roman" w:hAnsi="Times New Roman" w:cs="Times New Roman"/>
                <w:b/>
                <w:spacing w:val="-4"/>
                <w:sz w:val="20"/>
                <w:szCs w:val="20"/>
              </w:rPr>
              <w:t xml:space="preserve">Age </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68FFCD17" w14:textId="77777777" w:rsidR="00D97723" w:rsidRPr="00D6136B" w:rsidRDefault="00456E38">
            <w:pPr>
              <w:pStyle w:val="TableParagraph"/>
              <w:spacing w:before="37"/>
              <w:ind w:left="8"/>
              <w:rPr>
                <w:rFonts w:ascii="Times New Roman" w:hAnsi="Times New Roman" w:cs="Times New Roman"/>
                <w:b/>
                <w:sz w:val="20"/>
                <w:szCs w:val="20"/>
              </w:rPr>
            </w:pPr>
            <w:r w:rsidRPr="00D6136B">
              <w:rPr>
                <w:rFonts w:ascii="Times New Roman" w:hAnsi="Times New Roman" w:cs="Times New Roman"/>
                <w:b/>
                <w:sz w:val="20"/>
                <w:szCs w:val="20"/>
              </w:rPr>
              <w:t>165</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386BE604" w14:textId="77777777" w:rsidR="00D97723" w:rsidRPr="00D6136B" w:rsidRDefault="00456E38">
            <w:pPr>
              <w:pStyle w:val="TableParagraph"/>
              <w:spacing w:before="37"/>
              <w:ind w:left="14"/>
              <w:rPr>
                <w:rFonts w:ascii="Times New Roman" w:hAnsi="Times New Roman" w:cs="Times New Roman"/>
                <w:b/>
                <w:bCs/>
                <w:sz w:val="20"/>
                <w:szCs w:val="20"/>
              </w:rPr>
            </w:pPr>
            <w:r w:rsidRPr="00D6136B">
              <w:rPr>
                <w:rFonts w:ascii="Times New Roman" w:hAnsi="Times New Roman" w:cs="Times New Roman"/>
                <w:b/>
                <w:bCs/>
                <w:sz w:val="20"/>
                <w:szCs w:val="20"/>
              </w:rPr>
              <w:t>100</w:t>
            </w:r>
          </w:p>
        </w:tc>
      </w:tr>
      <w:tr w:rsidR="00D97723" w14:paraId="5CCBBE14" w14:textId="77777777" w:rsidTr="00EF27A7">
        <w:trPr>
          <w:trHeight w:val="1511"/>
        </w:trPr>
        <w:tc>
          <w:tcPr>
            <w:tcW w:w="16" w:type="dxa"/>
            <w:tcBorders>
              <w:top w:val="single" w:sz="4" w:space="0" w:color="000000"/>
              <w:left w:val="single" w:sz="4" w:space="0" w:color="000000"/>
              <w:bottom w:val="single" w:sz="4" w:space="0" w:color="000000"/>
            </w:tcBorders>
            <w:shd w:val="clear" w:color="auto" w:fill="auto"/>
          </w:tcPr>
          <w:p w14:paraId="79CF773D"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5438" w:type="dxa"/>
            <w:gridSpan w:val="2"/>
            <w:tcBorders>
              <w:top w:val="single" w:sz="4" w:space="0" w:color="000000"/>
              <w:bottom w:val="single" w:sz="4" w:space="0" w:color="000000"/>
              <w:right w:val="single" w:sz="4" w:space="0" w:color="000000"/>
            </w:tcBorders>
            <w:shd w:val="clear" w:color="auto" w:fill="auto"/>
          </w:tcPr>
          <w:p w14:paraId="271E5E64" w14:textId="77777777" w:rsidR="00D97723" w:rsidRPr="00D6136B" w:rsidRDefault="00456E38">
            <w:pPr>
              <w:pStyle w:val="TableParagraph"/>
              <w:widowControl/>
              <w:numPr>
                <w:ilvl w:val="0"/>
                <w:numId w:val="12"/>
              </w:numPr>
              <w:ind w:left="133" w:hanging="142"/>
              <w:jc w:val="left"/>
              <w:rPr>
                <w:rFonts w:ascii="Times New Roman" w:hAnsi="Times New Roman" w:cs="Times New Roman"/>
                <w:sz w:val="20"/>
                <w:szCs w:val="20"/>
              </w:rPr>
            </w:pPr>
            <w:r w:rsidRPr="00D6136B">
              <w:rPr>
                <w:rFonts w:ascii="Times New Roman" w:hAnsi="Times New Roman" w:cs="Times New Roman"/>
                <w:sz w:val="20"/>
                <w:szCs w:val="20"/>
              </w:rPr>
              <w:t>Less than or up to 40 years old</w:t>
            </w:r>
          </w:p>
          <w:p w14:paraId="5317E64A" w14:textId="77777777" w:rsidR="00D97723" w:rsidRPr="00D6136B" w:rsidRDefault="00456E38">
            <w:pPr>
              <w:pStyle w:val="TableParagraph"/>
              <w:widowControl/>
              <w:numPr>
                <w:ilvl w:val="0"/>
                <w:numId w:val="12"/>
              </w:numPr>
              <w:spacing w:before="38"/>
              <w:ind w:left="133" w:hanging="142"/>
              <w:jc w:val="left"/>
              <w:rPr>
                <w:rFonts w:ascii="Times New Roman" w:hAnsi="Times New Roman" w:cs="Times New Roman"/>
                <w:sz w:val="20"/>
                <w:szCs w:val="20"/>
                <w:lang w:val="sv-SE"/>
              </w:rPr>
            </w:pPr>
            <w:r w:rsidRPr="00D6136B">
              <w:rPr>
                <w:rFonts w:ascii="Times New Roman" w:hAnsi="Times New Roman" w:cs="Times New Roman"/>
                <w:sz w:val="20"/>
                <w:szCs w:val="20"/>
              </w:rPr>
              <w:t>Over 40 to 45 years = 22.7 % of 132</w:t>
            </w:r>
          </w:p>
          <w:p w14:paraId="56EA750E" w14:textId="77777777" w:rsidR="00D97723" w:rsidRPr="00D6136B" w:rsidRDefault="00456E38">
            <w:pPr>
              <w:pStyle w:val="TableParagraph"/>
              <w:widowControl/>
              <w:numPr>
                <w:ilvl w:val="0"/>
                <w:numId w:val="12"/>
              </w:numPr>
              <w:spacing w:before="38"/>
              <w:ind w:left="133" w:hanging="142"/>
              <w:jc w:val="left"/>
              <w:rPr>
                <w:rFonts w:ascii="Times New Roman" w:hAnsi="Times New Roman" w:cs="Times New Roman"/>
                <w:sz w:val="20"/>
                <w:szCs w:val="20"/>
                <w:lang w:val="sv-SE"/>
              </w:rPr>
            </w:pPr>
            <w:r w:rsidRPr="00D6136B">
              <w:rPr>
                <w:rFonts w:ascii="Times New Roman" w:hAnsi="Times New Roman" w:cs="Times New Roman"/>
                <w:sz w:val="20"/>
                <w:szCs w:val="20"/>
              </w:rPr>
              <w:t>Over 45 to 50 years = 48.5% of 132</w:t>
            </w:r>
          </w:p>
          <w:p w14:paraId="7B99818F" w14:textId="77777777" w:rsidR="00D97723" w:rsidRPr="00D6136B" w:rsidRDefault="00456E38">
            <w:pPr>
              <w:pStyle w:val="TableParagraph"/>
              <w:widowControl/>
              <w:numPr>
                <w:ilvl w:val="0"/>
                <w:numId w:val="12"/>
              </w:numPr>
              <w:spacing w:before="38"/>
              <w:ind w:left="133" w:hanging="142"/>
              <w:jc w:val="left"/>
              <w:rPr>
                <w:rFonts w:ascii="Times New Roman" w:hAnsi="Times New Roman" w:cs="Times New Roman"/>
                <w:sz w:val="20"/>
                <w:szCs w:val="20"/>
                <w:lang w:val="sv-SE"/>
              </w:rPr>
            </w:pPr>
            <w:r w:rsidRPr="00D6136B">
              <w:rPr>
                <w:rFonts w:ascii="Times New Roman" w:hAnsi="Times New Roman" w:cs="Times New Roman"/>
                <w:sz w:val="20"/>
                <w:szCs w:val="20"/>
              </w:rPr>
              <w:t>Over 50 to 55 years = 28.8 % of 132</w:t>
            </w:r>
          </w:p>
          <w:p w14:paraId="4B0C453B" w14:textId="77777777" w:rsidR="00D97723" w:rsidRPr="00D6136B" w:rsidRDefault="00456E38">
            <w:pPr>
              <w:pStyle w:val="ListParagraph"/>
              <w:widowControl/>
              <w:numPr>
                <w:ilvl w:val="0"/>
                <w:numId w:val="12"/>
              </w:numPr>
              <w:ind w:left="133" w:hanging="142"/>
              <w:rPr>
                <w:rFonts w:ascii="Times New Roman" w:hAnsi="Times New Roman" w:cs="Times New Roman"/>
                <w:sz w:val="20"/>
                <w:szCs w:val="20"/>
              </w:rPr>
            </w:pPr>
            <w:r w:rsidRPr="00D6136B">
              <w:rPr>
                <w:rFonts w:ascii="Times New Roman" w:hAnsi="Times New Roman" w:cs="Times New Roman"/>
                <w:spacing w:val="-4"/>
                <w:sz w:val="20"/>
                <w:szCs w:val="20"/>
              </w:rPr>
              <w:t>Over 55 years</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30C8D30F" w14:textId="77777777" w:rsidR="00D97723" w:rsidRPr="00D6136B" w:rsidRDefault="00456E38">
            <w:pPr>
              <w:pStyle w:val="TableParagraph"/>
              <w:spacing w:before="40"/>
              <w:ind w:left="8"/>
              <w:rPr>
                <w:rFonts w:ascii="Times New Roman" w:hAnsi="Times New Roman" w:cs="Times New Roman"/>
                <w:sz w:val="20"/>
                <w:szCs w:val="20"/>
              </w:rPr>
            </w:pPr>
            <w:r w:rsidRPr="00D6136B">
              <w:rPr>
                <w:rFonts w:ascii="Times New Roman" w:hAnsi="Times New Roman" w:cs="Times New Roman"/>
                <w:sz w:val="20"/>
                <w:szCs w:val="20"/>
              </w:rPr>
              <w:t>24</w:t>
            </w:r>
          </w:p>
          <w:p w14:paraId="2355AC22" w14:textId="77777777" w:rsidR="00D97723" w:rsidRPr="00D6136B" w:rsidRDefault="00456E38">
            <w:pPr>
              <w:pStyle w:val="TableParagraph"/>
              <w:spacing w:before="40"/>
              <w:ind w:left="8"/>
              <w:rPr>
                <w:rFonts w:ascii="Times New Roman" w:hAnsi="Times New Roman" w:cs="Times New Roman"/>
                <w:sz w:val="20"/>
                <w:szCs w:val="20"/>
              </w:rPr>
            </w:pPr>
            <w:r w:rsidRPr="00D6136B">
              <w:rPr>
                <w:rFonts w:ascii="Times New Roman" w:hAnsi="Times New Roman" w:cs="Times New Roman"/>
                <w:sz w:val="20"/>
                <w:szCs w:val="20"/>
              </w:rPr>
              <w:t>30</w:t>
            </w:r>
          </w:p>
          <w:p w14:paraId="28B96B58" w14:textId="77777777" w:rsidR="00D97723" w:rsidRPr="00D6136B" w:rsidRDefault="00456E38">
            <w:pPr>
              <w:pStyle w:val="TableParagraph"/>
              <w:spacing w:before="40"/>
              <w:ind w:left="8"/>
              <w:rPr>
                <w:rFonts w:ascii="Times New Roman" w:hAnsi="Times New Roman" w:cs="Times New Roman"/>
                <w:sz w:val="20"/>
                <w:szCs w:val="20"/>
              </w:rPr>
            </w:pPr>
            <w:r w:rsidRPr="00D6136B">
              <w:rPr>
                <w:rFonts w:ascii="Times New Roman" w:hAnsi="Times New Roman" w:cs="Times New Roman"/>
                <w:sz w:val="20"/>
                <w:szCs w:val="20"/>
              </w:rPr>
              <w:t>64</w:t>
            </w:r>
          </w:p>
          <w:p w14:paraId="6C57E462" w14:textId="77777777" w:rsidR="00D97723" w:rsidRPr="00D6136B" w:rsidRDefault="00456E38">
            <w:pPr>
              <w:pStyle w:val="TableParagraph"/>
              <w:spacing w:before="40"/>
              <w:ind w:left="8"/>
              <w:rPr>
                <w:rFonts w:ascii="Times New Roman" w:hAnsi="Times New Roman" w:cs="Times New Roman"/>
                <w:sz w:val="20"/>
                <w:szCs w:val="20"/>
              </w:rPr>
            </w:pPr>
            <w:r w:rsidRPr="00D6136B">
              <w:rPr>
                <w:rFonts w:ascii="Times New Roman" w:hAnsi="Times New Roman" w:cs="Times New Roman"/>
                <w:sz w:val="20"/>
                <w:szCs w:val="20"/>
              </w:rPr>
              <w:t>38</w:t>
            </w:r>
          </w:p>
          <w:p w14:paraId="02E18681"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9</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20F1C2EE" w14:textId="77777777" w:rsidR="00D97723" w:rsidRPr="00D6136B" w:rsidRDefault="00456E38">
            <w:pPr>
              <w:pStyle w:val="TableParagraph"/>
              <w:spacing w:before="40"/>
              <w:ind w:left="14" w:right="4"/>
              <w:rPr>
                <w:rFonts w:ascii="Times New Roman" w:hAnsi="Times New Roman" w:cs="Times New Roman"/>
                <w:sz w:val="20"/>
                <w:szCs w:val="20"/>
              </w:rPr>
            </w:pPr>
            <w:r w:rsidRPr="00D6136B">
              <w:rPr>
                <w:rFonts w:ascii="Times New Roman" w:hAnsi="Times New Roman" w:cs="Times New Roman"/>
                <w:sz w:val="20"/>
                <w:szCs w:val="20"/>
              </w:rPr>
              <w:t>14,5%</w:t>
            </w:r>
          </w:p>
          <w:p w14:paraId="75CFE38D" w14:textId="77777777" w:rsidR="00D97723" w:rsidRPr="00D6136B" w:rsidRDefault="00456E38">
            <w:pPr>
              <w:pStyle w:val="TableParagraph"/>
              <w:spacing w:before="40"/>
              <w:ind w:left="14" w:right="4"/>
              <w:rPr>
                <w:rFonts w:ascii="Times New Roman" w:hAnsi="Times New Roman" w:cs="Times New Roman"/>
                <w:sz w:val="20"/>
                <w:szCs w:val="20"/>
              </w:rPr>
            </w:pPr>
            <w:r w:rsidRPr="00D6136B">
              <w:rPr>
                <w:rFonts w:ascii="Times New Roman" w:hAnsi="Times New Roman" w:cs="Times New Roman"/>
                <w:sz w:val="20"/>
                <w:szCs w:val="20"/>
              </w:rPr>
              <w:t>18,2%</w:t>
            </w:r>
          </w:p>
          <w:p w14:paraId="435986D1" w14:textId="77777777" w:rsidR="00D97723" w:rsidRPr="00D6136B" w:rsidRDefault="00456E38">
            <w:pPr>
              <w:pStyle w:val="TableParagraph"/>
              <w:spacing w:before="40"/>
              <w:ind w:left="14" w:right="4"/>
              <w:rPr>
                <w:rFonts w:ascii="Times New Roman" w:hAnsi="Times New Roman" w:cs="Times New Roman"/>
                <w:sz w:val="20"/>
                <w:szCs w:val="20"/>
              </w:rPr>
            </w:pPr>
            <w:r w:rsidRPr="00D6136B">
              <w:rPr>
                <w:rFonts w:ascii="Times New Roman" w:hAnsi="Times New Roman" w:cs="Times New Roman"/>
                <w:sz w:val="20"/>
                <w:szCs w:val="20"/>
              </w:rPr>
              <w:t>38,8 %</w:t>
            </w:r>
          </w:p>
          <w:p w14:paraId="5C95DDA9" w14:textId="77777777" w:rsidR="00D97723" w:rsidRPr="00D6136B" w:rsidRDefault="00456E38">
            <w:pPr>
              <w:pStyle w:val="TableParagraph"/>
              <w:spacing w:before="40"/>
              <w:ind w:left="14" w:right="4"/>
              <w:rPr>
                <w:rFonts w:ascii="Times New Roman" w:hAnsi="Times New Roman" w:cs="Times New Roman"/>
                <w:sz w:val="20"/>
                <w:szCs w:val="20"/>
              </w:rPr>
            </w:pPr>
            <w:r w:rsidRPr="00D6136B">
              <w:rPr>
                <w:rFonts w:ascii="Times New Roman" w:hAnsi="Times New Roman" w:cs="Times New Roman"/>
                <w:sz w:val="20"/>
                <w:szCs w:val="20"/>
              </w:rPr>
              <w:t>23%</w:t>
            </w:r>
          </w:p>
          <w:p w14:paraId="7C657F26"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5,5 %</w:t>
            </w:r>
          </w:p>
        </w:tc>
      </w:tr>
      <w:tr w:rsidR="00D97723" w14:paraId="113F8086" w14:textId="77777777">
        <w:trPr>
          <w:trHeight w:val="397"/>
        </w:trPr>
        <w:tc>
          <w:tcPr>
            <w:tcW w:w="5454" w:type="dxa"/>
            <w:gridSpan w:val="3"/>
            <w:tcBorders>
              <w:top w:val="single" w:sz="4" w:space="0" w:color="000000"/>
              <w:left w:val="single" w:sz="4" w:space="0" w:color="000000"/>
              <w:bottom w:val="single" w:sz="4" w:space="0" w:color="000000"/>
              <w:right w:val="single" w:sz="4" w:space="0" w:color="000000"/>
            </w:tcBorders>
            <w:shd w:val="clear" w:color="auto" w:fill="auto"/>
          </w:tcPr>
          <w:p w14:paraId="1148AA15" w14:textId="77777777" w:rsidR="00D97723" w:rsidRPr="00D6136B" w:rsidRDefault="00456E38">
            <w:pPr>
              <w:pStyle w:val="TableParagraph"/>
              <w:jc w:val="left"/>
              <w:rPr>
                <w:rFonts w:ascii="Times New Roman" w:hAnsi="Times New Roman" w:cs="Times New Roman"/>
                <w:b/>
                <w:bCs/>
                <w:sz w:val="20"/>
                <w:szCs w:val="20"/>
              </w:rPr>
            </w:pPr>
            <w:r w:rsidRPr="00D6136B">
              <w:rPr>
                <w:rFonts w:ascii="Times New Roman" w:hAnsi="Times New Roman" w:cs="Times New Roman"/>
                <w:b/>
                <w:bCs/>
                <w:sz w:val="20"/>
                <w:szCs w:val="20"/>
              </w:rPr>
              <w:t>Gender</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2BB1ADFD" w14:textId="77777777" w:rsidR="00D97723" w:rsidRPr="00D6136B" w:rsidRDefault="00456E38">
            <w:pPr>
              <w:pStyle w:val="TableParagraph"/>
              <w:spacing w:before="40"/>
              <w:ind w:left="8"/>
              <w:rPr>
                <w:rFonts w:ascii="Times New Roman" w:hAnsi="Times New Roman" w:cs="Times New Roman"/>
                <w:b/>
                <w:bCs/>
                <w:sz w:val="20"/>
                <w:szCs w:val="20"/>
              </w:rPr>
            </w:pPr>
            <w:r w:rsidRPr="00D6136B">
              <w:rPr>
                <w:rFonts w:ascii="Times New Roman" w:hAnsi="Times New Roman" w:cs="Times New Roman"/>
                <w:b/>
                <w:bCs/>
                <w:sz w:val="20"/>
                <w:szCs w:val="20"/>
              </w:rPr>
              <w:t>132</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5A6C8BE4" w14:textId="77777777" w:rsidR="00D97723" w:rsidRPr="00D6136B" w:rsidRDefault="00456E38">
            <w:pPr>
              <w:pStyle w:val="TableParagraph"/>
              <w:spacing w:before="40"/>
              <w:ind w:left="14" w:right="4"/>
              <w:rPr>
                <w:rFonts w:ascii="Times New Roman" w:hAnsi="Times New Roman" w:cs="Times New Roman"/>
                <w:sz w:val="20"/>
                <w:szCs w:val="20"/>
              </w:rPr>
            </w:pPr>
            <w:r w:rsidRPr="00D6136B">
              <w:rPr>
                <w:rFonts w:ascii="Times New Roman" w:hAnsi="Times New Roman" w:cs="Times New Roman"/>
                <w:b/>
                <w:bCs/>
                <w:sz w:val="20"/>
                <w:szCs w:val="20"/>
              </w:rPr>
              <w:t>100</w:t>
            </w:r>
          </w:p>
        </w:tc>
      </w:tr>
      <w:tr w:rsidR="00D97723" w14:paraId="5A4A3E89" w14:textId="77777777" w:rsidTr="00EF27A7">
        <w:trPr>
          <w:trHeight w:val="397"/>
        </w:trPr>
        <w:tc>
          <w:tcPr>
            <w:tcW w:w="16" w:type="dxa"/>
            <w:tcBorders>
              <w:top w:val="single" w:sz="4" w:space="0" w:color="000000"/>
              <w:left w:val="single" w:sz="4" w:space="0" w:color="000000"/>
              <w:bottom w:val="single" w:sz="4" w:space="0" w:color="000000"/>
            </w:tcBorders>
            <w:shd w:val="clear" w:color="auto" w:fill="auto"/>
          </w:tcPr>
          <w:p w14:paraId="4C324E39"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5438" w:type="dxa"/>
            <w:gridSpan w:val="2"/>
            <w:tcBorders>
              <w:top w:val="single" w:sz="4" w:space="0" w:color="000000"/>
              <w:bottom w:val="single" w:sz="4" w:space="0" w:color="000000"/>
              <w:right w:val="single" w:sz="4" w:space="0" w:color="000000"/>
            </w:tcBorders>
            <w:shd w:val="clear" w:color="auto" w:fill="auto"/>
          </w:tcPr>
          <w:p w14:paraId="40EFCDBA" w14:textId="77777777" w:rsidR="00D97723" w:rsidRPr="00D6136B" w:rsidRDefault="00456E38">
            <w:pPr>
              <w:pStyle w:val="TableParagraph"/>
              <w:widowControl/>
              <w:numPr>
                <w:ilvl w:val="0"/>
                <w:numId w:val="8"/>
              </w:numPr>
              <w:tabs>
                <w:tab w:val="left" w:pos="1396"/>
              </w:tabs>
              <w:spacing w:before="6"/>
              <w:ind w:left="121" w:right="3704" w:hanging="142"/>
              <w:jc w:val="left"/>
              <w:rPr>
                <w:rFonts w:ascii="Times New Roman" w:hAnsi="Times New Roman" w:cs="Times New Roman"/>
                <w:spacing w:val="-2"/>
                <w:sz w:val="20"/>
                <w:szCs w:val="20"/>
              </w:rPr>
            </w:pPr>
            <w:r w:rsidRPr="00D6136B">
              <w:rPr>
                <w:rFonts w:ascii="Times New Roman" w:hAnsi="Times New Roman" w:cs="Times New Roman"/>
                <w:spacing w:val="-2"/>
                <w:sz w:val="20"/>
                <w:szCs w:val="20"/>
              </w:rPr>
              <w:t>Woman</w:t>
            </w:r>
          </w:p>
          <w:p w14:paraId="4AB43D6C" w14:textId="77777777" w:rsidR="00D97723" w:rsidRPr="00D6136B" w:rsidRDefault="00456E38">
            <w:pPr>
              <w:pStyle w:val="TableParagraph"/>
              <w:widowControl/>
              <w:numPr>
                <w:ilvl w:val="0"/>
                <w:numId w:val="3"/>
              </w:numPr>
              <w:tabs>
                <w:tab w:val="left" w:pos="1396"/>
              </w:tabs>
              <w:spacing w:before="6"/>
              <w:ind w:left="144" w:right="3704" w:hanging="144"/>
              <w:jc w:val="left"/>
              <w:rPr>
                <w:rFonts w:ascii="Times New Roman" w:hAnsi="Times New Roman" w:cs="Times New Roman"/>
                <w:spacing w:val="-2"/>
                <w:sz w:val="20"/>
                <w:szCs w:val="20"/>
              </w:rPr>
            </w:pPr>
            <w:r w:rsidRPr="00D6136B">
              <w:rPr>
                <w:rFonts w:ascii="Times New Roman" w:hAnsi="Times New Roman" w:cs="Times New Roman"/>
                <w:spacing w:val="-2"/>
                <w:sz w:val="20"/>
                <w:szCs w:val="20"/>
              </w:rPr>
              <w:t>Man</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7FA544CD"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56</w:t>
            </w:r>
          </w:p>
          <w:p w14:paraId="024D743F" w14:textId="77777777" w:rsidR="00D97723" w:rsidRPr="00D6136B" w:rsidRDefault="00456E38">
            <w:pPr>
              <w:pStyle w:val="TableParagraph"/>
              <w:spacing w:before="40"/>
              <w:ind w:left="8"/>
              <w:rPr>
                <w:rFonts w:ascii="Times New Roman" w:hAnsi="Times New Roman" w:cs="Times New Roman"/>
                <w:sz w:val="20"/>
                <w:szCs w:val="20"/>
              </w:rPr>
            </w:pPr>
            <w:r w:rsidRPr="00D6136B">
              <w:rPr>
                <w:rFonts w:ascii="Times New Roman" w:hAnsi="Times New Roman" w:cs="Times New Roman"/>
                <w:sz w:val="20"/>
                <w:szCs w:val="20"/>
              </w:rPr>
              <w:t>76</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70714D74"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42,4 %</w:t>
            </w:r>
          </w:p>
          <w:p w14:paraId="45B560AA" w14:textId="77777777" w:rsidR="00D97723" w:rsidRPr="00D6136B" w:rsidRDefault="00456E38">
            <w:pPr>
              <w:pStyle w:val="TableParagraph"/>
              <w:spacing w:before="40"/>
              <w:ind w:left="14" w:right="4"/>
              <w:rPr>
                <w:rFonts w:ascii="Times New Roman" w:hAnsi="Times New Roman" w:cs="Times New Roman"/>
                <w:sz w:val="20"/>
                <w:szCs w:val="20"/>
              </w:rPr>
            </w:pPr>
            <w:r w:rsidRPr="00D6136B">
              <w:rPr>
                <w:rFonts w:ascii="Times New Roman" w:hAnsi="Times New Roman" w:cs="Times New Roman"/>
                <w:sz w:val="20"/>
                <w:szCs w:val="20"/>
              </w:rPr>
              <w:t>57,6 %</w:t>
            </w:r>
          </w:p>
        </w:tc>
      </w:tr>
      <w:tr w:rsidR="00D97723" w14:paraId="1108B15B" w14:textId="77777777">
        <w:trPr>
          <w:trHeight w:val="321"/>
        </w:trPr>
        <w:tc>
          <w:tcPr>
            <w:tcW w:w="5454" w:type="dxa"/>
            <w:gridSpan w:val="3"/>
            <w:tcBorders>
              <w:top w:val="single" w:sz="4" w:space="0" w:color="000000"/>
              <w:left w:val="single" w:sz="4" w:space="0" w:color="000000"/>
              <w:bottom w:val="single" w:sz="4" w:space="0" w:color="000000"/>
              <w:right w:val="single" w:sz="4" w:space="0" w:color="000000"/>
            </w:tcBorders>
            <w:shd w:val="clear" w:color="auto" w:fill="auto"/>
          </w:tcPr>
          <w:p w14:paraId="6D4DF35F" w14:textId="77777777" w:rsidR="00D97723" w:rsidRPr="00D6136B" w:rsidRDefault="00456E38">
            <w:pPr>
              <w:pStyle w:val="TableParagraph"/>
              <w:spacing w:before="6"/>
              <w:ind w:left="19" w:right="3704"/>
              <w:jc w:val="left"/>
              <w:rPr>
                <w:rFonts w:ascii="Times New Roman" w:hAnsi="Times New Roman" w:cs="Times New Roman"/>
                <w:b/>
                <w:sz w:val="20"/>
                <w:szCs w:val="20"/>
              </w:rPr>
            </w:pPr>
            <w:proofErr w:type="spellStart"/>
            <w:r w:rsidRPr="00D6136B">
              <w:rPr>
                <w:rFonts w:ascii="Times New Roman" w:hAnsi="Times New Roman" w:cs="Times New Roman"/>
                <w:b/>
                <w:sz w:val="20"/>
                <w:szCs w:val="20"/>
              </w:rPr>
              <w:t>Domisili</w:t>
            </w:r>
            <w:proofErr w:type="spellEnd"/>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627E690A" w14:textId="77777777" w:rsidR="00D97723" w:rsidRPr="00D6136B" w:rsidRDefault="00456E38">
            <w:pPr>
              <w:pStyle w:val="TableParagraph"/>
              <w:spacing w:before="37"/>
              <w:ind w:left="8"/>
              <w:rPr>
                <w:rFonts w:ascii="Times New Roman" w:hAnsi="Times New Roman" w:cs="Times New Roman"/>
                <w:b/>
                <w:color w:val="4F81BD" w:themeColor="accent1"/>
                <w:sz w:val="20"/>
                <w:szCs w:val="20"/>
                <w:highlight w:val="yellow"/>
              </w:rPr>
            </w:pPr>
            <w:r w:rsidRPr="00D6136B">
              <w:rPr>
                <w:rFonts w:ascii="Times New Roman" w:hAnsi="Times New Roman" w:cs="Times New Roman"/>
                <w:b/>
                <w:sz w:val="20"/>
                <w:szCs w:val="20"/>
              </w:rPr>
              <w:t>132</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26908345"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b/>
                <w:bCs/>
                <w:sz w:val="20"/>
                <w:szCs w:val="20"/>
              </w:rPr>
              <w:t>100</w:t>
            </w:r>
          </w:p>
        </w:tc>
      </w:tr>
      <w:tr w:rsidR="00D97723" w14:paraId="59D03D99" w14:textId="77777777" w:rsidTr="00EF27A7">
        <w:trPr>
          <w:trHeight w:val="321"/>
        </w:trPr>
        <w:tc>
          <w:tcPr>
            <w:tcW w:w="16" w:type="dxa"/>
            <w:tcBorders>
              <w:top w:val="single" w:sz="4" w:space="0" w:color="000000"/>
              <w:left w:val="single" w:sz="4" w:space="0" w:color="000000"/>
              <w:bottom w:val="single" w:sz="4" w:space="0" w:color="000000"/>
            </w:tcBorders>
            <w:shd w:val="clear" w:color="auto" w:fill="auto"/>
          </w:tcPr>
          <w:p w14:paraId="1588A7E2"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5438" w:type="dxa"/>
            <w:gridSpan w:val="2"/>
            <w:tcBorders>
              <w:top w:val="single" w:sz="4" w:space="0" w:color="000000"/>
              <w:bottom w:val="single" w:sz="4" w:space="0" w:color="000000"/>
              <w:right w:val="single" w:sz="4" w:space="0" w:color="000000"/>
            </w:tcBorders>
            <w:shd w:val="clear" w:color="auto" w:fill="auto"/>
          </w:tcPr>
          <w:p w14:paraId="369D48F1" w14:textId="77777777" w:rsidR="00D97723" w:rsidRPr="00D6136B" w:rsidRDefault="00456E38">
            <w:pPr>
              <w:pStyle w:val="TableParagraph"/>
              <w:widowControl/>
              <w:numPr>
                <w:ilvl w:val="0"/>
                <w:numId w:val="2"/>
              </w:numPr>
              <w:spacing w:before="1"/>
              <w:ind w:left="144" w:hanging="144"/>
              <w:jc w:val="left"/>
              <w:rPr>
                <w:rFonts w:ascii="Times New Roman" w:hAnsi="Times New Roman" w:cs="Times New Roman"/>
                <w:bCs/>
                <w:spacing w:val="-2"/>
                <w:sz w:val="20"/>
                <w:szCs w:val="20"/>
              </w:rPr>
            </w:pPr>
            <w:r w:rsidRPr="00D6136B">
              <w:rPr>
                <w:rFonts w:ascii="Times New Roman" w:hAnsi="Times New Roman" w:cs="Times New Roman"/>
                <w:bCs/>
                <w:spacing w:val="-2"/>
                <w:sz w:val="20"/>
                <w:szCs w:val="20"/>
              </w:rPr>
              <w:t>Jakarta</w:t>
            </w:r>
          </w:p>
          <w:p w14:paraId="4B041619" w14:textId="77777777" w:rsidR="00D97723" w:rsidRPr="00D6136B" w:rsidRDefault="00456E38">
            <w:pPr>
              <w:pStyle w:val="TableParagraph"/>
              <w:widowControl/>
              <w:numPr>
                <w:ilvl w:val="0"/>
                <w:numId w:val="2"/>
              </w:numPr>
              <w:spacing w:before="1"/>
              <w:ind w:left="144" w:hanging="144"/>
              <w:jc w:val="left"/>
              <w:rPr>
                <w:rFonts w:ascii="Times New Roman" w:hAnsi="Times New Roman" w:cs="Times New Roman"/>
                <w:bCs/>
                <w:spacing w:val="-2"/>
                <w:sz w:val="20"/>
                <w:szCs w:val="20"/>
              </w:rPr>
            </w:pPr>
            <w:r w:rsidRPr="00D6136B">
              <w:rPr>
                <w:rFonts w:ascii="Times New Roman" w:hAnsi="Times New Roman" w:cs="Times New Roman"/>
                <w:bCs/>
                <w:spacing w:val="-2"/>
                <w:sz w:val="20"/>
                <w:szCs w:val="20"/>
              </w:rPr>
              <w:t>Bogor</w:t>
            </w:r>
          </w:p>
          <w:p w14:paraId="76D0A109" w14:textId="77777777" w:rsidR="00D97723" w:rsidRPr="00D6136B" w:rsidRDefault="00456E38">
            <w:pPr>
              <w:pStyle w:val="TableParagraph"/>
              <w:widowControl/>
              <w:numPr>
                <w:ilvl w:val="0"/>
                <w:numId w:val="2"/>
              </w:numPr>
              <w:spacing w:before="1"/>
              <w:ind w:left="144" w:hanging="144"/>
              <w:jc w:val="left"/>
              <w:rPr>
                <w:rFonts w:ascii="Times New Roman" w:hAnsi="Times New Roman" w:cs="Times New Roman"/>
                <w:bCs/>
                <w:spacing w:val="-2"/>
                <w:sz w:val="20"/>
                <w:szCs w:val="20"/>
              </w:rPr>
            </w:pPr>
            <w:r w:rsidRPr="00D6136B">
              <w:rPr>
                <w:rFonts w:ascii="Times New Roman" w:hAnsi="Times New Roman" w:cs="Times New Roman"/>
                <w:bCs/>
                <w:spacing w:val="-2"/>
                <w:sz w:val="20"/>
                <w:szCs w:val="20"/>
              </w:rPr>
              <w:t>Tangerang</w:t>
            </w:r>
          </w:p>
          <w:p w14:paraId="3CBEBBF3" w14:textId="77777777" w:rsidR="00D97723" w:rsidRPr="00D6136B" w:rsidRDefault="00456E38">
            <w:pPr>
              <w:pStyle w:val="TableParagraph"/>
              <w:widowControl/>
              <w:numPr>
                <w:ilvl w:val="0"/>
                <w:numId w:val="2"/>
              </w:numPr>
              <w:spacing w:before="1"/>
              <w:ind w:left="144" w:hanging="144"/>
              <w:jc w:val="left"/>
              <w:rPr>
                <w:rFonts w:ascii="Times New Roman" w:hAnsi="Times New Roman" w:cs="Times New Roman"/>
                <w:bCs/>
                <w:spacing w:val="-2"/>
                <w:sz w:val="20"/>
                <w:szCs w:val="20"/>
              </w:rPr>
            </w:pPr>
            <w:r w:rsidRPr="00D6136B">
              <w:rPr>
                <w:rFonts w:ascii="Times New Roman" w:hAnsi="Times New Roman" w:cs="Times New Roman"/>
                <w:bCs/>
                <w:spacing w:val="-2"/>
                <w:sz w:val="20"/>
                <w:szCs w:val="20"/>
              </w:rPr>
              <w:t>Depok</w:t>
            </w:r>
          </w:p>
          <w:p w14:paraId="7C3D1F7B" w14:textId="77777777" w:rsidR="00D97723" w:rsidRPr="00D6136B" w:rsidRDefault="00456E38">
            <w:pPr>
              <w:pStyle w:val="TableParagraph"/>
              <w:widowControl/>
              <w:numPr>
                <w:ilvl w:val="0"/>
                <w:numId w:val="2"/>
              </w:numPr>
              <w:spacing w:before="1"/>
              <w:ind w:left="144" w:hanging="144"/>
              <w:jc w:val="left"/>
              <w:rPr>
                <w:rFonts w:ascii="Times New Roman" w:hAnsi="Times New Roman" w:cs="Times New Roman"/>
                <w:bCs/>
                <w:spacing w:val="-2"/>
                <w:sz w:val="20"/>
                <w:szCs w:val="20"/>
              </w:rPr>
            </w:pPr>
            <w:r w:rsidRPr="00D6136B">
              <w:rPr>
                <w:rFonts w:ascii="Times New Roman" w:hAnsi="Times New Roman" w:cs="Times New Roman"/>
                <w:bCs/>
                <w:spacing w:val="-2"/>
                <w:sz w:val="20"/>
                <w:szCs w:val="20"/>
              </w:rPr>
              <w:t>Bekasi</w:t>
            </w:r>
          </w:p>
          <w:p w14:paraId="4FEDB974" w14:textId="77777777" w:rsidR="00D97723" w:rsidRPr="00D6136B" w:rsidRDefault="00456E38">
            <w:pPr>
              <w:pStyle w:val="TableParagraph"/>
              <w:widowControl/>
              <w:numPr>
                <w:ilvl w:val="0"/>
                <w:numId w:val="18"/>
              </w:numPr>
              <w:spacing w:before="1"/>
              <w:ind w:left="133" w:hanging="142"/>
              <w:jc w:val="left"/>
              <w:rPr>
                <w:rFonts w:ascii="Times New Roman" w:hAnsi="Times New Roman" w:cs="Times New Roman"/>
                <w:bCs/>
                <w:spacing w:val="-2"/>
                <w:sz w:val="20"/>
                <w:szCs w:val="20"/>
              </w:rPr>
            </w:pPr>
            <w:r w:rsidRPr="00D6136B">
              <w:rPr>
                <w:rFonts w:ascii="Times New Roman" w:hAnsi="Times New Roman" w:cs="Times New Roman"/>
                <w:bCs/>
                <w:spacing w:val="-2"/>
                <w:sz w:val="20"/>
                <w:szCs w:val="20"/>
              </w:rPr>
              <w:t xml:space="preserve">Outside </w:t>
            </w:r>
            <w:proofErr w:type="spellStart"/>
            <w:r w:rsidRPr="00D6136B">
              <w:rPr>
                <w:rFonts w:ascii="Times New Roman" w:hAnsi="Times New Roman" w:cs="Times New Roman"/>
                <w:bCs/>
                <w:spacing w:val="-2"/>
                <w:sz w:val="20"/>
                <w:szCs w:val="20"/>
              </w:rPr>
              <w:t>Jabodetabek</w:t>
            </w:r>
            <w:proofErr w:type="spellEnd"/>
            <w:r w:rsidRPr="00D6136B">
              <w:rPr>
                <w:rFonts w:ascii="Times New Roman" w:hAnsi="Times New Roman" w:cs="Times New Roman"/>
                <w:bCs/>
                <w:spacing w:val="-2"/>
                <w:sz w:val="20"/>
                <w:szCs w:val="20"/>
              </w:rPr>
              <w:t xml:space="preserve"> – Java Island</w:t>
            </w:r>
          </w:p>
          <w:p w14:paraId="6DF07613" w14:textId="77777777" w:rsidR="00D97723" w:rsidRPr="00D6136B" w:rsidRDefault="00456E38">
            <w:pPr>
              <w:pStyle w:val="TableParagraph"/>
              <w:widowControl/>
              <w:numPr>
                <w:ilvl w:val="0"/>
                <w:numId w:val="18"/>
              </w:numPr>
              <w:spacing w:before="0"/>
              <w:ind w:left="133" w:hanging="142"/>
              <w:jc w:val="left"/>
              <w:rPr>
                <w:rFonts w:ascii="Times New Roman" w:hAnsi="Times New Roman" w:cs="Times New Roman"/>
                <w:bCs/>
                <w:spacing w:val="-2"/>
                <w:sz w:val="20"/>
                <w:szCs w:val="20"/>
                <w:lang w:val="en-ID"/>
              </w:rPr>
            </w:pPr>
            <w:r w:rsidRPr="00D6136B">
              <w:rPr>
                <w:rFonts w:ascii="Times New Roman" w:hAnsi="Times New Roman" w:cs="Times New Roman"/>
                <w:bCs/>
                <w:spacing w:val="-2"/>
                <w:sz w:val="20"/>
                <w:szCs w:val="20"/>
              </w:rPr>
              <w:t xml:space="preserve">Outside </w:t>
            </w:r>
            <w:proofErr w:type="spellStart"/>
            <w:r w:rsidRPr="00D6136B">
              <w:rPr>
                <w:rFonts w:ascii="Times New Roman" w:hAnsi="Times New Roman" w:cs="Times New Roman"/>
                <w:bCs/>
                <w:spacing w:val="-2"/>
                <w:sz w:val="20"/>
                <w:szCs w:val="20"/>
              </w:rPr>
              <w:t>Jabodetabek</w:t>
            </w:r>
            <w:proofErr w:type="spellEnd"/>
            <w:r w:rsidRPr="00D6136B">
              <w:rPr>
                <w:rFonts w:ascii="Times New Roman" w:hAnsi="Times New Roman" w:cs="Times New Roman"/>
                <w:bCs/>
                <w:spacing w:val="-2"/>
                <w:sz w:val="20"/>
                <w:szCs w:val="20"/>
              </w:rPr>
              <w:t xml:space="preserve"> – Sumatra Island including Bangka and Belitung</w:t>
            </w:r>
          </w:p>
          <w:p w14:paraId="3CEE9610" w14:textId="77777777" w:rsidR="00D97723" w:rsidRPr="00D6136B" w:rsidRDefault="00456E38">
            <w:pPr>
              <w:pStyle w:val="TableParagraph"/>
              <w:widowControl/>
              <w:numPr>
                <w:ilvl w:val="0"/>
                <w:numId w:val="18"/>
              </w:numPr>
              <w:spacing w:before="1"/>
              <w:ind w:left="133" w:hanging="142"/>
              <w:jc w:val="left"/>
              <w:rPr>
                <w:rFonts w:ascii="Times New Roman" w:hAnsi="Times New Roman" w:cs="Times New Roman"/>
                <w:bCs/>
                <w:sz w:val="20"/>
                <w:szCs w:val="20"/>
              </w:rPr>
            </w:pPr>
            <w:r w:rsidRPr="00D6136B">
              <w:rPr>
                <w:rFonts w:ascii="Times New Roman" w:hAnsi="Times New Roman" w:cs="Times New Roman"/>
                <w:bCs/>
                <w:spacing w:val="-2"/>
                <w:sz w:val="20"/>
                <w:szCs w:val="20"/>
              </w:rPr>
              <w:t xml:space="preserve">Outside </w:t>
            </w:r>
            <w:proofErr w:type="spellStart"/>
            <w:r w:rsidRPr="00D6136B">
              <w:rPr>
                <w:rFonts w:ascii="Times New Roman" w:hAnsi="Times New Roman" w:cs="Times New Roman"/>
                <w:bCs/>
                <w:spacing w:val="-2"/>
                <w:sz w:val="20"/>
                <w:szCs w:val="20"/>
              </w:rPr>
              <w:t>Jabodetabek</w:t>
            </w:r>
            <w:proofErr w:type="spellEnd"/>
            <w:r w:rsidRPr="00D6136B">
              <w:rPr>
                <w:rFonts w:ascii="Times New Roman" w:hAnsi="Times New Roman" w:cs="Times New Roman"/>
                <w:bCs/>
                <w:spacing w:val="-2"/>
                <w:sz w:val="20"/>
                <w:szCs w:val="20"/>
              </w:rPr>
              <w:t xml:space="preserve"> – Sulawesi Island</w:t>
            </w:r>
          </w:p>
          <w:p w14:paraId="27FFB1AA" w14:textId="77777777" w:rsidR="00D97723" w:rsidRPr="00D6136B" w:rsidRDefault="00456E38">
            <w:pPr>
              <w:pStyle w:val="TableParagraph"/>
              <w:widowControl/>
              <w:numPr>
                <w:ilvl w:val="0"/>
                <w:numId w:val="18"/>
              </w:numPr>
              <w:spacing w:before="1"/>
              <w:ind w:left="133" w:hanging="142"/>
              <w:jc w:val="left"/>
              <w:rPr>
                <w:rFonts w:ascii="Times New Roman" w:hAnsi="Times New Roman" w:cs="Times New Roman"/>
                <w:bCs/>
                <w:spacing w:val="-2"/>
                <w:sz w:val="20"/>
                <w:szCs w:val="20"/>
                <w:lang w:val="sv-SE"/>
              </w:rPr>
            </w:pPr>
            <w:r w:rsidRPr="00D6136B">
              <w:rPr>
                <w:rFonts w:ascii="Times New Roman" w:hAnsi="Times New Roman" w:cs="Times New Roman"/>
                <w:bCs/>
                <w:spacing w:val="-2"/>
                <w:sz w:val="20"/>
                <w:szCs w:val="20"/>
              </w:rPr>
              <w:t xml:space="preserve">Outside </w:t>
            </w:r>
            <w:proofErr w:type="spellStart"/>
            <w:r w:rsidRPr="00D6136B">
              <w:rPr>
                <w:rFonts w:ascii="Times New Roman" w:hAnsi="Times New Roman" w:cs="Times New Roman"/>
                <w:bCs/>
                <w:spacing w:val="-2"/>
                <w:sz w:val="20"/>
                <w:szCs w:val="20"/>
              </w:rPr>
              <w:t>Jabodetabek</w:t>
            </w:r>
            <w:proofErr w:type="spellEnd"/>
            <w:r w:rsidRPr="00D6136B">
              <w:rPr>
                <w:rFonts w:ascii="Times New Roman" w:hAnsi="Times New Roman" w:cs="Times New Roman"/>
                <w:bCs/>
                <w:spacing w:val="-2"/>
                <w:sz w:val="20"/>
                <w:szCs w:val="20"/>
              </w:rPr>
              <w:t xml:space="preserve"> – Bali, Lombok and Nusa Tenggara Islands (NTB and NTT)</w:t>
            </w:r>
          </w:p>
          <w:p w14:paraId="174F9609" w14:textId="77777777" w:rsidR="00D97723" w:rsidRPr="00D6136B" w:rsidRDefault="00456E38">
            <w:pPr>
              <w:pStyle w:val="TableParagraph"/>
              <w:widowControl/>
              <w:numPr>
                <w:ilvl w:val="0"/>
                <w:numId w:val="18"/>
              </w:numPr>
              <w:spacing w:before="1"/>
              <w:ind w:left="133" w:hanging="142"/>
              <w:jc w:val="left"/>
              <w:rPr>
                <w:rFonts w:ascii="Times New Roman" w:hAnsi="Times New Roman" w:cs="Times New Roman"/>
                <w:bCs/>
                <w:spacing w:val="-2"/>
                <w:sz w:val="20"/>
                <w:szCs w:val="20"/>
              </w:rPr>
            </w:pPr>
            <w:r w:rsidRPr="00D6136B">
              <w:rPr>
                <w:rFonts w:ascii="Times New Roman" w:hAnsi="Times New Roman" w:cs="Times New Roman"/>
                <w:bCs/>
                <w:spacing w:val="-2"/>
                <w:sz w:val="20"/>
                <w:szCs w:val="20"/>
              </w:rPr>
              <w:t xml:space="preserve">Outside </w:t>
            </w:r>
            <w:proofErr w:type="spellStart"/>
            <w:r w:rsidRPr="00D6136B">
              <w:rPr>
                <w:rFonts w:ascii="Times New Roman" w:hAnsi="Times New Roman" w:cs="Times New Roman"/>
                <w:bCs/>
                <w:spacing w:val="-2"/>
                <w:sz w:val="20"/>
                <w:szCs w:val="20"/>
              </w:rPr>
              <w:t>Jabodetabek</w:t>
            </w:r>
            <w:proofErr w:type="spellEnd"/>
            <w:r w:rsidRPr="00D6136B">
              <w:rPr>
                <w:rFonts w:ascii="Times New Roman" w:hAnsi="Times New Roman" w:cs="Times New Roman"/>
                <w:bCs/>
                <w:spacing w:val="-2"/>
                <w:sz w:val="20"/>
                <w:szCs w:val="20"/>
              </w:rPr>
              <w:t xml:space="preserve"> – Maluku Island </w:t>
            </w:r>
          </w:p>
          <w:p w14:paraId="633B917D" w14:textId="77777777" w:rsidR="00D97723" w:rsidRPr="00D6136B" w:rsidRDefault="00456E38">
            <w:pPr>
              <w:pStyle w:val="TableParagraph"/>
              <w:widowControl/>
              <w:numPr>
                <w:ilvl w:val="0"/>
                <w:numId w:val="18"/>
              </w:numPr>
              <w:spacing w:before="1"/>
              <w:ind w:left="133" w:hanging="142"/>
              <w:jc w:val="left"/>
              <w:rPr>
                <w:rFonts w:ascii="Times New Roman" w:hAnsi="Times New Roman" w:cs="Times New Roman"/>
                <w:bCs/>
                <w:spacing w:val="-2"/>
                <w:sz w:val="20"/>
                <w:szCs w:val="20"/>
                <w:lang w:val="sv-SE"/>
              </w:rPr>
            </w:pPr>
            <w:r w:rsidRPr="00D6136B">
              <w:rPr>
                <w:rFonts w:ascii="Times New Roman" w:hAnsi="Times New Roman" w:cs="Times New Roman"/>
                <w:bCs/>
                <w:spacing w:val="-2"/>
                <w:sz w:val="20"/>
                <w:szCs w:val="20"/>
                <w:lang w:val="sv-SE"/>
              </w:rPr>
              <w:t>Outside Jabodetabek – Kalimantan Island, Papua &amp; More</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7F49476A"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55</w:t>
            </w:r>
          </w:p>
          <w:p w14:paraId="3945BA00"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4</w:t>
            </w:r>
          </w:p>
          <w:p w14:paraId="42FD5BA8"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18</w:t>
            </w:r>
          </w:p>
          <w:p w14:paraId="0CB204B7"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5</w:t>
            </w:r>
          </w:p>
          <w:p w14:paraId="246B9B4D"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8</w:t>
            </w:r>
          </w:p>
          <w:p w14:paraId="4F31A300"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18</w:t>
            </w:r>
          </w:p>
          <w:p w14:paraId="3E472286"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23</w:t>
            </w:r>
          </w:p>
          <w:p w14:paraId="4A043B42"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0</w:t>
            </w:r>
          </w:p>
          <w:p w14:paraId="1F621EE2"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1</w:t>
            </w:r>
          </w:p>
          <w:p w14:paraId="124777A8" w14:textId="77777777" w:rsidR="00D97723" w:rsidRPr="00D6136B" w:rsidRDefault="00D97723">
            <w:pPr>
              <w:pStyle w:val="TableParagraph"/>
              <w:spacing w:before="37"/>
              <w:ind w:left="8"/>
              <w:rPr>
                <w:rFonts w:ascii="Times New Roman" w:hAnsi="Times New Roman" w:cs="Times New Roman"/>
                <w:sz w:val="20"/>
                <w:szCs w:val="20"/>
              </w:rPr>
            </w:pPr>
          </w:p>
          <w:p w14:paraId="5AC61A4F"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0</w:t>
            </w:r>
          </w:p>
          <w:p w14:paraId="7CEC1DF7"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0</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094681B2"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41,7 %</w:t>
            </w:r>
          </w:p>
          <w:p w14:paraId="70EA51F8"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3 %</w:t>
            </w:r>
          </w:p>
          <w:p w14:paraId="68577BCC"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13,6 %</w:t>
            </w:r>
          </w:p>
          <w:p w14:paraId="7F351FBE"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3,8 %</w:t>
            </w:r>
          </w:p>
          <w:p w14:paraId="340FA5AC"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6,1 %</w:t>
            </w:r>
          </w:p>
          <w:p w14:paraId="575395D1"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13,6 %</w:t>
            </w:r>
          </w:p>
          <w:p w14:paraId="3CA76711"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17,4 %</w:t>
            </w:r>
          </w:p>
          <w:p w14:paraId="7D29BF7A"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0 %</w:t>
            </w:r>
          </w:p>
          <w:p w14:paraId="45A3B663"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0,8 %</w:t>
            </w:r>
          </w:p>
          <w:p w14:paraId="3498D29A" w14:textId="77777777" w:rsidR="00D97723" w:rsidRPr="00D6136B" w:rsidRDefault="00D97723">
            <w:pPr>
              <w:pStyle w:val="TableParagraph"/>
              <w:spacing w:before="37"/>
              <w:ind w:left="14"/>
              <w:rPr>
                <w:rFonts w:ascii="Times New Roman" w:hAnsi="Times New Roman" w:cs="Times New Roman"/>
                <w:sz w:val="20"/>
                <w:szCs w:val="20"/>
              </w:rPr>
            </w:pPr>
          </w:p>
          <w:p w14:paraId="65D4213B"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0 %</w:t>
            </w:r>
          </w:p>
          <w:p w14:paraId="160BB29F"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0 %</w:t>
            </w:r>
          </w:p>
        </w:tc>
      </w:tr>
      <w:tr w:rsidR="00D97723" w14:paraId="05A1760B" w14:textId="77777777" w:rsidTr="00EF27A7">
        <w:trPr>
          <w:trHeight w:val="321"/>
        </w:trPr>
        <w:tc>
          <w:tcPr>
            <w:tcW w:w="16" w:type="dxa"/>
            <w:tcBorders>
              <w:top w:val="single" w:sz="4" w:space="0" w:color="000000"/>
              <w:left w:val="single" w:sz="4" w:space="0" w:color="000000"/>
              <w:bottom w:val="single" w:sz="4" w:space="0" w:color="000000"/>
            </w:tcBorders>
            <w:shd w:val="clear" w:color="auto" w:fill="auto"/>
          </w:tcPr>
          <w:p w14:paraId="24D80D7F"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5438" w:type="dxa"/>
            <w:gridSpan w:val="2"/>
            <w:tcBorders>
              <w:top w:val="single" w:sz="4" w:space="0" w:color="000000"/>
              <w:bottom w:val="single" w:sz="4" w:space="0" w:color="000000"/>
              <w:right w:val="single" w:sz="4" w:space="0" w:color="000000"/>
            </w:tcBorders>
            <w:shd w:val="clear" w:color="auto" w:fill="auto"/>
          </w:tcPr>
          <w:p w14:paraId="0F8A7EBB" w14:textId="77777777" w:rsidR="00D97723" w:rsidRPr="00D6136B" w:rsidRDefault="00456E38">
            <w:pPr>
              <w:pStyle w:val="TableParagraph"/>
              <w:widowControl/>
              <w:spacing w:before="1"/>
              <w:ind w:left="144" w:hanging="144"/>
              <w:jc w:val="left"/>
              <w:rPr>
                <w:rFonts w:ascii="Times New Roman" w:hAnsi="Times New Roman" w:cs="Times New Roman"/>
                <w:bCs/>
                <w:spacing w:val="-2"/>
                <w:sz w:val="20"/>
                <w:szCs w:val="20"/>
              </w:rPr>
            </w:pPr>
            <w:r w:rsidRPr="00D6136B">
              <w:rPr>
                <w:rFonts w:ascii="Times New Roman" w:hAnsi="Times New Roman" w:cs="Times New Roman"/>
                <w:b/>
                <w:bCs/>
                <w:sz w:val="20"/>
                <w:szCs w:val="20"/>
              </w:rPr>
              <w:t>Last Education</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4F2C8B3F"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b/>
                <w:bCs/>
                <w:sz w:val="20"/>
                <w:szCs w:val="20"/>
              </w:rPr>
              <w:t>132</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7AE6DC61"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b/>
                <w:bCs/>
                <w:sz w:val="20"/>
                <w:szCs w:val="20"/>
              </w:rPr>
              <w:t>100</w:t>
            </w:r>
          </w:p>
        </w:tc>
      </w:tr>
      <w:tr w:rsidR="00D97723" w14:paraId="2B8A9941" w14:textId="77777777" w:rsidTr="00EF27A7">
        <w:trPr>
          <w:trHeight w:val="321"/>
        </w:trPr>
        <w:tc>
          <w:tcPr>
            <w:tcW w:w="16" w:type="dxa"/>
            <w:tcBorders>
              <w:top w:val="single" w:sz="4" w:space="0" w:color="000000"/>
              <w:left w:val="single" w:sz="4" w:space="0" w:color="000000"/>
              <w:bottom w:val="single" w:sz="4" w:space="0" w:color="000000"/>
            </w:tcBorders>
            <w:shd w:val="clear" w:color="auto" w:fill="auto"/>
          </w:tcPr>
          <w:p w14:paraId="1E3A40C4"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16" w:type="dxa"/>
            <w:tcBorders>
              <w:top w:val="single" w:sz="4" w:space="0" w:color="000000"/>
              <w:bottom w:val="single" w:sz="4" w:space="0" w:color="000000"/>
              <w:right w:val="single" w:sz="4" w:space="0" w:color="000000"/>
            </w:tcBorders>
            <w:shd w:val="clear" w:color="auto" w:fill="auto"/>
          </w:tcPr>
          <w:p w14:paraId="3BD35E98" w14:textId="77777777" w:rsidR="00D97723" w:rsidRPr="00D6136B" w:rsidRDefault="00D97723">
            <w:pPr>
              <w:pStyle w:val="TableParagraph"/>
              <w:widowControl/>
              <w:numPr>
                <w:ilvl w:val="0"/>
                <w:numId w:val="6"/>
              </w:numPr>
              <w:spacing w:before="1"/>
              <w:jc w:val="left"/>
              <w:rPr>
                <w:rFonts w:ascii="Times New Roman" w:hAnsi="Times New Roman" w:cs="Times New Roman"/>
                <w:bCs/>
                <w:spacing w:val="-2"/>
                <w:sz w:val="20"/>
                <w:szCs w:val="20"/>
              </w:rPr>
            </w:pPr>
          </w:p>
        </w:tc>
        <w:tc>
          <w:tcPr>
            <w:tcW w:w="5422" w:type="dxa"/>
            <w:tcBorders>
              <w:top w:val="single" w:sz="4" w:space="0" w:color="000000"/>
              <w:bottom w:val="single" w:sz="4" w:space="0" w:color="000000"/>
              <w:right w:val="single" w:sz="4" w:space="0" w:color="000000"/>
            </w:tcBorders>
            <w:shd w:val="clear" w:color="auto" w:fill="auto"/>
          </w:tcPr>
          <w:p w14:paraId="36E0BA52" w14:textId="77777777" w:rsidR="00D97723" w:rsidRPr="00D6136B" w:rsidRDefault="00456E38">
            <w:pPr>
              <w:pStyle w:val="ListParagraph"/>
              <w:widowControl/>
              <w:numPr>
                <w:ilvl w:val="0"/>
                <w:numId w:val="14"/>
              </w:numPr>
              <w:tabs>
                <w:tab w:val="left" w:pos="144"/>
              </w:tabs>
              <w:ind w:hanging="720"/>
              <w:rPr>
                <w:rFonts w:ascii="Times New Roman" w:hAnsi="Times New Roman" w:cs="Times New Roman"/>
                <w:sz w:val="20"/>
                <w:szCs w:val="20"/>
              </w:rPr>
            </w:pPr>
            <w:r w:rsidRPr="00D6136B">
              <w:rPr>
                <w:rFonts w:ascii="Times New Roman" w:hAnsi="Times New Roman" w:cs="Times New Roman"/>
                <w:sz w:val="20"/>
                <w:szCs w:val="20"/>
                <w:lang w:eastAsia="ko-KR"/>
              </w:rPr>
              <w:t xml:space="preserve">High school or equivalent </w:t>
            </w:r>
          </w:p>
          <w:p w14:paraId="6658B21B" w14:textId="77777777" w:rsidR="00D97723" w:rsidRPr="00D6136B" w:rsidRDefault="00456E38">
            <w:pPr>
              <w:pStyle w:val="ListParagraph"/>
              <w:widowControl/>
              <w:numPr>
                <w:ilvl w:val="0"/>
                <w:numId w:val="14"/>
              </w:numPr>
              <w:tabs>
                <w:tab w:val="left" w:pos="144"/>
              </w:tabs>
              <w:ind w:hanging="720"/>
              <w:rPr>
                <w:rFonts w:ascii="Times New Roman" w:hAnsi="Times New Roman" w:cs="Times New Roman"/>
                <w:sz w:val="20"/>
                <w:szCs w:val="20"/>
              </w:rPr>
            </w:pPr>
            <w:r w:rsidRPr="00D6136B">
              <w:rPr>
                <w:rFonts w:ascii="Times New Roman" w:hAnsi="Times New Roman" w:cs="Times New Roman"/>
                <w:sz w:val="20"/>
                <w:szCs w:val="20"/>
                <w:lang w:eastAsia="ko-KR"/>
              </w:rPr>
              <w:t>Diploma</w:t>
            </w:r>
          </w:p>
          <w:p w14:paraId="73B5993C" w14:textId="77777777" w:rsidR="00D97723" w:rsidRPr="00D6136B" w:rsidRDefault="00456E38">
            <w:pPr>
              <w:pStyle w:val="ListParagraph"/>
              <w:widowControl/>
              <w:numPr>
                <w:ilvl w:val="0"/>
                <w:numId w:val="14"/>
              </w:numPr>
              <w:tabs>
                <w:tab w:val="left" w:pos="144"/>
              </w:tabs>
              <w:ind w:hanging="720"/>
              <w:rPr>
                <w:rFonts w:ascii="Times New Roman" w:hAnsi="Times New Roman" w:cs="Times New Roman"/>
                <w:sz w:val="20"/>
                <w:szCs w:val="20"/>
              </w:rPr>
            </w:pPr>
            <w:r w:rsidRPr="00D6136B">
              <w:rPr>
                <w:rFonts w:ascii="Times New Roman" w:hAnsi="Times New Roman" w:cs="Times New Roman"/>
                <w:sz w:val="20"/>
                <w:szCs w:val="20"/>
                <w:lang w:eastAsia="ko-KR"/>
              </w:rPr>
              <w:t>S1</w:t>
            </w:r>
          </w:p>
          <w:p w14:paraId="18C4946D" w14:textId="77777777" w:rsidR="00D97723" w:rsidRPr="00D6136B" w:rsidRDefault="00456E38">
            <w:pPr>
              <w:pStyle w:val="ListParagraph"/>
              <w:widowControl/>
              <w:numPr>
                <w:ilvl w:val="0"/>
                <w:numId w:val="14"/>
              </w:numPr>
              <w:tabs>
                <w:tab w:val="left" w:pos="144"/>
              </w:tabs>
              <w:ind w:hanging="720"/>
              <w:rPr>
                <w:rFonts w:ascii="Times New Roman" w:hAnsi="Times New Roman" w:cs="Times New Roman"/>
                <w:sz w:val="20"/>
                <w:szCs w:val="20"/>
              </w:rPr>
            </w:pPr>
            <w:r w:rsidRPr="00D6136B">
              <w:rPr>
                <w:rFonts w:ascii="Times New Roman" w:hAnsi="Times New Roman" w:cs="Times New Roman"/>
                <w:sz w:val="20"/>
                <w:szCs w:val="20"/>
                <w:lang w:eastAsia="ko-KR"/>
              </w:rPr>
              <w:t>S2</w:t>
            </w:r>
          </w:p>
          <w:p w14:paraId="487ED65D" w14:textId="77777777" w:rsidR="00D97723" w:rsidRPr="00D6136B" w:rsidRDefault="00456E38">
            <w:pPr>
              <w:pStyle w:val="TableParagraph"/>
              <w:widowControl/>
              <w:numPr>
                <w:ilvl w:val="0"/>
                <w:numId w:val="14"/>
              </w:numPr>
              <w:spacing w:before="1"/>
              <w:ind w:left="121" w:hanging="121"/>
              <w:jc w:val="left"/>
              <w:rPr>
                <w:rFonts w:ascii="Times New Roman" w:hAnsi="Times New Roman" w:cs="Times New Roman"/>
                <w:sz w:val="20"/>
                <w:szCs w:val="20"/>
              </w:rPr>
            </w:pPr>
            <w:r w:rsidRPr="00D6136B">
              <w:rPr>
                <w:rFonts w:ascii="Times New Roman" w:hAnsi="Times New Roman" w:cs="Times New Roman"/>
                <w:sz w:val="20"/>
                <w:szCs w:val="20"/>
                <w:lang w:eastAsia="ko-KR"/>
              </w:rPr>
              <w:t xml:space="preserve"> &gt;S2</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44F2938A"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15</w:t>
            </w:r>
          </w:p>
          <w:p w14:paraId="2912E23C"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16</w:t>
            </w:r>
          </w:p>
          <w:p w14:paraId="547DEE1D"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77</w:t>
            </w:r>
          </w:p>
          <w:p w14:paraId="7E24B1F6"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19</w:t>
            </w:r>
          </w:p>
          <w:p w14:paraId="60CC2BFE"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5</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13C09268"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 xml:space="preserve"> 11,4  %</w:t>
            </w:r>
          </w:p>
          <w:p w14:paraId="5DBD5F2B"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12,1 %</w:t>
            </w:r>
          </w:p>
          <w:p w14:paraId="44F8E816"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58, 3 %</w:t>
            </w:r>
          </w:p>
          <w:p w14:paraId="1BEC6A50"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14,4  %</w:t>
            </w:r>
          </w:p>
          <w:p w14:paraId="57B73C21"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3,8 %</w:t>
            </w:r>
          </w:p>
        </w:tc>
      </w:tr>
      <w:tr w:rsidR="00D97723" w14:paraId="6EF4336F" w14:textId="77777777" w:rsidTr="00EF27A7">
        <w:trPr>
          <w:trHeight w:val="321"/>
        </w:trPr>
        <w:tc>
          <w:tcPr>
            <w:tcW w:w="16" w:type="dxa"/>
            <w:tcBorders>
              <w:top w:val="single" w:sz="4" w:space="0" w:color="000000"/>
              <w:left w:val="single" w:sz="4" w:space="0" w:color="000000"/>
              <w:bottom w:val="single" w:sz="4" w:space="0" w:color="000000"/>
            </w:tcBorders>
            <w:shd w:val="clear" w:color="auto" w:fill="auto"/>
          </w:tcPr>
          <w:p w14:paraId="079DD47F"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5438" w:type="dxa"/>
            <w:gridSpan w:val="2"/>
            <w:tcBorders>
              <w:top w:val="single" w:sz="4" w:space="0" w:color="000000"/>
              <w:bottom w:val="single" w:sz="4" w:space="0" w:color="000000"/>
              <w:right w:val="single" w:sz="4" w:space="0" w:color="000000"/>
            </w:tcBorders>
            <w:shd w:val="clear" w:color="auto" w:fill="auto"/>
          </w:tcPr>
          <w:p w14:paraId="4CEDAE87" w14:textId="77777777" w:rsidR="00D97723" w:rsidRPr="00D6136B" w:rsidRDefault="00456E38">
            <w:pPr>
              <w:pStyle w:val="TableParagraph"/>
              <w:widowControl/>
              <w:spacing w:before="1"/>
              <w:jc w:val="left"/>
              <w:rPr>
                <w:rFonts w:ascii="Times New Roman" w:hAnsi="Times New Roman" w:cs="Times New Roman"/>
                <w:bCs/>
                <w:spacing w:val="-2"/>
                <w:sz w:val="20"/>
                <w:szCs w:val="20"/>
              </w:rPr>
            </w:pPr>
            <w:r w:rsidRPr="00D6136B">
              <w:rPr>
                <w:rFonts w:ascii="Times New Roman" w:hAnsi="Times New Roman" w:cs="Times New Roman"/>
                <w:b/>
                <w:bCs/>
                <w:sz w:val="20"/>
                <w:szCs w:val="20"/>
              </w:rPr>
              <w:t>Number of Dependents (other than yourself)</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554D5931"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b/>
                <w:bCs/>
                <w:sz w:val="20"/>
                <w:szCs w:val="20"/>
              </w:rPr>
              <w:t>132</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13639913"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b/>
                <w:bCs/>
                <w:sz w:val="20"/>
                <w:szCs w:val="20"/>
              </w:rPr>
              <w:t>100</w:t>
            </w:r>
          </w:p>
        </w:tc>
      </w:tr>
      <w:tr w:rsidR="00D97723" w14:paraId="0BF3EA12" w14:textId="77777777" w:rsidTr="00EF27A7">
        <w:trPr>
          <w:trHeight w:val="321"/>
        </w:trPr>
        <w:tc>
          <w:tcPr>
            <w:tcW w:w="16" w:type="dxa"/>
            <w:tcBorders>
              <w:top w:val="single" w:sz="4" w:space="0" w:color="000000"/>
              <w:left w:val="single" w:sz="4" w:space="0" w:color="000000"/>
              <w:bottom w:val="single" w:sz="4" w:space="0" w:color="000000"/>
            </w:tcBorders>
            <w:shd w:val="clear" w:color="auto" w:fill="auto"/>
          </w:tcPr>
          <w:p w14:paraId="296618BF"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16" w:type="dxa"/>
            <w:tcBorders>
              <w:top w:val="single" w:sz="4" w:space="0" w:color="000000"/>
              <w:bottom w:val="single" w:sz="4" w:space="0" w:color="000000"/>
              <w:right w:val="single" w:sz="4" w:space="0" w:color="000000"/>
            </w:tcBorders>
            <w:shd w:val="clear" w:color="auto" w:fill="auto"/>
          </w:tcPr>
          <w:p w14:paraId="4CD00EC2" w14:textId="77777777" w:rsidR="00D97723" w:rsidRPr="00D6136B" w:rsidRDefault="00D97723">
            <w:pPr>
              <w:pStyle w:val="TableParagraph"/>
              <w:widowControl/>
              <w:spacing w:before="1"/>
              <w:ind w:left="144"/>
              <w:jc w:val="left"/>
              <w:rPr>
                <w:rFonts w:ascii="Times New Roman" w:hAnsi="Times New Roman" w:cs="Times New Roman"/>
                <w:bCs/>
                <w:spacing w:val="-2"/>
                <w:sz w:val="20"/>
                <w:szCs w:val="20"/>
              </w:rPr>
            </w:pPr>
          </w:p>
        </w:tc>
        <w:tc>
          <w:tcPr>
            <w:tcW w:w="5422" w:type="dxa"/>
            <w:tcBorders>
              <w:top w:val="single" w:sz="4" w:space="0" w:color="000000"/>
              <w:bottom w:val="single" w:sz="4" w:space="0" w:color="000000"/>
              <w:right w:val="single" w:sz="4" w:space="0" w:color="000000"/>
            </w:tcBorders>
            <w:shd w:val="clear" w:color="auto" w:fill="auto"/>
          </w:tcPr>
          <w:p w14:paraId="64D30B3B" w14:textId="77777777" w:rsidR="00D97723" w:rsidRPr="00D6136B" w:rsidRDefault="00456E38">
            <w:pPr>
              <w:pStyle w:val="ListParagraph"/>
              <w:widowControl/>
              <w:numPr>
                <w:ilvl w:val="0"/>
                <w:numId w:val="19"/>
              </w:numPr>
              <w:tabs>
                <w:tab w:val="clear" w:pos="720"/>
                <w:tab w:val="left" w:pos="144"/>
              </w:tabs>
              <w:ind w:left="286" w:hanging="286"/>
              <w:rPr>
                <w:rFonts w:ascii="Times New Roman" w:hAnsi="Times New Roman" w:cs="Times New Roman"/>
                <w:sz w:val="20"/>
                <w:szCs w:val="20"/>
                <w:lang w:val="sv-SE"/>
              </w:rPr>
            </w:pPr>
            <w:r w:rsidRPr="00D6136B">
              <w:rPr>
                <w:rFonts w:ascii="Times New Roman" w:hAnsi="Times New Roman" w:cs="Times New Roman"/>
                <w:sz w:val="20"/>
                <w:szCs w:val="20"/>
              </w:rPr>
              <w:t>0</w:t>
            </w:r>
          </w:p>
          <w:p w14:paraId="0F62BFB6" w14:textId="36F41164" w:rsidR="00D97723" w:rsidRPr="00D6136B" w:rsidRDefault="00456E38">
            <w:pPr>
              <w:pStyle w:val="ListParagraph"/>
              <w:widowControl/>
              <w:numPr>
                <w:ilvl w:val="0"/>
                <w:numId w:val="19"/>
              </w:numPr>
              <w:tabs>
                <w:tab w:val="clear" w:pos="720"/>
                <w:tab w:val="left" w:pos="144"/>
              </w:tabs>
              <w:ind w:left="286" w:hanging="286"/>
              <w:rPr>
                <w:rFonts w:ascii="Times New Roman" w:hAnsi="Times New Roman" w:cs="Times New Roman"/>
                <w:sz w:val="20"/>
                <w:szCs w:val="20"/>
                <w:lang w:val="sv-SE"/>
              </w:rPr>
            </w:pPr>
            <w:r w:rsidRPr="00D6136B">
              <w:rPr>
                <w:rFonts w:ascii="Times New Roman" w:hAnsi="Times New Roman" w:cs="Times New Roman"/>
                <w:sz w:val="20"/>
                <w:szCs w:val="20"/>
              </w:rPr>
              <w:t>1-2 pe</w:t>
            </w:r>
            <w:r w:rsidR="004A5E0E" w:rsidRPr="00D6136B">
              <w:rPr>
                <w:rFonts w:ascii="Times New Roman" w:hAnsi="Times New Roman" w:cs="Times New Roman"/>
                <w:sz w:val="20"/>
                <w:szCs w:val="20"/>
              </w:rPr>
              <w:t>rsons</w:t>
            </w:r>
          </w:p>
          <w:p w14:paraId="251B3067" w14:textId="77777777" w:rsidR="004A5E0E" w:rsidRPr="00D6136B" w:rsidRDefault="00456E38" w:rsidP="004A5E0E">
            <w:pPr>
              <w:pStyle w:val="ListParagraph"/>
              <w:widowControl/>
              <w:numPr>
                <w:ilvl w:val="0"/>
                <w:numId w:val="19"/>
              </w:numPr>
              <w:tabs>
                <w:tab w:val="clear" w:pos="720"/>
                <w:tab w:val="left" w:pos="144"/>
              </w:tabs>
              <w:ind w:left="286" w:hanging="286"/>
              <w:rPr>
                <w:rFonts w:ascii="Times New Roman" w:hAnsi="Times New Roman" w:cs="Times New Roman"/>
                <w:sz w:val="20"/>
                <w:szCs w:val="20"/>
                <w:lang w:val="sv-SE"/>
              </w:rPr>
            </w:pPr>
            <w:r w:rsidRPr="00D6136B">
              <w:rPr>
                <w:rFonts w:ascii="Times New Roman" w:hAnsi="Times New Roman" w:cs="Times New Roman"/>
                <w:sz w:val="20"/>
                <w:szCs w:val="20"/>
              </w:rPr>
              <w:t xml:space="preserve">3-4 </w:t>
            </w:r>
            <w:r w:rsidR="004A5E0E" w:rsidRPr="00D6136B">
              <w:rPr>
                <w:rFonts w:ascii="Times New Roman" w:hAnsi="Times New Roman" w:cs="Times New Roman"/>
                <w:sz w:val="20"/>
                <w:szCs w:val="20"/>
              </w:rPr>
              <w:t>persons</w:t>
            </w:r>
          </w:p>
          <w:p w14:paraId="6557D74F" w14:textId="275613A8" w:rsidR="00D97723" w:rsidRPr="00D6136B" w:rsidRDefault="00456E38" w:rsidP="004A5E0E">
            <w:pPr>
              <w:pStyle w:val="ListParagraph"/>
              <w:widowControl/>
              <w:numPr>
                <w:ilvl w:val="0"/>
                <w:numId w:val="19"/>
              </w:numPr>
              <w:tabs>
                <w:tab w:val="clear" w:pos="720"/>
                <w:tab w:val="left" w:pos="144"/>
              </w:tabs>
              <w:ind w:left="286" w:hanging="286"/>
              <w:rPr>
                <w:rFonts w:ascii="Times New Roman" w:hAnsi="Times New Roman" w:cs="Times New Roman"/>
                <w:sz w:val="20"/>
                <w:szCs w:val="20"/>
                <w:lang w:val="sv-SE"/>
              </w:rPr>
            </w:pPr>
            <w:r w:rsidRPr="00D6136B">
              <w:rPr>
                <w:rFonts w:ascii="Times New Roman" w:hAnsi="Times New Roman" w:cs="Times New Roman"/>
                <w:sz w:val="20"/>
                <w:szCs w:val="20"/>
              </w:rPr>
              <w:t xml:space="preserve">5-6 </w:t>
            </w:r>
            <w:r w:rsidR="004A5E0E" w:rsidRPr="00D6136B">
              <w:rPr>
                <w:rFonts w:ascii="Times New Roman" w:hAnsi="Times New Roman" w:cs="Times New Roman"/>
                <w:sz w:val="20"/>
                <w:szCs w:val="20"/>
              </w:rPr>
              <w:t>persons</w:t>
            </w:r>
          </w:p>
          <w:p w14:paraId="75EBE6BC" w14:textId="72EE38B8" w:rsidR="00D97723" w:rsidRPr="00D6136B" w:rsidRDefault="00456E38" w:rsidP="00A85FE1">
            <w:pPr>
              <w:pStyle w:val="ListParagraph"/>
              <w:widowControl/>
              <w:numPr>
                <w:ilvl w:val="0"/>
                <w:numId w:val="19"/>
              </w:numPr>
              <w:tabs>
                <w:tab w:val="clear" w:pos="720"/>
                <w:tab w:val="left" w:pos="144"/>
              </w:tabs>
              <w:ind w:left="286" w:hanging="286"/>
              <w:rPr>
                <w:rFonts w:ascii="Times New Roman" w:hAnsi="Times New Roman" w:cs="Times New Roman"/>
                <w:sz w:val="20"/>
                <w:szCs w:val="20"/>
                <w:lang w:val="sv-SE"/>
              </w:rPr>
            </w:pPr>
            <w:r w:rsidRPr="00D6136B">
              <w:rPr>
                <w:rFonts w:ascii="Times New Roman" w:hAnsi="Times New Roman" w:cs="Times New Roman"/>
                <w:sz w:val="20"/>
                <w:szCs w:val="20"/>
              </w:rPr>
              <w:t xml:space="preserve"> &gt; 6 </w:t>
            </w:r>
            <w:r w:rsidR="004A5E0E" w:rsidRPr="00D6136B">
              <w:rPr>
                <w:rFonts w:ascii="Times New Roman" w:hAnsi="Times New Roman" w:cs="Times New Roman"/>
                <w:sz w:val="20"/>
                <w:szCs w:val="20"/>
              </w:rPr>
              <w:t>persons</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75FFAFDB"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12</w:t>
            </w:r>
          </w:p>
          <w:p w14:paraId="6D0A649C"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48</w:t>
            </w:r>
          </w:p>
          <w:p w14:paraId="42C29ED8"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67</w:t>
            </w:r>
          </w:p>
          <w:p w14:paraId="3F54AD25"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4</w:t>
            </w:r>
          </w:p>
          <w:p w14:paraId="2E8334C4" w14:textId="77777777" w:rsidR="00D97723" w:rsidRPr="00D6136B" w:rsidRDefault="00456E38">
            <w:pPr>
              <w:pStyle w:val="TableParagraph"/>
              <w:spacing w:before="37"/>
              <w:ind w:left="8"/>
              <w:rPr>
                <w:rFonts w:ascii="Times New Roman" w:hAnsi="Times New Roman" w:cs="Times New Roman"/>
                <w:sz w:val="20"/>
                <w:szCs w:val="20"/>
              </w:rPr>
            </w:pPr>
            <w:r w:rsidRPr="00D6136B">
              <w:rPr>
                <w:rFonts w:ascii="Times New Roman" w:hAnsi="Times New Roman" w:cs="Times New Roman"/>
                <w:sz w:val="20"/>
                <w:szCs w:val="20"/>
              </w:rPr>
              <w:t>1</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7A8C1240"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9,1 %</w:t>
            </w:r>
          </w:p>
          <w:p w14:paraId="6AA5134A"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36,4 %</w:t>
            </w:r>
          </w:p>
          <w:p w14:paraId="59E1E967"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50,8 %</w:t>
            </w:r>
          </w:p>
          <w:p w14:paraId="4AC4075C"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3 %</w:t>
            </w:r>
          </w:p>
          <w:p w14:paraId="5D5B2053" w14:textId="77777777" w:rsidR="00D97723" w:rsidRPr="00D6136B" w:rsidRDefault="00456E38">
            <w:pPr>
              <w:pStyle w:val="TableParagraph"/>
              <w:spacing w:before="37"/>
              <w:ind w:left="14"/>
              <w:rPr>
                <w:rFonts w:ascii="Times New Roman" w:hAnsi="Times New Roman" w:cs="Times New Roman"/>
                <w:sz w:val="20"/>
                <w:szCs w:val="20"/>
              </w:rPr>
            </w:pPr>
            <w:r w:rsidRPr="00D6136B">
              <w:rPr>
                <w:rFonts w:ascii="Times New Roman" w:hAnsi="Times New Roman" w:cs="Times New Roman"/>
                <w:sz w:val="20"/>
                <w:szCs w:val="20"/>
              </w:rPr>
              <w:t>0,8 %</w:t>
            </w:r>
          </w:p>
        </w:tc>
      </w:tr>
      <w:tr w:rsidR="00D97723" w14:paraId="62091D39" w14:textId="77777777" w:rsidTr="00EF27A7">
        <w:trPr>
          <w:trHeight w:val="321"/>
        </w:trPr>
        <w:tc>
          <w:tcPr>
            <w:tcW w:w="16" w:type="dxa"/>
            <w:tcBorders>
              <w:top w:val="single" w:sz="4" w:space="0" w:color="000000"/>
              <w:left w:val="single" w:sz="4" w:space="0" w:color="000000"/>
              <w:bottom w:val="single" w:sz="4" w:space="0" w:color="000000"/>
            </w:tcBorders>
            <w:shd w:val="clear" w:color="auto" w:fill="auto"/>
          </w:tcPr>
          <w:p w14:paraId="40C9EF84"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5438" w:type="dxa"/>
            <w:gridSpan w:val="2"/>
            <w:tcBorders>
              <w:top w:val="single" w:sz="4" w:space="0" w:color="000000"/>
              <w:bottom w:val="single" w:sz="4" w:space="0" w:color="000000"/>
              <w:right w:val="single" w:sz="4" w:space="0" w:color="000000"/>
            </w:tcBorders>
            <w:shd w:val="clear" w:color="auto" w:fill="auto"/>
          </w:tcPr>
          <w:p w14:paraId="1DF6813C" w14:textId="77777777" w:rsidR="00D97723" w:rsidRPr="00D6136B" w:rsidRDefault="00456E38">
            <w:pPr>
              <w:pStyle w:val="TableParagraph"/>
              <w:widowControl/>
              <w:spacing w:before="1"/>
              <w:jc w:val="left"/>
              <w:rPr>
                <w:rFonts w:ascii="Times New Roman" w:hAnsi="Times New Roman" w:cs="Times New Roman"/>
                <w:b/>
                <w:bCs/>
                <w:sz w:val="20"/>
                <w:szCs w:val="20"/>
                <w:lang w:val="sv-SE"/>
              </w:rPr>
            </w:pPr>
            <w:r w:rsidRPr="00D6136B">
              <w:rPr>
                <w:rFonts w:ascii="Times New Roman" w:hAnsi="Times New Roman" w:cs="Times New Roman"/>
                <w:b/>
                <w:bCs/>
                <w:sz w:val="20"/>
                <w:szCs w:val="20"/>
              </w:rPr>
              <w:t>Average earnings per year</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14C88BF4" w14:textId="77777777" w:rsidR="00D97723" w:rsidRPr="00D6136B" w:rsidRDefault="00456E38">
            <w:pPr>
              <w:pStyle w:val="TableParagraph"/>
              <w:spacing w:before="37"/>
              <w:ind w:left="8"/>
              <w:rPr>
                <w:rFonts w:ascii="Times New Roman" w:hAnsi="Times New Roman" w:cs="Times New Roman"/>
                <w:b/>
                <w:bCs/>
                <w:sz w:val="20"/>
                <w:szCs w:val="20"/>
              </w:rPr>
            </w:pPr>
            <w:r w:rsidRPr="00D6136B">
              <w:rPr>
                <w:rFonts w:ascii="Times New Roman" w:hAnsi="Times New Roman" w:cs="Times New Roman"/>
                <w:b/>
                <w:bCs/>
                <w:sz w:val="20"/>
                <w:szCs w:val="20"/>
              </w:rPr>
              <w:t>132</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6CADC91C" w14:textId="77777777" w:rsidR="00D97723" w:rsidRPr="00D6136B" w:rsidRDefault="00456E38">
            <w:pPr>
              <w:pStyle w:val="TableParagraph"/>
              <w:spacing w:before="37"/>
              <w:ind w:left="14"/>
              <w:rPr>
                <w:rFonts w:ascii="Times New Roman" w:hAnsi="Times New Roman" w:cs="Times New Roman"/>
                <w:b/>
                <w:bCs/>
                <w:sz w:val="20"/>
                <w:szCs w:val="20"/>
              </w:rPr>
            </w:pPr>
            <w:r w:rsidRPr="00D6136B">
              <w:rPr>
                <w:rFonts w:ascii="Times New Roman" w:hAnsi="Times New Roman" w:cs="Times New Roman"/>
                <w:b/>
                <w:bCs/>
                <w:sz w:val="20"/>
                <w:szCs w:val="20"/>
              </w:rPr>
              <w:t>100</w:t>
            </w:r>
          </w:p>
        </w:tc>
      </w:tr>
      <w:tr w:rsidR="00D97723" w14:paraId="1D9BF2A4" w14:textId="77777777" w:rsidTr="00EF27A7">
        <w:trPr>
          <w:trHeight w:val="321"/>
        </w:trPr>
        <w:tc>
          <w:tcPr>
            <w:tcW w:w="16" w:type="dxa"/>
            <w:tcBorders>
              <w:top w:val="single" w:sz="4" w:space="0" w:color="000000"/>
              <w:left w:val="single" w:sz="4" w:space="0" w:color="000000"/>
              <w:bottom w:val="single" w:sz="4" w:space="0" w:color="000000"/>
            </w:tcBorders>
            <w:shd w:val="clear" w:color="auto" w:fill="auto"/>
          </w:tcPr>
          <w:p w14:paraId="12B2FCD6" w14:textId="77777777" w:rsidR="00D97723" w:rsidRPr="00D6136B" w:rsidRDefault="00D97723">
            <w:pPr>
              <w:pStyle w:val="TableParagraph"/>
              <w:spacing w:before="6"/>
              <w:ind w:left="107"/>
              <w:rPr>
                <w:rFonts w:ascii="Times New Roman" w:hAnsi="Times New Roman" w:cs="Times New Roman"/>
                <w:spacing w:val="-2"/>
                <w:sz w:val="20"/>
                <w:szCs w:val="20"/>
              </w:rPr>
            </w:pPr>
          </w:p>
        </w:tc>
        <w:tc>
          <w:tcPr>
            <w:tcW w:w="16" w:type="dxa"/>
            <w:tcBorders>
              <w:top w:val="single" w:sz="4" w:space="0" w:color="000000"/>
              <w:bottom w:val="single" w:sz="4" w:space="0" w:color="000000"/>
              <w:right w:val="single" w:sz="4" w:space="0" w:color="000000"/>
            </w:tcBorders>
            <w:shd w:val="clear" w:color="auto" w:fill="auto"/>
          </w:tcPr>
          <w:p w14:paraId="779A4B25" w14:textId="77777777" w:rsidR="00D97723" w:rsidRPr="00D6136B" w:rsidRDefault="00D97723">
            <w:pPr>
              <w:pStyle w:val="TableParagraph"/>
              <w:widowControl/>
              <w:spacing w:before="1"/>
              <w:ind w:left="144"/>
              <w:jc w:val="left"/>
              <w:rPr>
                <w:rFonts w:ascii="Times New Roman" w:hAnsi="Times New Roman" w:cs="Times New Roman"/>
                <w:b/>
                <w:bCs/>
                <w:sz w:val="20"/>
                <w:szCs w:val="20"/>
                <w:lang w:val="sv-SE"/>
              </w:rPr>
            </w:pPr>
          </w:p>
        </w:tc>
        <w:tc>
          <w:tcPr>
            <w:tcW w:w="5422" w:type="dxa"/>
            <w:tcBorders>
              <w:top w:val="single" w:sz="4" w:space="0" w:color="000000"/>
              <w:bottom w:val="single" w:sz="4" w:space="0" w:color="000000"/>
              <w:right w:val="single" w:sz="4" w:space="0" w:color="000000"/>
            </w:tcBorders>
            <w:shd w:val="clear" w:color="auto" w:fill="auto"/>
          </w:tcPr>
          <w:p w14:paraId="7541CD7D" w14:textId="77777777" w:rsidR="00D97723" w:rsidRPr="00D6136B" w:rsidRDefault="00456E38">
            <w:pPr>
              <w:pStyle w:val="ListParagraph"/>
              <w:widowControl/>
              <w:numPr>
                <w:ilvl w:val="0"/>
                <w:numId w:val="10"/>
              </w:numPr>
              <w:tabs>
                <w:tab w:val="left" w:pos="144"/>
              </w:tabs>
              <w:ind w:hanging="741"/>
              <w:rPr>
                <w:rFonts w:ascii="Times New Roman" w:hAnsi="Times New Roman" w:cs="Times New Roman"/>
                <w:sz w:val="20"/>
                <w:szCs w:val="20"/>
                <w:lang w:val="sv-SE"/>
              </w:rPr>
            </w:pPr>
            <w:r w:rsidRPr="00D6136B">
              <w:rPr>
                <w:rFonts w:ascii="Times New Roman" w:hAnsi="Times New Roman" w:cs="Times New Roman"/>
                <w:sz w:val="20"/>
                <w:szCs w:val="20"/>
                <w:lang w:val="de-DE" w:eastAsia="ko-KR"/>
              </w:rPr>
              <w:t xml:space="preserve">&lt; </w:t>
            </w:r>
            <w:r w:rsidRPr="00D6136B">
              <w:rPr>
                <w:rFonts w:ascii="Times New Roman" w:hAnsi="Times New Roman" w:cs="Times New Roman"/>
                <w:sz w:val="20"/>
                <w:szCs w:val="20"/>
                <w:lang w:eastAsia="ko-KR"/>
              </w:rPr>
              <w:t xml:space="preserve">Rp.50 Million </w:t>
            </w:r>
          </w:p>
          <w:p w14:paraId="787528C5" w14:textId="77777777" w:rsidR="00D97723" w:rsidRPr="00D6136B" w:rsidRDefault="00456E38">
            <w:pPr>
              <w:pStyle w:val="ListParagraph"/>
              <w:widowControl/>
              <w:numPr>
                <w:ilvl w:val="0"/>
                <w:numId w:val="10"/>
              </w:numPr>
              <w:tabs>
                <w:tab w:val="left" w:pos="144"/>
              </w:tabs>
              <w:ind w:hanging="741"/>
              <w:rPr>
                <w:rFonts w:ascii="Times New Roman" w:hAnsi="Times New Roman" w:cs="Times New Roman"/>
                <w:sz w:val="20"/>
                <w:szCs w:val="20"/>
                <w:lang w:val="sv-SE"/>
              </w:rPr>
            </w:pPr>
            <w:r w:rsidRPr="00D6136B">
              <w:rPr>
                <w:rFonts w:ascii="Times New Roman" w:hAnsi="Times New Roman" w:cs="Times New Roman"/>
                <w:sz w:val="20"/>
                <w:szCs w:val="20"/>
                <w:lang w:eastAsia="ko-KR"/>
              </w:rPr>
              <w:t xml:space="preserve">≥Rp.50 Million to 75 Million </w:t>
            </w:r>
          </w:p>
          <w:p w14:paraId="41AA1137" w14:textId="77777777" w:rsidR="00D97723" w:rsidRPr="00D6136B" w:rsidRDefault="00456E38">
            <w:pPr>
              <w:pStyle w:val="ListParagraph"/>
              <w:widowControl/>
              <w:numPr>
                <w:ilvl w:val="0"/>
                <w:numId w:val="10"/>
              </w:numPr>
              <w:tabs>
                <w:tab w:val="left" w:pos="144"/>
              </w:tabs>
              <w:ind w:hanging="741"/>
              <w:rPr>
                <w:rFonts w:ascii="Times New Roman" w:hAnsi="Times New Roman" w:cs="Times New Roman"/>
                <w:sz w:val="20"/>
                <w:szCs w:val="20"/>
                <w:lang w:val="sv-SE"/>
              </w:rPr>
            </w:pPr>
            <w:r w:rsidRPr="00D6136B">
              <w:rPr>
                <w:rFonts w:ascii="Times New Roman" w:hAnsi="Times New Roman" w:cs="Times New Roman"/>
                <w:sz w:val="20"/>
                <w:szCs w:val="20"/>
                <w:lang w:eastAsia="ko-KR"/>
              </w:rPr>
              <w:t xml:space="preserve">≥ Rp. 75 Million to 100 Million </w:t>
            </w:r>
          </w:p>
          <w:p w14:paraId="34634A5D" w14:textId="77777777" w:rsidR="00D97723" w:rsidRPr="00D6136B" w:rsidRDefault="00456E38">
            <w:pPr>
              <w:pStyle w:val="ListParagraph"/>
              <w:widowControl/>
              <w:numPr>
                <w:ilvl w:val="0"/>
                <w:numId w:val="10"/>
              </w:numPr>
              <w:tabs>
                <w:tab w:val="left" w:pos="144"/>
              </w:tabs>
              <w:ind w:hanging="741"/>
              <w:rPr>
                <w:rFonts w:ascii="Times New Roman" w:hAnsi="Times New Roman" w:cs="Times New Roman"/>
                <w:sz w:val="20"/>
                <w:szCs w:val="20"/>
                <w:lang w:val="sv-SE"/>
              </w:rPr>
            </w:pPr>
            <w:r w:rsidRPr="00D6136B">
              <w:rPr>
                <w:rFonts w:ascii="Times New Roman" w:hAnsi="Times New Roman" w:cs="Times New Roman"/>
                <w:sz w:val="20"/>
                <w:szCs w:val="20"/>
                <w:lang w:eastAsia="ko-KR"/>
              </w:rPr>
              <w:t xml:space="preserve">≥ Rp.100 Million to 150 Million </w:t>
            </w:r>
          </w:p>
          <w:p w14:paraId="6028B464" w14:textId="77777777" w:rsidR="00D97723" w:rsidRPr="00D6136B" w:rsidRDefault="00456E38">
            <w:pPr>
              <w:pStyle w:val="TableParagraph"/>
              <w:widowControl/>
              <w:numPr>
                <w:ilvl w:val="0"/>
                <w:numId w:val="10"/>
              </w:numPr>
              <w:spacing w:before="1"/>
              <w:ind w:left="121" w:hanging="142"/>
              <w:jc w:val="left"/>
              <w:rPr>
                <w:rFonts w:ascii="Times New Roman" w:hAnsi="Times New Roman" w:cs="Times New Roman"/>
                <w:b/>
                <w:bCs/>
                <w:sz w:val="20"/>
                <w:szCs w:val="20"/>
                <w:lang w:val="sv-SE"/>
              </w:rPr>
            </w:pPr>
            <w:r w:rsidRPr="00D6136B">
              <w:rPr>
                <w:rFonts w:ascii="Times New Roman" w:hAnsi="Times New Roman" w:cs="Times New Roman"/>
                <w:sz w:val="20"/>
                <w:szCs w:val="20"/>
                <w:lang w:eastAsia="ko-KR"/>
              </w:rPr>
              <w:t xml:space="preserve">≥ Rp 150 Million </w:t>
            </w:r>
          </w:p>
        </w:tc>
        <w:tc>
          <w:tcPr>
            <w:tcW w:w="1298" w:type="dxa"/>
            <w:tcBorders>
              <w:top w:val="single" w:sz="4" w:space="0" w:color="000000"/>
              <w:left w:val="single" w:sz="4" w:space="0" w:color="000000"/>
              <w:bottom w:val="single" w:sz="4" w:space="0" w:color="000000"/>
              <w:right w:val="single" w:sz="4" w:space="0" w:color="000000"/>
            </w:tcBorders>
            <w:shd w:val="clear" w:color="auto" w:fill="auto"/>
          </w:tcPr>
          <w:p w14:paraId="149D3BAB"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44</w:t>
            </w:r>
          </w:p>
          <w:p w14:paraId="6F06D2B4"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21</w:t>
            </w:r>
          </w:p>
          <w:p w14:paraId="73CE3D72"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16</w:t>
            </w:r>
          </w:p>
          <w:p w14:paraId="4A183A92" w14:textId="77777777" w:rsidR="00D97723" w:rsidRPr="00D6136B" w:rsidRDefault="00456E38">
            <w:pPr>
              <w:pStyle w:val="TableParagraph"/>
              <w:spacing w:before="39"/>
              <w:ind w:left="8"/>
              <w:rPr>
                <w:rFonts w:ascii="Times New Roman" w:hAnsi="Times New Roman" w:cs="Times New Roman"/>
                <w:sz w:val="20"/>
                <w:szCs w:val="20"/>
              </w:rPr>
            </w:pPr>
            <w:r w:rsidRPr="00D6136B">
              <w:rPr>
                <w:rFonts w:ascii="Times New Roman" w:hAnsi="Times New Roman" w:cs="Times New Roman"/>
                <w:sz w:val="20"/>
                <w:szCs w:val="20"/>
              </w:rPr>
              <w:t>13</w:t>
            </w:r>
          </w:p>
          <w:p w14:paraId="1E8BCC22" w14:textId="77777777" w:rsidR="00D97723" w:rsidRPr="00D6136B" w:rsidRDefault="00456E38">
            <w:pPr>
              <w:pStyle w:val="TableParagraph"/>
              <w:spacing w:before="37"/>
              <w:ind w:left="8"/>
              <w:rPr>
                <w:rFonts w:ascii="Times New Roman" w:hAnsi="Times New Roman" w:cs="Times New Roman"/>
                <w:b/>
                <w:bCs/>
                <w:sz w:val="20"/>
                <w:szCs w:val="20"/>
              </w:rPr>
            </w:pPr>
            <w:r w:rsidRPr="00D6136B">
              <w:rPr>
                <w:rFonts w:ascii="Times New Roman" w:hAnsi="Times New Roman" w:cs="Times New Roman"/>
                <w:sz w:val="20"/>
                <w:szCs w:val="20"/>
              </w:rPr>
              <w:t>38</w:t>
            </w:r>
          </w:p>
        </w:tc>
        <w:tc>
          <w:tcPr>
            <w:tcW w:w="931" w:type="dxa"/>
            <w:tcBorders>
              <w:top w:val="single" w:sz="4" w:space="0" w:color="000000"/>
              <w:left w:val="single" w:sz="4" w:space="0" w:color="000000"/>
              <w:bottom w:val="single" w:sz="4" w:space="0" w:color="000000"/>
              <w:right w:val="single" w:sz="4" w:space="0" w:color="000000"/>
            </w:tcBorders>
            <w:shd w:val="clear" w:color="auto" w:fill="auto"/>
          </w:tcPr>
          <w:p w14:paraId="7422E6B3"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33,3 %</w:t>
            </w:r>
          </w:p>
          <w:p w14:paraId="79F963A0"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15,9 %</w:t>
            </w:r>
          </w:p>
          <w:p w14:paraId="6F6FE20A"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12,1 %</w:t>
            </w:r>
          </w:p>
          <w:p w14:paraId="323F8FA5" w14:textId="77777777" w:rsidR="00D97723" w:rsidRPr="00D6136B" w:rsidRDefault="00456E38">
            <w:pPr>
              <w:pStyle w:val="TableParagraph"/>
              <w:spacing w:before="39"/>
              <w:ind w:left="14"/>
              <w:rPr>
                <w:rFonts w:ascii="Times New Roman" w:hAnsi="Times New Roman" w:cs="Times New Roman"/>
                <w:sz w:val="20"/>
                <w:szCs w:val="20"/>
              </w:rPr>
            </w:pPr>
            <w:r w:rsidRPr="00D6136B">
              <w:rPr>
                <w:rFonts w:ascii="Times New Roman" w:hAnsi="Times New Roman" w:cs="Times New Roman"/>
                <w:sz w:val="20"/>
                <w:szCs w:val="20"/>
              </w:rPr>
              <w:t>9,8 %</w:t>
            </w:r>
          </w:p>
          <w:p w14:paraId="4B768A14" w14:textId="77777777" w:rsidR="00D97723" w:rsidRPr="00D6136B" w:rsidRDefault="00456E38">
            <w:pPr>
              <w:pStyle w:val="TableParagraph"/>
              <w:spacing w:before="37"/>
              <w:ind w:left="14"/>
              <w:rPr>
                <w:rFonts w:ascii="Times New Roman" w:hAnsi="Times New Roman" w:cs="Times New Roman"/>
                <w:b/>
                <w:bCs/>
                <w:sz w:val="20"/>
                <w:szCs w:val="20"/>
              </w:rPr>
            </w:pPr>
            <w:r w:rsidRPr="00D6136B">
              <w:rPr>
                <w:rFonts w:ascii="Times New Roman" w:hAnsi="Times New Roman" w:cs="Times New Roman"/>
                <w:sz w:val="20"/>
                <w:szCs w:val="20"/>
              </w:rPr>
              <w:t>28,8 %</w:t>
            </w:r>
          </w:p>
        </w:tc>
      </w:tr>
    </w:tbl>
    <w:p w14:paraId="02B83B19" w14:textId="77777777" w:rsidR="002B4A82" w:rsidRPr="002B4A82" w:rsidRDefault="002B4A82" w:rsidP="002B4A82">
      <w:pPr>
        <w:sectPr w:rsidR="002B4A82" w:rsidRPr="002B4A82">
          <w:headerReference w:type="default" r:id="rId14"/>
          <w:footerReference w:type="even" r:id="rId15"/>
          <w:footerReference w:type="default" r:id="rId16"/>
          <w:pgSz w:w="11906" w:h="16838"/>
          <w:pgMar w:top="1701" w:right="1701" w:bottom="1701" w:left="1701" w:header="1134" w:footer="1020" w:gutter="0"/>
          <w:cols w:space="720"/>
          <w:formProt w:val="0"/>
          <w:docGrid w:linePitch="299" w:charSpace="8192"/>
        </w:sectPr>
      </w:pPr>
    </w:p>
    <w:p w14:paraId="70BFE66D" w14:textId="77777777" w:rsidR="00D97723" w:rsidRDefault="00456E38">
      <w:pPr>
        <w:pStyle w:val="Heading2"/>
        <w:numPr>
          <w:ilvl w:val="1"/>
          <w:numId w:val="1"/>
        </w:numPr>
        <w:tabs>
          <w:tab w:val="left" w:pos="620"/>
        </w:tabs>
        <w:spacing w:before="93"/>
        <w:rPr>
          <w:rFonts w:ascii="Times New Roman" w:hAnsi="Times New Roman" w:cs="Times New Roman"/>
          <w:sz w:val="24"/>
          <w:szCs w:val="24"/>
        </w:rPr>
      </w:pPr>
      <w:r>
        <w:rPr>
          <w:rFonts w:ascii="Times New Roman" w:hAnsi="Times New Roman" w:cs="Times New Roman"/>
          <w:sz w:val="24"/>
          <w:szCs w:val="24"/>
        </w:rPr>
        <w:t>Statistics Test Results</w:t>
      </w:r>
    </w:p>
    <w:p w14:paraId="0CF7D438" w14:textId="77777777" w:rsidR="00D97723" w:rsidRDefault="00456E38">
      <w:pPr>
        <w:pStyle w:val="Heading2"/>
        <w:tabs>
          <w:tab w:val="left" w:pos="620"/>
        </w:tabs>
        <w:spacing w:before="93"/>
        <w:ind w:firstLine="0"/>
        <w:jc w:val="both"/>
        <w:rPr>
          <w:rFonts w:ascii="Times New Roman" w:hAnsi="Times New Roman" w:cs="Times New Roman"/>
          <w:b w:val="0"/>
          <w:bCs w:val="0"/>
          <w:i w:val="0"/>
          <w:iCs w:val="0"/>
          <w:sz w:val="24"/>
          <w:szCs w:val="24"/>
        </w:rPr>
      </w:pPr>
      <w:r>
        <w:rPr>
          <w:rFonts w:ascii="Times New Roman" w:hAnsi="Times New Roman" w:cs="Times New Roman"/>
          <w:b w:val="0"/>
          <w:bCs w:val="0"/>
          <w:i w:val="0"/>
          <w:iCs w:val="0"/>
          <w:sz w:val="24"/>
          <w:szCs w:val="24"/>
        </w:rPr>
        <w:t>The results of descriptive statistics in this research can be seen in table 1 below:</w:t>
      </w:r>
    </w:p>
    <w:p w14:paraId="1A95330D" w14:textId="77777777" w:rsidR="00D97723" w:rsidRDefault="00D97723">
      <w:pPr>
        <w:ind w:left="1588"/>
        <w:rPr>
          <w:rFonts w:ascii="Times New Roman" w:hAnsi="Times New Roman" w:cs="Times New Roman"/>
          <w:strike/>
          <w:color w:val="231F20"/>
          <w:sz w:val="24"/>
          <w:szCs w:val="24"/>
        </w:rPr>
      </w:pPr>
    </w:p>
    <w:p w14:paraId="68D430DE" w14:textId="77777777" w:rsidR="00D97723" w:rsidRDefault="00456E38" w:rsidP="00D6136B">
      <w:pPr>
        <w:pStyle w:val="Heading5"/>
        <w:ind w:left="567"/>
        <w:rPr>
          <w:rFonts w:ascii="Times New Roman" w:hAnsi="Times New Roman" w:cs="Times New Roman"/>
          <w:sz w:val="24"/>
          <w:szCs w:val="24"/>
          <w:lang w:val="id-ID"/>
        </w:rPr>
      </w:pPr>
      <w:r>
        <w:rPr>
          <w:rFonts w:ascii="Times New Roman" w:hAnsi="Times New Roman" w:cs="Times New Roman"/>
          <w:b/>
          <w:color w:val="231F20"/>
          <w:spacing w:val="-2"/>
          <w:sz w:val="24"/>
          <w:szCs w:val="24"/>
          <w:lang w:val="en-ID"/>
        </w:rPr>
        <w:t xml:space="preserve">Table 2: </w:t>
      </w:r>
      <w:r w:rsidRPr="00D6136B">
        <w:rPr>
          <w:rFonts w:ascii="Times New Roman" w:hAnsi="Times New Roman" w:cs="Times New Roman"/>
          <w:iCs/>
          <w:color w:val="auto"/>
          <w:sz w:val="24"/>
          <w:szCs w:val="24"/>
          <w:lang w:val="id-ID"/>
        </w:rPr>
        <w:t>Outer Loading Construct Validity Measurement</w:t>
      </w:r>
      <w:r w:rsidRPr="00D6136B">
        <w:rPr>
          <w:rFonts w:ascii="Times New Roman" w:hAnsi="Times New Roman" w:cs="Times New Roman"/>
          <w:i/>
          <w:color w:val="auto"/>
          <w:sz w:val="24"/>
          <w:szCs w:val="24"/>
          <w:lang w:val="id-ID"/>
        </w:rPr>
        <w:t xml:space="preserve"> </w:t>
      </w:r>
    </w:p>
    <w:p w14:paraId="2F63A8DD" w14:textId="77777777" w:rsidR="00D97723" w:rsidRDefault="00D97723" w:rsidP="00D6136B">
      <w:pPr>
        <w:ind w:left="1588"/>
        <w:rPr>
          <w:rFonts w:ascii="Times New Roman" w:hAnsi="Times New Roman" w:cs="Times New Roman"/>
          <w:b/>
          <w:sz w:val="24"/>
          <w:szCs w:val="24"/>
          <w:lang w:val="id-ID"/>
        </w:rPr>
      </w:pPr>
    </w:p>
    <w:tbl>
      <w:tblPr>
        <w:tblW w:w="7215" w:type="dxa"/>
        <w:tblInd w:w="567" w:type="dxa"/>
        <w:tblLook w:val="04A0" w:firstRow="1" w:lastRow="0" w:firstColumn="1" w:lastColumn="0" w:noHBand="0" w:noVBand="1"/>
      </w:tblPr>
      <w:tblGrid>
        <w:gridCol w:w="2283"/>
        <w:gridCol w:w="755"/>
        <w:gridCol w:w="756"/>
        <w:gridCol w:w="756"/>
        <w:gridCol w:w="755"/>
        <w:gridCol w:w="756"/>
        <w:gridCol w:w="1154"/>
      </w:tblGrid>
      <w:tr w:rsidR="00D97723" w14:paraId="6814B1BE" w14:textId="77777777" w:rsidTr="00D6136B">
        <w:trPr>
          <w:trHeight w:val="184"/>
        </w:trPr>
        <w:tc>
          <w:tcPr>
            <w:tcW w:w="2283" w:type="dxa"/>
            <w:shd w:val="clear" w:color="auto" w:fill="auto"/>
            <w:vAlign w:val="bottom"/>
          </w:tcPr>
          <w:p w14:paraId="1D51F590" w14:textId="77777777" w:rsidR="00D97723" w:rsidRPr="00D6136B" w:rsidRDefault="00D97723" w:rsidP="00D6136B">
            <w:pPr>
              <w:rPr>
                <w:rFonts w:ascii="Times New Roman" w:hAnsi="Times New Roman" w:cs="Times New Roman"/>
                <w:sz w:val="20"/>
                <w:szCs w:val="20"/>
                <w:lang w:val="en-ID"/>
              </w:rPr>
            </w:pPr>
          </w:p>
        </w:tc>
        <w:tc>
          <w:tcPr>
            <w:tcW w:w="755"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6C464F88"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w:t>
            </w:r>
          </w:p>
        </w:tc>
        <w:tc>
          <w:tcPr>
            <w:tcW w:w="756" w:type="dxa"/>
            <w:tcBorders>
              <w:top w:val="single" w:sz="4" w:space="0" w:color="000000"/>
              <w:bottom w:val="single" w:sz="4" w:space="0" w:color="000000"/>
              <w:right w:val="single" w:sz="4" w:space="0" w:color="000000"/>
            </w:tcBorders>
            <w:shd w:val="clear" w:color="000000" w:fill="555555"/>
            <w:vAlign w:val="bottom"/>
          </w:tcPr>
          <w:p w14:paraId="6065F36A"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w:t>
            </w:r>
          </w:p>
        </w:tc>
        <w:tc>
          <w:tcPr>
            <w:tcW w:w="756" w:type="dxa"/>
            <w:tcBorders>
              <w:top w:val="single" w:sz="4" w:space="0" w:color="000000"/>
              <w:bottom w:val="single" w:sz="4" w:space="0" w:color="000000"/>
              <w:right w:val="single" w:sz="4" w:space="0" w:color="000000"/>
            </w:tcBorders>
            <w:shd w:val="clear" w:color="000000" w:fill="555555"/>
            <w:vAlign w:val="bottom"/>
          </w:tcPr>
          <w:p w14:paraId="42380FA3"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w:t>
            </w:r>
          </w:p>
        </w:tc>
        <w:tc>
          <w:tcPr>
            <w:tcW w:w="755" w:type="dxa"/>
            <w:tcBorders>
              <w:top w:val="single" w:sz="4" w:space="0" w:color="000000"/>
              <w:bottom w:val="single" w:sz="4" w:space="0" w:color="000000"/>
              <w:right w:val="single" w:sz="4" w:space="0" w:color="000000"/>
            </w:tcBorders>
            <w:shd w:val="clear" w:color="000000" w:fill="555555"/>
            <w:vAlign w:val="bottom"/>
          </w:tcPr>
          <w:p w14:paraId="7BBCA9CB"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w:t>
            </w:r>
          </w:p>
        </w:tc>
        <w:tc>
          <w:tcPr>
            <w:tcW w:w="756" w:type="dxa"/>
            <w:tcBorders>
              <w:top w:val="single" w:sz="4" w:space="0" w:color="000000"/>
              <w:bottom w:val="single" w:sz="4" w:space="0" w:color="000000"/>
              <w:right w:val="single" w:sz="4" w:space="0" w:color="000000"/>
            </w:tcBorders>
            <w:shd w:val="clear" w:color="000000" w:fill="555555"/>
            <w:vAlign w:val="bottom"/>
          </w:tcPr>
          <w:p w14:paraId="0FCAB8D3"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w:t>
            </w:r>
          </w:p>
        </w:tc>
        <w:tc>
          <w:tcPr>
            <w:tcW w:w="1154" w:type="dxa"/>
            <w:tcBorders>
              <w:top w:val="single" w:sz="4" w:space="0" w:color="000000"/>
              <w:bottom w:val="single" w:sz="4" w:space="0" w:color="000000"/>
              <w:right w:val="single" w:sz="4" w:space="0" w:color="000000"/>
            </w:tcBorders>
            <w:shd w:val="clear" w:color="000000" w:fill="555555"/>
          </w:tcPr>
          <w:p w14:paraId="6F2135AA"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Z.</w:t>
            </w:r>
          </w:p>
        </w:tc>
      </w:tr>
      <w:tr w:rsidR="00D97723" w14:paraId="068405D2" w14:textId="77777777" w:rsidTr="00D6136B">
        <w:trPr>
          <w:trHeight w:val="184"/>
        </w:trPr>
        <w:tc>
          <w:tcPr>
            <w:tcW w:w="2283"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7CF3B0F1"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X1.1</w:t>
            </w:r>
          </w:p>
        </w:tc>
        <w:tc>
          <w:tcPr>
            <w:tcW w:w="755" w:type="dxa"/>
            <w:tcBorders>
              <w:bottom w:val="single" w:sz="4" w:space="0" w:color="000000"/>
              <w:right w:val="single" w:sz="4" w:space="0" w:color="000000"/>
            </w:tcBorders>
            <w:shd w:val="clear" w:color="000000" w:fill="90EE90"/>
            <w:vAlign w:val="bottom"/>
          </w:tcPr>
          <w:p w14:paraId="2BD81579"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0,840</w:t>
            </w:r>
          </w:p>
        </w:tc>
        <w:tc>
          <w:tcPr>
            <w:tcW w:w="756" w:type="dxa"/>
            <w:tcBorders>
              <w:bottom w:val="single" w:sz="4" w:space="0" w:color="000000"/>
              <w:right w:val="single" w:sz="4" w:space="0" w:color="000000"/>
            </w:tcBorders>
            <w:shd w:val="clear" w:color="000000" w:fill="90EE90"/>
            <w:vAlign w:val="bottom"/>
          </w:tcPr>
          <w:p w14:paraId="1BBC899E"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2AF830E4"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000000" w:fill="90EE90"/>
            <w:vAlign w:val="bottom"/>
          </w:tcPr>
          <w:p w14:paraId="0E78610A"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3B2F77AD"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000000" w:fill="90EE90"/>
          </w:tcPr>
          <w:p w14:paraId="270F06C9" w14:textId="77777777" w:rsidR="00D97723" w:rsidRPr="00D6136B" w:rsidRDefault="00D97723" w:rsidP="00D6136B">
            <w:pPr>
              <w:rPr>
                <w:rFonts w:ascii="Times New Roman" w:hAnsi="Times New Roman" w:cs="Times New Roman"/>
                <w:color w:val="000000"/>
                <w:sz w:val="20"/>
                <w:szCs w:val="20"/>
              </w:rPr>
            </w:pPr>
          </w:p>
        </w:tc>
      </w:tr>
      <w:tr w:rsidR="00D97723" w14:paraId="3664F7F1"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11DFF0A1"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X1.2</w:t>
            </w:r>
          </w:p>
        </w:tc>
        <w:tc>
          <w:tcPr>
            <w:tcW w:w="755" w:type="dxa"/>
            <w:tcBorders>
              <w:bottom w:val="single" w:sz="4" w:space="0" w:color="000000"/>
              <w:right w:val="single" w:sz="4" w:space="0" w:color="000000"/>
            </w:tcBorders>
            <w:shd w:val="clear" w:color="auto" w:fill="auto"/>
            <w:vAlign w:val="bottom"/>
          </w:tcPr>
          <w:p w14:paraId="571F11D3"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0,821</w:t>
            </w:r>
          </w:p>
        </w:tc>
        <w:tc>
          <w:tcPr>
            <w:tcW w:w="756" w:type="dxa"/>
            <w:tcBorders>
              <w:bottom w:val="single" w:sz="4" w:space="0" w:color="000000"/>
              <w:right w:val="single" w:sz="4" w:space="0" w:color="000000"/>
            </w:tcBorders>
            <w:shd w:val="clear" w:color="auto" w:fill="auto"/>
            <w:vAlign w:val="bottom"/>
          </w:tcPr>
          <w:p w14:paraId="5DFBB47A"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1C478A95"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auto" w:fill="auto"/>
            <w:vAlign w:val="bottom"/>
          </w:tcPr>
          <w:p w14:paraId="7F9C3CEF"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27DA8F9E"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auto" w:fill="auto"/>
          </w:tcPr>
          <w:p w14:paraId="06C45E5E" w14:textId="77777777" w:rsidR="00D97723" w:rsidRPr="00D6136B" w:rsidRDefault="00D97723" w:rsidP="00D6136B">
            <w:pPr>
              <w:rPr>
                <w:rFonts w:ascii="Times New Roman" w:hAnsi="Times New Roman" w:cs="Times New Roman"/>
                <w:color w:val="000000"/>
                <w:sz w:val="20"/>
                <w:szCs w:val="20"/>
              </w:rPr>
            </w:pPr>
          </w:p>
        </w:tc>
      </w:tr>
      <w:tr w:rsidR="00D97723" w14:paraId="0C9C1B9D"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5A88B071"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X1.3</w:t>
            </w:r>
          </w:p>
        </w:tc>
        <w:tc>
          <w:tcPr>
            <w:tcW w:w="755" w:type="dxa"/>
            <w:tcBorders>
              <w:bottom w:val="single" w:sz="4" w:space="0" w:color="000000"/>
              <w:right w:val="single" w:sz="4" w:space="0" w:color="000000"/>
            </w:tcBorders>
            <w:shd w:val="clear" w:color="000000" w:fill="90EE90"/>
            <w:vAlign w:val="bottom"/>
          </w:tcPr>
          <w:p w14:paraId="48E5BB5D"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0,865</w:t>
            </w:r>
          </w:p>
        </w:tc>
        <w:tc>
          <w:tcPr>
            <w:tcW w:w="756" w:type="dxa"/>
            <w:tcBorders>
              <w:bottom w:val="single" w:sz="4" w:space="0" w:color="000000"/>
              <w:right w:val="single" w:sz="4" w:space="0" w:color="000000"/>
            </w:tcBorders>
            <w:shd w:val="clear" w:color="000000" w:fill="90EE90"/>
            <w:vAlign w:val="bottom"/>
          </w:tcPr>
          <w:p w14:paraId="3051B03C"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48E2B248"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000000" w:fill="90EE90"/>
            <w:vAlign w:val="bottom"/>
          </w:tcPr>
          <w:p w14:paraId="3BDE4EBF"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5A7FC004"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000000" w:fill="90EE90"/>
          </w:tcPr>
          <w:p w14:paraId="71F62FFE" w14:textId="77777777" w:rsidR="00D97723" w:rsidRPr="00D6136B" w:rsidRDefault="00D97723" w:rsidP="00D6136B">
            <w:pPr>
              <w:rPr>
                <w:rFonts w:ascii="Times New Roman" w:hAnsi="Times New Roman" w:cs="Times New Roman"/>
                <w:color w:val="000000"/>
                <w:sz w:val="20"/>
                <w:szCs w:val="20"/>
              </w:rPr>
            </w:pPr>
          </w:p>
        </w:tc>
      </w:tr>
      <w:tr w:rsidR="00D97723" w14:paraId="4D9B1D4D"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95959"/>
            <w:vAlign w:val="bottom"/>
          </w:tcPr>
          <w:p w14:paraId="5BDBFEB8" w14:textId="77777777" w:rsidR="00D97723" w:rsidRPr="00D6136B" w:rsidRDefault="00456E38" w:rsidP="00D6136B">
            <w:pPr>
              <w:jc w:val="center"/>
              <w:rPr>
                <w:rFonts w:ascii="Times New Roman" w:hAnsi="Times New Roman" w:cs="Times New Roman"/>
                <w:color w:val="E8E8E8"/>
                <w:sz w:val="20"/>
                <w:szCs w:val="20"/>
              </w:rPr>
            </w:pPr>
            <w:r w:rsidRPr="00D6136B">
              <w:rPr>
                <w:rFonts w:ascii="Times New Roman" w:hAnsi="Times New Roman" w:cs="Times New Roman"/>
                <w:color w:val="E8E8E8"/>
                <w:sz w:val="20"/>
                <w:szCs w:val="20"/>
              </w:rPr>
              <w:t>X1.4</w:t>
            </w:r>
          </w:p>
        </w:tc>
        <w:tc>
          <w:tcPr>
            <w:tcW w:w="755" w:type="dxa"/>
            <w:tcBorders>
              <w:bottom w:val="single" w:sz="4" w:space="0" w:color="000000"/>
              <w:right w:val="single" w:sz="4" w:space="0" w:color="000000"/>
            </w:tcBorders>
            <w:shd w:val="clear" w:color="auto" w:fill="auto"/>
            <w:vAlign w:val="bottom"/>
          </w:tcPr>
          <w:p w14:paraId="21C7CAE3" w14:textId="77777777" w:rsidR="00D97723" w:rsidRPr="00D6136B" w:rsidRDefault="00456E38" w:rsidP="00D6136B">
            <w:pPr>
              <w:jc w:val="right"/>
              <w:rPr>
                <w:rFonts w:ascii="Times New Roman" w:hAnsi="Times New Roman" w:cs="Times New Roman"/>
                <w:color w:val="8B0000"/>
                <w:sz w:val="20"/>
                <w:szCs w:val="20"/>
              </w:rPr>
            </w:pPr>
            <w:r w:rsidRPr="00D6136B">
              <w:rPr>
                <w:rFonts w:ascii="Times New Roman" w:hAnsi="Times New Roman" w:cs="Times New Roman"/>
                <w:color w:val="8B0000"/>
                <w:sz w:val="20"/>
                <w:szCs w:val="20"/>
              </w:rPr>
              <w:t>0,667</w:t>
            </w:r>
          </w:p>
        </w:tc>
        <w:tc>
          <w:tcPr>
            <w:tcW w:w="756" w:type="dxa"/>
            <w:tcBorders>
              <w:bottom w:val="single" w:sz="4" w:space="0" w:color="000000"/>
              <w:right w:val="single" w:sz="4" w:space="0" w:color="000000"/>
            </w:tcBorders>
            <w:shd w:val="clear" w:color="auto" w:fill="auto"/>
            <w:vAlign w:val="bottom"/>
          </w:tcPr>
          <w:p w14:paraId="08BF2B7A"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28F3A5F6"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auto" w:fill="auto"/>
            <w:vAlign w:val="bottom"/>
          </w:tcPr>
          <w:p w14:paraId="2632A283"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7F9154C0"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auto" w:fill="auto"/>
          </w:tcPr>
          <w:p w14:paraId="056D4FCD" w14:textId="77777777" w:rsidR="00D97723" w:rsidRPr="00D6136B" w:rsidRDefault="00D97723" w:rsidP="00D6136B">
            <w:pPr>
              <w:rPr>
                <w:rFonts w:ascii="Times New Roman" w:hAnsi="Times New Roman" w:cs="Times New Roman"/>
                <w:color w:val="000000"/>
                <w:sz w:val="20"/>
                <w:szCs w:val="20"/>
              </w:rPr>
            </w:pPr>
          </w:p>
        </w:tc>
      </w:tr>
      <w:tr w:rsidR="00D97723" w14:paraId="363583D9"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52BFE4CB"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X1.5</w:t>
            </w:r>
          </w:p>
        </w:tc>
        <w:tc>
          <w:tcPr>
            <w:tcW w:w="755" w:type="dxa"/>
            <w:tcBorders>
              <w:bottom w:val="single" w:sz="4" w:space="0" w:color="000000"/>
              <w:right w:val="single" w:sz="4" w:space="0" w:color="000000"/>
            </w:tcBorders>
            <w:shd w:val="clear" w:color="000000" w:fill="90EE90"/>
            <w:vAlign w:val="bottom"/>
          </w:tcPr>
          <w:p w14:paraId="26B92713"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0,723</w:t>
            </w:r>
          </w:p>
        </w:tc>
        <w:tc>
          <w:tcPr>
            <w:tcW w:w="756" w:type="dxa"/>
            <w:tcBorders>
              <w:bottom w:val="single" w:sz="4" w:space="0" w:color="000000"/>
              <w:right w:val="single" w:sz="4" w:space="0" w:color="000000"/>
            </w:tcBorders>
            <w:shd w:val="clear" w:color="000000" w:fill="90EE90"/>
            <w:vAlign w:val="bottom"/>
          </w:tcPr>
          <w:p w14:paraId="281CC9E3"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7379D5F7"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000000" w:fill="90EE90"/>
            <w:vAlign w:val="bottom"/>
          </w:tcPr>
          <w:p w14:paraId="24125008"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6D94FA93"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000000" w:fill="90EE90"/>
          </w:tcPr>
          <w:p w14:paraId="075DD809" w14:textId="77777777" w:rsidR="00D97723" w:rsidRPr="00D6136B" w:rsidRDefault="00D97723" w:rsidP="00D6136B">
            <w:pPr>
              <w:rPr>
                <w:rFonts w:ascii="Times New Roman" w:hAnsi="Times New Roman" w:cs="Times New Roman"/>
                <w:color w:val="000000"/>
                <w:sz w:val="20"/>
                <w:szCs w:val="20"/>
              </w:rPr>
            </w:pPr>
          </w:p>
        </w:tc>
      </w:tr>
      <w:tr w:rsidR="00D97723" w14:paraId="338B3B1D"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3E0FE69C"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X2.1</w:t>
            </w:r>
          </w:p>
        </w:tc>
        <w:tc>
          <w:tcPr>
            <w:tcW w:w="755" w:type="dxa"/>
            <w:tcBorders>
              <w:bottom w:val="single" w:sz="4" w:space="0" w:color="000000"/>
              <w:right w:val="single" w:sz="4" w:space="0" w:color="000000"/>
            </w:tcBorders>
            <w:shd w:val="clear" w:color="auto" w:fill="auto"/>
            <w:vAlign w:val="bottom"/>
          </w:tcPr>
          <w:p w14:paraId="030ED328"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6AC748E5"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0,839</w:t>
            </w:r>
          </w:p>
        </w:tc>
        <w:tc>
          <w:tcPr>
            <w:tcW w:w="756" w:type="dxa"/>
            <w:tcBorders>
              <w:bottom w:val="single" w:sz="4" w:space="0" w:color="000000"/>
              <w:right w:val="single" w:sz="4" w:space="0" w:color="000000"/>
            </w:tcBorders>
            <w:shd w:val="clear" w:color="auto" w:fill="auto"/>
            <w:vAlign w:val="bottom"/>
          </w:tcPr>
          <w:p w14:paraId="7A446F34"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auto" w:fill="auto"/>
            <w:vAlign w:val="bottom"/>
          </w:tcPr>
          <w:p w14:paraId="2E6B11F5"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5C9CA56A"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auto" w:fill="auto"/>
          </w:tcPr>
          <w:p w14:paraId="0082C34E" w14:textId="77777777" w:rsidR="00D97723" w:rsidRPr="00D6136B" w:rsidRDefault="00D97723" w:rsidP="00D6136B">
            <w:pPr>
              <w:rPr>
                <w:rFonts w:ascii="Times New Roman" w:hAnsi="Times New Roman" w:cs="Times New Roman"/>
                <w:color w:val="000000"/>
                <w:sz w:val="20"/>
                <w:szCs w:val="20"/>
              </w:rPr>
            </w:pPr>
          </w:p>
        </w:tc>
      </w:tr>
      <w:tr w:rsidR="00D97723" w14:paraId="0F887480"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7F678EB7"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X2.2</w:t>
            </w:r>
          </w:p>
        </w:tc>
        <w:tc>
          <w:tcPr>
            <w:tcW w:w="755" w:type="dxa"/>
            <w:tcBorders>
              <w:bottom w:val="single" w:sz="4" w:space="0" w:color="000000"/>
              <w:right w:val="single" w:sz="4" w:space="0" w:color="000000"/>
            </w:tcBorders>
            <w:shd w:val="clear" w:color="000000" w:fill="90EE90"/>
            <w:vAlign w:val="bottom"/>
          </w:tcPr>
          <w:p w14:paraId="42DAFD40"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66325EBC"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0,827</w:t>
            </w:r>
          </w:p>
        </w:tc>
        <w:tc>
          <w:tcPr>
            <w:tcW w:w="756" w:type="dxa"/>
            <w:tcBorders>
              <w:bottom w:val="single" w:sz="4" w:space="0" w:color="000000"/>
              <w:right w:val="single" w:sz="4" w:space="0" w:color="000000"/>
            </w:tcBorders>
            <w:shd w:val="clear" w:color="000000" w:fill="90EE90"/>
            <w:vAlign w:val="bottom"/>
          </w:tcPr>
          <w:p w14:paraId="35692E03"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000000" w:fill="90EE90"/>
            <w:vAlign w:val="bottom"/>
          </w:tcPr>
          <w:p w14:paraId="1F16E928"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4CFB629F"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000000" w:fill="90EE90"/>
          </w:tcPr>
          <w:p w14:paraId="6303455A" w14:textId="77777777" w:rsidR="00D97723" w:rsidRPr="00D6136B" w:rsidRDefault="00D97723" w:rsidP="00D6136B">
            <w:pPr>
              <w:rPr>
                <w:rFonts w:ascii="Times New Roman" w:hAnsi="Times New Roman" w:cs="Times New Roman"/>
                <w:color w:val="000000"/>
                <w:sz w:val="20"/>
                <w:szCs w:val="20"/>
              </w:rPr>
            </w:pPr>
          </w:p>
        </w:tc>
      </w:tr>
      <w:tr w:rsidR="00D97723" w14:paraId="072C282A"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00EA0E12"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X2.3</w:t>
            </w:r>
          </w:p>
        </w:tc>
        <w:tc>
          <w:tcPr>
            <w:tcW w:w="755" w:type="dxa"/>
            <w:tcBorders>
              <w:bottom w:val="single" w:sz="4" w:space="0" w:color="000000"/>
              <w:right w:val="single" w:sz="4" w:space="0" w:color="000000"/>
            </w:tcBorders>
            <w:shd w:val="clear" w:color="auto" w:fill="auto"/>
            <w:vAlign w:val="bottom"/>
          </w:tcPr>
          <w:p w14:paraId="2E2A8B87"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31377C5B"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0,863</w:t>
            </w:r>
          </w:p>
        </w:tc>
        <w:tc>
          <w:tcPr>
            <w:tcW w:w="756" w:type="dxa"/>
            <w:tcBorders>
              <w:bottom w:val="single" w:sz="4" w:space="0" w:color="000000"/>
              <w:right w:val="single" w:sz="4" w:space="0" w:color="000000"/>
            </w:tcBorders>
            <w:shd w:val="clear" w:color="auto" w:fill="auto"/>
            <w:vAlign w:val="bottom"/>
          </w:tcPr>
          <w:p w14:paraId="38AA8AE2"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auto" w:fill="auto"/>
            <w:vAlign w:val="bottom"/>
          </w:tcPr>
          <w:p w14:paraId="019EDDCE"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46AFCD9A"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auto" w:fill="auto"/>
          </w:tcPr>
          <w:p w14:paraId="616F5567" w14:textId="77777777" w:rsidR="00D97723" w:rsidRPr="00D6136B" w:rsidRDefault="00D97723" w:rsidP="00D6136B">
            <w:pPr>
              <w:rPr>
                <w:rFonts w:ascii="Times New Roman" w:hAnsi="Times New Roman" w:cs="Times New Roman"/>
                <w:color w:val="000000"/>
                <w:sz w:val="20"/>
                <w:szCs w:val="20"/>
              </w:rPr>
            </w:pPr>
          </w:p>
        </w:tc>
      </w:tr>
      <w:tr w:rsidR="00D97723" w14:paraId="3944C577"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440D7B45"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X3.1</w:t>
            </w:r>
          </w:p>
        </w:tc>
        <w:tc>
          <w:tcPr>
            <w:tcW w:w="755" w:type="dxa"/>
            <w:tcBorders>
              <w:bottom w:val="single" w:sz="4" w:space="0" w:color="000000"/>
              <w:right w:val="single" w:sz="4" w:space="0" w:color="000000"/>
            </w:tcBorders>
            <w:shd w:val="clear" w:color="000000" w:fill="90EE90"/>
            <w:vAlign w:val="bottom"/>
          </w:tcPr>
          <w:p w14:paraId="543EDFC1"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0B1AD937"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200BCE40"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0,888</w:t>
            </w:r>
          </w:p>
        </w:tc>
        <w:tc>
          <w:tcPr>
            <w:tcW w:w="755" w:type="dxa"/>
            <w:tcBorders>
              <w:bottom w:val="single" w:sz="4" w:space="0" w:color="000000"/>
              <w:right w:val="single" w:sz="4" w:space="0" w:color="000000"/>
            </w:tcBorders>
            <w:shd w:val="clear" w:color="000000" w:fill="90EE90"/>
            <w:vAlign w:val="bottom"/>
          </w:tcPr>
          <w:p w14:paraId="7FF43AB9"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577DC45D"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000000" w:fill="90EE90"/>
          </w:tcPr>
          <w:p w14:paraId="0EE3190D" w14:textId="77777777" w:rsidR="00D97723" w:rsidRPr="00D6136B" w:rsidRDefault="00D97723" w:rsidP="00D6136B">
            <w:pPr>
              <w:rPr>
                <w:rFonts w:ascii="Times New Roman" w:hAnsi="Times New Roman" w:cs="Times New Roman"/>
                <w:color w:val="000000"/>
                <w:sz w:val="20"/>
                <w:szCs w:val="20"/>
              </w:rPr>
            </w:pPr>
          </w:p>
        </w:tc>
      </w:tr>
      <w:tr w:rsidR="00D97723" w14:paraId="3BA981CD"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1E58337C"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X3.2</w:t>
            </w:r>
          </w:p>
        </w:tc>
        <w:tc>
          <w:tcPr>
            <w:tcW w:w="755" w:type="dxa"/>
            <w:tcBorders>
              <w:bottom w:val="single" w:sz="4" w:space="0" w:color="000000"/>
              <w:right w:val="single" w:sz="4" w:space="0" w:color="000000"/>
            </w:tcBorders>
            <w:shd w:val="clear" w:color="auto" w:fill="auto"/>
            <w:vAlign w:val="bottom"/>
          </w:tcPr>
          <w:p w14:paraId="38BBD9F0"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19A4A761"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5CB5E9E3"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0,911</w:t>
            </w:r>
          </w:p>
        </w:tc>
        <w:tc>
          <w:tcPr>
            <w:tcW w:w="755" w:type="dxa"/>
            <w:tcBorders>
              <w:bottom w:val="single" w:sz="4" w:space="0" w:color="000000"/>
              <w:right w:val="single" w:sz="4" w:space="0" w:color="000000"/>
            </w:tcBorders>
            <w:shd w:val="clear" w:color="auto" w:fill="auto"/>
            <w:vAlign w:val="bottom"/>
          </w:tcPr>
          <w:p w14:paraId="49DA8567"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5F3C9563"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auto" w:fill="auto"/>
          </w:tcPr>
          <w:p w14:paraId="323BD00E" w14:textId="77777777" w:rsidR="00D97723" w:rsidRPr="00D6136B" w:rsidRDefault="00D97723" w:rsidP="00D6136B">
            <w:pPr>
              <w:rPr>
                <w:rFonts w:ascii="Times New Roman" w:hAnsi="Times New Roman" w:cs="Times New Roman"/>
                <w:color w:val="000000"/>
                <w:sz w:val="20"/>
                <w:szCs w:val="20"/>
              </w:rPr>
            </w:pPr>
          </w:p>
        </w:tc>
      </w:tr>
      <w:tr w:rsidR="00D97723" w14:paraId="54DE2265"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95959"/>
            <w:vAlign w:val="bottom"/>
          </w:tcPr>
          <w:p w14:paraId="70E571B5" w14:textId="77777777" w:rsidR="00D97723" w:rsidRPr="00D6136B" w:rsidRDefault="00456E38" w:rsidP="00D6136B">
            <w:pPr>
              <w:jc w:val="center"/>
              <w:rPr>
                <w:rFonts w:ascii="Times New Roman" w:hAnsi="Times New Roman" w:cs="Times New Roman"/>
                <w:color w:val="E8E8E8"/>
                <w:sz w:val="20"/>
                <w:szCs w:val="20"/>
              </w:rPr>
            </w:pPr>
            <w:r w:rsidRPr="00D6136B">
              <w:rPr>
                <w:rFonts w:ascii="Times New Roman" w:hAnsi="Times New Roman" w:cs="Times New Roman"/>
                <w:color w:val="E8E8E8"/>
                <w:sz w:val="20"/>
                <w:szCs w:val="20"/>
              </w:rPr>
              <w:t>X3.3</w:t>
            </w:r>
          </w:p>
        </w:tc>
        <w:tc>
          <w:tcPr>
            <w:tcW w:w="755" w:type="dxa"/>
            <w:tcBorders>
              <w:bottom w:val="single" w:sz="4" w:space="0" w:color="000000"/>
              <w:right w:val="single" w:sz="4" w:space="0" w:color="000000"/>
            </w:tcBorders>
            <w:shd w:val="clear" w:color="000000" w:fill="90EE90"/>
            <w:vAlign w:val="bottom"/>
          </w:tcPr>
          <w:p w14:paraId="2D481D99"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42A43F56"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321EAE65" w14:textId="77777777" w:rsidR="00D97723" w:rsidRPr="00D6136B" w:rsidRDefault="00456E38" w:rsidP="00D6136B">
            <w:pPr>
              <w:jc w:val="right"/>
              <w:rPr>
                <w:rFonts w:ascii="Times New Roman" w:hAnsi="Times New Roman" w:cs="Times New Roman"/>
                <w:color w:val="8B0000"/>
                <w:sz w:val="20"/>
                <w:szCs w:val="20"/>
              </w:rPr>
            </w:pPr>
            <w:r w:rsidRPr="00D6136B">
              <w:rPr>
                <w:rFonts w:ascii="Times New Roman" w:hAnsi="Times New Roman" w:cs="Times New Roman"/>
                <w:color w:val="8B0000"/>
                <w:sz w:val="20"/>
                <w:szCs w:val="20"/>
              </w:rPr>
              <w:t>0,698</w:t>
            </w:r>
          </w:p>
        </w:tc>
        <w:tc>
          <w:tcPr>
            <w:tcW w:w="755" w:type="dxa"/>
            <w:tcBorders>
              <w:bottom w:val="single" w:sz="4" w:space="0" w:color="000000"/>
              <w:right w:val="single" w:sz="4" w:space="0" w:color="000000"/>
            </w:tcBorders>
            <w:shd w:val="clear" w:color="000000" w:fill="90EE90"/>
            <w:vAlign w:val="bottom"/>
          </w:tcPr>
          <w:p w14:paraId="5E151E99"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6B43BF7A"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000000" w:fill="90EE90"/>
          </w:tcPr>
          <w:p w14:paraId="21159ABE" w14:textId="77777777" w:rsidR="00D97723" w:rsidRPr="00D6136B" w:rsidRDefault="00D97723" w:rsidP="00D6136B">
            <w:pPr>
              <w:rPr>
                <w:rFonts w:ascii="Times New Roman" w:hAnsi="Times New Roman" w:cs="Times New Roman"/>
                <w:color w:val="000000"/>
                <w:sz w:val="20"/>
                <w:szCs w:val="20"/>
              </w:rPr>
            </w:pPr>
          </w:p>
        </w:tc>
      </w:tr>
      <w:tr w:rsidR="00D97723" w14:paraId="44D98048"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68DA5F72"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X3.4</w:t>
            </w:r>
          </w:p>
        </w:tc>
        <w:tc>
          <w:tcPr>
            <w:tcW w:w="755" w:type="dxa"/>
            <w:tcBorders>
              <w:bottom w:val="single" w:sz="4" w:space="0" w:color="000000"/>
              <w:right w:val="single" w:sz="4" w:space="0" w:color="000000"/>
            </w:tcBorders>
            <w:shd w:val="clear" w:color="auto" w:fill="auto"/>
            <w:vAlign w:val="bottom"/>
          </w:tcPr>
          <w:p w14:paraId="1C8C81B1"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55581EA5"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309C7463"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0,917</w:t>
            </w:r>
          </w:p>
        </w:tc>
        <w:tc>
          <w:tcPr>
            <w:tcW w:w="755" w:type="dxa"/>
            <w:tcBorders>
              <w:bottom w:val="single" w:sz="4" w:space="0" w:color="000000"/>
              <w:right w:val="single" w:sz="4" w:space="0" w:color="000000"/>
            </w:tcBorders>
            <w:shd w:val="clear" w:color="auto" w:fill="auto"/>
            <w:vAlign w:val="bottom"/>
          </w:tcPr>
          <w:p w14:paraId="7D29C8A3"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47030AC7"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auto" w:fill="auto"/>
          </w:tcPr>
          <w:p w14:paraId="5AC14DFB" w14:textId="77777777" w:rsidR="00D97723" w:rsidRPr="00D6136B" w:rsidRDefault="00D97723" w:rsidP="00D6136B">
            <w:pPr>
              <w:rPr>
                <w:rFonts w:ascii="Times New Roman" w:hAnsi="Times New Roman" w:cs="Times New Roman"/>
                <w:color w:val="000000"/>
                <w:sz w:val="20"/>
                <w:szCs w:val="20"/>
              </w:rPr>
            </w:pPr>
          </w:p>
        </w:tc>
      </w:tr>
      <w:tr w:rsidR="00D97723" w14:paraId="04241255"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671B2BC9"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X4.1</w:t>
            </w:r>
          </w:p>
        </w:tc>
        <w:tc>
          <w:tcPr>
            <w:tcW w:w="755" w:type="dxa"/>
            <w:tcBorders>
              <w:bottom w:val="single" w:sz="4" w:space="0" w:color="000000"/>
              <w:right w:val="single" w:sz="4" w:space="0" w:color="000000"/>
            </w:tcBorders>
            <w:shd w:val="clear" w:color="000000" w:fill="90EE90"/>
            <w:vAlign w:val="bottom"/>
          </w:tcPr>
          <w:p w14:paraId="186BB1DD"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769317B7"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0401BCAC"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000000" w:fill="90EE90"/>
            <w:vAlign w:val="bottom"/>
          </w:tcPr>
          <w:p w14:paraId="51AFC942"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0,906</w:t>
            </w:r>
          </w:p>
        </w:tc>
        <w:tc>
          <w:tcPr>
            <w:tcW w:w="756" w:type="dxa"/>
            <w:tcBorders>
              <w:bottom w:val="single" w:sz="4" w:space="0" w:color="000000"/>
              <w:right w:val="single" w:sz="4" w:space="0" w:color="000000"/>
            </w:tcBorders>
            <w:shd w:val="clear" w:color="000000" w:fill="90EE90"/>
            <w:vAlign w:val="bottom"/>
          </w:tcPr>
          <w:p w14:paraId="5FC8BA59"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000000" w:fill="90EE90"/>
          </w:tcPr>
          <w:p w14:paraId="32A1CC36" w14:textId="77777777" w:rsidR="00D97723" w:rsidRPr="00D6136B" w:rsidRDefault="00D97723" w:rsidP="00D6136B">
            <w:pPr>
              <w:rPr>
                <w:rFonts w:ascii="Times New Roman" w:hAnsi="Times New Roman" w:cs="Times New Roman"/>
                <w:color w:val="000000"/>
                <w:sz w:val="20"/>
                <w:szCs w:val="20"/>
              </w:rPr>
            </w:pPr>
          </w:p>
        </w:tc>
      </w:tr>
      <w:tr w:rsidR="00D97723" w14:paraId="13BA7216"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76DFEAC4"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X4.2</w:t>
            </w:r>
          </w:p>
        </w:tc>
        <w:tc>
          <w:tcPr>
            <w:tcW w:w="755" w:type="dxa"/>
            <w:tcBorders>
              <w:bottom w:val="single" w:sz="4" w:space="0" w:color="000000"/>
              <w:right w:val="single" w:sz="4" w:space="0" w:color="000000"/>
            </w:tcBorders>
            <w:shd w:val="clear" w:color="auto" w:fill="auto"/>
            <w:vAlign w:val="bottom"/>
          </w:tcPr>
          <w:p w14:paraId="073E61A2"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7F344436"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1329CCF2"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auto" w:fill="auto"/>
            <w:vAlign w:val="bottom"/>
          </w:tcPr>
          <w:p w14:paraId="45A8272C"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0,913</w:t>
            </w:r>
          </w:p>
        </w:tc>
        <w:tc>
          <w:tcPr>
            <w:tcW w:w="756" w:type="dxa"/>
            <w:tcBorders>
              <w:bottom w:val="single" w:sz="4" w:space="0" w:color="000000"/>
              <w:right w:val="single" w:sz="4" w:space="0" w:color="000000"/>
            </w:tcBorders>
            <w:shd w:val="clear" w:color="auto" w:fill="auto"/>
            <w:vAlign w:val="bottom"/>
          </w:tcPr>
          <w:p w14:paraId="5EF392DB"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auto" w:fill="auto"/>
          </w:tcPr>
          <w:p w14:paraId="4155CD86" w14:textId="77777777" w:rsidR="00D97723" w:rsidRPr="00D6136B" w:rsidRDefault="00D97723" w:rsidP="00D6136B">
            <w:pPr>
              <w:rPr>
                <w:rFonts w:ascii="Times New Roman" w:hAnsi="Times New Roman" w:cs="Times New Roman"/>
                <w:color w:val="000000"/>
                <w:sz w:val="20"/>
                <w:szCs w:val="20"/>
              </w:rPr>
            </w:pPr>
          </w:p>
        </w:tc>
      </w:tr>
      <w:tr w:rsidR="00D97723" w14:paraId="31D22E60"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72B778C0"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X4.3</w:t>
            </w:r>
          </w:p>
        </w:tc>
        <w:tc>
          <w:tcPr>
            <w:tcW w:w="755" w:type="dxa"/>
            <w:tcBorders>
              <w:bottom w:val="single" w:sz="4" w:space="0" w:color="000000"/>
              <w:right w:val="single" w:sz="4" w:space="0" w:color="000000"/>
            </w:tcBorders>
            <w:shd w:val="clear" w:color="000000" w:fill="90EE90"/>
            <w:vAlign w:val="bottom"/>
          </w:tcPr>
          <w:p w14:paraId="03A057E3"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395855F0"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0CE5B40E"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000000" w:fill="90EE90"/>
            <w:vAlign w:val="bottom"/>
          </w:tcPr>
          <w:p w14:paraId="633924B9"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0,881</w:t>
            </w:r>
          </w:p>
        </w:tc>
        <w:tc>
          <w:tcPr>
            <w:tcW w:w="756" w:type="dxa"/>
            <w:tcBorders>
              <w:bottom w:val="single" w:sz="4" w:space="0" w:color="000000"/>
              <w:right w:val="single" w:sz="4" w:space="0" w:color="000000"/>
            </w:tcBorders>
            <w:shd w:val="clear" w:color="000000" w:fill="90EE90"/>
            <w:vAlign w:val="bottom"/>
          </w:tcPr>
          <w:p w14:paraId="2242AA6C"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000000" w:fill="90EE90"/>
          </w:tcPr>
          <w:p w14:paraId="7290A335" w14:textId="77777777" w:rsidR="00D97723" w:rsidRPr="00D6136B" w:rsidRDefault="00D97723" w:rsidP="00D6136B">
            <w:pPr>
              <w:rPr>
                <w:rFonts w:ascii="Times New Roman" w:hAnsi="Times New Roman" w:cs="Times New Roman"/>
                <w:color w:val="000000"/>
                <w:sz w:val="20"/>
                <w:szCs w:val="20"/>
              </w:rPr>
            </w:pPr>
          </w:p>
        </w:tc>
      </w:tr>
      <w:tr w:rsidR="00D97723" w14:paraId="6BD5F19F"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6749F81B"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X4.4</w:t>
            </w:r>
          </w:p>
        </w:tc>
        <w:tc>
          <w:tcPr>
            <w:tcW w:w="755" w:type="dxa"/>
            <w:tcBorders>
              <w:bottom w:val="single" w:sz="4" w:space="0" w:color="000000"/>
              <w:right w:val="single" w:sz="4" w:space="0" w:color="000000"/>
            </w:tcBorders>
            <w:shd w:val="clear" w:color="auto" w:fill="auto"/>
            <w:vAlign w:val="bottom"/>
          </w:tcPr>
          <w:p w14:paraId="1BC01ED8"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346C01B0"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2E897FC6"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auto" w:fill="auto"/>
            <w:vAlign w:val="bottom"/>
          </w:tcPr>
          <w:p w14:paraId="6BF7A9AA"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0,883</w:t>
            </w:r>
          </w:p>
        </w:tc>
        <w:tc>
          <w:tcPr>
            <w:tcW w:w="756" w:type="dxa"/>
            <w:tcBorders>
              <w:bottom w:val="single" w:sz="4" w:space="0" w:color="000000"/>
              <w:right w:val="single" w:sz="4" w:space="0" w:color="000000"/>
            </w:tcBorders>
            <w:shd w:val="clear" w:color="auto" w:fill="auto"/>
            <w:vAlign w:val="bottom"/>
          </w:tcPr>
          <w:p w14:paraId="1734DDB0"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1154" w:type="dxa"/>
            <w:tcBorders>
              <w:bottom w:val="single" w:sz="4" w:space="0" w:color="000000"/>
              <w:right w:val="single" w:sz="4" w:space="0" w:color="000000"/>
            </w:tcBorders>
            <w:shd w:val="clear" w:color="auto" w:fill="auto"/>
          </w:tcPr>
          <w:p w14:paraId="62297763" w14:textId="77777777" w:rsidR="00D97723" w:rsidRPr="00D6136B" w:rsidRDefault="00D97723" w:rsidP="00D6136B">
            <w:pPr>
              <w:rPr>
                <w:rFonts w:ascii="Times New Roman" w:hAnsi="Times New Roman" w:cs="Times New Roman"/>
                <w:color w:val="000000"/>
                <w:sz w:val="20"/>
                <w:szCs w:val="20"/>
              </w:rPr>
            </w:pPr>
          </w:p>
        </w:tc>
      </w:tr>
      <w:tr w:rsidR="00D97723" w14:paraId="78BBBFC0"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09A346BE"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Y.1</w:t>
            </w:r>
          </w:p>
        </w:tc>
        <w:tc>
          <w:tcPr>
            <w:tcW w:w="755" w:type="dxa"/>
            <w:tcBorders>
              <w:bottom w:val="single" w:sz="4" w:space="0" w:color="000000"/>
              <w:right w:val="single" w:sz="4" w:space="0" w:color="000000"/>
            </w:tcBorders>
            <w:shd w:val="clear" w:color="000000" w:fill="90EE90"/>
            <w:vAlign w:val="bottom"/>
          </w:tcPr>
          <w:p w14:paraId="57DDA2BD"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6CB923F2"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15A4DB5A"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000000" w:fill="90EE90"/>
            <w:vAlign w:val="bottom"/>
          </w:tcPr>
          <w:p w14:paraId="707FB67A"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6E885BA8"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0,872</w:t>
            </w:r>
          </w:p>
        </w:tc>
        <w:tc>
          <w:tcPr>
            <w:tcW w:w="1154" w:type="dxa"/>
            <w:tcBorders>
              <w:bottom w:val="single" w:sz="4" w:space="0" w:color="000000"/>
              <w:right w:val="single" w:sz="4" w:space="0" w:color="000000"/>
            </w:tcBorders>
            <w:shd w:val="clear" w:color="000000" w:fill="90EE90"/>
          </w:tcPr>
          <w:p w14:paraId="00312742" w14:textId="77777777" w:rsidR="00D97723" w:rsidRPr="00D6136B" w:rsidRDefault="00D97723" w:rsidP="00D6136B">
            <w:pPr>
              <w:jc w:val="right"/>
              <w:rPr>
                <w:rFonts w:ascii="Times New Roman" w:hAnsi="Times New Roman" w:cs="Times New Roman"/>
                <w:color w:val="006400"/>
                <w:sz w:val="20"/>
                <w:szCs w:val="20"/>
              </w:rPr>
            </w:pPr>
          </w:p>
        </w:tc>
      </w:tr>
      <w:tr w:rsidR="00D97723" w14:paraId="2D956FF7"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55B83278"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Y.2</w:t>
            </w:r>
          </w:p>
        </w:tc>
        <w:tc>
          <w:tcPr>
            <w:tcW w:w="755" w:type="dxa"/>
            <w:tcBorders>
              <w:bottom w:val="single" w:sz="4" w:space="0" w:color="000000"/>
              <w:right w:val="single" w:sz="4" w:space="0" w:color="000000"/>
            </w:tcBorders>
            <w:shd w:val="clear" w:color="auto" w:fill="auto"/>
            <w:vAlign w:val="bottom"/>
          </w:tcPr>
          <w:p w14:paraId="16750847"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22CB47BD"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6B8BDD1F"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auto" w:fill="auto"/>
            <w:vAlign w:val="bottom"/>
          </w:tcPr>
          <w:p w14:paraId="6FAEE8B1"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auto" w:fill="auto"/>
            <w:vAlign w:val="bottom"/>
          </w:tcPr>
          <w:p w14:paraId="2421C703"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0,759</w:t>
            </w:r>
          </w:p>
        </w:tc>
        <w:tc>
          <w:tcPr>
            <w:tcW w:w="1154" w:type="dxa"/>
            <w:tcBorders>
              <w:bottom w:val="single" w:sz="4" w:space="0" w:color="000000"/>
              <w:right w:val="single" w:sz="4" w:space="0" w:color="000000"/>
            </w:tcBorders>
            <w:shd w:val="clear" w:color="auto" w:fill="auto"/>
          </w:tcPr>
          <w:p w14:paraId="3EDC898B" w14:textId="77777777" w:rsidR="00D97723" w:rsidRPr="00D6136B" w:rsidRDefault="00D97723" w:rsidP="00D6136B">
            <w:pPr>
              <w:jc w:val="right"/>
              <w:rPr>
                <w:rFonts w:ascii="Times New Roman" w:hAnsi="Times New Roman" w:cs="Times New Roman"/>
                <w:color w:val="006400"/>
                <w:sz w:val="20"/>
                <w:szCs w:val="20"/>
              </w:rPr>
            </w:pPr>
          </w:p>
        </w:tc>
      </w:tr>
      <w:tr w:rsidR="00D97723" w14:paraId="61C982E7" w14:textId="77777777" w:rsidTr="00D6136B">
        <w:trPr>
          <w:trHeight w:val="184"/>
        </w:trPr>
        <w:tc>
          <w:tcPr>
            <w:tcW w:w="2283" w:type="dxa"/>
            <w:tcBorders>
              <w:left w:val="single" w:sz="4" w:space="0" w:color="000000"/>
              <w:bottom w:val="single" w:sz="4" w:space="0" w:color="000000"/>
              <w:right w:val="single" w:sz="4" w:space="0" w:color="000000"/>
            </w:tcBorders>
            <w:shd w:val="clear" w:color="000000" w:fill="555555"/>
            <w:vAlign w:val="bottom"/>
          </w:tcPr>
          <w:p w14:paraId="58F521BC"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Y.3</w:t>
            </w:r>
          </w:p>
        </w:tc>
        <w:tc>
          <w:tcPr>
            <w:tcW w:w="755" w:type="dxa"/>
            <w:tcBorders>
              <w:bottom w:val="single" w:sz="4" w:space="0" w:color="000000"/>
              <w:right w:val="single" w:sz="4" w:space="0" w:color="000000"/>
            </w:tcBorders>
            <w:shd w:val="clear" w:color="000000" w:fill="90EE90"/>
            <w:vAlign w:val="bottom"/>
          </w:tcPr>
          <w:p w14:paraId="4F1BFC51"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7FAB9327"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7439364D"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5" w:type="dxa"/>
            <w:tcBorders>
              <w:bottom w:val="single" w:sz="4" w:space="0" w:color="000000"/>
              <w:right w:val="single" w:sz="4" w:space="0" w:color="000000"/>
            </w:tcBorders>
            <w:shd w:val="clear" w:color="000000" w:fill="90EE90"/>
            <w:vAlign w:val="bottom"/>
          </w:tcPr>
          <w:p w14:paraId="51E520FB" w14:textId="77777777" w:rsidR="00D97723" w:rsidRPr="00D6136B" w:rsidRDefault="00456E38" w:rsidP="00D6136B">
            <w:pPr>
              <w:rPr>
                <w:rFonts w:ascii="Times New Roman" w:hAnsi="Times New Roman" w:cs="Times New Roman"/>
                <w:color w:val="000000"/>
                <w:sz w:val="20"/>
                <w:szCs w:val="20"/>
              </w:rPr>
            </w:pPr>
            <w:r w:rsidRPr="00D6136B">
              <w:rPr>
                <w:rFonts w:ascii="Times New Roman" w:hAnsi="Times New Roman" w:cs="Times New Roman"/>
                <w:color w:val="000000"/>
                <w:sz w:val="20"/>
                <w:szCs w:val="20"/>
              </w:rPr>
              <w:t> </w:t>
            </w:r>
          </w:p>
        </w:tc>
        <w:tc>
          <w:tcPr>
            <w:tcW w:w="756" w:type="dxa"/>
            <w:tcBorders>
              <w:bottom w:val="single" w:sz="4" w:space="0" w:color="000000"/>
              <w:right w:val="single" w:sz="4" w:space="0" w:color="000000"/>
            </w:tcBorders>
            <w:shd w:val="clear" w:color="000000" w:fill="90EE90"/>
            <w:vAlign w:val="bottom"/>
          </w:tcPr>
          <w:p w14:paraId="5E2F2482"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0,728</w:t>
            </w:r>
          </w:p>
        </w:tc>
        <w:tc>
          <w:tcPr>
            <w:tcW w:w="1154" w:type="dxa"/>
            <w:tcBorders>
              <w:bottom w:val="single" w:sz="4" w:space="0" w:color="000000"/>
              <w:right w:val="single" w:sz="4" w:space="0" w:color="000000"/>
            </w:tcBorders>
            <w:shd w:val="clear" w:color="000000" w:fill="90EE90"/>
          </w:tcPr>
          <w:p w14:paraId="51987B92" w14:textId="77777777" w:rsidR="00D97723" w:rsidRPr="00D6136B" w:rsidRDefault="00D97723" w:rsidP="00D6136B">
            <w:pPr>
              <w:jc w:val="right"/>
              <w:rPr>
                <w:rFonts w:ascii="Times New Roman" w:hAnsi="Times New Roman" w:cs="Times New Roman"/>
                <w:color w:val="006400"/>
                <w:sz w:val="20"/>
                <w:szCs w:val="20"/>
              </w:rPr>
            </w:pPr>
          </w:p>
        </w:tc>
      </w:tr>
      <w:tr w:rsidR="00D97723" w14:paraId="36790367" w14:textId="77777777" w:rsidTr="00D6136B">
        <w:trPr>
          <w:trHeight w:val="184"/>
        </w:trPr>
        <w:tc>
          <w:tcPr>
            <w:tcW w:w="2283"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0AAFC338"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themeColor="background1"/>
                <w:sz w:val="20"/>
                <w:szCs w:val="20"/>
              </w:rPr>
              <w:t>Z</w:t>
            </w:r>
          </w:p>
        </w:tc>
        <w:tc>
          <w:tcPr>
            <w:tcW w:w="755" w:type="dxa"/>
            <w:tcBorders>
              <w:top w:val="single" w:sz="4" w:space="0" w:color="000000"/>
              <w:bottom w:val="single" w:sz="4" w:space="0" w:color="000000"/>
              <w:right w:val="single" w:sz="4" w:space="0" w:color="000000"/>
            </w:tcBorders>
            <w:shd w:val="clear" w:color="000000" w:fill="90EE90"/>
            <w:vAlign w:val="bottom"/>
          </w:tcPr>
          <w:p w14:paraId="13E0F305" w14:textId="77777777" w:rsidR="00D97723" w:rsidRPr="00D6136B" w:rsidRDefault="00D97723" w:rsidP="00D6136B">
            <w:pPr>
              <w:rPr>
                <w:rFonts w:ascii="Times New Roman" w:hAnsi="Times New Roman" w:cs="Times New Roman"/>
                <w:color w:val="000000"/>
                <w:sz w:val="20"/>
                <w:szCs w:val="20"/>
              </w:rPr>
            </w:pPr>
          </w:p>
        </w:tc>
        <w:tc>
          <w:tcPr>
            <w:tcW w:w="756" w:type="dxa"/>
            <w:tcBorders>
              <w:top w:val="single" w:sz="4" w:space="0" w:color="000000"/>
              <w:bottom w:val="single" w:sz="4" w:space="0" w:color="000000"/>
              <w:right w:val="single" w:sz="4" w:space="0" w:color="000000"/>
            </w:tcBorders>
            <w:shd w:val="clear" w:color="000000" w:fill="90EE90"/>
            <w:vAlign w:val="bottom"/>
          </w:tcPr>
          <w:p w14:paraId="37D7B8B8" w14:textId="77777777" w:rsidR="00D97723" w:rsidRPr="00D6136B" w:rsidRDefault="00D97723" w:rsidP="00D6136B">
            <w:pPr>
              <w:rPr>
                <w:rFonts w:ascii="Times New Roman" w:hAnsi="Times New Roman" w:cs="Times New Roman"/>
                <w:color w:val="000000"/>
                <w:sz w:val="20"/>
                <w:szCs w:val="20"/>
              </w:rPr>
            </w:pPr>
          </w:p>
        </w:tc>
        <w:tc>
          <w:tcPr>
            <w:tcW w:w="756" w:type="dxa"/>
            <w:tcBorders>
              <w:top w:val="single" w:sz="4" w:space="0" w:color="000000"/>
              <w:bottom w:val="single" w:sz="4" w:space="0" w:color="000000"/>
              <w:right w:val="single" w:sz="4" w:space="0" w:color="000000"/>
            </w:tcBorders>
            <w:shd w:val="clear" w:color="000000" w:fill="90EE90"/>
            <w:vAlign w:val="bottom"/>
          </w:tcPr>
          <w:p w14:paraId="69D643A2" w14:textId="77777777" w:rsidR="00D97723" w:rsidRPr="00D6136B" w:rsidRDefault="00D97723" w:rsidP="00D6136B">
            <w:pPr>
              <w:rPr>
                <w:rFonts w:ascii="Times New Roman" w:hAnsi="Times New Roman" w:cs="Times New Roman"/>
                <w:color w:val="000000"/>
                <w:sz w:val="20"/>
                <w:szCs w:val="20"/>
              </w:rPr>
            </w:pPr>
          </w:p>
        </w:tc>
        <w:tc>
          <w:tcPr>
            <w:tcW w:w="755" w:type="dxa"/>
            <w:tcBorders>
              <w:top w:val="single" w:sz="4" w:space="0" w:color="000000"/>
              <w:bottom w:val="single" w:sz="4" w:space="0" w:color="000000"/>
              <w:right w:val="single" w:sz="4" w:space="0" w:color="000000"/>
            </w:tcBorders>
            <w:shd w:val="clear" w:color="000000" w:fill="90EE90"/>
            <w:vAlign w:val="bottom"/>
          </w:tcPr>
          <w:p w14:paraId="5BED810E" w14:textId="77777777" w:rsidR="00D97723" w:rsidRPr="00D6136B" w:rsidRDefault="00D97723" w:rsidP="00D6136B">
            <w:pPr>
              <w:rPr>
                <w:rFonts w:ascii="Times New Roman" w:hAnsi="Times New Roman" w:cs="Times New Roman"/>
                <w:color w:val="000000"/>
                <w:sz w:val="20"/>
                <w:szCs w:val="20"/>
              </w:rPr>
            </w:pPr>
          </w:p>
        </w:tc>
        <w:tc>
          <w:tcPr>
            <w:tcW w:w="756" w:type="dxa"/>
            <w:tcBorders>
              <w:top w:val="single" w:sz="4" w:space="0" w:color="000000"/>
              <w:bottom w:val="single" w:sz="4" w:space="0" w:color="000000"/>
              <w:right w:val="single" w:sz="4" w:space="0" w:color="000000"/>
            </w:tcBorders>
            <w:shd w:val="clear" w:color="000000" w:fill="90EE90"/>
            <w:vAlign w:val="bottom"/>
          </w:tcPr>
          <w:p w14:paraId="417CE2CF" w14:textId="77777777" w:rsidR="00D97723" w:rsidRPr="00D6136B" w:rsidRDefault="00D97723" w:rsidP="00D6136B">
            <w:pPr>
              <w:jc w:val="right"/>
              <w:rPr>
                <w:rFonts w:ascii="Times New Roman" w:hAnsi="Times New Roman" w:cs="Times New Roman"/>
                <w:color w:val="006400"/>
                <w:sz w:val="20"/>
                <w:szCs w:val="20"/>
              </w:rPr>
            </w:pPr>
          </w:p>
        </w:tc>
        <w:tc>
          <w:tcPr>
            <w:tcW w:w="1154" w:type="dxa"/>
            <w:tcBorders>
              <w:top w:val="single" w:sz="4" w:space="0" w:color="000000"/>
              <w:bottom w:val="single" w:sz="4" w:space="0" w:color="000000"/>
              <w:right w:val="single" w:sz="4" w:space="0" w:color="000000"/>
            </w:tcBorders>
            <w:shd w:val="clear" w:color="000000" w:fill="90EE90"/>
          </w:tcPr>
          <w:p w14:paraId="6F15E82D" w14:textId="77777777" w:rsidR="00D97723" w:rsidRPr="00D6136B" w:rsidRDefault="00456E38" w:rsidP="00D6136B">
            <w:pPr>
              <w:jc w:val="right"/>
              <w:rPr>
                <w:rFonts w:ascii="Times New Roman" w:hAnsi="Times New Roman" w:cs="Times New Roman"/>
                <w:color w:val="006400"/>
                <w:sz w:val="20"/>
                <w:szCs w:val="20"/>
              </w:rPr>
            </w:pPr>
            <w:r w:rsidRPr="00D6136B">
              <w:rPr>
                <w:rFonts w:ascii="Times New Roman" w:hAnsi="Times New Roman" w:cs="Times New Roman"/>
                <w:color w:val="006400"/>
                <w:sz w:val="20"/>
                <w:szCs w:val="20"/>
              </w:rPr>
              <w:t>1,000</w:t>
            </w:r>
          </w:p>
        </w:tc>
      </w:tr>
    </w:tbl>
    <w:p w14:paraId="5B846666" w14:textId="77777777" w:rsidR="00D97723" w:rsidRPr="00D6136B" w:rsidRDefault="00456E38" w:rsidP="00D6136B">
      <w:pPr>
        <w:pStyle w:val="BodyText"/>
        <w:spacing w:before="121"/>
        <w:ind w:left="567" w:right="45"/>
        <w:rPr>
          <w:rFonts w:ascii="Times New Roman" w:hAnsi="Times New Roman" w:cs="Times New Roman"/>
          <w:sz w:val="16"/>
          <w:szCs w:val="16"/>
        </w:rPr>
      </w:pPr>
      <w:r w:rsidRPr="00D6136B">
        <w:rPr>
          <w:rFonts w:ascii="Times New Roman" w:hAnsi="Times New Roman" w:cs="Times New Roman"/>
          <w:sz w:val="16"/>
          <w:szCs w:val="16"/>
        </w:rPr>
        <w:t>Sources: Processed secondary data (2024)</w:t>
      </w:r>
    </w:p>
    <w:p w14:paraId="01594B0C" w14:textId="77777777" w:rsidR="00D97723" w:rsidRPr="00D6136B" w:rsidRDefault="00456E38" w:rsidP="007B1169">
      <w:pPr>
        <w:pStyle w:val="Heading2"/>
        <w:tabs>
          <w:tab w:val="left" w:pos="620"/>
        </w:tabs>
        <w:spacing w:before="93" w:line="276" w:lineRule="auto"/>
        <w:ind w:firstLine="0"/>
        <w:jc w:val="both"/>
        <w:rPr>
          <w:rFonts w:ascii="Times New Roman" w:hAnsi="Times New Roman" w:cs="Times New Roman"/>
        </w:rPr>
      </w:pPr>
      <w:r w:rsidRPr="00D6136B">
        <w:rPr>
          <w:rFonts w:ascii="Times New Roman" w:hAnsi="Times New Roman" w:cs="Times New Roman"/>
          <w:b w:val="0"/>
          <w:bCs w:val="0"/>
          <w:i w:val="0"/>
          <w:iCs w:val="0"/>
        </w:rPr>
        <w:t xml:space="preserve">The Validity and Reliability Test of Constructs on the research model is carried out based on recommendations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{"citationItems":[{"id":"ITEM-1","itemData":{"DOI":"10.54055/ejtr.v6i2.134","ISBN":"9781452217444","ISSN":"1314-0817","abstract":"Purpose – The authors aim to present partial least squares (PLS) as an evolving approach to structural equation modeling (SEM), highlight its advantages and limitations and provide an overview of recent research on the method across various fields. Design/methodology/approach – In this review article, the authors merge literatures from the marketing, management, and management information systems fields to present the state-of-the art of PLS-SEM research. Furthermore, the authors meta-analyze recent review studies to shed light on popular reasons for PLS-SEM usage. Findings – PLS-SEMhas experienced increasing dissemination ina variety offields in recent yearswith nonnormal data, small sample sizes and the use of formative indicators being themost prominent reasons for its application. Recent methodological research has extended PLS-SEM’s methodological toolbox to accommodate more complex model structures or handle data inadequacies such as heterogeneity. Research limitations/implications – While research on the PLS-SEM method has gained momentum during the last decade, there are ample research opportunities on subjects such as mediation or multigroup analysis, which warrant further attention.","author":[{"dropping-particle":"","family":"Hair","given":"J. F. Jr.","non-dropping-particle":"","parse-names":false,"suffix":""},{"dropping-particle":"","family":"Hult","given":"G. T. M.","non-dropping-particle":"","parse-names":false,"suffix":""},{"dropping-particle":"","family":"Ringle","given":"C. M","non-dropping-particle":"","parse-names":false,"suffix":""},{"dropping-particle":"","family":"Sarstedt","given":"M.","non-dropping-particle":"","parse-names":false,"suffix":""}],"container-title":"European Journal of Tourism Research","id":"ITEM-1","issue":"2","issued":{"date-parts":[["2014","10","1"]]},"page":"211-213","title":"A Primer on Partial Least Squares Structural Equation Modeling (PLS-SEM)","type":"article-journal","volume":"6"},"uris":["http://www.mendeley.com/documents/?uuid=6b16508e-ef63-42ad-b7c7-fa1a3189bdd9"]}],"mendeley":{"formattedCitation":"(Hair et al., 2014)","manualFormatting":"Hair et al. (2014)","plainTextFormattedCitation":"(Hair et al., 2014)","previouslyFormattedCitation":"(Hair et al., 2014)"},"properties":{"noteIndex":0},"schema":"https://github.com/citation-style-language/schema/raw/master/csl-citation.json"}</w:instrText>
      </w:r>
      <w:r w:rsidRPr="00D6136B">
        <w:rPr>
          <w:rFonts w:ascii="Times New Roman" w:hAnsi="Times New Roman" w:cs="Times New Roman"/>
        </w:rPr>
        <w:fldChar w:fldCharType="separate"/>
      </w:r>
      <w:bookmarkStart w:id="298" w:name="Bookmark179"/>
      <w:r w:rsidRPr="00D6136B">
        <w:rPr>
          <w:rFonts w:ascii="Times New Roman" w:hAnsi="Times New Roman" w:cs="Times New Roman"/>
          <w:b w:val="0"/>
          <w:bCs w:val="0"/>
          <w:i w:val="0"/>
          <w:iCs w:val="0"/>
          <w:noProof/>
          <w:lang w:val="en-ID"/>
        </w:rPr>
        <w:t>H</w:t>
      </w:r>
      <w:bookmarkStart w:id="299" w:name="Bookmark1641"/>
      <w:r w:rsidRPr="00D6136B">
        <w:rPr>
          <w:rFonts w:ascii="Times New Roman" w:hAnsi="Times New Roman" w:cs="Times New Roman"/>
          <w:b w:val="0"/>
          <w:bCs w:val="0"/>
          <w:i w:val="0"/>
          <w:iCs w:val="0"/>
          <w:noProof/>
          <w:lang w:val="en-ID"/>
        </w:rPr>
        <w:t>air et al. (2014)</w:t>
      </w:r>
      <w:r w:rsidRPr="00D6136B">
        <w:rPr>
          <w:rFonts w:ascii="Times New Roman" w:hAnsi="Times New Roman" w:cs="Times New Roman"/>
        </w:rPr>
        <w:fldChar w:fldCharType="end"/>
      </w:r>
      <w:bookmarkEnd w:id="298"/>
      <w:bookmarkEnd w:id="299"/>
      <w:r w:rsidRPr="00D6136B">
        <w:rPr>
          <w:rFonts w:ascii="Times New Roman" w:hAnsi="Times New Roman" w:cs="Times New Roman"/>
          <w:b w:val="0"/>
          <w:bCs w:val="0"/>
          <w:i w:val="0"/>
          <w:iCs w:val="0"/>
          <w:lang w:val="en-ID"/>
        </w:rPr>
        <w:t xml:space="preserve"> and  </w:t>
      </w:r>
      <w:r w:rsidRPr="00D6136B">
        <w:rPr>
          <w:rFonts w:ascii="Times New Roman" w:hAnsi="Times New Roman" w:cs="Times New Roman"/>
          <w:b w:val="0"/>
          <w:bCs w:val="0"/>
          <w:i w:val="0"/>
          <w:iCs w:val="0"/>
        </w:rPr>
        <w:t>updated by</w:t>
      </w:r>
      <w:r w:rsidRPr="00D6136B">
        <w:rPr>
          <w:rFonts w:ascii="Times New Roman" w:hAnsi="Times New Roman" w:cs="Times New Roman"/>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{"citationItems":[{"id":"ITEM-1","itemData":{"DOI":"10.1504/ijmda.2017.10008574","ISSN":"2396-8303","abstract":"Numerous statistical methods are available for social researchers. Therefore, knowing the appropriate technique can be a challenge. For example, when considering structural equation modelling (SEM), selecting between covariance-based (CB-SEM) and variance-based partial least squares (PLS-SEM) can be challenging. This paper applies the same theoretical 108 J.F. Hair Jr. et al. measurement and structural models and dataset to conduct a direct comparison. The findings reveal that when using CB-SEM, many indicators are removed to achieve acceptable goodness-of-fit, when compared to PLS-SEM. Also, composite reliability and convergent validity were typically higher using PLS-SEM, but other metrics such as discriminant validity and beta coefficients are comparable. Finally, when comparing variance explained in the dependent variable indicators, PLS-SEM was substantially better than CB-SEM. Updated guidelines assist researchers in determining whether CB-SEM or PLS-SEM is the most appropriate method to use.","author":[{"dropping-particle":"","family":"Hair Jr.","given":"Joe F.","non-dropping-particle":"","parse-names":false,"suffix":""},{"dropping-particle":"","family":"Matthews","given":"Lucy M.","non-dropping-particle":"","parse-names":false,"suffix":""},{"dropping-particle":"","family":"Matthews","given":"Ryan L.","non-dropping-particle":"","parse-names":false,"suffix":""},{"dropping-particle":"","family":"Sarstedt","given":"Marko","non-dropping-particle":"","parse-names":false,"suffix":""}],"container-title":"International Journal of Multivariate Data Analysis","id":"ITEM-1","issue":"2","issued":{"date-parts":[["2017"]]},"page":"107","title":"PLS-SEM or CB-SEM: updated guidelines on which method to use","type":"article-journal","volume":"1"},"uris":["http://www.mendeley.com/documents/?uuid=e19557f4-62db-4dab-8391-3bad5e9ea9ae"]}],"mendeley":{"formattedCitation":"(Hair Jr. et al., 2017)","manualFormatting":"Hair et al. (2017)","plainTextFormattedCitation":"(Hair Jr. et al., 2017)","previouslyFormattedCitation":"(Hair Jr. et al., 2017)"},"properties":{"noteIndex":0},"schema":"https://github.com/citation-style-language/schema/raw/master/csl-citation.json"}</w:instrText>
      </w:r>
      <w:r w:rsidRPr="00D6136B">
        <w:rPr>
          <w:rFonts w:ascii="Times New Roman" w:hAnsi="Times New Roman" w:cs="Times New Roman"/>
        </w:rPr>
        <w:fldChar w:fldCharType="separate"/>
      </w:r>
      <w:bookmarkStart w:id="300" w:name="Bookmark180"/>
      <w:r w:rsidRPr="00D6136B">
        <w:rPr>
          <w:rFonts w:ascii="Times New Roman" w:hAnsi="Times New Roman" w:cs="Times New Roman"/>
          <w:b w:val="0"/>
          <w:bCs w:val="0"/>
          <w:i w:val="0"/>
          <w:iCs w:val="0"/>
          <w:noProof/>
          <w:lang w:val="en-ID"/>
        </w:rPr>
        <w:t>H</w:t>
      </w:r>
      <w:bookmarkStart w:id="301" w:name="Bookmark1651"/>
      <w:r w:rsidRPr="00D6136B">
        <w:rPr>
          <w:rFonts w:ascii="Times New Roman" w:hAnsi="Times New Roman" w:cs="Times New Roman"/>
          <w:b w:val="0"/>
          <w:bCs w:val="0"/>
          <w:i w:val="0"/>
          <w:iCs w:val="0"/>
          <w:noProof/>
          <w:lang w:val="en-ID"/>
        </w:rPr>
        <w:t>air et al. (2017)</w:t>
      </w:r>
      <w:r w:rsidRPr="00D6136B">
        <w:rPr>
          <w:rFonts w:ascii="Times New Roman" w:hAnsi="Times New Roman" w:cs="Times New Roman"/>
        </w:rPr>
        <w:fldChar w:fldCharType="end"/>
      </w:r>
      <w:bookmarkEnd w:id="300"/>
      <w:bookmarkEnd w:id="301"/>
      <w:r w:rsidRPr="00D6136B">
        <w:rPr>
          <w:rFonts w:ascii="Times New Roman" w:hAnsi="Times New Roman" w:cs="Times New Roman"/>
          <w:b w:val="0"/>
          <w:bCs w:val="0"/>
          <w:i w:val="0"/>
          <w:iCs w:val="0"/>
          <w:lang w:val="en-ID"/>
        </w:rPr>
        <w:t xml:space="preserve"> </w:t>
      </w:r>
      <w:r w:rsidRPr="00D6136B">
        <w:rPr>
          <w:rFonts w:ascii="Times New Roman" w:hAnsi="Times New Roman" w:cs="Times New Roman"/>
          <w:b w:val="0"/>
          <w:bCs w:val="0"/>
          <w:i w:val="0"/>
          <w:iCs w:val="0"/>
        </w:rPr>
        <w:t xml:space="preserve">where the loading factor hinted at in </w:t>
      </w:r>
      <w:proofErr w:type="spellStart"/>
      <w:r w:rsidRPr="00D6136B">
        <w:rPr>
          <w:rFonts w:ascii="Times New Roman" w:hAnsi="Times New Roman" w:cs="Times New Roman"/>
          <w:b w:val="0"/>
          <w:bCs w:val="0"/>
          <w:i w:val="0"/>
          <w:iCs w:val="0"/>
        </w:rPr>
        <w:t>SmartPLS</w:t>
      </w:r>
      <w:proofErr w:type="spellEnd"/>
      <w:r w:rsidRPr="00D6136B">
        <w:rPr>
          <w:rFonts w:ascii="Times New Roman" w:hAnsi="Times New Roman" w:cs="Times New Roman"/>
          <w:b w:val="0"/>
          <w:bCs w:val="0"/>
          <w:i w:val="0"/>
          <w:iCs w:val="0"/>
        </w:rPr>
        <w:t xml:space="preserve"> 4.0 is ≥ 0.70. The measurement of construct validity in this study can be accepted and declared valid, because the majority of indicators in each variable have a loading factor value above 0.70 as listed in appendix 5B table Outer Loading Measurement of Construct Validity. Especially X2.2 which has a loading value of 0.334 which is below 0.5, it is removed from this test and re-run where from the research data so that originally X2.3 became X2.2 and originally X2.4 became X2.3 so that it can meet the loading factor requirements according to what is in the Outer Loading Construct Validity Measurement table. Although there are still loading factors that are slightly below 0.70, they are still acceptable, namely X1.4 of 0.667 and X3.3 of 0.698. Thus, a total of 19 measurement items were used for this study. While Z is worth 1 because it uses 1 indicator for socioeconomic status which is measured based on total income per year.</w:t>
      </w:r>
    </w:p>
    <w:p w14:paraId="59A0C5BA" w14:textId="1CBFB7F5" w:rsidR="00D97723" w:rsidRPr="00D6136B" w:rsidRDefault="00456E38" w:rsidP="007B1169">
      <w:pPr>
        <w:pStyle w:val="ListParagraph"/>
        <w:tabs>
          <w:tab w:val="left" w:pos="619"/>
        </w:tabs>
        <w:spacing w:line="276" w:lineRule="auto"/>
        <w:ind w:firstLine="0"/>
        <w:jc w:val="both"/>
      </w:pPr>
      <w:r w:rsidRPr="00D6136B">
        <w:rPr>
          <w:rFonts w:ascii="Times New Roman" w:hAnsi="Times New Roman" w:cs="Times New Roman"/>
        </w:rPr>
        <w:tab/>
      </w:r>
      <w:r w:rsidRPr="00D6136B">
        <w:rPr>
          <w:rFonts w:ascii="Times New Roman" w:hAnsi="Times New Roman" w:cs="Times New Roman"/>
        </w:rPr>
        <w:tab/>
        <w:t xml:space="preserve">The results of the calculation of </w:t>
      </w:r>
      <w:r w:rsidRPr="00D6136B">
        <w:rPr>
          <w:rFonts w:ascii="Times New Roman" w:hAnsi="Times New Roman" w:cs="Times New Roman"/>
          <w:i/>
        </w:rPr>
        <w:t xml:space="preserve">Composite Reliability </w:t>
      </w:r>
      <w:r w:rsidRPr="00D6136B">
        <w:rPr>
          <w:rFonts w:ascii="Times New Roman" w:hAnsi="Times New Roman" w:cs="Times New Roman"/>
        </w:rPr>
        <w:t xml:space="preserve">(CR) and </w:t>
      </w:r>
      <w:r w:rsidRPr="00D6136B">
        <w:rPr>
          <w:rFonts w:ascii="Times New Roman" w:hAnsi="Times New Roman" w:cs="Times New Roman"/>
          <w:i/>
        </w:rPr>
        <w:t xml:space="preserve">Average Variance Extracted </w:t>
      </w:r>
      <w:r w:rsidRPr="00D6136B">
        <w:rPr>
          <w:rFonts w:ascii="Times New Roman" w:hAnsi="Times New Roman" w:cs="Times New Roman"/>
        </w:rPr>
        <w:t xml:space="preserve">(AVE) in this study can be said to meet the requirements as a whole and show that the variables in this study are </w:t>
      </w:r>
      <w:r w:rsidRPr="00D6136B">
        <w:rPr>
          <w:rFonts w:ascii="Times New Roman" w:hAnsi="Times New Roman" w:cs="Times New Roman"/>
          <w:i/>
          <w:iCs/>
        </w:rPr>
        <w:t xml:space="preserve">reliable. </w:t>
      </w:r>
      <w:r w:rsidRPr="00D6136B">
        <w:rPr>
          <w:rFonts w:ascii="Times New Roman" w:hAnsi="Times New Roman" w:cs="Times New Roman"/>
        </w:rPr>
        <w:t>According to</w:t>
      </w:r>
      <w:r w:rsidRPr="00D6136B">
        <w:rPr>
          <w:rFonts w:ascii="Times New Roman" w:hAnsi="Times New Roman" w:cs="Times New Roman"/>
          <w:lang w:val="id-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{"citationItems":[{"id":"ITEM-1","itemData":{"DOI":"10.1504/ijmda.2017.10008574","ISSN":"2396-8303","abstract":"Numerous statistical methods are available for social researchers. Therefore, knowing the appropriate technique can be a challenge. For example, when considering structural equation modelling (SEM), selecting between covariance-based (CB-SEM) and variance-based partial least squares (PLS-SEM) can be challenging. This paper applies the same theoretical 108 J.F. Hair Jr. et al. measurement and structural models and dataset to conduct a direct comparison. The findings reveal that when using CB-SEM, many indicators are removed to achieve acceptable goodness-of-fit, when compared to PLS-SEM. Also, composite reliability and convergent validity were typically higher using PLS-SEM, but other metrics such as discriminant validity and beta coefficients are comparable. Finally, when comparing variance explained in the dependent variable indicators, PLS-SEM was substantially better than CB-SEM. Updated guidelines assist researchers in determining whether CB-SEM or PLS-SEM is the most appropriate method to use.","author":[{"dropping-particle":"","family":"Hair Jr.","given":"Joe F.","non-dropping-particle":"","parse-names":false,"suffix":""},{"dropping-particle":"","family":"Matthews","given":"Lucy M.","non-dropping-particle":"","parse-names":false,"suffix":""},{"dropping-particle":"","family":"Matthews","given":"Ryan L.","non-dropping-particle":"","parse-names":false,"suffix":""},{"dropping-particle":"","family":"Sarstedt","given":"Marko","non-dropping-particle":"","parse-names":false,"suffix":""}],"container-title":"International Journal of Multivariate Data Analysis","id":"ITEM-1","issue":"2","issued":{"date-parts":[["2017"]]},"page":"107","title":"PLS-SEM or CB-SEM: updated guidelines on which method to use","type":"article-journal","volume":"1"},"uris":["http://www.mendeley.com/documents/?uuid=e19557f4-62db-4dab-8391-3bad5e9ea9ae"]}],"mendeley":{"formattedCitation":"(Hair Jr. et al., 2017)","manualFormatting":"Hair  et al. (2017)","plainTextFormattedCitation":"(Hair Jr. et al., 2017)","previouslyFormattedCitation":"(Hair Jr. et al., 2017)"},"properties":{"noteIndex":0},"schema":"https://github.com/citation-style-language/schema/raw/master/csl-citation.json"}</w:instrText>
      </w:r>
      <w:r w:rsidRPr="00D6136B">
        <w:rPr>
          <w:rFonts w:ascii="Times New Roman" w:hAnsi="Times New Roman" w:cs="Times New Roman"/>
        </w:rPr>
        <w:fldChar w:fldCharType="separate"/>
      </w:r>
      <w:bookmarkStart w:id="302" w:name="Bookmark182"/>
      <w:r w:rsidRPr="00D6136B">
        <w:rPr>
          <w:rFonts w:ascii="Times New Roman" w:hAnsi="Times New Roman" w:cs="Times New Roman"/>
          <w:noProof/>
          <w:lang w:val="id-ID"/>
        </w:rPr>
        <w:t>H</w:t>
      </w:r>
      <w:bookmarkStart w:id="303" w:name="Bookmark1661"/>
      <w:r w:rsidRPr="00D6136B">
        <w:rPr>
          <w:rFonts w:ascii="Times New Roman" w:hAnsi="Times New Roman" w:cs="Times New Roman"/>
          <w:noProof/>
          <w:lang w:val="id-ID"/>
        </w:rPr>
        <w:t xml:space="preserve">air  </w:t>
      </w:r>
      <w:r w:rsidRPr="00D6136B">
        <w:rPr>
          <w:rFonts w:ascii="Times New Roman" w:hAnsi="Times New Roman" w:cs="Times New Roman"/>
          <w:i/>
          <w:iCs/>
          <w:noProof/>
          <w:lang w:val="id-ID"/>
        </w:rPr>
        <w:t>et al.</w:t>
      </w:r>
      <w:r w:rsidRPr="00D6136B">
        <w:rPr>
          <w:rFonts w:ascii="Times New Roman" w:hAnsi="Times New Roman" w:cs="Times New Roman"/>
          <w:noProof/>
          <w:lang w:val="id-ID"/>
        </w:rPr>
        <w:t xml:space="preserve"> (2017)</w:t>
      </w:r>
      <w:r w:rsidRPr="00D6136B">
        <w:rPr>
          <w:rFonts w:ascii="Times New Roman" w:hAnsi="Times New Roman" w:cs="Times New Roman"/>
        </w:rPr>
        <w:fldChar w:fldCharType="end"/>
      </w:r>
      <w:bookmarkEnd w:id="302"/>
      <w:bookmarkEnd w:id="303"/>
      <w:r w:rsidRPr="00D6136B">
        <w:rPr>
          <w:rFonts w:ascii="Times New Roman" w:hAnsi="Times New Roman" w:cs="Times New Roman"/>
          <w:lang w:val="id-ID"/>
        </w:rPr>
        <w:t xml:space="preserve"> </w:t>
      </w:r>
      <w:r w:rsidRPr="00D6136B">
        <w:rPr>
          <w:rFonts w:ascii="Times New Roman" w:hAnsi="Times New Roman" w:cs="Times New Roman"/>
        </w:rPr>
        <w:t xml:space="preserve">the required values are </w:t>
      </w:r>
      <w:r w:rsidRPr="00D6136B">
        <w:rPr>
          <w:rFonts w:ascii="Times New Roman" w:hAnsi="Times New Roman" w:cs="Times New Roman"/>
          <w:i/>
          <w:iCs/>
        </w:rPr>
        <w:t>Composite Reliability</w:t>
      </w:r>
      <w:r w:rsidRPr="00D6136B">
        <w:rPr>
          <w:rFonts w:ascii="Times New Roman" w:hAnsi="Times New Roman" w:cs="Times New Roman"/>
        </w:rPr>
        <w:t xml:space="preserve"> (</w:t>
      </w:r>
      <w:proofErr w:type="spellStart"/>
      <w:r w:rsidRPr="00D6136B">
        <w:rPr>
          <w:rFonts w:ascii="Times New Roman" w:hAnsi="Times New Roman" w:cs="Times New Roman"/>
        </w:rPr>
        <w:t>rho_c</w:t>
      </w:r>
      <w:proofErr w:type="spellEnd"/>
      <w:r w:rsidRPr="00D6136B">
        <w:rPr>
          <w:rFonts w:ascii="Times New Roman" w:hAnsi="Times New Roman" w:cs="Times New Roman"/>
        </w:rPr>
        <w:t>) CR ≥ 0.70 and AVE ≥ 0.50. Demonstrate adequate convergent validity. The results of the</w:t>
      </w:r>
      <w:r>
        <w:rPr>
          <w:rFonts w:ascii="Times New Roman" w:hAnsi="Times New Roman" w:cs="Times New Roman"/>
          <w:sz w:val="24"/>
          <w:szCs w:val="24"/>
        </w:rPr>
        <w:t xml:space="preserve"> </w:t>
      </w:r>
      <w:r w:rsidRPr="00D6136B">
        <w:rPr>
          <w:rFonts w:ascii="Times New Roman" w:hAnsi="Times New Roman" w:cs="Times New Roman"/>
        </w:rPr>
        <w:t>calculation for CR for variables for all variables are above 0.7, namely FL</w:t>
      </w:r>
      <w:r w:rsidR="00D6136B">
        <w:rPr>
          <w:rFonts w:ascii="Times New Roman" w:hAnsi="Times New Roman" w:cs="Times New Roman"/>
        </w:rPr>
        <w:t xml:space="preserve"> </w:t>
      </w:r>
      <w:r w:rsidRPr="00D6136B">
        <w:rPr>
          <w:rFonts w:ascii="Times New Roman" w:hAnsi="Times New Roman" w:cs="Times New Roman"/>
        </w:rPr>
        <w:t>on X1 with a CR of 0.890, Saving Intention on X2 with a CR of 0.881, Saving Behavior X3 with a CR of 0.917, Behavior Following Others X4 CR of 0.942 and Y is a preparation for retirement with a CR of 0.831. Meanwhile, the AVE for all variables is above 0.5, namely FL</w:t>
      </w:r>
      <w:r w:rsidR="00EF27A7" w:rsidRPr="00D6136B">
        <w:rPr>
          <w:rFonts w:ascii="Times New Roman" w:hAnsi="Times New Roman" w:cs="Times New Roman"/>
        </w:rPr>
        <w:t xml:space="preserve"> </w:t>
      </w:r>
      <w:r w:rsidRPr="00D6136B">
        <w:rPr>
          <w:rFonts w:ascii="Times New Roman" w:hAnsi="Times New Roman" w:cs="Times New Roman"/>
        </w:rPr>
        <w:t xml:space="preserve">on X1 with an AVE of 0.619, Saving Intention on X2 with an AVE of 0.711, Saving Behavior X3 with an AVE of 0.737; The Following Behavior on X4 has an AVE of 0.802 and Y is a retirement preparation with an AVE of 0.622 as listed in table 2: Construct Reliability and </w:t>
      </w:r>
      <w:proofErr w:type="spellStart"/>
      <w:r w:rsidRPr="00D6136B">
        <w:rPr>
          <w:rFonts w:ascii="Times New Roman" w:hAnsi="Times New Roman" w:cs="Times New Roman"/>
        </w:rPr>
        <w:t>Validit</w:t>
      </w:r>
      <w:proofErr w:type="spellEnd"/>
      <w:r w:rsidRPr="00D6136B">
        <w:rPr>
          <w:rFonts w:ascii="Times New Roman" w:hAnsi="Times New Roman" w:cs="Times New Roman"/>
          <w:lang w:val="id-ID"/>
        </w:rPr>
        <w:t>y</w:t>
      </w:r>
    </w:p>
    <w:p w14:paraId="07CE5D85" w14:textId="77777777" w:rsidR="00D97723" w:rsidRPr="00D6136B" w:rsidRDefault="00D97723">
      <w:pPr>
        <w:pStyle w:val="BodyText"/>
        <w:spacing w:before="121"/>
        <w:ind w:left="709" w:right="45"/>
        <w:rPr>
          <w:rFonts w:ascii="Times New Roman" w:hAnsi="Times New Roman" w:cs="Times New Roman"/>
          <w:b/>
          <w:sz w:val="22"/>
          <w:szCs w:val="22"/>
        </w:rPr>
      </w:pPr>
    </w:p>
    <w:p w14:paraId="2EEEC4A6" w14:textId="3D7BDF0E" w:rsidR="00D97723" w:rsidRPr="00D6136B" w:rsidRDefault="00456E38" w:rsidP="00D6136B">
      <w:pPr>
        <w:spacing w:before="1"/>
        <w:ind w:left="603" w:right="603"/>
        <w:rPr>
          <w:rFonts w:ascii="Times New Roman" w:hAnsi="Times New Roman" w:cs="Times New Roman"/>
          <w:b/>
          <w:sz w:val="24"/>
          <w:szCs w:val="24"/>
        </w:rPr>
      </w:pPr>
      <w:r w:rsidRPr="00D6136B">
        <w:rPr>
          <w:rFonts w:ascii="Times New Roman" w:hAnsi="Times New Roman" w:cs="Times New Roman"/>
          <w:b/>
          <w:color w:val="231F20"/>
          <w:sz w:val="24"/>
          <w:szCs w:val="24"/>
        </w:rPr>
        <w:t>Table</w:t>
      </w:r>
      <w:r w:rsidRPr="00D6136B">
        <w:rPr>
          <w:rFonts w:ascii="Times New Roman" w:hAnsi="Times New Roman" w:cs="Times New Roman"/>
          <w:b/>
          <w:color w:val="231F20"/>
          <w:spacing w:val="9"/>
          <w:sz w:val="24"/>
          <w:szCs w:val="24"/>
        </w:rPr>
        <w:t xml:space="preserve"> </w:t>
      </w:r>
      <w:r w:rsidRPr="00D6136B">
        <w:rPr>
          <w:rFonts w:ascii="Times New Roman" w:hAnsi="Times New Roman" w:cs="Times New Roman"/>
          <w:b/>
          <w:color w:val="231F20"/>
          <w:sz w:val="24"/>
          <w:szCs w:val="24"/>
        </w:rPr>
        <w:t xml:space="preserve">3: </w:t>
      </w:r>
      <w:r w:rsidRPr="00D6136B">
        <w:rPr>
          <w:rFonts w:ascii="Times New Roman" w:hAnsi="Times New Roman" w:cs="Times New Roman"/>
          <w:b/>
          <w:sz w:val="24"/>
          <w:szCs w:val="24"/>
          <w:lang w:val="id-ID"/>
        </w:rPr>
        <w:t>Construct Reliability and Validity</w:t>
      </w:r>
    </w:p>
    <w:tbl>
      <w:tblPr>
        <w:tblW w:w="7373" w:type="dxa"/>
        <w:tblInd w:w="709" w:type="dxa"/>
        <w:tblLook w:val="04A0" w:firstRow="1" w:lastRow="0" w:firstColumn="1" w:lastColumn="0" w:noHBand="0" w:noVBand="1"/>
      </w:tblPr>
      <w:tblGrid>
        <w:gridCol w:w="1925"/>
        <w:gridCol w:w="1286"/>
        <w:gridCol w:w="1421"/>
        <w:gridCol w:w="1641"/>
        <w:gridCol w:w="1100"/>
      </w:tblGrid>
      <w:tr w:rsidR="00D97723" w14:paraId="78853BEB" w14:textId="77777777" w:rsidTr="00D6136B">
        <w:trPr>
          <w:trHeight w:val="227"/>
        </w:trPr>
        <w:tc>
          <w:tcPr>
            <w:tcW w:w="1925" w:type="dxa"/>
            <w:shd w:val="clear" w:color="auto" w:fill="auto"/>
            <w:vAlign w:val="bottom"/>
          </w:tcPr>
          <w:p w14:paraId="18FAE4A1" w14:textId="77777777" w:rsidR="00D97723" w:rsidRPr="00D6136B" w:rsidRDefault="00D97723" w:rsidP="00D6136B">
            <w:pPr>
              <w:rPr>
                <w:rFonts w:ascii="Times New Roman" w:hAnsi="Times New Roman" w:cs="Times New Roman"/>
                <w:sz w:val="20"/>
                <w:szCs w:val="20"/>
              </w:rPr>
            </w:pPr>
          </w:p>
        </w:tc>
        <w:tc>
          <w:tcPr>
            <w:tcW w:w="1286"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6C21C389"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Cronbach's alpha</w:t>
            </w:r>
          </w:p>
        </w:tc>
        <w:tc>
          <w:tcPr>
            <w:tcW w:w="1421" w:type="dxa"/>
            <w:tcBorders>
              <w:top w:val="single" w:sz="4" w:space="0" w:color="000000"/>
              <w:bottom w:val="single" w:sz="4" w:space="0" w:color="000000"/>
              <w:right w:val="single" w:sz="4" w:space="0" w:color="000000"/>
            </w:tcBorders>
            <w:shd w:val="clear" w:color="000000" w:fill="555555"/>
            <w:vAlign w:val="bottom"/>
          </w:tcPr>
          <w:p w14:paraId="665750CF"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Composite reliability (</w:t>
            </w:r>
            <w:proofErr w:type="spellStart"/>
            <w:r w:rsidRPr="00D6136B">
              <w:rPr>
                <w:rFonts w:ascii="Times New Roman" w:hAnsi="Times New Roman" w:cs="Times New Roman"/>
                <w:color w:val="FFFFFF"/>
                <w:sz w:val="20"/>
                <w:szCs w:val="20"/>
              </w:rPr>
              <w:t>rho_a</w:t>
            </w:r>
            <w:proofErr w:type="spellEnd"/>
            <w:r w:rsidRPr="00D6136B">
              <w:rPr>
                <w:rFonts w:ascii="Times New Roman" w:hAnsi="Times New Roman" w:cs="Times New Roman"/>
                <w:color w:val="FFFFFF"/>
                <w:sz w:val="20"/>
                <w:szCs w:val="20"/>
              </w:rPr>
              <w:t>)</w:t>
            </w:r>
          </w:p>
        </w:tc>
        <w:tc>
          <w:tcPr>
            <w:tcW w:w="1641" w:type="dxa"/>
            <w:tcBorders>
              <w:top w:val="single" w:sz="4" w:space="0" w:color="000000"/>
              <w:bottom w:val="single" w:sz="4" w:space="0" w:color="000000"/>
              <w:right w:val="single" w:sz="4" w:space="0" w:color="000000"/>
            </w:tcBorders>
            <w:shd w:val="clear" w:color="000000" w:fill="555555"/>
            <w:vAlign w:val="bottom"/>
          </w:tcPr>
          <w:p w14:paraId="3EC400B9"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Composite reliability (</w:t>
            </w:r>
            <w:proofErr w:type="spellStart"/>
            <w:r w:rsidRPr="00D6136B">
              <w:rPr>
                <w:rFonts w:ascii="Times New Roman" w:hAnsi="Times New Roman" w:cs="Times New Roman"/>
                <w:color w:val="FFFFFF"/>
                <w:sz w:val="20"/>
                <w:szCs w:val="20"/>
              </w:rPr>
              <w:t>rho_c</w:t>
            </w:r>
            <w:proofErr w:type="spellEnd"/>
            <w:r w:rsidRPr="00D6136B">
              <w:rPr>
                <w:rFonts w:ascii="Times New Roman" w:hAnsi="Times New Roman" w:cs="Times New Roman"/>
                <w:color w:val="FFFFFF"/>
                <w:sz w:val="20"/>
                <w:szCs w:val="20"/>
              </w:rPr>
              <w:t>)</w:t>
            </w:r>
          </w:p>
        </w:tc>
        <w:tc>
          <w:tcPr>
            <w:tcW w:w="1100" w:type="dxa"/>
            <w:tcBorders>
              <w:top w:val="single" w:sz="4" w:space="0" w:color="000000"/>
              <w:bottom w:val="single" w:sz="4" w:space="0" w:color="000000"/>
              <w:right w:val="single" w:sz="4" w:space="0" w:color="000000"/>
            </w:tcBorders>
            <w:shd w:val="clear" w:color="000000" w:fill="555555"/>
            <w:vAlign w:val="bottom"/>
          </w:tcPr>
          <w:p w14:paraId="005C85CA"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Average variance extracted (AVE)</w:t>
            </w:r>
          </w:p>
        </w:tc>
      </w:tr>
      <w:tr w:rsidR="00D97723" w14:paraId="77B3E8D8" w14:textId="77777777" w:rsidTr="00D6136B">
        <w:trPr>
          <w:trHeight w:val="227"/>
        </w:trPr>
        <w:tc>
          <w:tcPr>
            <w:tcW w:w="1925"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2A58A6A7"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w:t>
            </w:r>
          </w:p>
        </w:tc>
        <w:tc>
          <w:tcPr>
            <w:tcW w:w="1286" w:type="dxa"/>
            <w:tcBorders>
              <w:bottom w:val="single" w:sz="4" w:space="0" w:color="000000"/>
              <w:right w:val="single" w:sz="4" w:space="0" w:color="000000"/>
            </w:tcBorders>
            <w:shd w:val="clear" w:color="000000" w:fill="90EE90"/>
            <w:vAlign w:val="bottom"/>
          </w:tcPr>
          <w:p w14:paraId="25FE1555"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0,844</w:t>
            </w:r>
          </w:p>
        </w:tc>
        <w:tc>
          <w:tcPr>
            <w:tcW w:w="1421" w:type="dxa"/>
            <w:tcBorders>
              <w:bottom w:val="single" w:sz="4" w:space="0" w:color="000000"/>
              <w:right w:val="single" w:sz="4" w:space="0" w:color="000000"/>
            </w:tcBorders>
            <w:shd w:val="clear" w:color="000000" w:fill="90EE90"/>
            <w:vAlign w:val="bottom"/>
          </w:tcPr>
          <w:p w14:paraId="1F852E5B"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0,860</w:t>
            </w:r>
          </w:p>
        </w:tc>
        <w:tc>
          <w:tcPr>
            <w:tcW w:w="1641" w:type="dxa"/>
            <w:tcBorders>
              <w:bottom w:val="single" w:sz="4" w:space="0" w:color="000000"/>
              <w:right w:val="single" w:sz="4" w:space="0" w:color="000000"/>
            </w:tcBorders>
            <w:shd w:val="clear" w:color="000000" w:fill="90EE90"/>
            <w:vAlign w:val="bottom"/>
          </w:tcPr>
          <w:p w14:paraId="53500FAE"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0,890</w:t>
            </w:r>
          </w:p>
        </w:tc>
        <w:tc>
          <w:tcPr>
            <w:tcW w:w="1100" w:type="dxa"/>
            <w:tcBorders>
              <w:bottom w:val="single" w:sz="4" w:space="0" w:color="000000"/>
              <w:right w:val="single" w:sz="4" w:space="0" w:color="000000"/>
            </w:tcBorders>
            <w:shd w:val="clear" w:color="000000" w:fill="90EE90"/>
            <w:vAlign w:val="bottom"/>
          </w:tcPr>
          <w:p w14:paraId="41767003"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0,619</w:t>
            </w:r>
          </w:p>
        </w:tc>
      </w:tr>
      <w:tr w:rsidR="00D97723" w14:paraId="5D1980B3" w14:textId="77777777" w:rsidTr="00D6136B">
        <w:trPr>
          <w:trHeight w:val="227"/>
        </w:trPr>
        <w:tc>
          <w:tcPr>
            <w:tcW w:w="1925" w:type="dxa"/>
            <w:tcBorders>
              <w:left w:val="single" w:sz="4" w:space="0" w:color="000000"/>
              <w:bottom w:val="single" w:sz="4" w:space="0" w:color="000000"/>
              <w:right w:val="single" w:sz="4" w:space="0" w:color="000000"/>
            </w:tcBorders>
            <w:shd w:val="clear" w:color="000000" w:fill="555555"/>
            <w:vAlign w:val="bottom"/>
          </w:tcPr>
          <w:p w14:paraId="4BF8AACB"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w:t>
            </w:r>
          </w:p>
        </w:tc>
        <w:tc>
          <w:tcPr>
            <w:tcW w:w="1286" w:type="dxa"/>
            <w:tcBorders>
              <w:bottom w:val="single" w:sz="4" w:space="0" w:color="000000"/>
              <w:right w:val="single" w:sz="4" w:space="0" w:color="000000"/>
            </w:tcBorders>
            <w:shd w:val="clear" w:color="auto" w:fill="auto"/>
            <w:vAlign w:val="bottom"/>
          </w:tcPr>
          <w:p w14:paraId="1DBCFF32"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0,797</w:t>
            </w:r>
          </w:p>
        </w:tc>
        <w:tc>
          <w:tcPr>
            <w:tcW w:w="1421" w:type="dxa"/>
            <w:tcBorders>
              <w:bottom w:val="single" w:sz="4" w:space="0" w:color="000000"/>
              <w:right w:val="single" w:sz="4" w:space="0" w:color="000000"/>
            </w:tcBorders>
            <w:shd w:val="clear" w:color="auto" w:fill="auto"/>
            <w:vAlign w:val="bottom"/>
          </w:tcPr>
          <w:p w14:paraId="7696E5A5"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0,797</w:t>
            </w:r>
          </w:p>
        </w:tc>
        <w:tc>
          <w:tcPr>
            <w:tcW w:w="1641" w:type="dxa"/>
            <w:tcBorders>
              <w:bottom w:val="single" w:sz="4" w:space="0" w:color="000000"/>
              <w:right w:val="single" w:sz="4" w:space="0" w:color="000000"/>
            </w:tcBorders>
            <w:shd w:val="clear" w:color="auto" w:fill="auto"/>
            <w:vAlign w:val="bottom"/>
          </w:tcPr>
          <w:p w14:paraId="15F4EBE5"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0,881</w:t>
            </w:r>
          </w:p>
        </w:tc>
        <w:tc>
          <w:tcPr>
            <w:tcW w:w="1100" w:type="dxa"/>
            <w:tcBorders>
              <w:bottom w:val="single" w:sz="4" w:space="0" w:color="000000"/>
              <w:right w:val="single" w:sz="4" w:space="0" w:color="000000"/>
            </w:tcBorders>
            <w:shd w:val="clear" w:color="auto" w:fill="auto"/>
            <w:vAlign w:val="bottom"/>
          </w:tcPr>
          <w:p w14:paraId="700A7AE4"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0,711</w:t>
            </w:r>
          </w:p>
        </w:tc>
      </w:tr>
      <w:tr w:rsidR="00D97723" w14:paraId="5D078598" w14:textId="77777777" w:rsidTr="00D6136B">
        <w:trPr>
          <w:trHeight w:val="227"/>
        </w:trPr>
        <w:tc>
          <w:tcPr>
            <w:tcW w:w="1925" w:type="dxa"/>
            <w:tcBorders>
              <w:left w:val="single" w:sz="4" w:space="0" w:color="000000"/>
              <w:bottom w:val="single" w:sz="4" w:space="0" w:color="000000"/>
              <w:right w:val="single" w:sz="4" w:space="0" w:color="000000"/>
            </w:tcBorders>
            <w:shd w:val="clear" w:color="000000" w:fill="555555"/>
            <w:vAlign w:val="bottom"/>
          </w:tcPr>
          <w:p w14:paraId="366B473E"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w:t>
            </w:r>
          </w:p>
        </w:tc>
        <w:tc>
          <w:tcPr>
            <w:tcW w:w="1286" w:type="dxa"/>
            <w:tcBorders>
              <w:bottom w:val="single" w:sz="4" w:space="0" w:color="000000"/>
              <w:right w:val="single" w:sz="4" w:space="0" w:color="000000"/>
            </w:tcBorders>
            <w:shd w:val="clear" w:color="000000" w:fill="90EE90"/>
            <w:vAlign w:val="bottom"/>
          </w:tcPr>
          <w:p w14:paraId="4C98E4CC"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0,877</w:t>
            </w:r>
          </w:p>
        </w:tc>
        <w:tc>
          <w:tcPr>
            <w:tcW w:w="1421" w:type="dxa"/>
            <w:tcBorders>
              <w:bottom w:val="single" w:sz="4" w:space="0" w:color="000000"/>
              <w:right w:val="single" w:sz="4" w:space="0" w:color="000000"/>
            </w:tcBorders>
            <w:shd w:val="clear" w:color="000000" w:fill="90EE90"/>
            <w:vAlign w:val="bottom"/>
          </w:tcPr>
          <w:p w14:paraId="208E46B2"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0,890</w:t>
            </w:r>
          </w:p>
        </w:tc>
        <w:tc>
          <w:tcPr>
            <w:tcW w:w="1641" w:type="dxa"/>
            <w:tcBorders>
              <w:bottom w:val="single" w:sz="4" w:space="0" w:color="000000"/>
              <w:right w:val="single" w:sz="4" w:space="0" w:color="000000"/>
            </w:tcBorders>
            <w:shd w:val="clear" w:color="000000" w:fill="90EE90"/>
            <w:vAlign w:val="bottom"/>
          </w:tcPr>
          <w:p w14:paraId="0D3AD350"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0,917</w:t>
            </w:r>
          </w:p>
        </w:tc>
        <w:tc>
          <w:tcPr>
            <w:tcW w:w="1100" w:type="dxa"/>
            <w:tcBorders>
              <w:bottom w:val="single" w:sz="4" w:space="0" w:color="000000"/>
              <w:right w:val="single" w:sz="4" w:space="0" w:color="000000"/>
            </w:tcBorders>
            <w:shd w:val="clear" w:color="000000" w:fill="90EE90"/>
            <w:vAlign w:val="bottom"/>
          </w:tcPr>
          <w:p w14:paraId="24C963D4"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0,737</w:t>
            </w:r>
          </w:p>
        </w:tc>
      </w:tr>
      <w:tr w:rsidR="00D97723" w14:paraId="7582B91D" w14:textId="77777777" w:rsidTr="00D6136B">
        <w:trPr>
          <w:trHeight w:val="227"/>
        </w:trPr>
        <w:tc>
          <w:tcPr>
            <w:tcW w:w="1925" w:type="dxa"/>
            <w:tcBorders>
              <w:left w:val="single" w:sz="4" w:space="0" w:color="000000"/>
              <w:bottom w:val="single" w:sz="4" w:space="0" w:color="000000"/>
              <w:right w:val="single" w:sz="4" w:space="0" w:color="000000"/>
            </w:tcBorders>
            <w:shd w:val="clear" w:color="000000" w:fill="555555"/>
            <w:vAlign w:val="bottom"/>
          </w:tcPr>
          <w:p w14:paraId="049D004C"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w:t>
            </w:r>
          </w:p>
        </w:tc>
        <w:tc>
          <w:tcPr>
            <w:tcW w:w="1286" w:type="dxa"/>
            <w:tcBorders>
              <w:bottom w:val="single" w:sz="4" w:space="0" w:color="000000"/>
              <w:right w:val="single" w:sz="4" w:space="0" w:color="000000"/>
            </w:tcBorders>
            <w:shd w:val="clear" w:color="auto" w:fill="auto"/>
            <w:vAlign w:val="bottom"/>
          </w:tcPr>
          <w:p w14:paraId="1621228D"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0,918</w:t>
            </w:r>
          </w:p>
        </w:tc>
        <w:tc>
          <w:tcPr>
            <w:tcW w:w="1421" w:type="dxa"/>
            <w:tcBorders>
              <w:bottom w:val="single" w:sz="4" w:space="0" w:color="000000"/>
              <w:right w:val="single" w:sz="4" w:space="0" w:color="000000"/>
            </w:tcBorders>
            <w:shd w:val="clear" w:color="auto" w:fill="auto"/>
            <w:vAlign w:val="bottom"/>
          </w:tcPr>
          <w:p w14:paraId="103744E1"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0,921</w:t>
            </w:r>
          </w:p>
        </w:tc>
        <w:tc>
          <w:tcPr>
            <w:tcW w:w="1641" w:type="dxa"/>
            <w:tcBorders>
              <w:bottom w:val="single" w:sz="4" w:space="0" w:color="000000"/>
              <w:right w:val="single" w:sz="4" w:space="0" w:color="000000"/>
            </w:tcBorders>
            <w:shd w:val="clear" w:color="auto" w:fill="auto"/>
            <w:vAlign w:val="bottom"/>
          </w:tcPr>
          <w:p w14:paraId="335A346B"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0,942</w:t>
            </w:r>
          </w:p>
        </w:tc>
        <w:tc>
          <w:tcPr>
            <w:tcW w:w="1100" w:type="dxa"/>
            <w:tcBorders>
              <w:bottom w:val="single" w:sz="4" w:space="0" w:color="000000"/>
              <w:right w:val="single" w:sz="4" w:space="0" w:color="000000"/>
            </w:tcBorders>
            <w:shd w:val="clear" w:color="auto" w:fill="auto"/>
            <w:vAlign w:val="bottom"/>
          </w:tcPr>
          <w:p w14:paraId="2699CE0E"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0,802</w:t>
            </w:r>
          </w:p>
        </w:tc>
      </w:tr>
      <w:tr w:rsidR="00D97723" w14:paraId="3C80AE2B" w14:textId="77777777" w:rsidTr="00D6136B">
        <w:trPr>
          <w:trHeight w:val="227"/>
        </w:trPr>
        <w:tc>
          <w:tcPr>
            <w:tcW w:w="1925" w:type="dxa"/>
            <w:tcBorders>
              <w:left w:val="single" w:sz="4" w:space="0" w:color="000000"/>
              <w:bottom w:val="single" w:sz="4" w:space="0" w:color="000000"/>
              <w:right w:val="single" w:sz="4" w:space="0" w:color="000000"/>
            </w:tcBorders>
            <w:shd w:val="clear" w:color="000000" w:fill="555555"/>
            <w:vAlign w:val="bottom"/>
          </w:tcPr>
          <w:p w14:paraId="3304790F"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w:t>
            </w:r>
          </w:p>
        </w:tc>
        <w:tc>
          <w:tcPr>
            <w:tcW w:w="1286" w:type="dxa"/>
            <w:tcBorders>
              <w:bottom w:val="single" w:sz="4" w:space="0" w:color="000000"/>
              <w:right w:val="single" w:sz="4" w:space="0" w:color="000000"/>
            </w:tcBorders>
            <w:shd w:val="clear" w:color="000000" w:fill="90EE90"/>
            <w:vAlign w:val="bottom"/>
          </w:tcPr>
          <w:p w14:paraId="4DA5011A"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0,720</w:t>
            </w:r>
          </w:p>
        </w:tc>
        <w:tc>
          <w:tcPr>
            <w:tcW w:w="1421" w:type="dxa"/>
            <w:tcBorders>
              <w:bottom w:val="single" w:sz="4" w:space="0" w:color="000000"/>
              <w:right w:val="single" w:sz="4" w:space="0" w:color="000000"/>
            </w:tcBorders>
            <w:shd w:val="clear" w:color="000000" w:fill="90EE90"/>
            <w:vAlign w:val="bottom"/>
          </w:tcPr>
          <w:p w14:paraId="4E281551"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0,832</w:t>
            </w:r>
          </w:p>
        </w:tc>
        <w:tc>
          <w:tcPr>
            <w:tcW w:w="1641" w:type="dxa"/>
            <w:tcBorders>
              <w:bottom w:val="single" w:sz="4" w:space="0" w:color="000000"/>
              <w:right w:val="single" w:sz="4" w:space="0" w:color="000000"/>
            </w:tcBorders>
            <w:shd w:val="clear" w:color="000000" w:fill="90EE90"/>
            <w:vAlign w:val="bottom"/>
          </w:tcPr>
          <w:p w14:paraId="72C69A37"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0,831</w:t>
            </w:r>
          </w:p>
        </w:tc>
        <w:tc>
          <w:tcPr>
            <w:tcW w:w="1100" w:type="dxa"/>
            <w:tcBorders>
              <w:bottom w:val="single" w:sz="4" w:space="0" w:color="000000"/>
              <w:right w:val="single" w:sz="4" w:space="0" w:color="000000"/>
            </w:tcBorders>
            <w:shd w:val="clear" w:color="000000" w:fill="90EE90"/>
            <w:vAlign w:val="bottom"/>
          </w:tcPr>
          <w:p w14:paraId="48172F5C" w14:textId="77777777" w:rsidR="00D97723" w:rsidRPr="00D6136B" w:rsidRDefault="00456E38" w:rsidP="00D6136B">
            <w:pPr>
              <w:jc w:val="center"/>
              <w:rPr>
                <w:rFonts w:ascii="Times New Roman" w:hAnsi="Times New Roman" w:cs="Times New Roman"/>
                <w:color w:val="006400"/>
                <w:sz w:val="20"/>
                <w:szCs w:val="20"/>
              </w:rPr>
            </w:pPr>
            <w:r w:rsidRPr="00D6136B">
              <w:rPr>
                <w:rFonts w:ascii="Times New Roman" w:hAnsi="Times New Roman" w:cs="Times New Roman"/>
                <w:color w:val="006400"/>
                <w:sz w:val="20"/>
                <w:szCs w:val="20"/>
              </w:rPr>
              <w:t>0,622</w:t>
            </w:r>
          </w:p>
        </w:tc>
      </w:tr>
    </w:tbl>
    <w:p w14:paraId="2FA687FB" w14:textId="77777777" w:rsidR="00D97723" w:rsidRPr="00D6136B" w:rsidRDefault="00456E38" w:rsidP="00D6136B">
      <w:pPr>
        <w:pStyle w:val="BodyText"/>
        <w:spacing w:before="121"/>
        <w:ind w:left="709" w:right="45"/>
        <w:rPr>
          <w:rFonts w:ascii="Times New Roman" w:hAnsi="Times New Roman" w:cs="Times New Roman"/>
          <w:sz w:val="16"/>
          <w:szCs w:val="16"/>
        </w:rPr>
      </w:pPr>
      <w:r w:rsidRPr="00D6136B">
        <w:rPr>
          <w:rFonts w:ascii="Times New Roman" w:hAnsi="Times New Roman" w:cs="Times New Roman"/>
          <w:sz w:val="16"/>
          <w:szCs w:val="16"/>
        </w:rPr>
        <w:t>Sources: Processed secondary data (2024)</w:t>
      </w:r>
    </w:p>
    <w:p w14:paraId="22BB724A" w14:textId="77777777" w:rsidR="00D97723" w:rsidRDefault="00D97723">
      <w:pPr>
        <w:pStyle w:val="BodyText"/>
        <w:spacing w:before="1"/>
        <w:ind w:right="49" w:firstLine="359"/>
        <w:rPr>
          <w:rFonts w:ascii="Times New Roman" w:hAnsi="Times New Roman" w:cs="Times New Roman"/>
          <w:color w:val="231F20"/>
          <w:sz w:val="24"/>
          <w:szCs w:val="24"/>
        </w:rPr>
      </w:pPr>
    </w:p>
    <w:p w14:paraId="0C1C4D03" w14:textId="0713B42D" w:rsidR="00D97723" w:rsidRPr="00A36740" w:rsidRDefault="00456E38" w:rsidP="00A36740">
      <w:pPr>
        <w:pStyle w:val="BodyText"/>
        <w:spacing w:before="1"/>
        <w:ind w:left="720" w:right="-46" w:firstLine="359"/>
        <w:rPr>
          <w:rFonts w:ascii="Times New Roman" w:hAnsi="Times New Roman" w:cs="Times New Roman"/>
          <w:sz w:val="22"/>
          <w:szCs w:val="22"/>
        </w:rPr>
      </w:pPr>
      <w:r w:rsidRPr="00A36740">
        <w:rPr>
          <w:rFonts w:ascii="Times New Roman" w:hAnsi="Times New Roman" w:cs="Times New Roman"/>
          <w:color w:val="231F20"/>
          <w:sz w:val="22"/>
          <w:szCs w:val="22"/>
        </w:rPr>
        <w:t xml:space="preserve">Based on the results of the composite reliability and </w:t>
      </w:r>
      <w:r w:rsidR="00A36740">
        <w:rPr>
          <w:rFonts w:ascii="Times New Roman" w:hAnsi="Times New Roman" w:cs="Times New Roman"/>
          <w:color w:val="231F20"/>
          <w:sz w:val="22"/>
          <w:szCs w:val="22"/>
        </w:rPr>
        <w:t xml:space="preserve">Cronbach’s alpha values of more </w:t>
      </w:r>
      <w:r w:rsidRPr="00A36740">
        <w:rPr>
          <w:rFonts w:ascii="Times New Roman" w:hAnsi="Times New Roman" w:cs="Times New Roman"/>
          <w:color w:val="231F20"/>
          <w:sz w:val="22"/>
          <w:szCs w:val="22"/>
        </w:rPr>
        <w:t>than 0.70. It means that each</w:t>
      </w:r>
      <w:r w:rsidRPr="00A36740">
        <w:rPr>
          <w:rFonts w:ascii="Times New Roman" w:hAnsi="Times New Roman" w:cs="Times New Roman"/>
          <w:color w:val="231F20"/>
          <w:spacing w:val="80"/>
          <w:sz w:val="22"/>
          <w:szCs w:val="22"/>
        </w:rPr>
        <w:t xml:space="preserve"> </w:t>
      </w:r>
      <w:r w:rsidRPr="00A36740">
        <w:rPr>
          <w:rFonts w:ascii="Times New Roman" w:hAnsi="Times New Roman" w:cs="Times New Roman"/>
          <w:color w:val="231F20"/>
          <w:sz w:val="22"/>
          <w:szCs w:val="22"/>
        </w:rPr>
        <w:t>latent construct has good reliability because it meets the requirements of</w:t>
      </w:r>
      <w:r w:rsidRPr="00A36740">
        <w:rPr>
          <w:rFonts w:ascii="Times New Roman" w:hAnsi="Times New Roman" w:cs="Times New Roman"/>
          <w:color w:val="231F20"/>
          <w:spacing w:val="40"/>
          <w:sz w:val="22"/>
          <w:szCs w:val="22"/>
        </w:rPr>
        <w:t xml:space="preserve"> </w:t>
      </w:r>
      <w:r w:rsidRPr="00A36740">
        <w:rPr>
          <w:rFonts w:ascii="Times New Roman" w:hAnsi="Times New Roman" w:cs="Times New Roman"/>
          <w:color w:val="231F20"/>
          <w:sz w:val="22"/>
          <w:szCs w:val="22"/>
        </w:rPr>
        <w:t>the</w:t>
      </w:r>
      <w:r w:rsidRPr="00A36740">
        <w:rPr>
          <w:rFonts w:ascii="Times New Roman" w:hAnsi="Times New Roman" w:cs="Times New Roman"/>
          <w:color w:val="231F20"/>
          <w:spacing w:val="40"/>
          <w:sz w:val="22"/>
          <w:szCs w:val="22"/>
        </w:rPr>
        <w:t xml:space="preserve"> </w:t>
      </w:r>
      <w:r w:rsidRPr="00A36740">
        <w:rPr>
          <w:rFonts w:ascii="Times New Roman" w:hAnsi="Times New Roman" w:cs="Times New Roman"/>
          <w:color w:val="231F20"/>
          <w:sz w:val="22"/>
          <w:szCs w:val="22"/>
        </w:rPr>
        <w:t>composite</w:t>
      </w:r>
      <w:r w:rsidRPr="00A36740">
        <w:rPr>
          <w:rFonts w:ascii="Times New Roman" w:hAnsi="Times New Roman" w:cs="Times New Roman"/>
          <w:color w:val="231F20"/>
          <w:spacing w:val="40"/>
          <w:sz w:val="22"/>
          <w:szCs w:val="22"/>
        </w:rPr>
        <w:t xml:space="preserve"> </w:t>
      </w:r>
      <w:r w:rsidRPr="00A36740">
        <w:rPr>
          <w:rFonts w:ascii="Times New Roman" w:hAnsi="Times New Roman" w:cs="Times New Roman"/>
          <w:color w:val="231F20"/>
          <w:sz w:val="22"/>
          <w:szCs w:val="22"/>
        </w:rPr>
        <w:t>reliability</w:t>
      </w:r>
      <w:r w:rsidRPr="00A36740">
        <w:rPr>
          <w:rFonts w:ascii="Times New Roman" w:hAnsi="Times New Roman" w:cs="Times New Roman"/>
          <w:color w:val="231F20"/>
          <w:spacing w:val="40"/>
          <w:sz w:val="22"/>
          <w:szCs w:val="22"/>
        </w:rPr>
        <w:t xml:space="preserve"> </w:t>
      </w:r>
      <w:r w:rsidRPr="00A36740">
        <w:rPr>
          <w:rFonts w:ascii="Times New Roman" w:hAnsi="Times New Roman" w:cs="Times New Roman"/>
          <w:color w:val="231F20"/>
          <w:sz w:val="22"/>
          <w:szCs w:val="22"/>
        </w:rPr>
        <w:t>and</w:t>
      </w:r>
      <w:r w:rsidRPr="00A36740">
        <w:rPr>
          <w:rFonts w:ascii="Times New Roman" w:hAnsi="Times New Roman" w:cs="Times New Roman"/>
          <w:color w:val="231F20"/>
          <w:spacing w:val="40"/>
          <w:sz w:val="22"/>
          <w:szCs w:val="22"/>
        </w:rPr>
        <w:t xml:space="preserve"> </w:t>
      </w:r>
      <w:r w:rsidRPr="00A36740">
        <w:rPr>
          <w:rFonts w:ascii="Times New Roman" w:hAnsi="Times New Roman" w:cs="Times New Roman"/>
          <w:color w:val="231F20"/>
          <w:sz w:val="22"/>
          <w:szCs w:val="22"/>
        </w:rPr>
        <w:t>Cronbach’s</w:t>
      </w:r>
      <w:r w:rsidRPr="00A36740">
        <w:rPr>
          <w:rFonts w:ascii="Times New Roman" w:hAnsi="Times New Roman" w:cs="Times New Roman"/>
          <w:color w:val="231F20"/>
          <w:spacing w:val="40"/>
          <w:sz w:val="22"/>
          <w:szCs w:val="22"/>
        </w:rPr>
        <w:t xml:space="preserve"> </w:t>
      </w:r>
      <w:r w:rsidRPr="00A36740">
        <w:rPr>
          <w:rFonts w:ascii="Times New Roman" w:hAnsi="Times New Roman" w:cs="Times New Roman"/>
          <w:color w:val="231F20"/>
          <w:sz w:val="22"/>
          <w:szCs w:val="22"/>
        </w:rPr>
        <w:t>alpha</w:t>
      </w:r>
      <w:r w:rsidRPr="00A36740">
        <w:rPr>
          <w:rFonts w:ascii="Times New Roman" w:hAnsi="Times New Roman" w:cs="Times New Roman"/>
          <w:color w:val="231F20"/>
          <w:spacing w:val="40"/>
          <w:sz w:val="22"/>
          <w:szCs w:val="22"/>
        </w:rPr>
        <w:t xml:space="preserve"> </w:t>
      </w:r>
      <w:r w:rsidRPr="00A36740">
        <w:rPr>
          <w:rFonts w:ascii="Times New Roman" w:hAnsi="Times New Roman" w:cs="Times New Roman"/>
          <w:color w:val="231F20"/>
          <w:sz w:val="22"/>
          <w:szCs w:val="22"/>
        </w:rPr>
        <w:t>tests.</w:t>
      </w:r>
    </w:p>
    <w:p w14:paraId="34C3348C" w14:textId="77777777" w:rsidR="00D97723" w:rsidRPr="00A36740" w:rsidRDefault="00D97723">
      <w:pPr>
        <w:pStyle w:val="ListParagraph"/>
        <w:tabs>
          <w:tab w:val="left" w:pos="619"/>
        </w:tabs>
        <w:ind w:firstLine="0"/>
        <w:rPr>
          <w:rFonts w:ascii="Times New Roman" w:hAnsi="Times New Roman" w:cs="Times New Roman"/>
          <w:i/>
          <w:color w:val="231F20"/>
          <w:spacing w:val="-2"/>
          <w:w w:val="90"/>
        </w:rPr>
      </w:pPr>
    </w:p>
    <w:p w14:paraId="3FC3AB23" w14:textId="77777777" w:rsidR="00D97723" w:rsidRDefault="00456E38">
      <w:pPr>
        <w:pStyle w:val="ListParagraph"/>
        <w:numPr>
          <w:ilvl w:val="2"/>
          <w:numId w:val="1"/>
        </w:numPr>
        <w:tabs>
          <w:tab w:val="left" w:pos="619"/>
        </w:tabs>
        <w:rPr>
          <w:rFonts w:ascii="Times New Roman" w:hAnsi="Times New Roman" w:cs="Times New Roman"/>
          <w:i/>
          <w:sz w:val="24"/>
          <w:szCs w:val="24"/>
        </w:rPr>
      </w:pPr>
      <w:r>
        <w:rPr>
          <w:rFonts w:ascii="Times New Roman" w:hAnsi="Times New Roman" w:cs="Times New Roman"/>
          <w:i/>
          <w:color w:val="231F20"/>
          <w:w w:val="90"/>
          <w:sz w:val="24"/>
          <w:szCs w:val="24"/>
        </w:rPr>
        <w:t>Discriminant</w:t>
      </w:r>
      <w:r>
        <w:rPr>
          <w:rFonts w:ascii="Times New Roman" w:hAnsi="Times New Roman" w:cs="Times New Roman"/>
          <w:i/>
          <w:color w:val="231F20"/>
          <w:spacing w:val="-1"/>
          <w:sz w:val="24"/>
          <w:szCs w:val="24"/>
        </w:rPr>
        <w:t xml:space="preserve"> </w:t>
      </w:r>
      <w:r>
        <w:rPr>
          <w:rFonts w:ascii="Times New Roman" w:hAnsi="Times New Roman" w:cs="Times New Roman"/>
          <w:i/>
          <w:color w:val="231F20"/>
          <w:spacing w:val="-2"/>
          <w:w w:val="95"/>
          <w:sz w:val="24"/>
          <w:szCs w:val="24"/>
        </w:rPr>
        <w:t>Validity</w:t>
      </w:r>
    </w:p>
    <w:p w14:paraId="5089341B" w14:textId="77777777" w:rsidR="00D97723" w:rsidRDefault="00D97723">
      <w:pPr>
        <w:pStyle w:val="ListParagraph"/>
        <w:tabs>
          <w:tab w:val="left" w:pos="619"/>
        </w:tabs>
        <w:ind w:firstLine="0"/>
        <w:rPr>
          <w:rFonts w:ascii="Times New Roman" w:hAnsi="Times New Roman" w:cs="Times New Roman"/>
          <w:i/>
          <w:sz w:val="24"/>
          <w:szCs w:val="24"/>
        </w:rPr>
      </w:pPr>
    </w:p>
    <w:p w14:paraId="3AA0DA35" w14:textId="77777777" w:rsidR="00D97723" w:rsidRPr="00D6136B" w:rsidRDefault="00456E38" w:rsidP="00D6136B">
      <w:pPr>
        <w:pStyle w:val="Heading5"/>
        <w:ind w:left="567"/>
        <w:rPr>
          <w:rFonts w:ascii="Times New Roman" w:hAnsi="Times New Roman" w:cs="Times New Roman"/>
          <w:b/>
          <w:bCs/>
          <w:color w:val="auto"/>
          <w:sz w:val="24"/>
          <w:szCs w:val="24"/>
          <w:lang w:val="id-ID"/>
        </w:rPr>
      </w:pPr>
      <w:r w:rsidRPr="00D6136B">
        <w:rPr>
          <w:rFonts w:ascii="Times New Roman" w:hAnsi="Times New Roman" w:cs="Times New Roman"/>
          <w:b/>
          <w:bCs/>
          <w:color w:val="auto"/>
          <w:sz w:val="24"/>
          <w:szCs w:val="24"/>
          <w:lang w:val="id-ID"/>
        </w:rPr>
        <w:t>Tabel 4a. Discriminant Validity - Fornell-Larcker Criterion</w:t>
      </w:r>
    </w:p>
    <w:tbl>
      <w:tblPr>
        <w:tblW w:w="7409" w:type="dxa"/>
        <w:tblInd w:w="709" w:type="dxa"/>
        <w:tblLook w:val="04A0" w:firstRow="1" w:lastRow="0" w:firstColumn="1" w:lastColumn="0" w:noHBand="0" w:noVBand="1"/>
      </w:tblPr>
      <w:tblGrid>
        <w:gridCol w:w="1985"/>
        <w:gridCol w:w="975"/>
        <w:gridCol w:w="960"/>
        <w:gridCol w:w="840"/>
        <w:gridCol w:w="961"/>
        <w:gridCol w:w="841"/>
        <w:gridCol w:w="847"/>
      </w:tblGrid>
      <w:tr w:rsidR="00D97723" w:rsidRPr="00D6136B" w14:paraId="2C6C787A" w14:textId="77777777" w:rsidTr="00D6136B">
        <w:trPr>
          <w:trHeight w:val="251"/>
        </w:trPr>
        <w:tc>
          <w:tcPr>
            <w:tcW w:w="1985" w:type="dxa"/>
            <w:shd w:val="clear" w:color="auto" w:fill="auto"/>
            <w:vAlign w:val="bottom"/>
          </w:tcPr>
          <w:p w14:paraId="47DFFA65" w14:textId="77777777" w:rsidR="00D97723" w:rsidRPr="00D6136B" w:rsidRDefault="00D97723" w:rsidP="00D6136B">
            <w:pPr>
              <w:jc w:val="center"/>
              <w:rPr>
                <w:rFonts w:ascii="Times New Roman" w:hAnsi="Times New Roman" w:cs="Times New Roman"/>
                <w:sz w:val="20"/>
                <w:szCs w:val="20"/>
              </w:rPr>
            </w:pPr>
          </w:p>
        </w:tc>
        <w:tc>
          <w:tcPr>
            <w:tcW w:w="975"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7695D80B"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w:t>
            </w:r>
          </w:p>
        </w:tc>
        <w:tc>
          <w:tcPr>
            <w:tcW w:w="960" w:type="dxa"/>
            <w:tcBorders>
              <w:top w:val="single" w:sz="4" w:space="0" w:color="000000"/>
              <w:bottom w:val="single" w:sz="4" w:space="0" w:color="000000"/>
              <w:right w:val="single" w:sz="4" w:space="0" w:color="000000"/>
            </w:tcBorders>
            <w:shd w:val="clear" w:color="000000" w:fill="555555"/>
            <w:vAlign w:val="bottom"/>
          </w:tcPr>
          <w:p w14:paraId="6D8E18A7"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w:t>
            </w:r>
          </w:p>
        </w:tc>
        <w:tc>
          <w:tcPr>
            <w:tcW w:w="840" w:type="dxa"/>
            <w:tcBorders>
              <w:top w:val="single" w:sz="4" w:space="0" w:color="000000"/>
              <w:bottom w:val="single" w:sz="4" w:space="0" w:color="000000"/>
              <w:right w:val="single" w:sz="4" w:space="0" w:color="000000"/>
            </w:tcBorders>
            <w:shd w:val="clear" w:color="000000" w:fill="555555"/>
            <w:vAlign w:val="bottom"/>
          </w:tcPr>
          <w:p w14:paraId="7F54A5D7"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w:t>
            </w:r>
          </w:p>
        </w:tc>
        <w:tc>
          <w:tcPr>
            <w:tcW w:w="961" w:type="dxa"/>
            <w:tcBorders>
              <w:top w:val="single" w:sz="4" w:space="0" w:color="000000"/>
              <w:bottom w:val="single" w:sz="4" w:space="0" w:color="000000"/>
              <w:right w:val="single" w:sz="4" w:space="0" w:color="000000"/>
            </w:tcBorders>
            <w:shd w:val="clear" w:color="000000" w:fill="555555"/>
            <w:vAlign w:val="bottom"/>
          </w:tcPr>
          <w:p w14:paraId="6D6B2DF3"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w:t>
            </w:r>
          </w:p>
        </w:tc>
        <w:tc>
          <w:tcPr>
            <w:tcW w:w="841" w:type="dxa"/>
            <w:tcBorders>
              <w:top w:val="single" w:sz="4" w:space="0" w:color="000000"/>
              <w:bottom w:val="single" w:sz="4" w:space="0" w:color="000000"/>
              <w:right w:val="single" w:sz="4" w:space="0" w:color="000000"/>
            </w:tcBorders>
            <w:shd w:val="clear" w:color="000000" w:fill="555555"/>
            <w:vAlign w:val="bottom"/>
          </w:tcPr>
          <w:p w14:paraId="43CEC56E"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w:t>
            </w:r>
          </w:p>
        </w:tc>
        <w:tc>
          <w:tcPr>
            <w:tcW w:w="847" w:type="dxa"/>
            <w:tcBorders>
              <w:top w:val="single" w:sz="4" w:space="0" w:color="000000"/>
              <w:bottom w:val="single" w:sz="4" w:space="0" w:color="000000"/>
              <w:right w:val="single" w:sz="4" w:space="0" w:color="000000"/>
            </w:tcBorders>
            <w:shd w:val="clear" w:color="000000" w:fill="555555"/>
          </w:tcPr>
          <w:p w14:paraId="6E78D411"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Z.</w:t>
            </w:r>
          </w:p>
        </w:tc>
      </w:tr>
      <w:tr w:rsidR="00D97723" w:rsidRPr="00D6136B" w14:paraId="0D1A0FED" w14:textId="77777777" w:rsidTr="00D6136B">
        <w:trPr>
          <w:trHeight w:val="251"/>
        </w:trPr>
        <w:tc>
          <w:tcPr>
            <w:tcW w:w="1985"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5856B42A"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w:t>
            </w:r>
          </w:p>
        </w:tc>
        <w:tc>
          <w:tcPr>
            <w:tcW w:w="975" w:type="dxa"/>
            <w:tcBorders>
              <w:bottom w:val="single" w:sz="4" w:space="0" w:color="000000"/>
              <w:right w:val="single" w:sz="4" w:space="0" w:color="000000"/>
            </w:tcBorders>
            <w:shd w:val="clear" w:color="000000" w:fill="90EE90"/>
            <w:vAlign w:val="bottom"/>
          </w:tcPr>
          <w:p w14:paraId="114A92EA" w14:textId="77777777" w:rsidR="00D97723" w:rsidRPr="00D6136B" w:rsidRDefault="00456E38" w:rsidP="00D6136B">
            <w:pPr>
              <w:jc w:val="center"/>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0,787</w:t>
            </w:r>
          </w:p>
        </w:tc>
        <w:tc>
          <w:tcPr>
            <w:tcW w:w="960" w:type="dxa"/>
            <w:tcBorders>
              <w:bottom w:val="single" w:sz="4" w:space="0" w:color="000000"/>
              <w:right w:val="single" w:sz="4" w:space="0" w:color="000000"/>
            </w:tcBorders>
            <w:shd w:val="clear" w:color="000000" w:fill="90EE90"/>
            <w:vAlign w:val="bottom"/>
          </w:tcPr>
          <w:p w14:paraId="74F2E4CF" w14:textId="77777777" w:rsidR="00D97723" w:rsidRPr="00D6136B" w:rsidRDefault="00D97723" w:rsidP="00D6136B">
            <w:pPr>
              <w:jc w:val="center"/>
              <w:rPr>
                <w:rFonts w:ascii="Times New Roman" w:hAnsi="Times New Roman" w:cs="Times New Roman"/>
                <w:color w:val="000000"/>
                <w:sz w:val="20"/>
                <w:szCs w:val="20"/>
              </w:rPr>
            </w:pPr>
          </w:p>
        </w:tc>
        <w:tc>
          <w:tcPr>
            <w:tcW w:w="840" w:type="dxa"/>
            <w:tcBorders>
              <w:bottom w:val="single" w:sz="4" w:space="0" w:color="000000"/>
              <w:right w:val="single" w:sz="4" w:space="0" w:color="000000"/>
            </w:tcBorders>
            <w:shd w:val="clear" w:color="000000" w:fill="90EE90"/>
            <w:vAlign w:val="bottom"/>
          </w:tcPr>
          <w:p w14:paraId="2540D62E" w14:textId="77777777" w:rsidR="00D97723" w:rsidRPr="00D6136B" w:rsidRDefault="00D97723" w:rsidP="00D6136B">
            <w:pPr>
              <w:jc w:val="center"/>
              <w:rPr>
                <w:rFonts w:ascii="Times New Roman" w:hAnsi="Times New Roman" w:cs="Times New Roman"/>
                <w:color w:val="000000"/>
                <w:sz w:val="20"/>
                <w:szCs w:val="20"/>
              </w:rPr>
            </w:pPr>
          </w:p>
        </w:tc>
        <w:tc>
          <w:tcPr>
            <w:tcW w:w="961" w:type="dxa"/>
            <w:tcBorders>
              <w:bottom w:val="single" w:sz="4" w:space="0" w:color="000000"/>
              <w:right w:val="single" w:sz="4" w:space="0" w:color="000000"/>
            </w:tcBorders>
            <w:shd w:val="clear" w:color="000000" w:fill="90EE90"/>
            <w:vAlign w:val="bottom"/>
          </w:tcPr>
          <w:p w14:paraId="43657BA7" w14:textId="77777777" w:rsidR="00D97723" w:rsidRPr="00D6136B" w:rsidRDefault="00D97723" w:rsidP="00D6136B">
            <w:pPr>
              <w:jc w:val="center"/>
              <w:rPr>
                <w:rFonts w:ascii="Times New Roman" w:hAnsi="Times New Roman" w:cs="Times New Roman"/>
                <w:color w:val="000000"/>
                <w:sz w:val="20"/>
                <w:szCs w:val="20"/>
              </w:rPr>
            </w:pPr>
          </w:p>
        </w:tc>
        <w:tc>
          <w:tcPr>
            <w:tcW w:w="841" w:type="dxa"/>
            <w:tcBorders>
              <w:bottom w:val="single" w:sz="4" w:space="0" w:color="000000"/>
              <w:right w:val="single" w:sz="4" w:space="0" w:color="000000"/>
            </w:tcBorders>
            <w:shd w:val="clear" w:color="000000" w:fill="90EE90"/>
            <w:vAlign w:val="bottom"/>
          </w:tcPr>
          <w:p w14:paraId="27458073" w14:textId="77777777" w:rsidR="00D97723" w:rsidRPr="00D6136B" w:rsidRDefault="00D97723" w:rsidP="00D6136B">
            <w:pPr>
              <w:jc w:val="center"/>
              <w:rPr>
                <w:rFonts w:ascii="Times New Roman" w:hAnsi="Times New Roman" w:cs="Times New Roman"/>
                <w:color w:val="000000"/>
                <w:sz w:val="20"/>
                <w:szCs w:val="20"/>
              </w:rPr>
            </w:pPr>
          </w:p>
        </w:tc>
        <w:tc>
          <w:tcPr>
            <w:tcW w:w="847" w:type="dxa"/>
            <w:tcBorders>
              <w:bottom w:val="single" w:sz="4" w:space="0" w:color="000000"/>
              <w:right w:val="single" w:sz="4" w:space="0" w:color="000000"/>
            </w:tcBorders>
            <w:shd w:val="clear" w:color="000000" w:fill="90EE90"/>
          </w:tcPr>
          <w:p w14:paraId="305D79E5" w14:textId="77777777" w:rsidR="00D97723" w:rsidRPr="00D6136B" w:rsidRDefault="00D97723" w:rsidP="00D6136B">
            <w:pPr>
              <w:jc w:val="center"/>
              <w:rPr>
                <w:rFonts w:ascii="Times New Roman" w:hAnsi="Times New Roman" w:cs="Times New Roman"/>
                <w:color w:val="000000"/>
                <w:sz w:val="20"/>
                <w:szCs w:val="20"/>
              </w:rPr>
            </w:pPr>
          </w:p>
        </w:tc>
      </w:tr>
      <w:tr w:rsidR="00D97723" w:rsidRPr="00D6136B" w14:paraId="0BEB3625" w14:textId="77777777" w:rsidTr="00D6136B">
        <w:trPr>
          <w:trHeight w:val="251"/>
        </w:trPr>
        <w:tc>
          <w:tcPr>
            <w:tcW w:w="1985" w:type="dxa"/>
            <w:tcBorders>
              <w:left w:val="single" w:sz="4" w:space="0" w:color="000000"/>
              <w:bottom w:val="single" w:sz="4" w:space="0" w:color="000000"/>
              <w:right w:val="single" w:sz="4" w:space="0" w:color="000000"/>
            </w:tcBorders>
            <w:shd w:val="clear" w:color="000000" w:fill="555555"/>
            <w:vAlign w:val="bottom"/>
          </w:tcPr>
          <w:p w14:paraId="3BE1A062"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w:t>
            </w:r>
          </w:p>
        </w:tc>
        <w:tc>
          <w:tcPr>
            <w:tcW w:w="975" w:type="dxa"/>
            <w:tcBorders>
              <w:bottom w:val="single" w:sz="4" w:space="0" w:color="000000"/>
              <w:right w:val="single" w:sz="4" w:space="0" w:color="000000"/>
            </w:tcBorders>
            <w:shd w:val="clear" w:color="auto" w:fill="auto"/>
            <w:vAlign w:val="bottom"/>
          </w:tcPr>
          <w:p w14:paraId="59D2ACA9"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0,569</w:t>
            </w:r>
          </w:p>
        </w:tc>
        <w:tc>
          <w:tcPr>
            <w:tcW w:w="960" w:type="dxa"/>
            <w:tcBorders>
              <w:bottom w:val="single" w:sz="4" w:space="0" w:color="000000"/>
              <w:right w:val="single" w:sz="4" w:space="0" w:color="000000"/>
            </w:tcBorders>
            <w:shd w:val="clear" w:color="auto" w:fill="auto"/>
            <w:vAlign w:val="bottom"/>
          </w:tcPr>
          <w:p w14:paraId="0236C02A" w14:textId="77777777" w:rsidR="00D97723" w:rsidRPr="00D6136B" w:rsidRDefault="00456E38" w:rsidP="00D6136B">
            <w:pPr>
              <w:jc w:val="center"/>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0,843</w:t>
            </w:r>
          </w:p>
        </w:tc>
        <w:tc>
          <w:tcPr>
            <w:tcW w:w="840" w:type="dxa"/>
            <w:tcBorders>
              <w:bottom w:val="single" w:sz="4" w:space="0" w:color="000000"/>
              <w:right w:val="single" w:sz="4" w:space="0" w:color="000000"/>
            </w:tcBorders>
            <w:shd w:val="clear" w:color="auto" w:fill="auto"/>
            <w:vAlign w:val="bottom"/>
          </w:tcPr>
          <w:p w14:paraId="0976CCE6" w14:textId="77777777" w:rsidR="00D97723" w:rsidRPr="00D6136B" w:rsidRDefault="00D97723" w:rsidP="00D6136B">
            <w:pPr>
              <w:jc w:val="center"/>
              <w:rPr>
                <w:rFonts w:ascii="Times New Roman" w:hAnsi="Times New Roman" w:cs="Times New Roman"/>
                <w:color w:val="000000"/>
                <w:sz w:val="20"/>
                <w:szCs w:val="20"/>
              </w:rPr>
            </w:pPr>
          </w:p>
        </w:tc>
        <w:tc>
          <w:tcPr>
            <w:tcW w:w="961" w:type="dxa"/>
            <w:tcBorders>
              <w:bottom w:val="single" w:sz="4" w:space="0" w:color="000000"/>
              <w:right w:val="single" w:sz="4" w:space="0" w:color="000000"/>
            </w:tcBorders>
            <w:shd w:val="clear" w:color="auto" w:fill="auto"/>
            <w:vAlign w:val="bottom"/>
          </w:tcPr>
          <w:p w14:paraId="2D9F4B88" w14:textId="77777777" w:rsidR="00D97723" w:rsidRPr="00D6136B" w:rsidRDefault="00D97723" w:rsidP="00D6136B">
            <w:pPr>
              <w:jc w:val="center"/>
              <w:rPr>
                <w:rFonts w:ascii="Times New Roman" w:hAnsi="Times New Roman" w:cs="Times New Roman"/>
                <w:color w:val="000000"/>
                <w:sz w:val="20"/>
                <w:szCs w:val="20"/>
              </w:rPr>
            </w:pPr>
          </w:p>
        </w:tc>
        <w:tc>
          <w:tcPr>
            <w:tcW w:w="841" w:type="dxa"/>
            <w:tcBorders>
              <w:bottom w:val="single" w:sz="4" w:space="0" w:color="000000"/>
              <w:right w:val="single" w:sz="4" w:space="0" w:color="000000"/>
            </w:tcBorders>
            <w:shd w:val="clear" w:color="auto" w:fill="auto"/>
            <w:vAlign w:val="bottom"/>
          </w:tcPr>
          <w:p w14:paraId="53215ED0" w14:textId="77777777" w:rsidR="00D97723" w:rsidRPr="00D6136B" w:rsidRDefault="00D97723" w:rsidP="00D6136B">
            <w:pPr>
              <w:jc w:val="center"/>
              <w:rPr>
                <w:rFonts w:ascii="Times New Roman" w:hAnsi="Times New Roman" w:cs="Times New Roman"/>
                <w:color w:val="000000"/>
                <w:sz w:val="20"/>
                <w:szCs w:val="20"/>
              </w:rPr>
            </w:pPr>
          </w:p>
        </w:tc>
        <w:tc>
          <w:tcPr>
            <w:tcW w:w="847" w:type="dxa"/>
            <w:tcBorders>
              <w:bottom w:val="single" w:sz="4" w:space="0" w:color="000000"/>
              <w:right w:val="single" w:sz="4" w:space="0" w:color="000000"/>
            </w:tcBorders>
            <w:shd w:val="clear" w:color="auto" w:fill="auto"/>
          </w:tcPr>
          <w:p w14:paraId="423F27EB" w14:textId="77777777" w:rsidR="00D97723" w:rsidRPr="00D6136B" w:rsidRDefault="00D97723" w:rsidP="00D6136B">
            <w:pPr>
              <w:jc w:val="center"/>
              <w:rPr>
                <w:rFonts w:ascii="Times New Roman" w:hAnsi="Times New Roman" w:cs="Times New Roman"/>
                <w:color w:val="000000"/>
                <w:sz w:val="20"/>
                <w:szCs w:val="20"/>
              </w:rPr>
            </w:pPr>
          </w:p>
        </w:tc>
      </w:tr>
      <w:tr w:rsidR="00D97723" w:rsidRPr="00D6136B" w14:paraId="3517A455" w14:textId="77777777" w:rsidTr="00D6136B">
        <w:trPr>
          <w:trHeight w:val="251"/>
        </w:trPr>
        <w:tc>
          <w:tcPr>
            <w:tcW w:w="1985" w:type="dxa"/>
            <w:tcBorders>
              <w:left w:val="single" w:sz="4" w:space="0" w:color="000000"/>
              <w:bottom w:val="single" w:sz="4" w:space="0" w:color="000000"/>
              <w:right w:val="single" w:sz="4" w:space="0" w:color="000000"/>
            </w:tcBorders>
            <w:shd w:val="clear" w:color="000000" w:fill="555555"/>
            <w:vAlign w:val="bottom"/>
          </w:tcPr>
          <w:p w14:paraId="5988DFC3"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w:t>
            </w:r>
          </w:p>
        </w:tc>
        <w:tc>
          <w:tcPr>
            <w:tcW w:w="975" w:type="dxa"/>
            <w:tcBorders>
              <w:bottom w:val="single" w:sz="4" w:space="0" w:color="000000"/>
              <w:right w:val="single" w:sz="4" w:space="0" w:color="000000"/>
            </w:tcBorders>
            <w:shd w:val="clear" w:color="000000" w:fill="90EE90"/>
            <w:vAlign w:val="bottom"/>
          </w:tcPr>
          <w:p w14:paraId="72FD3020"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0,598</w:t>
            </w:r>
          </w:p>
        </w:tc>
        <w:tc>
          <w:tcPr>
            <w:tcW w:w="960" w:type="dxa"/>
            <w:tcBorders>
              <w:bottom w:val="single" w:sz="4" w:space="0" w:color="000000"/>
              <w:right w:val="single" w:sz="4" w:space="0" w:color="000000"/>
            </w:tcBorders>
            <w:shd w:val="clear" w:color="000000" w:fill="90EE90"/>
            <w:vAlign w:val="bottom"/>
          </w:tcPr>
          <w:p w14:paraId="762C383A"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0,534</w:t>
            </w:r>
          </w:p>
        </w:tc>
        <w:tc>
          <w:tcPr>
            <w:tcW w:w="840" w:type="dxa"/>
            <w:tcBorders>
              <w:bottom w:val="single" w:sz="4" w:space="0" w:color="000000"/>
              <w:right w:val="single" w:sz="4" w:space="0" w:color="000000"/>
            </w:tcBorders>
            <w:shd w:val="clear" w:color="000000" w:fill="90EE90"/>
            <w:vAlign w:val="bottom"/>
          </w:tcPr>
          <w:p w14:paraId="19760BF9" w14:textId="77777777" w:rsidR="00D97723" w:rsidRPr="00D6136B" w:rsidRDefault="00456E38" w:rsidP="00D6136B">
            <w:pPr>
              <w:jc w:val="center"/>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0,858</w:t>
            </w:r>
          </w:p>
        </w:tc>
        <w:tc>
          <w:tcPr>
            <w:tcW w:w="961" w:type="dxa"/>
            <w:tcBorders>
              <w:bottom w:val="single" w:sz="4" w:space="0" w:color="000000"/>
              <w:right w:val="single" w:sz="4" w:space="0" w:color="000000"/>
            </w:tcBorders>
            <w:shd w:val="clear" w:color="000000" w:fill="90EE90"/>
            <w:vAlign w:val="bottom"/>
          </w:tcPr>
          <w:p w14:paraId="60B60F85" w14:textId="77777777" w:rsidR="00D97723" w:rsidRPr="00D6136B" w:rsidRDefault="00D97723" w:rsidP="00D6136B">
            <w:pPr>
              <w:jc w:val="center"/>
              <w:rPr>
                <w:rFonts w:ascii="Times New Roman" w:hAnsi="Times New Roman" w:cs="Times New Roman"/>
                <w:color w:val="000000"/>
                <w:sz w:val="20"/>
                <w:szCs w:val="20"/>
              </w:rPr>
            </w:pPr>
          </w:p>
        </w:tc>
        <w:tc>
          <w:tcPr>
            <w:tcW w:w="841" w:type="dxa"/>
            <w:tcBorders>
              <w:bottom w:val="single" w:sz="4" w:space="0" w:color="000000"/>
              <w:right w:val="single" w:sz="4" w:space="0" w:color="000000"/>
            </w:tcBorders>
            <w:shd w:val="clear" w:color="000000" w:fill="90EE90"/>
            <w:vAlign w:val="bottom"/>
          </w:tcPr>
          <w:p w14:paraId="437E46C5" w14:textId="77777777" w:rsidR="00D97723" w:rsidRPr="00D6136B" w:rsidRDefault="00D97723" w:rsidP="00D6136B">
            <w:pPr>
              <w:jc w:val="center"/>
              <w:rPr>
                <w:rFonts w:ascii="Times New Roman" w:hAnsi="Times New Roman" w:cs="Times New Roman"/>
                <w:color w:val="000000"/>
                <w:sz w:val="20"/>
                <w:szCs w:val="20"/>
              </w:rPr>
            </w:pPr>
          </w:p>
        </w:tc>
        <w:tc>
          <w:tcPr>
            <w:tcW w:w="847" w:type="dxa"/>
            <w:tcBorders>
              <w:bottom w:val="single" w:sz="4" w:space="0" w:color="000000"/>
              <w:right w:val="single" w:sz="4" w:space="0" w:color="000000"/>
            </w:tcBorders>
            <w:shd w:val="clear" w:color="000000" w:fill="90EE90"/>
          </w:tcPr>
          <w:p w14:paraId="5E6DCB28" w14:textId="77777777" w:rsidR="00D97723" w:rsidRPr="00D6136B" w:rsidRDefault="00D97723" w:rsidP="00D6136B">
            <w:pPr>
              <w:jc w:val="center"/>
              <w:rPr>
                <w:rFonts w:ascii="Times New Roman" w:hAnsi="Times New Roman" w:cs="Times New Roman"/>
                <w:color w:val="000000"/>
                <w:sz w:val="20"/>
                <w:szCs w:val="20"/>
              </w:rPr>
            </w:pPr>
          </w:p>
        </w:tc>
      </w:tr>
      <w:tr w:rsidR="00D97723" w:rsidRPr="00D6136B" w14:paraId="3FADD416" w14:textId="77777777" w:rsidTr="00D6136B">
        <w:trPr>
          <w:trHeight w:val="251"/>
        </w:trPr>
        <w:tc>
          <w:tcPr>
            <w:tcW w:w="1985" w:type="dxa"/>
            <w:tcBorders>
              <w:left w:val="single" w:sz="4" w:space="0" w:color="000000"/>
              <w:bottom w:val="single" w:sz="4" w:space="0" w:color="000000"/>
              <w:right w:val="single" w:sz="4" w:space="0" w:color="000000"/>
            </w:tcBorders>
            <w:shd w:val="clear" w:color="000000" w:fill="555555"/>
            <w:vAlign w:val="bottom"/>
          </w:tcPr>
          <w:p w14:paraId="670832CF"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w:t>
            </w:r>
          </w:p>
        </w:tc>
        <w:tc>
          <w:tcPr>
            <w:tcW w:w="975" w:type="dxa"/>
            <w:tcBorders>
              <w:bottom w:val="single" w:sz="4" w:space="0" w:color="000000"/>
              <w:right w:val="single" w:sz="4" w:space="0" w:color="000000"/>
            </w:tcBorders>
            <w:shd w:val="clear" w:color="auto" w:fill="auto"/>
            <w:vAlign w:val="bottom"/>
          </w:tcPr>
          <w:p w14:paraId="4092188C"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0,394</w:t>
            </w:r>
          </w:p>
        </w:tc>
        <w:tc>
          <w:tcPr>
            <w:tcW w:w="960" w:type="dxa"/>
            <w:tcBorders>
              <w:bottom w:val="single" w:sz="4" w:space="0" w:color="000000"/>
              <w:right w:val="single" w:sz="4" w:space="0" w:color="000000"/>
            </w:tcBorders>
            <w:shd w:val="clear" w:color="auto" w:fill="auto"/>
            <w:vAlign w:val="bottom"/>
          </w:tcPr>
          <w:p w14:paraId="3FC49B89"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0,245</w:t>
            </w:r>
          </w:p>
        </w:tc>
        <w:tc>
          <w:tcPr>
            <w:tcW w:w="840" w:type="dxa"/>
            <w:tcBorders>
              <w:bottom w:val="single" w:sz="4" w:space="0" w:color="000000"/>
              <w:right w:val="single" w:sz="4" w:space="0" w:color="000000"/>
            </w:tcBorders>
            <w:shd w:val="clear" w:color="auto" w:fill="auto"/>
            <w:vAlign w:val="bottom"/>
          </w:tcPr>
          <w:p w14:paraId="748FA717"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0,297</w:t>
            </w:r>
          </w:p>
        </w:tc>
        <w:tc>
          <w:tcPr>
            <w:tcW w:w="961" w:type="dxa"/>
            <w:tcBorders>
              <w:bottom w:val="single" w:sz="4" w:space="0" w:color="000000"/>
              <w:right w:val="single" w:sz="4" w:space="0" w:color="000000"/>
            </w:tcBorders>
            <w:shd w:val="clear" w:color="auto" w:fill="auto"/>
            <w:vAlign w:val="bottom"/>
          </w:tcPr>
          <w:p w14:paraId="460A12C5" w14:textId="77777777" w:rsidR="00D97723" w:rsidRPr="00D6136B" w:rsidRDefault="00456E38" w:rsidP="00D6136B">
            <w:pPr>
              <w:jc w:val="center"/>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0,896</w:t>
            </w:r>
          </w:p>
        </w:tc>
        <w:tc>
          <w:tcPr>
            <w:tcW w:w="841" w:type="dxa"/>
            <w:tcBorders>
              <w:bottom w:val="single" w:sz="4" w:space="0" w:color="000000"/>
              <w:right w:val="single" w:sz="4" w:space="0" w:color="000000"/>
            </w:tcBorders>
            <w:shd w:val="clear" w:color="auto" w:fill="auto"/>
            <w:vAlign w:val="bottom"/>
          </w:tcPr>
          <w:p w14:paraId="0B7EDB53" w14:textId="77777777" w:rsidR="00D97723" w:rsidRPr="00D6136B" w:rsidRDefault="00D97723" w:rsidP="00D6136B">
            <w:pPr>
              <w:jc w:val="center"/>
              <w:rPr>
                <w:rFonts w:ascii="Times New Roman" w:hAnsi="Times New Roman" w:cs="Times New Roman"/>
                <w:color w:val="000000"/>
                <w:sz w:val="20"/>
                <w:szCs w:val="20"/>
              </w:rPr>
            </w:pPr>
          </w:p>
        </w:tc>
        <w:tc>
          <w:tcPr>
            <w:tcW w:w="847" w:type="dxa"/>
            <w:tcBorders>
              <w:bottom w:val="single" w:sz="4" w:space="0" w:color="000000"/>
              <w:right w:val="single" w:sz="4" w:space="0" w:color="000000"/>
            </w:tcBorders>
            <w:shd w:val="clear" w:color="auto" w:fill="auto"/>
          </w:tcPr>
          <w:p w14:paraId="1CB0A4C5" w14:textId="77777777" w:rsidR="00D97723" w:rsidRPr="00D6136B" w:rsidRDefault="00D97723" w:rsidP="00D6136B">
            <w:pPr>
              <w:jc w:val="center"/>
              <w:rPr>
                <w:rFonts w:ascii="Times New Roman" w:hAnsi="Times New Roman" w:cs="Times New Roman"/>
                <w:color w:val="000000"/>
                <w:sz w:val="20"/>
                <w:szCs w:val="20"/>
              </w:rPr>
            </w:pPr>
          </w:p>
        </w:tc>
      </w:tr>
      <w:tr w:rsidR="00D97723" w:rsidRPr="00D6136B" w14:paraId="2F496157" w14:textId="77777777" w:rsidTr="00D6136B">
        <w:trPr>
          <w:trHeight w:val="251"/>
        </w:trPr>
        <w:tc>
          <w:tcPr>
            <w:tcW w:w="1985" w:type="dxa"/>
            <w:tcBorders>
              <w:left w:val="single" w:sz="4" w:space="0" w:color="000000"/>
              <w:bottom w:val="single" w:sz="4" w:space="0" w:color="000000"/>
              <w:right w:val="single" w:sz="4" w:space="0" w:color="000000"/>
            </w:tcBorders>
            <w:shd w:val="clear" w:color="000000" w:fill="555555"/>
            <w:vAlign w:val="bottom"/>
          </w:tcPr>
          <w:p w14:paraId="0AAE2484"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w:t>
            </w:r>
          </w:p>
        </w:tc>
        <w:tc>
          <w:tcPr>
            <w:tcW w:w="975" w:type="dxa"/>
            <w:tcBorders>
              <w:bottom w:val="single" w:sz="4" w:space="0" w:color="000000"/>
              <w:right w:val="single" w:sz="4" w:space="0" w:color="000000"/>
            </w:tcBorders>
            <w:shd w:val="clear" w:color="000000" w:fill="90EE90"/>
            <w:vAlign w:val="bottom"/>
          </w:tcPr>
          <w:p w14:paraId="55BB8B3B"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0,553</w:t>
            </w:r>
          </w:p>
        </w:tc>
        <w:tc>
          <w:tcPr>
            <w:tcW w:w="960" w:type="dxa"/>
            <w:tcBorders>
              <w:bottom w:val="single" w:sz="4" w:space="0" w:color="000000"/>
              <w:right w:val="single" w:sz="4" w:space="0" w:color="000000"/>
            </w:tcBorders>
            <w:shd w:val="clear" w:color="000000" w:fill="90EE90"/>
            <w:vAlign w:val="bottom"/>
          </w:tcPr>
          <w:p w14:paraId="16D947E1"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0,460</w:t>
            </w:r>
          </w:p>
        </w:tc>
        <w:tc>
          <w:tcPr>
            <w:tcW w:w="840" w:type="dxa"/>
            <w:tcBorders>
              <w:bottom w:val="single" w:sz="4" w:space="0" w:color="000000"/>
              <w:right w:val="single" w:sz="4" w:space="0" w:color="000000"/>
            </w:tcBorders>
            <w:shd w:val="clear" w:color="000000" w:fill="90EE90"/>
            <w:vAlign w:val="bottom"/>
          </w:tcPr>
          <w:p w14:paraId="28A7365E"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0,585</w:t>
            </w:r>
          </w:p>
        </w:tc>
        <w:tc>
          <w:tcPr>
            <w:tcW w:w="961" w:type="dxa"/>
            <w:tcBorders>
              <w:bottom w:val="single" w:sz="4" w:space="0" w:color="000000"/>
              <w:right w:val="single" w:sz="4" w:space="0" w:color="000000"/>
            </w:tcBorders>
            <w:shd w:val="clear" w:color="000000" w:fill="90EE90"/>
            <w:vAlign w:val="bottom"/>
          </w:tcPr>
          <w:p w14:paraId="31DD6D65"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0,332</w:t>
            </w:r>
          </w:p>
        </w:tc>
        <w:tc>
          <w:tcPr>
            <w:tcW w:w="841" w:type="dxa"/>
            <w:tcBorders>
              <w:bottom w:val="single" w:sz="4" w:space="0" w:color="000000"/>
              <w:right w:val="single" w:sz="4" w:space="0" w:color="000000"/>
            </w:tcBorders>
            <w:shd w:val="clear" w:color="000000" w:fill="90EE90"/>
            <w:vAlign w:val="bottom"/>
          </w:tcPr>
          <w:p w14:paraId="16BA8CD7" w14:textId="77777777" w:rsidR="00D97723" w:rsidRPr="00D6136B" w:rsidRDefault="00456E38" w:rsidP="00D6136B">
            <w:pPr>
              <w:jc w:val="center"/>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0,789</w:t>
            </w:r>
          </w:p>
        </w:tc>
        <w:tc>
          <w:tcPr>
            <w:tcW w:w="847" w:type="dxa"/>
            <w:tcBorders>
              <w:bottom w:val="single" w:sz="4" w:space="0" w:color="000000"/>
              <w:right w:val="single" w:sz="4" w:space="0" w:color="000000"/>
            </w:tcBorders>
            <w:shd w:val="clear" w:color="000000" w:fill="90EE90"/>
          </w:tcPr>
          <w:p w14:paraId="0DB9E315" w14:textId="77777777" w:rsidR="00D97723" w:rsidRPr="00D6136B" w:rsidRDefault="00D97723" w:rsidP="00D6136B">
            <w:pPr>
              <w:jc w:val="center"/>
              <w:rPr>
                <w:rFonts w:ascii="Times New Roman" w:hAnsi="Times New Roman" w:cs="Times New Roman"/>
                <w:b/>
                <w:bCs/>
                <w:color w:val="000000"/>
                <w:sz w:val="20"/>
                <w:szCs w:val="20"/>
              </w:rPr>
            </w:pPr>
          </w:p>
        </w:tc>
      </w:tr>
      <w:tr w:rsidR="00D97723" w:rsidRPr="00D6136B" w14:paraId="15D811A5" w14:textId="77777777" w:rsidTr="00D6136B">
        <w:trPr>
          <w:trHeight w:val="251"/>
        </w:trPr>
        <w:tc>
          <w:tcPr>
            <w:tcW w:w="1985"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2D280FBD"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themeColor="background1"/>
                <w:sz w:val="20"/>
                <w:szCs w:val="20"/>
              </w:rPr>
              <w:t>Z</w:t>
            </w:r>
          </w:p>
        </w:tc>
        <w:tc>
          <w:tcPr>
            <w:tcW w:w="975" w:type="dxa"/>
            <w:tcBorders>
              <w:top w:val="single" w:sz="4" w:space="0" w:color="000000"/>
              <w:bottom w:val="single" w:sz="4" w:space="0" w:color="000000"/>
              <w:right w:val="single" w:sz="4" w:space="0" w:color="000000"/>
            </w:tcBorders>
            <w:shd w:val="clear" w:color="000000" w:fill="90EE90"/>
            <w:vAlign w:val="bottom"/>
          </w:tcPr>
          <w:p w14:paraId="74F083EC" w14:textId="77777777" w:rsidR="00D97723" w:rsidRPr="00D6136B" w:rsidRDefault="00D97723" w:rsidP="00D6136B">
            <w:pPr>
              <w:jc w:val="center"/>
              <w:rPr>
                <w:rFonts w:ascii="Times New Roman" w:hAnsi="Times New Roman" w:cs="Times New Roman"/>
                <w:color w:val="000000"/>
                <w:sz w:val="20"/>
                <w:szCs w:val="20"/>
              </w:rPr>
            </w:pPr>
          </w:p>
        </w:tc>
        <w:tc>
          <w:tcPr>
            <w:tcW w:w="960" w:type="dxa"/>
            <w:tcBorders>
              <w:top w:val="single" w:sz="4" w:space="0" w:color="000000"/>
              <w:bottom w:val="single" w:sz="4" w:space="0" w:color="000000"/>
              <w:right w:val="single" w:sz="4" w:space="0" w:color="000000"/>
            </w:tcBorders>
            <w:shd w:val="clear" w:color="000000" w:fill="90EE90"/>
            <w:vAlign w:val="bottom"/>
          </w:tcPr>
          <w:p w14:paraId="4A01F2C3" w14:textId="77777777" w:rsidR="00D97723" w:rsidRPr="00D6136B" w:rsidRDefault="00D97723" w:rsidP="00D6136B">
            <w:pPr>
              <w:jc w:val="center"/>
              <w:rPr>
                <w:rFonts w:ascii="Times New Roman" w:hAnsi="Times New Roman" w:cs="Times New Roman"/>
                <w:color w:val="000000"/>
                <w:sz w:val="20"/>
                <w:szCs w:val="20"/>
              </w:rPr>
            </w:pPr>
          </w:p>
        </w:tc>
        <w:tc>
          <w:tcPr>
            <w:tcW w:w="840" w:type="dxa"/>
            <w:tcBorders>
              <w:top w:val="single" w:sz="4" w:space="0" w:color="000000"/>
              <w:bottom w:val="single" w:sz="4" w:space="0" w:color="000000"/>
              <w:right w:val="single" w:sz="4" w:space="0" w:color="000000"/>
            </w:tcBorders>
            <w:shd w:val="clear" w:color="000000" w:fill="90EE90"/>
            <w:vAlign w:val="bottom"/>
          </w:tcPr>
          <w:p w14:paraId="47CB10C2" w14:textId="77777777" w:rsidR="00D97723" w:rsidRPr="00D6136B" w:rsidRDefault="00D97723" w:rsidP="00D6136B">
            <w:pPr>
              <w:jc w:val="center"/>
              <w:rPr>
                <w:rFonts w:ascii="Times New Roman" w:hAnsi="Times New Roman" w:cs="Times New Roman"/>
                <w:color w:val="000000"/>
                <w:sz w:val="20"/>
                <w:szCs w:val="20"/>
              </w:rPr>
            </w:pPr>
          </w:p>
        </w:tc>
        <w:tc>
          <w:tcPr>
            <w:tcW w:w="961" w:type="dxa"/>
            <w:tcBorders>
              <w:top w:val="single" w:sz="4" w:space="0" w:color="000000"/>
              <w:bottom w:val="single" w:sz="4" w:space="0" w:color="000000"/>
              <w:right w:val="single" w:sz="4" w:space="0" w:color="000000"/>
            </w:tcBorders>
            <w:shd w:val="clear" w:color="000000" w:fill="90EE90"/>
            <w:vAlign w:val="bottom"/>
          </w:tcPr>
          <w:p w14:paraId="544ECE39" w14:textId="77777777" w:rsidR="00D97723" w:rsidRPr="00D6136B" w:rsidRDefault="00D97723" w:rsidP="00D6136B">
            <w:pPr>
              <w:jc w:val="center"/>
              <w:rPr>
                <w:rFonts w:ascii="Times New Roman" w:hAnsi="Times New Roman" w:cs="Times New Roman"/>
                <w:color w:val="000000"/>
                <w:sz w:val="20"/>
                <w:szCs w:val="20"/>
              </w:rPr>
            </w:pPr>
          </w:p>
        </w:tc>
        <w:tc>
          <w:tcPr>
            <w:tcW w:w="841" w:type="dxa"/>
            <w:tcBorders>
              <w:top w:val="single" w:sz="4" w:space="0" w:color="000000"/>
              <w:bottom w:val="single" w:sz="4" w:space="0" w:color="000000"/>
              <w:right w:val="single" w:sz="4" w:space="0" w:color="000000"/>
            </w:tcBorders>
            <w:shd w:val="clear" w:color="000000" w:fill="90EE90"/>
            <w:vAlign w:val="bottom"/>
          </w:tcPr>
          <w:p w14:paraId="6E4A4230" w14:textId="77777777" w:rsidR="00D97723" w:rsidRPr="00D6136B" w:rsidRDefault="00D97723" w:rsidP="00D6136B">
            <w:pPr>
              <w:jc w:val="center"/>
              <w:rPr>
                <w:rFonts w:ascii="Times New Roman" w:hAnsi="Times New Roman" w:cs="Times New Roman"/>
                <w:b/>
                <w:bCs/>
                <w:color w:val="000000"/>
                <w:sz w:val="20"/>
                <w:szCs w:val="20"/>
              </w:rPr>
            </w:pPr>
          </w:p>
        </w:tc>
        <w:tc>
          <w:tcPr>
            <w:tcW w:w="847" w:type="dxa"/>
            <w:tcBorders>
              <w:top w:val="single" w:sz="4" w:space="0" w:color="000000"/>
              <w:bottom w:val="single" w:sz="4" w:space="0" w:color="000000"/>
              <w:right w:val="single" w:sz="4" w:space="0" w:color="000000"/>
            </w:tcBorders>
            <w:shd w:val="clear" w:color="000000" w:fill="90EE90"/>
          </w:tcPr>
          <w:p w14:paraId="31DA1157" w14:textId="77777777" w:rsidR="00D97723" w:rsidRPr="00D6136B" w:rsidRDefault="00456E38" w:rsidP="00D6136B">
            <w:pPr>
              <w:jc w:val="center"/>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1,000</w:t>
            </w:r>
          </w:p>
        </w:tc>
      </w:tr>
    </w:tbl>
    <w:p w14:paraId="1D29B505" w14:textId="77777777" w:rsidR="00D97723" w:rsidRPr="00D6136B" w:rsidRDefault="00D97723" w:rsidP="00D6136B">
      <w:pPr>
        <w:shd w:val="clear" w:color="auto" w:fill="FFFFFF"/>
        <w:spacing w:after="280"/>
        <w:jc w:val="both"/>
        <w:rPr>
          <w:rFonts w:ascii="Times New Roman" w:hAnsi="Times New Roman" w:cs="Times New Roman"/>
          <w:b/>
          <w:i/>
          <w:iCs/>
          <w:sz w:val="20"/>
          <w:szCs w:val="20"/>
          <w:lang w:val="id-ID"/>
        </w:rPr>
      </w:pPr>
    </w:p>
    <w:p w14:paraId="2AF9A113" w14:textId="64B77CBB" w:rsidR="00D97723" w:rsidRPr="00D6136B" w:rsidRDefault="00456E38" w:rsidP="00D6136B">
      <w:pPr>
        <w:pStyle w:val="Heading5"/>
        <w:ind w:left="567"/>
        <w:rPr>
          <w:rFonts w:ascii="Times New Roman" w:hAnsi="Times New Roman" w:cs="Times New Roman"/>
          <w:b/>
          <w:bCs/>
          <w:color w:val="auto"/>
          <w:sz w:val="24"/>
          <w:szCs w:val="24"/>
          <w:lang w:val="id-ID"/>
        </w:rPr>
      </w:pPr>
      <w:r w:rsidRPr="00D6136B">
        <w:rPr>
          <w:rFonts w:ascii="Times New Roman" w:hAnsi="Times New Roman" w:cs="Times New Roman"/>
          <w:b/>
          <w:bCs/>
          <w:color w:val="auto"/>
          <w:sz w:val="24"/>
          <w:szCs w:val="24"/>
          <w:lang w:val="id-ID"/>
        </w:rPr>
        <w:t>Tabel 4b. Discriminant Validity - Cross Loading</w:t>
      </w:r>
    </w:p>
    <w:tbl>
      <w:tblPr>
        <w:tblW w:w="7416" w:type="dxa"/>
        <w:tblInd w:w="720" w:type="dxa"/>
        <w:tblLook w:val="04A0" w:firstRow="1" w:lastRow="0" w:firstColumn="1" w:lastColumn="0" w:noHBand="0" w:noVBand="1"/>
      </w:tblPr>
      <w:tblGrid>
        <w:gridCol w:w="1910"/>
        <w:gridCol w:w="916"/>
        <w:gridCol w:w="949"/>
        <w:gridCol w:w="881"/>
        <w:gridCol w:w="903"/>
        <w:gridCol w:w="789"/>
        <w:gridCol w:w="1068"/>
      </w:tblGrid>
      <w:tr w:rsidR="00D97723" w14:paraId="474A08CB" w14:textId="77777777" w:rsidTr="00A36740">
        <w:trPr>
          <w:trHeight w:val="232"/>
        </w:trPr>
        <w:tc>
          <w:tcPr>
            <w:tcW w:w="1910" w:type="dxa"/>
            <w:shd w:val="clear" w:color="auto" w:fill="auto"/>
            <w:vAlign w:val="bottom"/>
          </w:tcPr>
          <w:p w14:paraId="45A50FAC" w14:textId="77777777" w:rsidR="00D97723" w:rsidRPr="00D6136B" w:rsidRDefault="00D97723">
            <w:pPr>
              <w:rPr>
                <w:rFonts w:ascii="Times New Roman" w:hAnsi="Times New Roman" w:cs="Times New Roman"/>
                <w:sz w:val="20"/>
                <w:szCs w:val="20"/>
              </w:rPr>
            </w:pPr>
          </w:p>
        </w:tc>
        <w:tc>
          <w:tcPr>
            <w:tcW w:w="916"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6857150B"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w:t>
            </w:r>
          </w:p>
        </w:tc>
        <w:tc>
          <w:tcPr>
            <w:tcW w:w="949" w:type="dxa"/>
            <w:tcBorders>
              <w:top w:val="single" w:sz="4" w:space="0" w:color="000000"/>
              <w:bottom w:val="single" w:sz="4" w:space="0" w:color="000000"/>
              <w:right w:val="single" w:sz="4" w:space="0" w:color="000000"/>
            </w:tcBorders>
            <w:shd w:val="clear" w:color="000000" w:fill="555555"/>
            <w:vAlign w:val="bottom"/>
          </w:tcPr>
          <w:p w14:paraId="6FCF45D9"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w:t>
            </w:r>
          </w:p>
        </w:tc>
        <w:tc>
          <w:tcPr>
            <w:tcW w:w="881" w:type="dxa"/>
            <w:tcBorders>
              <w:top w:val="single" w:sz="4" w:space="0" w:color="000000"/>
              <w:bottom w:val="single" w:sz="4" w:space="0" w:color="000000"/>
              <w:right w:val="single" w:sz="4" w:space="0" w:color="000000"/>
            </w:tcBorders>
            <w:shd w:val="clear" w:color="000000" w:fill="555555"/>
            <w:vAlign w:val="bottom"/>
          </w:tcPr>
          <w:p w14:paraId="7DB78386"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w:t>
            </w:r>
          </w:p>
        </w:tc>
        <w:tc>
          <w:tcPr>
            <w:tcW w:w="903" w:type="dxa"/>
            <w:tcBorders>
              <w:top w:val="single" w:sz="4" w:space="0" w:color="000000"/>
              <w:bottom w:val="single" w:sz="4" w:space="0" w:color="000000"/>
              <w:right w:val="single" w:sz="4" w:space="0" w:color="000000"/>
            </w:tcBorders>
            <w:shd w:val="clear" w:color="000000" w:fill="555555"/>
            <w:vAlign w:val="bottom"/>
          </w:tcPr>
          <w:p w14:paraId="043DA8E4"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w:t>
            </w:r>
          </w:p>
        </w:tc>
        <w:tc>
          <w:tcPr>
            <w:tcW w:w="789" w:type="dxa"/>
            <w:tcBorders>
              <w:top w:val="single" w:sz="4" w:space="0" w:color="000000"/>
              <w:bottom w:val="single" w:sz="4" w:space="0" w:color="000000"/>
              <w:right w:val="single" w:sz="4" w:space="0" w:color="000000"/>
            </w:tcBorders>
            <w:shd w:val="clear" w:color="000000" w:fill="555555"/>
            <w:vAlign w:val="bottom"/>
          </w:tcPr>
          <w:p w14:paraId="4C84D405"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w:t>
            </w:r>
          </w:p>
        </w:tc>
        <w:tc>
          <w:tcPr>
            <w:tcW w:w="1068" w:type="dxa"/>
            <w:tcBorders>
              <w:top w:val="single" w:sz="4" w:space="0" w:color="000000"/>
              <w:bottom w:val="single" w:sz="4" w:space="0" w:color="000000"/>
              <w:right w:val="single" w:sz="4" w:space="0" w:color="000000"/>
            </w:tcBorders>
            <w:shd w:val="clear" w:color="000000" w:fill="555555"/>
          </w:tcPr>
          <w:p w14:paraId="1EC6AF91"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Z.</w:t>
            </w:r>
          </w:p>
        </w:tc>
      </w:tr>
      <w:tr w:rsidR="00D97723" w14:paraId="0BC94F7A" w14:textId="77777777" w:rsidTr="00A36740">
        <w:trPr>
          <w:trHeight w:val="232"/>
        </w:trPr>
        <w:tc>
          <w:tcPr>
            <w:tcW w:w="1910"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7E4039A5"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X1.1</w:t>
            </w:r>
          </w:p>
        </w:tc>
        <w:tc>
          <w:tcPr>
            <w:tcW w:w="916" w:type="dxa"/>
            <w:tcBorders>
              <w:bottom w:val="single" w:sz="4" w:space="0" w:color="000000"/>
              <w:right w:val="single" w:sz="4" w:space="0" w:color="000000"/>
            </w:tcBorders>
            <w:shd w:val="clear" w:color="000000" w:fill="90EE90"/>
            <w:vAlign w:val="bottom"/>
          </w:tcPr>
          <w:p w14:paraId="00F07059"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0,840</w:t>
            </w:r>
          </w:p>
        </w:tc>
        <w:tc>
          <w:tcPr>
            <w:tcW w:w="949" w:type="dxa"/>
            <w:tcBorders>
              <w:bottom w:val="single" w:sz="4" w:space="0" w:color="000000"/>
              <w:right w:val="single" w:sz="4" w:space="0" w:color="000000"/>
            </w:tcBorders>
            <w:shd w:val="clear" w:color="000000" w:fill="90EE90"/>
            <w:vAlign w:val="bottom"/>
          </w:tcPr>
          <w:p w14:paraId="2312AE1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0,498</w:t>
            </w:r>
          </w:p>
        </w:tc>
        <w:tc>
          <w:tcPr>
            <w:tcW w:w="881" w:type="dxa"/>
            <w:tcBorders>
              <w:bottom w:val="single" w:sz="4" w:space="0" w:color="000000"/>
              <w:right w:val="single" w:sz="4" w:space="0" w:color="000000"/>
            </w:tcBorders>
            <w:shd w:val="clear" w:color="000000" w:fill="90EE90"/>
            <w:vAlign w:val="bottom"/>
          </w:tcPr>
          <w:p w14:paraId="1EAEA00D"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0,521</w:t>
            </w:r>
          </w:p>
        </w:tc>
        <w:tc>
          <w:tcPr>
            <w:tcW w:w="903" w:type="dxa"/>
            <w:tcBorders>
              <w:bottom w:val="single" w:sz="4" w:space="0" w:color="000000"/>
              <w:right w:val="single" w:sz="4" w:space="0" w:color="000000"/>
            </w:tcBorders>
            <w:shd w:val="clear" w:color="000000" w:fill="90EE90"/>
            <w:vAlign w:val="bottom"/>
          </w:tcPr>
          <w:p w14:paraId="2C3EC7F6"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0,307</w:t>
            </w:r>
          </w:p>
        </w:tc>
        <w:tc>
          <w:tcPr>
            <w:tcW w:w="789" w:type="dxa"/>
            <w:tcBorders>
              <w:bottom w:val="single" w:sz="4" w:space="0" w:color="000000"/>
              <w:right w:val="single" w:sz="4" w:space="0" w:color="000000"/>
            </w:tcBorders>
            <w:shd w:val="clear" w:color="000000" w:fill="90EE90"/>
            <w:vAlign w:val="bottom"/>
          </w:tcPr>
          <w:p w14:paraId="7F89F128"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0,504</w:t>
            </w:r>
          </w:p>
        </w:tc>
        <w:tc>
          <w:tcPr>
            <w:tcW w:w="1068" w:type="dxa"/>
            <w:tcBorders>
              <w:bottom w:val="single" w:sz="4" w:space="0" w:color="000000"/>
              <w:right w:val="single" w:sz="4" w:space="0" w:color="000000"/>
            </w:tcBorders>
            <w:shd w:val="clear" w:color="000000" w:fill="90EE90"/>
            <w:vAlign w:val="bottom"/>
          </w:tcPr>
          <w:p w14:paraId="69F58A58"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0,037</w:t>
            </w:r>
          </w:p>
        </w:tc>
      </w:tr>
      <w:tr w:rsidR="00D97723" w14:paraId="2D3B213F"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44FAB850"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X1.2</w:t>
            </w:r>
          </w:p>
        </w:tc>
        <w:tc>
          <w:tcPr>
            <w:tcW w:w="916" w:type="dxa"/>
            <w:tcBorders>
              <w:bottom w:val="single" w:sz="4" w:space="0" w:color="000000"/>
              <w:right w:val="single" w:sz="4" w:space="0" w:color="000000"/>
            </w:tcBorders>
            <w:shd w:val="clear" w:color="auto" w:fill="auto"/>
            <w:vAlign w:val="bottom"/>
          </w:tcPr>
          <w:p w14:paraId="617DA95B"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0,821</w:t>
            </w:r>
          </w:p>
        </w:tc>
        <w:tc>
          <w:tcPr>
            <w:tcW w:w="949" w:type="dxa"/>
            <w:tcBorders>
              <w:bottom w:val="single" w:sz="4" w:space="0" w:color="000000"/>
              <w:right w:val="single" w:sz="4" w:space="0" w:color="000000"/>
            </w:tcBorders>
            <w:shd w:val="clear" w:color="auto" w:fill="auto"/>
            <w:vAlign w:val="bottom"/>
          </w:tcPr>
          <w:p w14:paraId="2CD6EF29"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0,523</w:t>
            </w:r>
          </w:p>
        </w:tc>
        <w:tc>
          <w:tcPr>
            <w:tcW w:w="881" w:type="dxa"/>
            <w:tcBorders>
              <w:bottom w:val="single" w:sz="4" w:space="0" w:color="000000"/>
              <w:right w:val="single" w:sz="4" w:space="0" w:color="000000"/>
            </w:tcBorders>
            <w:shd w:val="clear" w:color="auto" w:fill="auto"/>
            <w:vAlign w:val="bottom"/>
          </w:tcPr>
          <w:p w14:paraId="4CA1CF56"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0,636</w:t>
            </w:r>
          </w:p>
        </w:tc>
        <w:tc>
          <w:tcPr>
            <w:tcW w:w="903" w:type="dxa"/>
            <w:tcBorders>
              <w:bottom w:val="single" w:sz="4" w:space="0" w:color="000000"/>
              <w:right w:val="single" w:sz="4" w:space="0" w:color="000000"/>
            </w:tcBorders>
            <w:shd w:val="clear" w:color="auto" w:fill="auto"/>
            <w:vAlign w:val="bottom"/>
          </w:tcPr>
          <w:p w14:paraId="769BEF1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0,328</w:t>
            </w:r>
          </w:p>
        </w:tc>
        <w:tc>
          <w:tcPr>
            <w:tcW w:w="789" w:type="dxa"/>
            <w:tcBorders>
              <w:bottom w:val="single" w:sz="4" w:space="0" w:color="000000"/>
              <w:right w:val="single" w:sz="4" w:space="0" w:color="000000"/>
            </w:tcBorders>
            <w:shd w:val="clear" w:color="auto" w:fill="auto"/>
            <w:vAlign w:val="bottom"/>
          </w:tcPr>
          <w:p w14:paraId="5730C8F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0,471</w:t>
            </w:r>
          </w:p>
        </w:tc>
        <w:tc>
          <w:tcPr>
            <w:tcW w:w="1068" w:type="dxa"/>
            <w:tcBorders>
              <w:bottom w:val="single" w:sz="4" w:space="0" w:color="000000"/>
              <w:right w:val="single" w:sz="4" w:space="0" w:color="000000"/>
            </w:tcBorders>
            <w:shd w:val="clear" w:color="auto" w:fill="auto"/>
            <w:vAlign w:val="bottom"/>
          </w:tcPr>
          <w:p w14:paraId="059B2DDD"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0,124</w:t>
            </w:r>
          </w:p>
        </w:tc>
      </w:tr>
      <w:tr w:rsidR="00D97723" w14:paraId="310A30BD"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50773CEF"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X1.3</w:t>
            </w:r>
          </w:p>
        </w:tc>
        <w:tc>
          <w:tcPr>
            <w:tcW w:w="916" w:type="dxa"/>
            <w:tcBorders>
              <w:bottom w:val="single" w:sz="4" w:space="0" w:color="000000"/>
              <w:right w:val="single" w:sz="4" w:space="0" w:color="000000"/>
            </w:tcBorders>
            <w:shd w:val="clear" w:color="000000" w:fill="90EE90"/>
            <w:vAlign w:val="bottom"/>
          </w:tcPr>
          <w:p w14:paraId="09698EDE"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0,865</w:t>
            </w:r>
          </w:p>
        </w:tc>
        <w:tc>
          <w:tcPr>
            <w:tcW w:w="949" w:type="dxa"/>
            <w:tcBorders>
              <w:bottom w:val="single" w:sz="4" w:space="0" w:color="000000"/>
              <w:right w:val="single" w:sz="4" w:space="0" w:color="000000"/>
            </w:tcBorders>
            <w:shd w:val="clear" w:color="000000" w:fill="90EE90"/>
            <w:vAlign w:val="bottom"/>
          </w:tcPr>
          <w:p w14:paraId="319A9FA9"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0,474</w:t>
            </w:r>
          </w:p>
        </w:tc>
        <w:tc>
          <w:tcPr>
            <w:tcW w:w="881" w:type="dxa"/>
            <w:tcBorders>
              <w:bottom w:val="single" w:sz="4" w:space="0" w:color="000000"/>
              <w:right w:val="single" w:sz="4" w:space="0" w:color="000000"/>
            </w:tcBorders>
            <w:shd w:val="clear" w:color="000000" w:fill="90EE90"/>
            <w:vAlign w:val="bottom"/>
          </w:tcPr>
          <w:p w14:paraId="13EBD50A"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0,483</w:t>
            </w:r>
          </w:p>
        </w:tc>
        <w:tc>
          <w:tcPr>
            <w:tcW w:w="903" w:type="dxa"/>
            <w:tcBorders>
              <w:bottom w:val="single" w:sz="4" w:space="0" w:color="000000"/>
              <w:right w:val="single" w:sz="4" w:space="0" w:color="000000"/>
            </w:tcBorders>
            <w:shd w:val="clear" w:color="000000" w:fill="90EE90"/>
            <w:vAlign w:val="bottom"/>
          </w:tcPr>
          <w:p w14:paraId="59588E6A"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0,297</w:t>
            </w:r>
          </w:p>
        </w:tc>
        <w:tc>
          <w:tcPr>
            <w:tcW w:w="789" w:type="dxa"/>
            <w:tcBorders>
              <w:bottom w:val="single" w:sz="4" w:space="0" w:color="000000"/>
              <w:right w:val="single" w:sz="4" w:space="0" w:color="000000"/>
            </w:tcBorders>
            <w:shd w:val="clear" w:color="000000" w:fill="90EE90"/>
            <w:vAlign w:val="bottom"/>
          </w:tcPr>
          <w:p w14:paraId="355C51A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0,441</w:t>
            </w:r>
          </w:p>
        </w:tc>
        <w:tc>
          <w:tcPr>
            <w:tcW w:w="1068" w:type="dxa"/>
            <w:tcBorders>
              <w:bottom w:val="single" w:sz="4" w:space="0" w:color="000000"/>
              <w:right w:val="single" w:sz="4" w:space="0" w:color="000000"/>
            </w:tcBorders>
            <w:shd w:val="clear" w:color="000000" w:fill="90EE90"/>
            <w:vAlign w:val="bottom"/>
          </w:tcPr>
          <w:p w14:paraId="31B6132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0,026</w:t>
            </w:r>
          </w:p>
        </w:tc>
      </w:tr>
      <w:tr w:rsidR="00D97723" w14:paraId="1581F12D"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6EFC8D83"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X1.4</w:t>
            </w:r>
          </w:p>
        </w:tc>
        <w:tc>
          <w:tcPr>
            <w:tcW w:w="916" w:type="dxa"/>
            <w:tcBorders>
              <w:bottom w:val="single" w:sz="4" w:space="0" w:color="000000"/>
              <w:right w:val="single" w:sz="4" w:space="0" w:color="000000"/>
            </w:tcBorders>
            <w:shd w:val="clear" w:color="auto" w:fill="auto"/>
            <w:vAlign w:val="bottom"/>
          </w:tcPr>
          <w:p w14:paraId="69CDC609"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0,667</w:t>
            </w:r>
          </w:p>
        </w:tc>
        <w:tc>
          <w:tcPr>
            <w:tcW w:w="949" w:type="dxa"/>
            <w:tcBorders>
              <w:bottom w:val="single" w:sz="4" w:space="0" w:color="000000"/>
              <w:right w:val="single" w:sz="4" w:space="0" w:color="000000"/>
            </w:tcBorders>
            <w:shd w:val="clear" w:color="auto" w:fill="auto"/>
            <w:vAlign w:val="bottom"/>
          </w:tcPr>
          <w:p w14:paraId="16333365"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0,424</w:t>
            </w:r>
          </w:p>
        </w:tc>
        <w:tc>
          <w:tcPr>
            <w:tcW w:w="881" w:type="dxa"/>
            <w:tcBorders>
              <w:bottom w:val="single" w:sz="4" w:space="0" w:color="000000"/>
              <w:right w:val="single" w:sz="4" w:space="0" w:color="000000"/>
            </w:tcBorders>
            <w:shd w:val="clear" w:color="auto" w:fill="auto"/>
            <w:vAlign w:val="bottom"/>
          </w:tcPr>
          <w:p w14:paraId="4547614A"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0,283</w:t>
            </w:r>
          </w:p>
        </w:tc>
        <w:tc>
          <w:tcPr>
            <w:tcW w:w="903" w:type="dxa"/>
            <w:tcBorders>
              <w:bottom w:val="single" w:sz="4" w:space="0" w:color="000000"/>
              <w:right w:val="single" w:sz="4" w:space="0" w:color="000000"/>
            </w:tcBorders>
            <w:shd w:val="clear" w:color="auto" w:fill="auto"/>
            <w:vAlign w:val="bottom"/>
          </w:tcPr>
          <w:p w14:paraId="5E6C252E"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0,334</w:t>
            </w:r>
          </w:p>
        </w:tc>
        <w:tc>
          <w:tcPr>
            <w:tcW w:w="789" w:type="dxa"/>
            <w:tcBorders>
              <w:bottom w:val="single" w:sz="4" w:space="0" w:color="000000"/>
              <w:right w:val="single" w:sz="4" w:space="0" w:color="000000"/>
            </w:tcBorders>
            <w:shd w:val="clear" w:color="auto" w:fill="auto"/>
            <w:vAlign w:val="bottom"/>
          </w:tcPr>
          <w:p w14:paraId="75DB329E"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0,340</w:t>
            </w:r>
          </w:p>
        </w:tc>
        <w:tc>
          <w:tcPr>
            <w:tcW w:w="1068" w:type="dxa"/>
            <w:tcBorders>
              <w:bottom w:val="single" w:sz="4" w:space="0" w:color="000000"/>
              <w:right w:val="single" w:sz="4" w:space="0" w:color="000000"/>
            </w:tcBorders>
            <w:shd w:val="clear" w:color="auto" w:fill="auto"/>
            <w:vAlign w:val="bottom"/>
          </w:tcPr>
          <w:p w14:paraId="7531E097"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0,129</w:t>
            </w:r>
          </w:p>
        </w:tc>
      </w:tr>
      <w:tr w:rsidR="00D97723" w14:paraId="79AB4E02"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350E099D"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X1.5</w:t>
            </w:r>
          </w:p>
        </w:tc>
        <w:tc>
          <w:tcPr>
            <w:tcW w:w="916" w:type="dxa"/>
            <w:tcBorders>
              <w:bottom w:val="single" w:sz="4" w:space="0" w:color="000000"/>
              <w:right w:val="single" w:sz="4" w:space="0" w:color="000000"/>
            </w:tcBorders>
            <w:shd w:val="clear" w:color="000000" w:fill="90EE90"/>
            <w:vAlign w:val="bottom"/>
          </w:tcPr>
          <w:p w14:paraId="7693A3B3"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0,723</w:t>
            </w:r>
          </w:p>
        </w:tc>
        <w:tc>
          <w:tcPr>
            <w:tcW w:w="949" w:type="dxa"/>
            <w:tcBorders>
              <w:bottom w:val="single" w:sz="4" w:space="0" w:color="000000"/>
              <w:right w:val="single" w:sz="4" w:space="0" w:color="000000"/>
            </w:tcBorders>
            <w:shd w:val="clear" w:color="000000" w:fill="90EE90"/>
            <w:vAlign w:val="bottom"/>
          </w:tcPr>
          <w:p w14:paraId="18FBF7CD"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0,274</w:t>
            </w:r>
          </w:p>
        </w:tc>
        <w:tc>
          <w:tcPr>
            <w:tcW w:w="881" w:type="dxa"/>
            <w:tcBorders>
              <w:bottom w:val="single" w:sz="4" w:space="0" w:color="000000"/>
              <w:right w:val="single" w:sz="4" w:space="0" w:color="000000"/>
            </w:tcBorders>
            <w:shd w:val="clear" w:color="000000" w:fill="90EE90"/>
            <w:vAlign w:val="bottom"/>
          </w:tcPr>
          <w:p w14:paraId="155E2AF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0,371</w:t>
            </w:r>
          </w:p>
        </w:tc>
        <w:tc>
          <w:tcPr>
            <w:tcW w:w="903" w:type="dxa"/>
            <w:tcBorders>
              <w:bottom w:val="single" w:sz="4" w:space="0" w:color="000000"/>
              <w:right w:val="single" w:sz="4" w:space="0" w:color="000000"/>
            </w:tcBorders>
            <w:shd w:val="clear" w:color="000000" w:fill="90EE90"/>
            <w:vAlign w:val="bottom"/>
          </w:tcPr>
          <w:p w14:paraId="58A442F7"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0,291</w:t>
            </w:r>
          </w:p>
        </w:tc>
        <w:tc>
          <w:tcPr>
            <w:tcW w:w="789" w:type="dxa"/>
            <w:tcBorders>
              <w:bottom w:val="single" w:sz="4" w:space="0" w:color="000000"/>
              <w:right w:val="single" w:sz="4" w:space="0" w:color="000000"/>
            </w:tcBorders>
            <w:shd w:val="clear" w:color="000000" w:fill="90EE90"/>
            <w:vAlign w:val="bottom"/>
          </w:tcPr>
          <w:p w14:paraId="30A9DEC4"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0,403</w:t>
            </w:r>
          </w:p>
        </w:tc>
        <w:tc>
          <w:tcPr>
            <w:tcW w:w="1068" w:type="dxa"/>
            <w:tcBorders>
              <w:bottom w:val="single" w:sz="4" w:space="0" w:color="000000"/>
              <w:right w:val="single" w:sz="4" w:space="0" w:color="000000"/>
            </w:tcBorders>
            <w:shd w:val="clear" w:color="000000" w:fill="90EE90"/>
            <w:vAlign w:val="bottom"/>
          </w:tcPr>
          <w:p w14:paraId="7FD3C14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0,159</w:t>
            </w:r>
          </w:p>
        </w:tc>
      </w:tr>
      <w:tr w:rsidR="00D97723" w14:paraId="60021963"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3BDC94FE"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X2.1</w:t>
            </w:r>
          </w:p>
        </w:tc>
        <w:tc>
          <w:tcPr>
            <w:tcW w:w="916" w:type="dxa"/>
            <w:tcBorders>
              <w:bottom w:val="single" w:sz="4" w:space="0" w:color="000000"/>
              <w:right w:val="single" w:sz="4" w:space="0" w:color="000000"/>
            </w:tcBorders>
            <w:shd w:val="clear" w:color="auto" w:fill="auto"/>
            <w:vAlign w:val="bottom"/>
          </w:tcPr>
          <w:p w14:paraId="184CAE44"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0,540</w:t>
            </w:r>
          </w:p>
        </w:tc>
        <w:tc>
          <w:tcPr>
            <w:tcW w:w="949" w:type="dxa"/>
            <w:tcBorders>
              <w:bottom w:val="single" w:sz="4" w:space="0" w:color="000000"/>
              <w:right w:val="single" w:sz="4" w:space="0" w:color="000000"/>
            </w:tcBorders>
            <w:shd w:val="clear" w:color="auto" w:fill="auto"/>
            <w:vAlign w:val="bottom"/>
          </w:tcPr>
          <w:p w14:paraId="50C61FF3"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0,839</w:t>
            </w:r>
          </w:p>
        </w:tc>
        <w:tc>
          <w:tcPr>
            <w:tcW w:w="881" w:type="dxa"/>
            <w:tcBorders>
              <w:bottom w:val="single" w:sz="4" w:space="0" w:color="000000"/>
              <w:right w:val="single" w:sz="4" w:space="0" w:color="000000"/>
            </w:tcBorders>
            <w:shd w:val="clear" w:color="auto" w:fill="auto"/>
            <w:vAlign w:val="bottom"/>
          </w:tcPr>
          <w:p w14:paraId="5BC47E6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0,424</w:t>
            </w:r>
          </w:p>
        </w:tc>
        <w:tc>
          <w:tcPr>
            <w:tcW w:w="903" w:type="dxa"/>
            <w:tcBorders>
              <w:bottom w:val="single" w:sz="4" w:space="0" w:color="000000"/>
              <w:right w:val="single" w:sz="4" w:space="0" w:color="000000"/>
            </w:tcBorders>
            <w:shd w:val="clear" w:color="auto" w:fill="auto"/>
            <w:vAlign w:val="bottom"/>
          </w:tcPr>
          <w:p w14:paraId="1C32EA93"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0,225</w:t>
            </w:r>
          </w:p>
        </w:tc>
        <w:tc>
          <w:tcPr>
            <w:tcW w:w="789" w:type="dxa"/>
            <w:tcBorders>
              <w:bottom w:val="single" w:sz="4" w:space="0" w:color="000000"/>
              <w:right w:val="single" w:sz="4" w:space="0" w:color="000000"/>
            </w:tcBorders>
            <w:shd w:val="clear" w:color="auto" w:fill="auto"/>
            <w:vAlign w:val="bottom"/>
          </w:tcPr>
          <w:p w14:paraId="685DCE1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0,398</w:t>
            </w:r>
          </w:p>
        </w:tc>
        <w:tc>
          <w:tcPr>
            <w:tcW w:w="1068" w:type="dxa"/>
            <w:tcBorders>
              <w:bottom w:val="single" w:sz="4" w:space="0" w:color="000000"/>
              <w:right w:val="single" w:sz="4" w:space="0" w:color="000000"/>
            </w:tcBorders>
            <w:shd w:val="clear" w:color="auto" w:fill="auto"/>
            <w:vAlign w:val="bottom"/>
          </w:tcPr>
          <w:p w14:paraId="71B8F7AA"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0,166</w:t>
            </w:r>
          </w:p>
        </w:tc>
      </w:tr>
      <w:tr w:rsidR="00D97723" w14:paraId="2528FA76"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4B94C2B5"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X2.2</w:t>
            </w:r>
          </w:p>
        </w:tc>
        <w:tc>
          <w:tcPr>
            <w:tcW w:w="916" w:type="dxa"/>
            <w:tcBorders>
              <w:bottom w:val="single" w:sz="4" w:space="0" w:color="000000"/>
              <w:right w:val="single" w:sz="4" w:space="0" w:color="000000"/>
            </w:tcBorders>
            <w:shd w:val="clear" w:color="000000" w:fill="90EE90"/>
            <w:vAlign w:val="bottom"/>
          </w:tcPr>
          <w:p w14:paraId="24FE6822"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0,447</w:t>
            </w:r>
          </w:p>
        </w:tc>
        <w:tc>
          <w:tcPr>
            <w:tcW w:w="949" w:type="dxa"/>
            <w:tcBorders>
              <w:bottom w:val="single" w:sz="4" w:space="0" w:color="000000"/>
              <w:right w:val="single" w:sz="4" w:space="0" w:color="000000"/>
            </w:tcBorders>
            <w:shd w:val="clear" w:color="000000" w:fill="90EE90"/>
            <w:vAlign w:val="bottom"/>
          </w:tcPr>
          <w:p w14:paraId="4EED93AD"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0,827</w:t>
            </w:r>
          </w:p>
        </w:tc>
        <w:tc>
          <w:tcPr>
            <w:tcW w:w="881" w:type="dxa"/>
            <w:tcBorders>
              <w:bottom w:val="single" w:sz="4" w:space="0" w:color="000000"/>
              <w:right w:val="single" w:sz="4" w:space="0" w:color="000000"/>
            </w:tcBorders>
            <w:shd w:val="clear" w:color="000000" w:fill="90EE90"/>
            <w:vAlign w:val="bottom"/>
          </w:tcPr>
          <w:p w14:paraId="0B473DF3"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0,484</w:t>
            </w:r>
          </w:p>
        </w:tc>
        <w:tc>
          <w:tcPr>
            <w:tcW w:w="903" w:type="dxa"/>
            <w:tcBorders>
              <w:bottom w:val="single" w:sz="4" w:space="0" w:color="000000"/>
              <w:right w:val="single" w:sz="4" w:space="0" w:color="000000"/>
            </w:tcBorders>
            <w:shd w:val="clear" w:color="000000" w:fill="90EE90"/>
            <w:vAlign w:val="bottom"/>
          </w:tcPr>
          <w:p w14:paraId="47204E8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0,154</w:t>
            </w:r>
          </w:p>
        </w:tc>
        <w:tc>
          <w:tcPr>
            <w:tcW w:w="789" w:type="dxa"/>
            <w:tcBorders>
              <w:bottom w:val="single" w:sz="4" w:space="0" w:color="000000"/>
              <w:right w:val="single" w:sz="4" w:space="0" w:color="000000"/>
            </w:tcBorders>
            <w:shd w:val="clear" w:color="000000" w:fill="90EE90"/>
            <w:vAlign w:val="bottom"/>
          </w:tcPr>
          <w:p w14:paraId="3D721E56"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0,377</w:t>
            </w:r>
          </w:p>
        </w:tc>
        <w:tc>
          <w:tcPr>
            <w:tcW w:w="1068" w:type="dxa"/>
            <w:tcBorders>
              <w:bottom w:val="single" w:sz="4" w:space="0" w:color="000000"/>
              <w:right w:val="single" w:sz="4" w:space="0" w:color="000000"/>
            </w:tcBorders>
            <w:shd w:val="clear" w:color="000000" w:fill="90EE90"/>
            <w:vAlign w:val="bottom"/>
          </w:tcPr>
          <w:p w14:paraId="5E029C09"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0,137</w:t>
            </w:r>
          </w:p>
        </w:tc>
      </w:tr>
      <w:tr w:rsidR="00D97723" w14:paraId="00CF309D"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301D37A4"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X2.3</w:t>
            </w:r>
          </w:p>
        </w:tc>
        <w:tc>
          <w:tcPr>
            <w:tcW w:w="916" w:type="dxa"/>
            <w:tcBorders>
              <w:bottom w:val="single" w:sz="4" w:space="0" w:color="000000"/>
              <w:right w:val="single" w:sz="4" w:space="0" w:color="000000"/>
            </w:tcBorders>
            <w:shd w:val="clear" w:color="auto" w:fill="auto"/>
            <w:vAlign w:val="bottom"/>
          </w:tcPr>
          <w:p w14:paraId="6BEC5FF3"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0,447</w:t>
            </w:r>
          </w:p>
        </w:tc>
        <w:tc>
          <w:tcPr>
            <w:tcW w:w="949" w:type="dxa"/>
            <w:tcBorders>
              <w:bottom w:val="single" w:sz="4" w:space="0" w:color="000000"/>
              <w:right w:val="single" w:sz="4" w:space="0" w:color="000000"/>
            </w:tcBorders>
            <w:shd w:val="clear" w:color="auto" w:fill="auto"/>
            <w:vAlign w:val="bottom"/>
          </w:tcPr>
          <w:p w14:paraId="6629D128"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0,863</w:t>
            </w:r>
          </w:p>
        </w:tc>
        <w:tc>
          <w:tcPr>
            <w:tcW w:w="881" w:type="dxa"/>
            <w:tcBorders>
              <w:bottom w:val="single" w:sz="4" w:space="0" w:color="000000"/>
              <w:right w:val="single" w:sz="4" w:space="0" w:color="000000"/>
            </w:tcBorders>
            <w:shd w:val="clear" w:color="auto" w:fill="auto"/>
            <w:vAlign w:val="bottom"/>
          </w:tcPr>
          <w:p w14:paraId="6D49CA50"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0,442</w:t>
            </w:r>
          </w:p>
        </w:tc>
        <w:tc>
          <w:tcPr>
            <w:tcW w:w="903" w:type="dxa"/>
            <w:tcBorders>
              <w:bottom w:val="single" w:sz="4" w:space="0" w:color="000000"/>
              <w:right w:val="single" w:sz="4" w:space="0" w:color="000000"/>
            </w:tcBorders>
            <w:shd w:val="clear" w:color="auto" w:fill="auto"/>
            <w:vAlign w:val="bottom"/>
          </w:tcPr>
          <w:p w14:paraId="42E356A6"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0,241</w:t>
            </w:r>
          </w:p>
        </w:tc>
        <w:tc>
          <w:tcPr>
            <w:tcW w:w="789" w:type="dxa"/>
            <w:tcBorders>
              <w:bottom w:val="single" w:sz="4" w:space="0" w:color="000000"/>
              <w:right w:val="single" w:sz="4" w:space="0" w:color="000000"/>
            </w:tcBorders>
            <w:shd w:val="clear" w:color="auto" w:fill="auto"/>
            <w:vAlign w:val="bottom"/>
          </w:tcPr>
          <w:p w14:paraId="267FF440"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0,387</w:t>
            </w:r>
          </w:p>
        </w:tc>
        <w:tc>
          <w:tcPr>
            <w:tcW w:w="1068" w:type="dxa"/>
            <w:tcBorders>
              <w:bottom w:val="single" w:sz="4" w:space="0" w:color="000000"/>
              <w:right w:val="single" w:sz="4" w:space="0" w:color="000000"/>
            </w:tcBorders>
            <w:shd w:val="clear" w:color="auto" w:fill="auto"/>
            <w:vAlign w:val="bottom"/>
          </w:tcPr>
          <w:p w14:paraId="15C9FBD7"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0,170</w:t>
            </w:r>
          </w:p>
        </w:tc>
      </w:tr>
      <w:tr w:rsidR="00D97723" w14:paraId="5835CF39"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2788B1C8"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X3.1</w:t>
            </w:r>
          </w:p>
        </w:tc>
        <w:tc>
          <w:tcPr>
            <w:tcW w:w="916" w:type="dxa"/>
            <w:tcBorders>
              <w:bottom w:val="single" w:sz="4" w:space="0" w:color="000000"/>
              <w:right w:val="single" w:sz="4" w:space="0" w:color="000000"/>
            </w:tcBorders>
            <w:shd w:val="clear" w:color="000000" w:fill="90EE90"/>
            <w:vAlign w:val="bottom"/>
          </w:tcPr>
          <w:p w14:paraId="421908B8"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0,506</w:t>
            </w:r>
          </w:p>
        </w:tc>
        <w:tc>
          <w:tcPr>
            <w:tcW w:w="949" w:type="dxa"/>
            <w:tcBorders>
              <w:bottom w:val="single" w:sz="4" w:space="0" w:color="000000"/>
              <w:right w:val="single" w:sz="4" w:space="0" w:color="000000"/>
            </w:tcBorders>
            <w:shd w:val="clear" w:color="000000" w:fill="90EE90"/>
            <w:vAlign w:val="bottom"/>
          </w:tcPr>
          <w:p w14:paraId="55704FA0"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0,413</w:t>
            </w:r>
          </w:p>
        </w:tc>
        <w:tc>
          <w:tcPr>
            <w:tcW w:w="881" w:type="dxa"/>
            <w:tcBorders>
              <w:bottom w:val="single" w:sz="4" w:space="0" w:color="000000"/>
              <w:right w:val="single" w:sz="4" w:space="0" w:color="000000"/>
            </w:tcBorders>
            <w:shd w:val="clear" w:color="000000" w:fill="90EE90"/>
            <w:vAlign w:val="bottom"/>
          </w:tcPr>
          <w:p w14:paraId="50AB87F0"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0,888</w:t>
            </w:r>
          </w:p>
        </w:tc>
        <w:tc>
          <w:tcPr>
            <w:tcW w:w="903" w:type="dxa"/>
            <w:tcBorders>
              <w:bottom w:val="single" w:sz="4" w:space="0" w:color="000000"/>
              <w:right w:val="single" w:sz="4" w:space="0" w:color="000000"/>
            </w:tcBorders>
            <w:shd w:val="clear" w:color="000000" w:fill="90EE90"/>
            <w:vAlign w:val="bottom"/>
          </w:tcPr>
          <w:p w14:paraId="5F8AE1B8"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0,220</w:t>
            </w:r>
          </w:p>
        </w:tc>
        <w:tc>
          <w:tcPr>
            <w:tcW w:w="789" w:type="dxa"/>
            <w:tcBorders>
              <w:bottom w:val="single" w:sz="4" w:space="0" w:color="000000"/>
              <w:right w:val="single" w:sz="4" w:space="0" w:color="000000"/>
            </w:tcBorders>
            <w:shd w:val="clear" w:color="000000" w:fill="90EE90"/>
            <w:vAlign w:val="bottom"/>
          </w:tcPr>
          <w:p w14:paraId="6E024062"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0,521</w:t>
            </w:r>
          </w:p>
        </w:tc>
        <w:tc>
          <w:tcPr>
            <w:tcW w:w="1068" w:type="dxa"/>
            <w:tcBorders>
              <w:bottom w:val="single" w:sz="4" w:space="0" w:color="000000"/>
              <w:right w:val="single" w:sz="4" w:space="0" w:color="000000"/>
            </w:tcBorders>
            <w:shd w:val="clear" w:color="000000" w:fill="90EE90"/>
            <w:vAlign w:val="bottom"/>
          </w:tcPr>
          <w:p w14:paraId="676CE90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0,118</w:t>
            </w:r>
          </w:p>
        </w:tc>
      </w:tr>
      <w:tr w:rsidR="00D97723" w14:paraId="6022BF6C"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235B9154"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X3.2</w:t>
            </w:r>
          </w:p>
        </w:tc>
        <w:tc>
          <w:tcPr>
            <w:tcW w:w="916" w:type="dxa"/>
            <w:tcBorders>
              <w:bottom w:val="single" w:sz="4" w:space="0" w:color="000000"/>
              <w:right w:val="single" w:sz="4" w:space="0" w:color="000000"/>
            </w:tcBorders>
            <w:shd w:val="clear" w:color="auto" w:fill="auto"/>
            <w:vAlign w:val="bottom"/>
          </w:tcPr>
          <w:p w14:paraId="0AE31245"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0,609</w:t>
            </w:r>
          </w:p>
        </w:tc>
        <w:tc>
          <w:tcPr>
            <w:tcW w:w="949" w:type="dxa"/>
            <w:tcBorders>
              <w:bottom w:val="single" w:sz="4" w:space="0" w:color="000000"/>
              <w:right w:val="single" w:sz="4" w:space="0" w:color="000000"/>
            </w:tcBorders>
            <w:shd w:val="clear" w:color="auto" w:fill="auto"/>
            <w:vAlign w:val="bottom"/>
          </w:tcPr>
          <w:p w14:paraId="444090D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0,461</w:t>
            </w:r>
          </w:p>
        </w:tc>
        <w:tc>
          <w:tcPr>
            <w:tcW w:w="881" w:type="dxa"/>
            <w:tcBorders>
              <w:bottom w:val="single" w:sz="4" w:space="0" w:color="000000"/>
              <w:right w:val="single" w:sz="4" w:space="0" w:color="000000"/>
            </w:tcBorders>
            <w:shd w:val="clear" w:color="auto" w:fill="auto"/>
            <w:vAlign w:val="bottom"/>
          </w:tcPr>
          <w:p w14:paraId="7C029080"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0,911</w:t>
            </w:r>
          </w:p>
        </w:tc>
        <w:tc>
          <w:tcPr>
            <w:tcW w:w="903" w:type="dxa"/>
            <w:tcBorders>
              <w:bottom w:val="single" w:sz="4" w:space="0" w:color="000000"/>
              <w:right w:val="single" w:sz="4" w:space="0" w:color="000000"/>
            </w:tcBorders>
            <w:shd w:val="clear" w:color="auto" w:fill="auto"/>
            <w:vAlign w:val="bottom"/>
          </w:tcPr>
          <w:p w14:paraId="096E885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0,230</w:t>
            </w:r>
          </w:p>
        </w:tc>
        <w:tc>
          <w:tcPr>
            <w:tcW w:w="789" w:type="dxa"/>
            <w:tcBorders>
              <w:bottom w:val="single" w:sz="4" w:space="0" w:color="000000"/>
              <w:right w:val="single" w:sz="4" w:space="0" w:color="000000"/>
            </w:tcBorders>
            <w:shd w:val="clear" w:color="auto" w:fill="auto"/>
            <w:vAlign w:val="bottom"/>
          </w:tcPr>
          <w:p w14:paraId="70726060"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0,576</w:t>
            </w:r>
          </w:p>
        </w:tc>
        <w:tc>
          <w:tcPr>
            <w:tcW w:w="1068" w:type="dxa"/>
            <w:tcBorders>
              <w:bottom w:val="single" w:sz="4" w:space="0" w:color="000000"/>
              <w:right w:val="single" w:sz="4" w:space="0" w:color="000000"/>
            </w:tcBorders>
            <w:shd w:val="clear" w:color="auto" w:fill="auto"/>
            <w:vAlign w:val="bottom"/>
          </w:tcPr>
          <w:p w14:paraId="6EE84818"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0,158</w:t>
            </w:r>
          </w:p>
        </w:tc>
      </w:tr>
      <w:tr w:rsidR="00D97723" w14:paraId="4086F1D0"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30167212"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X3.3</w:t>
            </w:r>
          </w:p>
        </w:tc>
        <w:tc>
          <w:tcPr>
            <w:tcW w:w="916" w:type="dxa"/>
            <w:tcBorders>
              <w:bottom w:val="single" w:sz="4" w:space="0" w:color="000000"/>
              <w:right w:val="single" w:sz="4" w:space="0" w:color="000000"/>
            </w:tcBorders>
            <w:shd w:val="clear" w:color="000000" w:fill="90EE90"/>
            <w:vAlign w:val="bottom"/>
          </w:tcPr>
          <w:p w14:paraId="6822DC3A"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0,374</w:t>
            </w:r>
          </w:p>
        </w:tc>
        <w:tc>
          <w:tcPr>
            <w:tcW w:w="949" w:type="dxa"/>
            <w:tcBorders>
              <w:bottom w:val="single" w:sz="4" w:space="0" w:color="000000"/>
              <w:right w:val="single" w:sz="4" w:space="0" w:color="000000"/>
            </w:tcBorders>
            <w:shd w:val="clear" w:color="000000" w:fill="90EE90"/>
            <w:vAlign w:val="bottom"/>
          </w:tcPr>
          <w:p w14:paraId="1C67860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0,484</w:t>
            </w:r>
          </w:p>
        </w:tc>
        <w:tc>
          <w:tcPr>
            <w:tcW w:w="881" w:type="dxa"/>
            <w:tcBorders>
              <w:bottom w:val="single" w:sz="4" w:space="0" w:color="000000"/>
              <w:right w:val="single" w:sz="4" w:space="0" w:color="000000"/>
            </w:tcBorders>
            <w:shd w:val="clear" w:color="000000" w:fill="90EE90"/>
            <w:vAlign w:val="bottom"/>
          </w:tcPr>
          <w:p w14:paraId="4A8E4031"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0,698</w:t>
            </w:r>
          </w:p>
        </w:tc>
        <w:tc>
          <w:tcPr>
            <w:tcW w:w="903" w:type="dxa"/>
            <w:tcBorders>
              <w:bottom w:val="single" w:sz="4" w:space="0" w:color="000000"/>
              <w:right w:val="single" w:sz="4" w:space="0" w:color="000000"/>
            </w:tcBorders>
            <w:shd w:val="clear" w:color="000000" w:fill="90EE90"/>
            <w:vAlign w:val="bottom"/>
          </w:tcPr>
          <w:p w14:paraId="4E417CB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0,234</w:t>
            </w:r>
          </w:p>
        </w:tc>
        <w:tc>
          <w:tcPr>
            <w:tcW w:w="789" w:type="dxa"/>
            <w:tcBorders>
              <w:bottom w:val="single" w:sz="4" w:space="0" w:color="000000"/>
              <w:right w:val="single" w:sz="4" w:space="0" w:color="000000"/>
            </w:tcBorders>
            <w:shd w:val="clear" w:color="000000" w:fill="90EE90"/>
            <w:vAlign w:val="bottom"/>
          </w:tcPr>
          <w:p w14:paraId="415ADF1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0,339</w:t>
            </w:r>
          </w:p>
        </w:tc>
        <w:tc>
          <w:tcPr>
            <w:tcW w:w="1068" w:type="dxa"/>
            <w:tcBorders>
              <w:bottom w:val="single" w:sz="4" w:space="0" w:color="000000"/>
              <w:right w:val="single" w:sz="4" w:space="0" w:color="000000"/>
            </w:tcBorders>
            <w:shd w:val="clear" w:color="000000" w:fill="90EE90"/>
            <w:vAlign w:val="bottom"/>
          </w:tcPr>
          <w:p w14:paraId="562E1275"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0,015</w:t>
            </w:r>
          </w:p>
        </w:tc>
      </w:tr>
      <w:tr w:rsidR="00D97723" w14:paraId="0DAB98E7"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13F79434"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X3.4</w:t>
            </w:r>
          </w:p>
        </w:tc>
        <w:tc>
          <w:tcPr>
            <w:tcW w:w="916" w:type="dxa"/>
            <w:tcBorders>
              <w:bottom w:val="single" w:sz="4" w:space="0" w:color="000000"/>
              <w:right w:val="single" w:sz="4" w:space="0" w:color="000000"/>
            </w:tcBorders>
            <w:shd w:val="clear" w:color="auto" w:fill="auto"/>
            <w:vAlign w:val="bottom"/>
          </w:tcPr>
          <w:p w14:paraId="1BFD47FD"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0,541</w:t>
            </w:r>
          </w:p>
        </w:tc>
        <w:tc>
          <w:tcPr>
            <w:tcW w:w="949" w:type="dxa"/>
            <w:tcBorders>
              <w:bottom w:val="single" w:sz="4" w:space="0" w:color="000000"/>
              <w:right w:val="single" w:sz="4" w:space="0" w:color="000000"/>
            </w:tcBorders>
            <w:shd w:val="clear" w:color="auto" w:fill="auto"/>
            <w:vAlign w:val="bottom"/>
          </w:tcPr>
          <w:p w14:paraId="5EBF781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0,482</w:t>
            </w:r>
          </w:p>
        </w:tc>
        <w:tc>
          <w:tcPr>
            <w:tcW w:w="881" w:type="dxa"/>
            <w:tcBorders>
              <w:bottom w:val="single" w:sz="4" w:space="0" w:color="000000"/>
              <w:right w:val="single" w:sz="4" w:space="0" w:color="000000"/>
            </w:tcBorders>
            <w:shd w:val="clear" w:color="auto" w:fill="auto"/>
            <w:vAlign w:val="bottom"/>
          </w:tcPr>
          <w:p w14:paraId="7270147A"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0,917</w:t>
            </w:r>
          </w:p>
        </w:tc>
        <w:tc>
          <w:tcPr>
            <w:tcW w:w="903" w:type="dxa"/>
            <w:tcBorders>
              <w:bottom w:val="single" w:sz="4" w:space="0" w:color="000000"/>
              <w:right w:val="single" w:sz="4" w:space="0" w:color="000000"/>
            </w:tcBorders>
            <w:shd w:val="clear" w:color="auto" w:fill="auto"/>
            <w:vAlign w:val="bottom"/>
          </w:tcPr>
          <w:p w14:paraId="50CE76A5"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0,333</w:t>
            </w:r>
          </w:p>
        </w:tc>
        <w:tc>
          <w:tcPr>
            <w:tcW w:w="789" w:type="dxa"/>
            <w:tcBorders>
              <w:bottom w:val="single" w:sz="4" w:space="0" w:color="000000"/>
              <w:right w:val="single" w:sz="4" w:space="0" w:color="000000"/>
            </w:tcBorders>
            <w:shd w:val="clear" w:color="auto" w:fill="auto"/>
            <w:vAlign w:val="bottom"/>
          </w:tcPr>
          <w:p w14:paraId="1BAA6831"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0,545</w:t>
            </w:r>
          </w:p>
        </w:tc>
        <w:tc>
          <w:tcPr>
            <w:tcW w:w="1068" w:type="dxa"/>
            <w:tcBorders>
              <w:bottom w:val="single" w:sz="4" w:space="0" w:color="000000"/>
              <w:right w:val="single" w:sz="4" w:space="0" w:color="000000"/>
            </w:tcBorders>
            <w:shd w:val="clear" w:color="auto" w:fill="auto"/>
            <w:vAlign w:val="bottom"/>
          </w:tcPr>
          <w:p w14:paraId="736BE7E1"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0,103</w:t>
            </w:r>
          </w:p>
        </w:tc>
      </w:tr>
      <w:tr w:rsidR="00D97723" w14:paraId="3E489A69"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0B159AA1"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X4.1</w:t>
            </w:r>
          </w:p>
        </w:tc>
        <w:tc>
          <w:tcPr>
            <w:tcW w:w="916" w:type="dxa"/>
            <w:tcBorders>
              <w:bottom w:val="single" w:sz="4" w:space="0" w:color="000000"/>
              <w:right w:val="single" w:sz="4" w:space="0" w:color="000000"/>
            </w:tcBorders>
            <w:shd w:val="clear" w:color="000000" w:fill="90EE90"/>
            <w:vAlign w:val="bottom"/>
          </w:tcPr>
          <w:p w14:paraId="56D9DB9E"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0,362</w:t>
            </w:r>
          </w:p>
        </w:tc>
        <w:tc>
          <w:tcPr>
            <w:tcW w:w="949" w:type="dxa"/>
            <w:tcBorders>
              <w:bottom w:val="single" w:sz="4" w:space="0" w:color="000000"/>
              <w:right w:val="single" w:sz="4" w:space="0" w:color="000000"/>
            </w:tcBorders>
            <w:shd w:val="clear" w:color="000000" w:fill="90EE90"/>
            <w:vAlign w:val="bottom"/>
          </w:tcPr>
          <w:p w14:paraId="7ECB2106"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0,293</w:t>
            </w:r>
          </w:p>
        </w:tc>
        <w:tc>
          <w:tcPr>
            <w:tcW w:w="881" w:type="dxa"/>
            <w:tcBorders>
              <w:bottom w:val="single" w:sz="4" w:space="0" w:color="000000"/>
              <w:right w:val="single" w:sz="4" w:space="0" w:color="000000"/>
            </w:tcBorders>
            <w:shd w:val="clear" w:color="000000" w:fill="90EE90"/>
            <w:vAlign w:val="bottom"/>
          </w:tcPr>
          <w:p w14:paraId="51BEE135"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0,336</w:t>
            </w:r>
          </w:p>
        </w:tc>
        <w:tc>
          <w:tcPr>
            <w:tcW w:w="903" w:type="dxa"/>
            <w:tcBorders>
              <w:bottom w:val="single" w:sz="4" w:space="0" w:color="000000"/>
              <w:right w:val="single" w:sz="4" w:space="0" w:color="000000"/>
            </w:tcBorders>
            <w:shd w:val="clear" w:color="000000" w:fill="90EE90"/>
            <w:vAlign w:val="bottom"/>
          </w:tcPr>
          <w:p w14:paraId="22D29C2D"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0,906</w:t>
            </w:r>
          </w:p>
        </w:tc>
        <w:tc>
          <w:tcPr>
            <w:tcW w:w="789" w:type="dxa"/>
            <w:tcBorders>
              <w:bottom w:val="single" w:sz="4" w:space="0" w:color="000000"/>
              <w:right w:val="single" w:sz="4" w:space="0" w:color="000000"/>
            </w:tcBorders>
            <w:shd w:val="clear" w:color="000000" w:fill="90EE90"/>
            <w:vAlign w:val="bottom"/>
          </w:tcPr>
          <w:p w14:paraId="04BE2FB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0,323</w:t>
            </w:r>
          </w:p>
        </w:tc>
        <w:tc>
          <w:tcPr>
            <w:tcW w:w="1068" w:type="dxa"/>
            <w:tcBorders>
              <w:bottom w:val="single" w:sz="4" w:space="0" w:color="000000"/>
              <w:right w:val="single" w:sz="4" w:space="0" w:color="000000"/>
            </w:tcBorders>
            <w:shd w:val="clear" w:color="000000" w:fill="90EE90"/>
            <w:vAlign w:val="bottom"/>
          </w:tcPr>
          <w:p w14:paraId="0F39FA6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0,050</w:t>
            </w:r>
          </w:p>
        </w:tc>
      </w:tr>
      <w:tr w:rsidR="00D97723" w14:paraId="5B072E21"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02588930"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X4.2</w:t>
            </w:r>
          </w:p>
        </w:tc>
        <w:tc>
          <w:tcPr>
            <w:tcW w:w="916" w:type="dxa"/>
            <w:tcBorders>
              <w:bottom w:val="single" w:sz="4" w:space="0" w:color="000000"/>
              <w:right w:val="single" w:sz="4" w:space="0" w:color="000000"/>
            </w:tcBorders>
            <w:shd w:val="clear" w:color="auto" w:fill="auto"/>
            <w:vAlign w:val="bottom"/>
          </w:tcPr>
          <w:p w14:paraId="19939E27"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0,343</w:t>
            </w:r>
          </w:p>
        </w:tc>
        <w:tc>
          <w:tcPr>
            <w:tcW w:w="949" w:type="dxa"/>
            <w:tcBorders>
              <w:bottom w:val="single" w:sz="4" w:space="0" w:color="000000"/>
              <w:right w:val="single" w:sz="4" w:space="0" w:color="000000"/>
            </w:tcBorders>
            <w:shd w:val="clear" w:color="auto" w:fill="auto"/>
            <w:vAlign w:val="bottom"/>
          </w:tcPr>
          <w:p w14:paraId="4F26FBF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0,249</w:t>
            </w:r>
          </w:p>
        </w:tc>
        <w:tc>
          <w:tcPr>
            <w:tcW w:w="881" w:type="dxa"/>
            <w:tcBorders>
              <w:bottom w:val="single" w:sz="4" w:space="0" w:color="000000"/>
              <w:right w:val="single" w:sz="4" w:space="0" w:color="000000"/>
            </w:tcBorders>
            <w:shd w:val="clear" w:color="auto" w:fill="auto"/>
            <w:vAlign w:val="bottom"/>
          </w:tcPr>
          <w:p w14:paraId="259DDDC5"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0,242</w:t>
            </w:r>
          </w:p>
        </w:tc>
        <w:tc>
          <w:tcPr>
            <w:tcW w:w="903" w:type="dxa"/>
            <w:tcBorders>
              <w:bottom w:val="single" w:sz="4" w:space="0" w:color="000000"/>
              <w:right w:val="single" w:sz="4" w:space="0" w:color="000000"/>
            </w:tcBorders>
            <w:shd w:val="clear" w:color="auto" w:fill="auto"/>
            <w:vAlign w:val="bottom"/>
          </w:tcPr>
          <w:p w14:paraId="3451A5A2"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0,913</w:t>
            </w:r>
          </w:p>
        </w:tc>
        <w:tc>
          <w:tcPr>
            <w:tcW w:w="789" w:type="dxa"/>
            <w:tcBorders>
              <w:bottom w:val="single" w:sz="4" w:space="0" w:color="000000"/>
              <w:right w:val="single" w:sz="4" w:space="0" w:color="000000"/>
            </w:tcBorders>
            <w:shd w:val="clear" w:color="auto" w:fill="auto"/>
            <w:vAlign w:val="bottom"/>
          </w:tcPr>
          <w:p w14:paraId="3B4C143D"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0,301</w:t>
            </w:r>
          </w:p>
        </w:tc>
        <w:tc>
          <w:tcPr>
            <w:tcW w:w="1068" w:type="dxa"/>
            <w:tcBorders>
              <w:bottom w:val="single" w:sz="4" w:space="0" w:color="000000"/>
              <w:right w:val="single" w:sz="4" w:space="0" w:color="000000"/>
            </w:tcBorders>
            <w:shd w:val="clear" w:color="auto" w:fill="auto"/>
            <w:vAlign w:val="bottom"/>
          </w:tcPr>
          <w:p w14:paraId="70B14093"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0,054</w:t>
            </w:r>
          </w:p>
        </w:tc>
      </w:tr>
      <w:tr w:rsidR="00D97723" w14:paraId="6B9B0E91"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3D818307"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X4.3</w:t>
            </w:r>
          </w:p>
        </w:tc>
        <w:tc>
          <w:tcPr>
            <w:tcW w:w="916" w:type="dxa"/>
            <w:tcBorders>
              <w:bottom w:val="single" w:sz="4" w:space="0" w:color="000000"/>
              <w:right w:val="single" w:sz="4" w:space="0" w:color="000000"/>
            </w:tcBorders>
            <w:shd w:val="clear" w:color="000000" w:fill="90EE90"/>
            <w:vAlign w:val="bottom"/>
          </w:tcPr>
          <w:p w14:paraId="2C8C719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0,334</w:t>
            </w:r>
          </w:p>
        </w:tc>
        <w:tc>
          <w:tcPr>
            <w:tcW w:w="949" w:type="dxa"/>
            <w:tcBorders>
              <w:bottom w:val="single" w:sz="4" w:space="0" w:color="000000"/>
              <w:right w:val="single" w:sz="4" w:space="0" w:color="000000"/>
            </w:tcBorders>
            <w:shd w:val="clear" w:color="000000" w:fill="90EE90"/>
            <w:vAlign w:val="bottom"/>
          </w:tcPr>
          <w:p w14:paraId="22EF9E94"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0,168</w:t>
            </w:r>
          </w:p>
        </w:tc>
        <w:tc>
          <w:tcPr>
            <w:tcW w:w="881" w:type="dxa"/>
            <w:tcBorders>
              <w:bottom w:val="single" w:sz="4" w:space="0" w:color="000000"/>
              <w:right w:val="single" w:sz="4" w:space="0" w:color="000000"/>
            </w:tcBorders>
            <w:shd w:val="clear" w:color="000000" w:fill="90EE90"/>
            <w:vAlign w:val="bottom"/>
          </w:tcPr>
          <w:p w14:paraId="5DA367F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0,199</w:t>
            </w:r>
          </w:p>
        </w:tc>
        <w:tc>
          <w:tcPr>
            <w:tcW w:w="903" w:type="dxa"/>
            <w:tcBorders>
              <w:bottom w:val="single" w:sz="4" w:space="0" w:color="000000"/>
              <w:right w:val="single" w:sz="4" w:space="0" w:color="000000"/>
            </w:tcBorders>
            <w:shd w:val="clear" w:color="000000" w:fill="90EE90"/>
            <w:vAlign w:val="bottom"/>
          </w:tcPr>
          <w:p w14:paraId="60D90EAE"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0,881</w:t>
            </w:r>
          </w:p>
        </w:tc>
        <w:tc>
          <w:tcPr>
            <w:tcW w:w="789" w:type="dxa"/>
            <w:tcBorders>
              <w:bottom w:val="single" w:sz="4" w:space="0" w:color="000000"/>
              <w:right w:val="single" w:sz="4" w:space="0" w:color="000000"/>
            </w:tcBorders>
            <w:shd w:val="clear" w:color="000000" w:fill="90EE90"/>
            <w:vAlign w:val="bottom"/>
          </w:tcPr>
          <w:p w14:paraId="021504C7"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0,288</w:t>
            </w:r>
          </w:p>
        </w:tc>
        <w:tc>
          <w:tcPr>
            <w:tcW w:w="1068" w:type="dxa"/>
            <w:tcBorders>
              <w:bottom w:val="single" w:sz="4" w:space="0" w:color="000000"/>
              <w:right w:val="single" w:sz="4" w:space="0" w:color="000000"/>
            </w:tcBorders>
            <w:shd w:val="clear" w:color="000000" w:fill="90EE90"/>
            <w:vAlign w:val="bottom"/>
          </w:tcPr>
          <w:p w14:paraId="7B64F86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0,010</w:t>
            </w:r>
          </w:p>
        </w:tc>
      </w:tr>
      <w:tr w:rsidR="00D97723" w14:paraId="136CADEF"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368ABE99"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X4.4</w:t>
            </w:r>
          </w:p>
        </w:tc>
        <w:tc>
          <w:tcPr>
            <w:tcW w:w="916" w:type="dxa"/>
            <w:tcBorders>
              <w:bottom w:val="single" w:sz="4" w:space="0" w:color="000000"/>
              <w:right w:val="single" w:sz="4" w:space="0" w:color="000000"/>
            </w:tcBorders>
            <w:shd w:val="clear" w:color="auto" w:fill="auto"/>
            <w:vAlign w:val="bottom"/>
          </w:tcPr>
          <w:p w14:paraId="03BEB90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0,373</w:t>
            </w:r>
          </w:p>
        </w:tc>
        <w:tc>
          <w:tcPr>
            <w:tcW w:w="949" w:type="dxa"/>
            <w:tcBorders>
              <w:bottom w:val="single" w:sz="4" w:space="0" w:color="000000"/>
              <w:right w:val="single" w:sz="4" w:space="0" w:color="000000"/>
            </w:tcBorders>
            <w:shd w:val="clear" w:color="auto" w:fill="auto"/>
            <w:vAlign w:val="bottom"/>
          </w:tcPr>
          <w:p w14:paraId="46CD9D15"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0,155</w:t>
            </w:r>
          </w:p>
        </w:tc>
        <w:tc>
          <w:tcPr>
            <w:tcW w:w="881" w:type="dxa"/>
            <w:tcBorders>
              <w:bottom w:val="single" w:sz="4" w:space="0" w:color="000000"/>
              <w:right w:val="single" w:sz="4" w:space="0" w:color="000000"/>
            </w:tcBorders>
            <w:shd w:val="clear" w:color="auto" w:fill="auto"/>
            <w:vAlign w:val="bottom"/>
          </w:tcPr>
          <w:p w14:paraId="59101069"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0,282</w:t>
            </w:r>
          </w:p>
        </w:tc>
        <w:tc>
          <w:tcPr>
            <w:tcW w:w="903" w:type="dxa"/>
            <w:tcBorders>
              <w:bottom w:val="single" w:sz="4" w:space="0" w:color="000000"/>
              <w:right w:val="single" w:sz="4" w:space="0" w:color="000000"/>
            </w:tcBorders>
            <w:shd w:val="clear" w:color="auto" w:fill="auto"/>
            <w:vAlign w:val="bottom"/>
          </w:tcPr>
          <w:p w14:paraId="5852678E"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0,883</w:t>
            </w:r>
          </w:p>
        </w:tc>
        <w:tc>
          <w:tcPr>
            <w:tcW w:w="789" w:type="dxa"/>
            <w:tcBorders>
              <w:bottom w:val="single" w:sz="4" w:space="0" w:color="000000"/>
              <w:right w:val="single" w:sz="4" w:space="0" w:color="000000"/>
            </w:tcBorders>
            <w:shd w:val="clear" w:color="auto" w:fill="auto"/>
            <w:vAlign w:val="bottom"/>
          </w:tcPr>
          <w:p w14:paraId="6C5BA380"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0,275</w:t>
            </w:r>
          </w:p>
        </w:tc>
        <w:tc>
          <w:tcPr>
            <w:tcW w:w="1068" w:type="dxa"/>
            <w:tcBorders>
              <w:bottom w:val="single" w:sz="4" w:space="0" w:color="000000"/>
              <w:right w:val="single" w:sz="4" w:space="0" w:color="000000"/>
            </w:tcBorders>
            <w:shd w:val="clear" w:color="auto" w:fill="auto"/>
            <w:vAlign w:val="bottom"/>
          </w:tcPr>
          <w:p w14:paraId="129C5B71"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0,039</w:t>
            </w:r>
          </w:p>
        </w:tc>
      </w:tr>
      <w:tr w:rsidR="00D97723" w14:paraId="5AB43C08"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4B595FEC"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Y.1</w:t>
            </w:r>
          </w:p>
        </w:tc>
        <w:tc>
          <w:tcPr>
            <w:tcW w:w="916" w:type="dxa"/>
            <w:tcBorders>
              <w:bottom w:val="single" w:sz="4" w:space="0" w:color="000000"/>
              <w:right w:val="single" w:sz="4" w:space="0" w:color="000000"/>
            </w:tcBorders>
            <w:shd w:val="clear" w:color="000000" w:fill="90EE90"/>
            <w:vAlign w:val="bottom"/>
          </w:tcPr>
          <w:p w14:paraId="3EC1C01E"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0,571</w:t>
            </w:r>
          </w:p>
        </w:tc>
        <w:tc>
          <w:tcPr>
            <w:tcW w:w="949" w:type="dxa"/>
            <w:tcBorders>
              <w:bottom w:val="single" w:sz="4" w:space="0" w:color="000000"/>
              <w:right w:val="single" w:sz="4" w:space="0" w:color="000000"/>
            </w:tcBorders>
            <w:shd w:val="clear" w:color="000000" w:fill="90EE90"/>
            <w:vAlign w:val="bottom"/>
          </w:tcPr>
          <w:p w14:paraId="29F42181"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0,515</w:t>
            </w:r>
          </w:p>
        </w:tc>
        <w:tc>
          <w:tcPr>
            <w:tcW w:w="881" w:type="dxa"/>
            <w:tcBorders>
              <w:bottom w:val="single" w:sz="4" w:space="0" w:color="000000"/>
              <w:right w:val="single" w:sz="4" w:space="0" w:color="000000"/>
            </w:tcBorders>
            <w:shd w:val="clear" w:color="000000" w:fill="90EE90"/>
            <w:vAlign w:val="bottom"/>
          </w:tcPr>
          <w:p w14:paraId="15B62D34"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0,676</w:t>
            </w:r>
          </w:p>
        </w:tc>
        <w:tc>
          <w:tcPr>
            <w:tcW w:w="903" w:type="dxa"/>
            <w:tcBorders>
              <w:bottom w:val="single" w:sz="4" w:space="0" w:color="000000"/>
              <w:right w:val="single" w:sz="4" w:space="0" w:color="000000"/>
            </w:tcBorders>
            <w:shd w:val="clear" w:color="000000" w:fill="90EE90"/>
            <w:vAlign w:val="bottom"/>
          </w:tcPr>
          <w:p w14:paraId="08F0E77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0,213</w:t>
            </w:r>
          </w:p>
        </w:tc>
        <w:tc>
          <w:tcPr>
            <w:tcW w:w="789" w:type="dxa"/>
            <w:tcBorders>
              <w:bottom w:val="single" w:sz="4" w:space="0" w:color="000000"/>
              <w:right w:val="single" w:sz="4" w:space="0" w:color="000000"/>
            </w:tcBorders>
            <w:shd w:val="clear" w:color="000000" w:fill="90EE90"/>
            <w:vAlign w:val="bottom"/>
          </w:tcPr>
          <w:p w14:paraId="1CED0705"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0,872</w:t>
            </w:r>
          </w:p>
        </w:tc>
        <w:tc>
          <w:tcPr>
            <w:tcW w:w="1068" w:type="dxa"/>
            <w:tcBorders>
              <w:bottom w:val="single" w:sz="4" w:space="0" w:color="000000"/>
              <w:right w:val="single" w:sz="4" w:space="0" w:color="000000"/>
            </w:tcBorders>
            <w:shd w:val="clear" w:color="000000" w:fill="90EE90"/>
            <w:vAlign w:val="bottom"/>
          </w:tcPr>
          <w:p w14:paraId="4C32FA2C"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color w:val="000000"/>
                <w:sz w:val="20"/>
                <w:szCs w:val="20"/>
              </w:rPr>
              <w:t>0,212</w:t>
            </w:r>
          </w:p>
        </w:tc>
      </w:tr>
      <w:tr w:rsidR="00D97723" w14:paraId="4E43F905"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4F6FD4C6"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Y.2</w:t>
            </w:r>
          </w:p>
        </w:tc>
        <w:tc>
          <w:tcPr>
            <w:tcW w:w="916" w:type="dxa"/>
            <w:tcBorders>
              <w:bottom w:val="single" w:sz="4" w:space="0" w:color="000000"/>
              <w:right w:val="single" w:sz="4" w:space="0" w:color="000000"/>
            </w:tcBorders>
            <w:shd w:val="clear" w:color="auto" w:fill="auto"/>
            <w:vAlign w:val="bottom"/>
          </w:tcPr>
          <w:p w14:paraId="10428FE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0,317</w:t>
            </w:r>
          </w:p>
        </w:tc>
        <w:tc>
          <w:tcPr>
            <w:tcW w:w="949" w:type="dxa"/>
            <w:tcBorders>
              <w:bottom w:val="single" w:sz="4" w:space="0" w:color="000000"/>
              <w:right w:val="single" w:sz="4" w:space="0" w:color="000000"/>
            </w:tcBorders>
            <w:shd w:val="clear" w:color="auto" w:fill="auto"/>
            <w:vAlign w:val="bottom"/>
          </w:tcPr>
          <w:p w14:paraId="6497D1A2"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0,231</w:t>
            </w:r>
          </w:p>
        </w:tc>
        <w:tc>
          <w:tcPr>
            <w:tcW w:w="881" w:type="dxa"/>
            <w:tcBorders>
              <w:bottom w:val="single" w:sz="4" w:space="0" w:color="000000"/>
              <w:right w:val="single" w:sz="4" w:space="0" w:color="000000"/>
            </w:tcBorders>
            <w:shd w:val="clear" w:color="auto" w:fill="auto"/>
            <w:vAlign w:val="bottom"/>
          </w:tcPr>
          <w:p w14:paraId="2F521496"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0,330</w:t>
            </w:r>
          </w:p>
        </w:tc>
        <w:tc>
          <w:tcPr>
            <w:tcW w:w="903" w:type="dxa"/>
            <w:tcBorders>
              <w:bottom w:val="single" w:sz="4" w:space="0" w:color="000000"/>
              <w:right w:val="single" w:sz="4" w:space="0" w:color="000000"/>
            </w:tcBorders>
            <w:shd w:val="clear" w:color="auto" w:fill="auto"/>
            <w:vAlign w:val="bottom"/>
          </w:tcPr>
          <w:p w14:paraId="7AEC8512"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0,322</w:t>
            </w:r>
          </w:p>
        </w:tc>
        <w:tc>
          <w:tcPr>
            <w:tcW w:w="789" w:type="dxa"/>
            <w:tcBorders>
              <w:bottom w:val="single" w:sz="4" w:space="0" w:color="000000"/>
              <w:right w:val="single" w:sz="4" w:space="0" w:color="000000"/>
            </w:tcBorders>
            <w:shd w:val="clear" w:color="auto" w:fill="auto"/>
            <w:vAlign w:val="bottom"/>
          </w:tcPr>
          <w:p w14:paraId="5EBA07C9"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0,759</w:t>
            </w:r>
          </w:p>
        </w:tc>
        <w:tc>
          <w:tcPr>
            <w:tcW w:w="1068" w:type="dxa"/>
            <w:tcBorders>
              <w:bottom w:val="single" w:sz="4" w:space="0" w:color="000000"/>
              <w:right w:val="single" w:sz="4" w:space="0" w:color="000000"/>
            </w:tcBorders>
            <w:shd w:val="clear" w:color="auto" w:fill="auto"/>
            <w:vAlign w:val="bottom"/>
          </w:tcPr>
          <w:p w14:paraId="21C99ACA"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color w:val="000000"/>
                <w:sz w:val="20"/>
                <w:szCs w:val="20"/>
              </w:rPr>
              <w:t>0,089</w:t>
            </w:r>
          </w:p>
        </w:tc>
      </w:tr>
      <w:tr w:rsidR="00D97723" w14:paraId="3BFCC093" w14:textId="77777777" w:rsidTr="00A36740">
        <w:trPr>
          <w:trHeight w:val="232"/>
        </w:trPr>
        <w:tc>
          <w:tcPr>
            <w:tcW w:w="1910" w:type="dxa"/>
            <w:tcBorders>
              <w:left w:val="single" w:sz="4" w:space="0" w:color="000000"/>
              <w:bottom w:val="single" w:sz="4" w:space="0" w:color="000000"/>
              <w:right w:val="single" w:sz="4" w:space="0" w:color="000000"/>
            </w:tcBorders>
            <w:shd w:val="clear" w:color="000000" w:fill="555555"/>
            <w:vAlign w:val="bottom"/>
          </w:tcPr>
          <w:p w14:paraId="20B51327" w14:textId="77777777" w:rsidR="00D97723" w:rsidRPr="00D6136B" w:rsidRDefault="00456E38">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Y.3</w:t>
            </w:r>
          </w:p>
        </w:tc>
        <w:tc>
          <w:tcPr>
            <w:tcW w:w="916" w:type="dxa"/>
            <w:tcBorders>
              <w:bottom w:val="single" w:sz="4" w:space="0" w:color="000000"/>
              <w:right w:val="single" w:sz="4" w:space="0" w:color="000000"/>
            </w:tcBorders>
            <w:shd w:val="clear" w:color="000000" w:fill="90EE90"/>
            <w:vAlign w:val="bottom"/>
          </w:tcPr>
          <w:p w14:paraId="5DAC8CF1"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0,339</w:t>
            </w:r>
          </w:p>
        </w:tc>
        <w:tc>
          <w:tcPr>
            <w:tcW w:w="949" w:type="dxa"/>
            <w:tcBorders>
              <w:bottom w:val="single" w:sz="4" w:space="0" w:color="000000"/>
              <w:right w:val="single" w:sz="4" w:space="0" w:color="000000"/>
            </w:tcBorders>
            <w:shd w:val="clear" w:color="000000" w:fill="90EE90"/>
            <w:vAlign w:val="bottom"/>
          </w:tcPr>
          <w:p w14:paraId="3FA7E838"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0,236</w:t>
            </w:r>
          </w:p>
        </w:tc>
        <w:tc>
          <w:tcPr>
            <w:tcW w:w="881" w:type="dxa"/>
            <w:tcBorders>
              <w:bottom w:val="single" w:sz="4" w:space="0" w:color="000000"/>
              <w:right w:val="single" w:sz="4" w:space="0" w:color="000000"/>
            </w:tcBorders>
            <w:shd w:val="clear" w:color="000000" w:fill="90EE90"/>
            <w:vAlign w:val="bottom"/>
          </w:tcPr>
          <w:p w14:paraId="2784910D"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0,209</w:t>
            </w:r>
          </w:p>
        </w:tc>
        <w:tc>
          <w:tcPr>
            <w:tcW w:w="903" w:type="dxa"/>
            <w:tcBorders>
              <w:bottom w:val="single" w:sz="4" w:space="0" w:color="000000"/>
              <w:right w:val="single" w:sz="4" w:space="0" w:color="000000"/>
            </w:tcBorders>
            <w:shd w:val="clear" w:color="000000" w:fill="90EE90"/>
            <w:vAlign w:val="bottom"/>
          </w:tcPr>
          <w:p w14:paraId="23BD57F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0,321</w:t>
            </w:r>
          </w:p>
        </w:tc>
        <w:tc>
          <w:tcPr>
            <w:tcW w:w="789" w:type="dxa"/>
            <w:tcBorders>
              <w:bottom w:val="single" w:sz="4" w:space="0" w:color="000000"/>
              <w:right w:val="single" w:sz="4" w:space="0" w:color="000000"/>
            </w:tcBorders>
            <w:shd w:val="clear" w:color="000000" w:fill="90EE90"/>
            <w:vAlign w:val="bottom"/>
          </w:tcPr>
          <w:p w14:paraId="31E594EC"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0,728</w:t>
            </w:r>
          </w:p>
        </w:tc>
        <w:tc>
          <w:tcPr>
            <w:tcW w:w="1068" w:type="dxa"/>
            <w:tcBorders>
              <w:bottom w:val="single" w:sz="4" w:space="0" w:color="000000"/>
              <w:right w:val="single" w:sz="4" w:space="0" w:color="000000"/>
            </w:tcBorders>
            <w:shd w:val="clear" w:color="000000" w:fill="90EE90"/>
            <w:vAlign w:val="bottom"/>
          </w:tcPr>
          <w:p w14:paraId="4F8EFFEB"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color w:val="000000"/>
                <w:sz w:val="20"/>
                <w:szCs w:val="20"/>
              </w:rPr>
              <w:t>0,061</w:t>
            </w:r>
          </w:p>
        </w:tc>
      </w:tr>
      <w:tr w:rsidR="00D97723" w14:paraId="44ABC707" w14:textId="77777777" w:rsidTr="00A36740">
        <w:trPr>
          <w:trHeight w:val="232"/>
        </w:trPr>
        <w:tc>
          <w:tcPr>
            <w:tcW w:w="1910"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6A7497F3" w14:textId="77777777" w:rsidR="00D97723" w:rsidRPr="00D6136B" w:rsidRDefault="00456E38">
            <w:pPr>
              <w:jc w:val="center"/>
              <w:rPr>
                <w:rFonts w:ascii="Times New Roman" w:hAnsi="Times New Roman" w:cs="Times New Roman"/>
                <w:sz w:val="20"/>
                <w:szCs w:val="20"/>
              </w:rPr>
            </w:pPr>
            <w:r w:rsidRPr="00D6136B">
              <w:rPr>
                <w:rFonts w:ascii="Times New Roman" w:hAnsi="Times New Roman" w:cs="Times New Roman"/>
                <w:color w:val="FFFFFF" w:themeColor="background1"/>
                <w:sz w:val="20"/>
                <w:szCs w:val="20"/>
              </w:rPr>
              <w:t>Z</w:t>
            </w:r>
          </w:p>
        </w:tc>
        <w:tc>
          <w:tcPr>
            <w:tcW w:w="916" w:type="dxa"/>
            <w:tcBorders>
              <w:top w:val="single" w:sz="4" w:space="0" w:color="000000"/>
              <w:bottom w:val="single" w:sz="4" w:space="0" w:color="000000"/>
              <w:right w:val="single" w:sz="4" w:space="0" w:color="000000"/>
            </w:tcBorders>
            <w:shd w:val="clear" w:color="000000" w:fill="90EE90"/>
            <w:vAlign w:val="bottom"/>
          </w:tcPr>
          <w:p w14:paraId="15F6293C"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0,113</w:t>
            </w:r>
          </w:p>
        </w:tc>
        <w:tc>
          <w:tcPr>
            <w:tcW w:w="949" w:type="dxa"/>
            <w:tcBorders>
              <w:top w:val="single" w:sz="4" w:space="0" w:color="000000"/>
              <w:bottom w:val="single" w:sz="4" w:space="0" w:color="000000"/>
              <w:right w:val="single" w:sz="4" w:space="0" w:color="000000"/>
            </w:tcBorders>
            <w:shd w:val="clear" w:color="000000" w:fill="90EE90"/>
            <w:vAlign w:val="bottom"/>
          </w:tcPr>
          <w:p w14:paraId="1F98A21D"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0,187</w:t>
            </w:r>
          </w:p>
        </w:tc>
        <w:tc>
          <w:tcPr>
            <w:tcW w:w="881" w:type="dxa"/>
            <w:tcBorders>
              <w:top w:val="single" w:sz="4" w:space="0" w:color="000000"/>
              <w:bottom w:val="single" w:sz="4" w:space="0" w:color="000000"/>
              <w:right w:val="single" w:sz="4" w:space="0" w:color="000000"/>
            </w:tcBorders>
            <w:shd w:val="clear" w:color="000000" w:fill="90EE90"/>
            <w:vAlign w:val="bottom"/>
          </w:tcPr>
          <w:p w14:paraId="3D8FF8AB"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0,120</w:t>
            </w:r>
          </w:p>
        </w:tc>
        <w:tc>
          <w:tcPr>
            <w:tcW w:w="903" w:type="dxa"/>
            <w:tcBorders>
              <w:top w:val="single" w:sz="4" w:space="0" w:color="000000"/>
              <w:bottom w:val="single" w:sz="4" w:space="0" w:color="000000"/>
              <w:right w:val="single" w:sz="4" w:space="0" w:color="000000"/>
            </w:tcBorders>
            <w:shd w:val="clear" w:color="000000" w:fill="90EE90"/>
            <w:vAlign w:val="bottom"/>
          </w:tcPr>
          <w:p w14:paraId="5743928F" w14:textId="77777777" w:rsidR="00D97723" w:rsidRPr="00D6136B" w:rsidRDefault="00456E38">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0,044</w:t>
            </w:r>
          </w:p>
        </w:tc>
        <w:tc>
          <w:tcPr>
            <w:tcW w:w="789" w:type="dxa"/>
            <w:tcBorders>
              <w:top w:val="single" w:sz="4" w:space="0" w:color="000000"/>
              <w:bottom w:val="single" w:sz="4" w:space="0" w:color="000000"/>
              <w:right w:val="single" w:sz="4" w:space="0" w:color="000000"/>
            </w:tcBorders>
            <w:shd w:val="clear" w:color="000000" w:fill="90EE90"/>
            <w:vAlign w:val="bottom"/>
          </w:tcPr>
          <w:p w14:paraId="565A5B01"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color w:val="000000"/>
                <w:sz w:val="20"/>
                <w:szCs w:val="20"/>
              </w:rPr>
              <w:t>0,177</w:t>
            </w:r>
          </w:p>
        </w:tc>
        <w:tc>
          <w:tcPr>
            <w:tcW w:w="1068" w:type="dxa"/>
            <w:tcBorders>
              <w:top w:val="single" w:sz="4" w:space="0" w:color="000000"/>
              <w:bottom w:val="single" w:sz="4" w:space="0" w:color="000000"/>
              <w:right w:val="single" w:sz="4" w:space="0" w:color="000000"/>
            </w:tcBorders>
            <w:shd w:val="clear" w:color="000000" w:fill="90EE90"/>
            <w:vAlign w:val="bottom"/>
          </w:tcPr>
          <w:p w14:paraId="63621425" w14:textId="77777777" w:rsidR="00D97723" w:rsidRPr="00D6136B" w:rsidRDefault="00456E38">
            <w:pPr>
              <w:jc w:val="right"/>
              <w:rPr>
                <w:rFonts w:ascii="Times New Roman" w:hAnsi="Times New Roman" w:cs="Times New Roman"/>
                <w:b/>
                <w:bCs/>
                <w:color w:val="000000"/>
                <w:sz w:val="20"/>
                <w:szCs w:val="20"/>
              </w:rPr>
            </w:pPr>
            <w:r w:rsidRPr="00D6136B">
              <w:rPr>
                <w:rFonts w:ascii="Times New Roman" w:hAnsi="Times New Roman" w:cs="Times New Roman"/>
                <w:b/>
                <w:bCs/>
                <w:color w:val="000000"/>
                <w:sz w:val="20"/>
                <w:szCs w:val="20"/>
              </w:rPr>
              <w:t>1,000</w:t>
            </w:r>
          </w:p>
        </w:tc>
      </w:tr>
    </w:tbl>
    <w:p w14:paraId="0CFF2D7D" w14:textId="77777777" w:rsidR="00D97723" w:rsidRPr="00D6136B" w:rsidRDefault="00456E38">
      <w:pPr>
        <w:pStyle w:val="BodyText"/>
        <w:spacing w:before="121"/>
        <w:ind w:left="709" w:right="45"/>
        <w:rPr>
          <w:rFonts w:ascii="Times New Roman" w:hAnsi="Times New Roman" w:cs="Times New Roman"/>
          <w:sz w:val="16"/>
          <w:szCs w:val="16"/>
        </w:rPr>
      </w:pPr>
      <w:r w:rsidRPr="00D6136B">
        <w:rPr>
          <w:rFonts w:ascii="Times New Roman" w:hAnsi="Times New Roman" w:cs="Times New Roman"/>
          <w:sz w:val="16"/>
          <w:szCs w:val="16"/>
        </w:rPr>
        <w:t>Sources: Processed secondary data (2024)</w:t>
      </w:r>
    </w:p>
    <w:p w14:paraId="3480D500" w14:textId="77777777" w:rsidR="00D97723" w:rsidRDefault="00D97723">
      <w:pPr>
        <w:pStyle w:val="ListParagraph"/>
        <w:tabs>
          <w:tab w:val="left" w:pos="619"/>
        </w:tabs>
        <w:ind w:firstLine="0"/>
        <w:rPr>
          <w:rFonts w:ascii="Times New Roman" w:hAnsi="Times New Roman" w:cs="Times New Roman"/>
          <w:i/>
          <w:sz w:val="24"/>
          <w:szCs w:val="24"/>
        </w:rPr>
      </w:pPr>
    </w:p>
    <w:p w14:paraId="4D782A81" w14:textId="77777777" w:rsidR="00D97723" w:rsidRPr="00D6136B" w:rsidRDefault="00456E38">
      <w:pPr>
        <w:pStyle w:val="ListParagraph"/>
        <w:numPr>
          <w:ilvl w:val="1"/>
          <w:numId w:val="1"/>
        </w:numPr>
        <w:tabs>
          <w:tab w:val="left" w:pos="619"/>
        </w:tabs>
        <w:rPr>
          <w:rFonts w:ascii="Times New Roman" w:hAnsi="Times New Roman" w:cs="Times New Roman"/>
          <w:iCs/>
          <w:sz w:val="24"/>
          <w:szCs w:val="24"/>
        </w:rPr>
      </w:pPr>
      <w:r w:rsidRPr="00D6136B">
        <w:rPr>
          <w:rFonts w:ascii="Times New Roman" w:hAnsi="Times New Roman" w:cs="Times New Roman"/>
          <w:iCs/>
          <w:sz w:val="24"/>
          <w:szCs w:val="24"/>
        </w:rPr>
        <w:t>Structural Model Test Results (Inner Model)</w:t>
      </w:r>
    </w:p>
    <w:p w14:paraId="160377F9" w14:textId="77777777" w:rsidR="00D97723" w:rsidRDefault="00D97723">
      <w:pPr>
        <w:pStyle w:val="ListParagraph"/>
        <w:tabs>
          <w:tab w:val="left" w:pos="619"/>
        </w:tabs>
        <w:ind w:firstLine="0"/>
        <w:rPr>
          <w:rFonts w:ascii="Times New Roman" w:hAnsi="Times New Roman" w:cs="Times New Roman"/>
          <w:i/>
          <w:sz w:val="24"/>
          <w:szCs w:val="24"/>
        </w:rPr>
      </w:pPr>
    </w:p>
    <w:p w14:paraId="1E1E4E85" w14:textId="77777777" w:rsidR="00D97723" w:rsidRDefault="00456E38">
      <w:pPr>
        <w:pStyle w:val="ListParagraph"/>
        <w:numPr>
          <w:ilvl w:val="2"/>
          <w:numId w:val="1"/>
        </w:numPr>
        <w:tabs>
          <w:tab w:val="left" w:pos="619"/>
        </w:tabs>
        <w:rPr>
          <w:rFonts w:ascii="Times New Roman" w:hAnsi="Times New Roman" w:cs="Times New Roman"/>
          <w:i/>
          <w:sz w:val="24"/>
          <w:szCs w:val="24"/>
        </w:rPr>
      </w:pPr>
      <w:proofErr w:type="spellStart"/>
      <w:r>
        <w:rPr>
          <w:rFonts w:ascii="Times New Roman" w:hAnsi="Times New Roman" w:cs="Times New Roman"/>
          <w:i/>
          <w:sz w:val="24"/>
          <w:szCs w:val="24"/>
        </w:rPr>
        <w:t>Coeficient</w:t>
      </w:r>
      <w:proofErr w:type="spellEnd"/>
      <w:r>
        <w:rPr>
          <w:rFonts w:ascii="Times New Roman" w:hAnsi="Times New Roman" w:cs="Times New Roman"/>
          <w:i/>
          <w:sz w:val="24"/>
          <w:szCs w:val="24"/>
        </w:rPr>
        <w:t xml:space="preserve"> of Determination (R2)</w:t>
      </w:r>
    </w:p>
    <w:p w14:paraId="0BB70D9A" w14:textId="77777777" w:rsidR="00D97723" w:rsidRPr="00D6136B" w:rsidRDefault="00456E38">
      <w:pPr>
        <w:pStyle w:val="ListParagraph"/>
        <w:tabs>
          <w:tab w:val="left" w:pos="619"/>
          <w:tab w:val="left" w:pos="1693"/>
        </w:tabs>
        <w:spacing w:line="276" w:lineRule="auto"/>
        <w:ind w:firstLine="0"/>
        <w:jc w:val="both"/>
        <w:rPr>
          <w:rFonts w:ascii="Times New Roman" w:hAnsi="Times New Roman" w:cs="Times New Roman"/>
          <w:i/>
        </w:rPr>
      </w:pPr>
      <w:r w:rsidRPr="00D6136B">
        <w:rPr>
          <w:rFonts w:ascii="Times New Roman" w:hAnsi="Times New Roman" w:cs="Times New Roman"/>
          <w:iCs/>
          <w:lang w:val="en-ID"/>
        </w:rPr>
        <w:t>The independent variable can convey almost all the information needed to explain the dependent variable if the R2 result is close to one. The more optimal the capability of the independent variable is to explain the research dependent variable, the closer it is to a value of one. The results of R2 are shown in the latent variable coefficients results</w:t>
      </w:r>
      <w:r w:rsidRPr="00D6136B">
        <w:rPr>
          <w:rFonts w:ascii="Times New Roman" w:hAnsi="Times New Roman" w:cs="Times New Roman"/>
          <w:i/>
          <w:lang w:val="en-ID"/>
        </w:rPr>
        <w:t>.</w:t>
      </w:r>
    </w:p>
    <w:p w14:paraId="4EED5871" w14:textId="6BDEBFEC" w:rsidR="00D97723" w:rsidRDefault="00456E38" w:rsidP="00D6136B">
      <w:pPr>
        <w:tabs>
          <w:tab w:val="left" w:pos="5209"/>
        </w:tabs>
        <w:ind w:left="603" w:right="603"/>
        <w:rPr>
          <w:rFonts w:ascii="Times New Roman" w:hAnsi="Times New Roman" w:cs="Times New Roman"/>
          <w:b/>
          <w:color w:val="231F20"/>
          <w:spacing w:val="-4"/>
          <w:sz w:val="24"/>
          <w:szCs w:val="24"/>
        </w:rPr>
      </w:pPr>
      <w:r>
        <w:rPr>
          <w:rFonts w:ascii="Times New Roman" w:hAnsi="Times New Roman" w:cs="Times New Roman"/>
          <w:b/>
          <w:color w:val="231F20"/>
          <w:sz w:val="24"/>
          <w:szCs w:val="24"/>
        </w:rPr>
        <w:t>Table</w:t>
      </w:r>
      <w:r>
        <w:rPr>
          <w:rFonts w:ascii="Times New Roman" w:hAnsi="Times New Roman" w:cs="Times New Roman"/>
          <w:b/>
          <w:color w:val="231F20"/>
          <w:spacing w:val="4"/>
          <w:sz w:val="24"/>
          <w:szCs w:val="24"/>
        </w:rPr>
        <w:t xml:space="preserve"> </w:t>
      </w:r>
      <w:r>
        <w:rPr>
          <w:rFonts w:ascii="Times New Roman" w:hAnsi="Times New Roman" w:cs="Times New Roman"/>
          <w:b/>
          <w:color w:val="231F20"/>
          <w:sz w:val="24"/>
          <w:szCs w:val="24"/>
        </w:rPr>
        <w:t>5:</w:t>
      </w:r>
      <w:r>
        <w:rPr>
          <w:rFonts w:ascii="Times New Roman" w:hAnsi="Times New Roman" w:cs="Times New Roman"/>
          <w:b/>
          <w:color w:val="231F20"/>
          <w:spacing w:val="4"/>
          <w:sz w:val="24"/>
          <w:szCs w:val="24"/>
        </w:rPr>
        <w:t xml:space="preserve"> </w:t>
      </w:r>
      <w:r>
        <w:rPr>
          <w:rFonts w:ascii="Times New Roman" w:hAnsi="Times New Roman" w:cs="Times New Roman"/>
          <w:b/>
          <w:color w:val="231F20"/>
          <w:sz w:val="24"/>
          <w:szCs w:val="24"/>
        </w:rPr>
        <w:t>R-Square</w:t>
      </w:r>
      <w:r>
        <w:rPr>
          <w:rFonts w:ascii="Times New Roman" w:hAnsi="Times New Roman" w:cs="Times New Roman"/>
          <w:b/>
          <w:color w:val="231F20"/>
          <w:spacing w:val="4"/>
          <w:sz w:val="24"/>
          <w:szCs w:val="24"/>
        </w:rPr>
        <w:t xml:space="preserve"> </w:t>
      </w:r>
      <w:r>
        <w:rPr>
          <w:rFonts w:ascii="Times New Roman" w:hAnsi="Times New Roman" w:cs="Times New Roman"/>
          <w:b/>
          <w:color w:val="231F20"/>
          <w:spacing w:val="-4"/>
          <w:sz w:val="24"/>
          <w:szCs w:val="24"/>
        </w:rPr>
        <w:t>(R</w:t>
      </w:r>
      <w:r>
        <w:rPr>
          <w:rFonts w:ascii="Times New Roman" w:hAnsi="Times New Roman" w:cs="Times New Roman"/>
          <w:b/>
          <w:color w:val="231F20"/>
          <w:spacing w:val="-4"/>
          <w:position w:val="6"/>
          <w:sz w:val="24"/>
          <w:szCs w:val="24"/>
        </w:rPr>
        <w:t>2</w:t>
      </w:r>
      <w:r>
        <w:rPr>
          <w:rFonts w:ascii="Times New Roman" w:hAnsi="Times New Roman" w:cs="Times New Roman"/>
          <w:b/>
          <w:color w:val="231F20"/>
          <w:spacing w:val="-4"/>
          <w:sz w:val="24"/>
          <w:szCs w:val="24"/>
        </w:rPr>
        <w:t>)</w:t>
      </w:r>
    </w:p>
    <w:tbl>
      <w:tblPr>
        <w:tblW w:w="7140" w:type="dxa"/>
        <w:tblInd w:w="709" w:type="dxa"/>
        <w:tblLook w:val="04A0" w:firstRow="1" w:lastRow="0" w:firstColumn="1" w:lastColumn="0" w:noHBand="0" w:noVBand="1"/>
      </w:tblPr>
      <w:tblGrid>
        <w:gridCol w:w="2124"/>
        <w:gridCol w:w="2134"/>
        <w:gridCol w:w="2882"/>
      </w:tblGrid>
      <w:tr w:rsidR="00D97723" w:rsidRPr="00D6136B" w14:paraId="6313AF05" w14:textId="77777777" w:rsidTr="00D6136B">
        <w:trPr>
          <w:trHeight w:val="290"/>
        </w:trPr>
        <w:tc>
          <w:tcPr>
            <w:tcW w:w="2124" w:type="dxa"/>
            <w:shd w:val="clear" w:color="auto" w:fill="auto"/>
            <w:vAlign w:val="bottom"/>
          </w:tcPr>
          <w:p w14:paraId="0266D593" w14:textId="77777777" w:rsidR="00D97723" w:rsidRPr="00D6136B" w:rsidRDefault="00D97723" w:rsidP="00D6136B">
            <w:pPr>
              <w:rPr>
                <w:rFonts w:ascii="Times New Roman" w:hAnsi="Times New Roman" w:cs="Times New Roman"/>
                <w:sz w:val="20"/>
                <w:szCs w:val="20"/>
              </w:rPr>
            </w:pPr>
          </w:p>
        </w:tc>
        <w:tc>
          <w:tcPr>
            <w:tcW w:w="2134"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3E1C18CE"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R-square</w:t>
            </w:r>
          </w:p>
        </w:tc>
        <w:tc>
          <w:tcPr>
            <w:tcW w:w="2882" w:type="dxa"/>
            <w:tcBorders>
              <w:top w:val="single" w:sz="4" w:space="0" w:color="000000"/>
              <w:bottom w:val="single" w:sz="4" w:space="0" w:color="000000"/>
              <w:right w:val="single" w:sz="4" w:space="0" w:color="000000"/>
            </w:tcBorders>
            <w:shd w:val="clear" w:color="000000" w:fill="555555"/>
            <w:vAlign w:val="bottom"/>
          </w:tcPr>
          <w:p w14:paraId="56F07DB7" w14:textId="77777777" w:rsidR="00D97723" w:rsidRPr="00D6136B" w:rsidRDefault="00456E38" w:rsidP="00D6136B">
            <w:pPr>
              <w:jc w:val="center"/>
              <w:rPr>
                <w:rFonts w:ascii="Times New Roman" w:hAnsi="Times New Roman" w:cs="Times New Roman"/>
                <w:color w:val="E8E8E8"/>
                <w:sz w:val="20"/>
                <w:szCs w:val="20"/>
              </w:rPr>
            </w:pPr>
            <w:r w:rsidRPr="00D6136B">
              <w:rPr>
                <w:rFonts w:ascii="Times New Roman" w:hAnsi="Times New Roman" w:cs="Times New Roman"/>
                <w:color w:val="E8E8E8"/>
                <w:sz w:val="20"/>
                <w:szCs w:val="20"/>
              </w:rPr>
              <w:t>R-square adjusted</w:t>
            </w:r>
          </w:p>
        </w:tc>
      </w:tr>
      <w:tr w:rsidR="00D97723" w14:paraId="17AD112C" w14:textId="77777777" w:rsidTr="00D6136B">
        <w:trPr>
          <w:trHeight w:val="290"/>
        </w:trPr>
        <w:tc>
          <w:tcPr>
            <w:tcW w:w="2124"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052E2EFB"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X2=IS</w:t>
            </w:r>
          </w:p>
        </w:tc>
        <w:tc>
          <w:tcPr>
            <w:tcW w:w="2134" w:type="dxa"/>
            <w:tcBorders>
              <w:bottom w:val="single" w:sz="4" w:space="0" w:color="000000"/>
              <w:right w:val="single" w:sz="4" w:space="0" w:color="000000"/>
            </w:tcBorders>
            <w:shd w:val="clear" w:color="000000" w:fill="90EE90"/>
            <w:vAlign w:val="bottom"/>
          </w:tcPr>
          <w:p w14:paraId="57CD16B1"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0,324</w:t>
            </w:r>
          </w:p>
        </w:tc>
        <w:tc>
          <w:tcPr>
            <w:tcW w:w="2882" w:type="dxa"/>
            <w:tcBorders>
              <w:bottom w:val="single" w:sz="4" w:space="0" w:color="000000"/>
              <w:right w:val="single" w:sz="4" w:space="0" w:color="000000"/>
            </w:tcBorders>
            <w:shd w:val="clear" w:color="000000" w:fill="90EE90"/>
            <w:vAlign w:val="bottom"/>
          </w:tcPr>
          <w:p w14:paraId="71EC7763"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0,319</w:t>
            </w:r>
          </w:p>
        </w:tc>
      </w:tr>
      <w:tr w:rsidR="00D97723" w14:paraId="5CB3F001" w14:textId="77777777" w:rsidTr="00D6136B">
        <w:trPr>
          <w:trHeight w:val="290"/>
        </w:trPr>
        <w:tc>
          <w:tcPr>
            <w:tcW w:w="2124" w:type="dxa"/>
            <w:tcBorders>
              <w:left w:val="single" w:sz="4" w:space="0" w:color="000000"/>
              <w:bottom w:val="single" w:sz="4" w:space="0" w:color="000000"/>
              <w:right w:val="single" w:sz="4" w:space="0" w:color="000000"/>
            </w:tcBorders>
            <w:shd w:val="clear" w:color="000000" w:fill="555555"/>
            <w:vAlign w:val="bottom"/>
          </w:tcPr>
          <w:p w14:paraId="6578705E"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X3=SB</w:t>
            </w:r>
          </w:p>
        </w:tc>
        <w:tc>
          <w:tcPr>
            <w:tcW w:w="2134" w:type="dxa"/>
            <w:tcBorders>
              <w:bottom w:val="single" w:sz="4" w:space="0" w:color="000000"/>
              <w:right w:val="single" w:sz="4" w:space="0" w:color="000000"/>
            </w:tcBorders>
            <w:shd w:val="clear" w:color="auto" w:fill="auto"/>
            <w:vAlign w:val="bottom"/>
          </w:tcPr>
          <w:p w14:paraId="587BA681"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0,285</w:t>
            </w:r>
          </w:p>
        </w:tc>
        <w:tc>
          <w:tcPr>
            <w:tcW w:w="2882" w:type="dxa"/>
            <w:tcBorders>
              <w:bottom w:val="single" w:sz="4" w:space="0" w:color="000000"/>
              <w:right w:val="single" w:sz="4" w:space="0" w:color="000000"/>
            </w:tcBorders>
            <w:shd w:val="clear" w:color="auto" w:fill="auto"/>
            <w:vAlign w:val="bottom"/>
          </w:tcPr>
          <w:p w14:paraId="1AAF9355"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0,279</w:t>
            </w:r>
          </w:p>
        </w:tc>
      </w:tr>
      <w:tr w:rsidR="00D97723" w14:paraId="50674522" w14:textId="77777777" w:rsidTr="00D6136B">
        <w:trPr>
          <w:trHeight w:val="290"/>
        </w:trPr>
        <w:tc>
          <w:tcPr>
            <w:tcW w:w="2124" w:type="dxa"/>
            <w:tcBorders>
              <w:left w:val="single" w:sz="4" w:space="0" w:color="000000"/>
              <w:bottom w:val="single" w:sz="4" w:space="0" w:color="000000"/>
              <w:right w:val="single" w:sz="4" w:space="0" w:color="000000"/>
            </w:tcBorders>
            <w:shd w:val="clear" w:color="000000" w:fill="555555"/>
            <w:vAlign w:val="bottom"/>
          </w:tcPr>
          <w:p w14:paraId="7E0B452E"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Y= RP</w:t>
            </w:r>
          </w:p>
        </w:tc>
        <w:tc>
          <w:tcPr>
            <w:tcW w:w="2134" w:type="dxa"/>
            <w:tcBorders>
              <w:bottom w:val="single" w:sz="4" w:space="0" w:color="000000"/>
              <w:right w:val="single" w:sz="4" w:space="0" w:color="000000"/>
            </w:tcBorders>
            <w:shd w:val="clear" w:color="000000" w:fill="90EE90"/>
            <w:vAlign w:val="bottom"/>
          </w:tcPr>
          <w:p w14:paraId="1169E85B"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0,424</w:t>
            </w:r>
          </w:p>
        </w:tc>
        <w:tc>
          <w:tcPr>
            <w:tcW w:w="2882" w:type="dxa"/>
            <w:tcBorders>
              <w:bottom w:val="single" w:sz="4" w:space="0" w:color="000000"/>
              <w:right w:val="single" w:sz="4" w:space="0" w:color="000000"/>
            </w:tcBorders>
            <w:shd w:val="clear" w:color="000000" w:fill="90EE90"/>
            <w:vAlign w:val="bottom"/>
          </w:tcPr>
          <w:p w14:paraId="27039B3D" w14:textId="77777777" w:rsidR="00D97723" w:rsidRPr="00D6136B" w:rsidRDefault="00456E38" w:rsidP="00D6136B">
            <w:pPr>
              <w:jc w:val="center"/>
              <w:rPr>
                <w:rFonts w:ascii="Times New Roman" w:hAnsi="Times New Roman" w:cs="Times New Roman"/>
                <w:color w:val="000000"/>
                <w:sz w:val="20"/>
                <w:szCs w:val="20"/>
              </w:rPr>
            </w:pPr>
            <w:r w:rsidRPr="00D6136B">
              <w:rPr>
                <w:rFonts w:ascii="Times New Roman" w:hAnsi="Times New Roman" w:cs="Times New Roman"/>
                <w:color w:val="000000"/>
                <w:sz w:val="20"/>
                <w:szCs w:val="20"/>
              </w:rPr>
              <w:t>0,406</w:t>
            </w:r>
          </w:p>
        </w:tc>
      </w:tr>
    </w:tbl>
    <w:p w14:paraId="24D3F841" w14:textId="77777777" w:rsidR="00D97723" w:rsidRPr="00D6136B" w:rsidRDefault="00456E38" w:rsidP="00D6136B">
      <w:pPr>
        <w:pStyle w:val="BodyText"/>
        <w:spacing w:before="121"/>
        <w:ind w:left="709" w:right="45"/>
        <w:rPr>
          <w:rFonts w:ascii="Times New Roman" w:hAnsi="Times New Roman" w:cs="Times New Roman"/>
          <w:sz w:val="20"/>
          <w:szCs w:val="20"/>
        </w:rPr>
      </w:pPr>
      <w:r w:rsidRPr="00D6136B">
        <w:rPr>
          <w:rFonts w:ascii="Times New Roman" w:hAnsi="Times New Roman" w:cs="Times New Roman"/>
          <w:sz w:val="20"/>
          <w:szCs w:val="20"/>
        </w:rPr>
        <w:t>Sources: Processed secondary data (2024)</w:t>
      </w:r>
    </w:p>
    <w:p w14:paraId="72E7935A" w14:textId="77777777" w:rsidR="00D97723" w:rsidRPr="00D6136B" w:rsidRDefault="00456E38">
      <w:pPr>
        <w:pStyle w:val="BodyText"/>
        <w:spacing w:before="121"/>
        <w:ind w:left="709" w:right="45"/>
        <w:rPr>
          <w:rFonts w:ascii="Times New Roman" w:hAnsi="Times New Roman" w:cs="Times New Roman"/>
          <w:sz w:val="22"/>
          <w:szCs w:val="22"/>
        </w:rPr>
      </w:pPr>
      <w:r w:rsidRPr="00D6136B">
        <w:rPr>
          <w:rFonts w:ascii="Times New Roman" w:hAnsi="Times New Roman" w:cs="Times New Roman"/>
          <w:sz w:val="22"/>
          <w:szCs w:val="22"/>
        </w:rPr>
        <w:t xml:space="preserve">This test shows a good fit, especially X2 and Y and X3 are only slightly below 0.3 so they are still acceptable showing R² between 0.3 to 0.5 </w:t>
      </w:r>
    </w:p>
    <w:p w14:paraId="390CD74F" w14:textId="77777777" w:rsidR="00D97723" w:rsidRPr="00D6136B" w:rsidRDefault="00456E38">
      <w:pPr>
        <w:pStyle w:val="BodyText"/>
        <w:spacing w:before="121"/>
        <w:ind w:left="709" w:right="45"/>
        <w:rPr>
          <w:rFonts w:ascii="Times New Roman" w:hAnsi="Times New Roman" w:cs="Times New Roman"/>
          <w:sz w:val="22"/>
          <w:szCs w:val="22"/>
        </w:rPr>
      </w:pPr>
      <w:r w:rsidRPr="00D6136B">
        <w:rPr>
          <w:rFonts w:ascii="Times New Roman" w:hAnsi="Times New Roman" w:cs="Times New Roman"/>
          <w:sz w:val="22"/>
          <w:szCs w:val="22"/>
        </w:rPr>
        <w:t>The R square value when it is a dependent variable while the absence means independent or not influenced.</w:t>
      </w:r>
    </w:p>
    <w:p w14:paraId="3CACD607" w14:textId="77777777" w:rsidR="00D97723" w:rsidRDefault="00D97723">
      <w:pPr>
        <w:pStyle w:val="ListParagraph"/>
        <w:tabs>
          <w:tab w:val="left" w:pos="619"/>
        </w:tabs>
        <w:ind w:firstLine="0"/>
        <w:rPr>
          <w:rFonts w:ascii="Times New Roman" w:hAnsi="Times New Roman" w:cs="Times New Roman"/>
          <w:i/>
          <w:sz w:val="24"/>
          <w:szCs w:val="24"/>
        </w:rPr>
      </w:pPr>
    </w:p>
    <w:p w14:paraId="4D9BACB3" w14:textId="77777777" w:rsidR="00D97723" w:rsidRDefault="00456E38" w:rsidP="00D6136B">
      <w:pPr>
        <w:pStyle w:val="ListParagraph"/>
        <w:numPr>
          <w:ilvl w:val="2"/>
          <w:numId w:val="1"/>
        </w:numPr>
        <w:tabs>
          <w:tab w:val="left" w:pos="619"/>
        </w:tabs>
        <w:spacing w:line="276" w:lineRule="auto"/>
        <w:rPr>
          <w:rFonts w:ascii="Times New Roman" w:hAnsi="Times New Roman" w:cs="Times New Roman"/>
          <w:i/>
          <w:sz w:val="24"/>
          <w:szCs w:val="24"/>
        </w:rPr>
      </w:pPr>
      <w:r>
        <w:rPr>
          <w:rFonts w:ascii="Times New Roman" w:hAnsi="Times New Roman" w:cs="Times New Roman"/>
          <w:i/>
          <w:sz w:val="24"/>
          <w:szCs w:val="24"/>
        </w:rPr>
        <w:t xml:space="preserve">Hypothesis Test Results </w:t>
      </w:r>
    </w:p>
    <w:p w14:paraId="683D26EB" w14:textId="77777777" w:rsidR="00D97723" w:rsidRDefault="00D97723" w:rsidP="00D6136B">
      <w:pPr>
        <w:pStyle w:val="ListParagraph"/>
        <w:spacing w:before="1" w:line="276" w:lineRule="auto"/>
        <w:ind w:firstLine="0"/>
        <w:rPr>
          <w:rFonts w:ascii="Times New Roman" w:hAnsi="Times New Roman" w:cs="Times New Roman"/>
          <w:b/>
          <w:color w:val="231F20"/>
          <w:sz w:val="24"/>
          <w:szCs w:val="24"/>
        </w:rPr>
      </w:pPr>
    </w:p>
    <w:p w14:paraId="0D0AE1B0" w14:textId="77777777" w:rsidR="00D97723" w:rsidRPr="00D6136B" w:rsidRDefault="00456E38" w:rsidP="00D6136B">
      <w:pPr>
        <w:pStyle w:val="BodyText"/>
        <w:spacing w:before="121" w:line="276" w:lineRule="auto"/>
        <w:ind w:left="567" w:right="46"/>
        <w:rPr>
          <w:rFonts w:ascii="Times New Roman" w:hAnsi="Times New Roman" w:cs="Times New Roman"/>
          <w:sz w:val="22"/>
          <w:szCs w:val="22"/>
        </w:rPr>
      </w:pPr>
      <w:r w:rsidRPr="00D6136B">
        <w:rPr>
          <w:rFonts w:ascii="Times New Roman" w:hAnsi="Times New Roman" w:cs="Times New Roman"/>
          <w:color w:val="231F20"/>
          <w:sz w:val="22"/>
          <w:szCs w:val="22"/>
        </w:rPr>
        <w:t xml:space="preserve">Testing the relationship between the hypothesized research variables </w:t>
      </w:r>
      <w:r w:rsidRPr="00D6136B">
        <w:rPr>
          <w:rFonts w:ascii="Times New Roman" w:hAnsi="Times New Roman" w:cs="Times New Roman"/>
          <w:color w:val="231F20"/>
          <w:w w:val="105"/>
          <w:sz w:val="22"/>
          <w:szCs w:val="22"/>
        </w:rPr>
        <w:t>through the results of the path coefficient and P values shown in hypothesis</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testing.</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A</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significance</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value</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of</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0.05</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(α</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5%)</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was</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used</w:t>
      </w:r>
      <w:r w:rsidRPr="00D6136B">
        <w:rPr>
          <w:rFonts w:ascii="Times New Roman" w:hAnsi="Times New Roman" w:cs="Times New Roman"/>
          <w:color w:val="231F20"/>
          <w:spacing w:val="-5"/>
          <w:w w:val="105"/>
          <w:sz w:val="22"/>
          <w:szCs w:val="22"/>
        </w:rPr>
        <w:t xml:space="preserve"> </w:t>
      </w:r>
      <w:r w:rsidRPr="00D6136B">
        <w:rPr>
          <w:rFonts w:ascii="Times New Roman" w:hAnsi="Times New Roman" w:cs="Times New Roman"/>
          <w:color w:val="231F20"/>
          <w:w w:val="105"/>
          <w:sz w:val="22"/>
          <w:szCs w:val="22"/>
        </w:rPr>
        <w:t xml:space="preserve">in </w:t>
      </w:r>
      <w:r w:rsidRPr="00D6136B">
        <w:rPr>
          <w:rFonts w:ascii="Times New Roman" w:hAnsi="Times New Roman" w:cs="Times New Roman"/>
          <w:color w:val="231F20"/>
          <w:spacing w:val="-2"/>
          <w:w w:val="105"/>
          <w:sz w:val="22"/>
          <w:szCs w:val="22"/>
        </w:rPr>
        <w:t>the</w:t>
      </w:r>
      <w:r w:rsidRPr="00D6136B">
        <w:rPr>
          <w:rFonts w:ascii="Times New Roman" w:hAnsi="Times New Roman" w:cs="Times New Roman"/>
          <w:color w:val="231F20"/>
          <w:spacing w:val="-4"/>
          <w:w w:val="105"/>
          <w:sz w:val="22"/>
          <w:szCs w:val="22"/>
        </w:rPr>
        <w:t xml:space="preserve"> </w:t>
      </w:r>
      <w:r w:rsidRPr="00D6136B">
        <w:rPr>
          <w:rFonts w:ascii="Times New Roman" w:hAnsi="Times New Roman" w:cs="Times New Roman"/>
          <w:color w:val="231F20"/>
          <w:spacing w:val="-2"/>
          <w:w w:val="105"/>
          <w:sz w:val="22"/>
          <w:szCs w:val="22"/>
        </w:rPr>
        <w:t>research.</w:t>
      </w:r>
      <w:r w:rsidRPr="00D6136B">
        <w:rPr>
          <w:rFonts w:ascii="Times New Roman" w:hAnsi="Times New Roman" w:cs="Times New Roman"/>
          <w:color w:val="231F20"/>
          <w:spacing w:val="-4"/>
          <w:w w:val="105"/>
          <w:sz w:val="22"/>
          <w:szCs w:val="22"/>
        </w:rPr>
        <w:t xml:space="preserve"> </w:t>
      </w:r>
      <w:r w:rsidRPr="00D6136B">
        <w:rPr>
          <w:rFonts w:ascii="Times New Roman" w:hAnsi="Times New Roman" w:cs="Times New Roman"/>
          <w:color w:val="231F20"/>
          <w:spacing w:val="-2"/>
          <w:w w:val="105"/>
          <w:sz w:val="22"/>
          <w:szCs w:val="22"/>
        </w:rPr>
        <w:t>The</w:t>
      </w:r>
      <w:r w:rsidRPr="00D6136B">
        <w:rPr>
          <w:rFonts w:ascii="Times New Roman" w:hAnsi="Times New Roman" w:cs="Times New Roman"/>
          <w:color w:val="231F20"/>
          <w:spacing w:val="-4"/>
          <w:w w:val="105"/>
          <w:sz w:val="22"/>
          <w:szCs w:val="22"/>
        </w:rPr>
        <w:t xml:space="preserve"> </w:t>
      </w:r>
      <w:r w:rsidRPr="00D6136B">
        <w:rPr>
          <w:rFonts w:ascii="Times New Roman" w:hAnsi="Times New Roman" w:cs="Times New Roman"/>
          <w:color w:val="231F20"/>
          <w:spacing w:val="-2"/>
          <w:w w:val="105"/>
          <w:sz w:val="22"/>
          <w:szCs w:val="22"/>
        </w:rPr>
        <w:t>relationship</w:t>
      </w:r>
      <w:r w:rsidRPr="00D6136B">
        <w:rPr>
          <w:rFonts w:ascii="Times New Roman" w:hAnsi="Times New Roman" w:cs="Times New Roman"/>
          <w:color w:val="231F20"/>
          <w:spacing w:val="-4"/>
          <w:w w:val="105"/>
          <w:sz w:val="22"/>
          <w:szCs w:val="22"/>
        </w:rPr>
        <w:t xml:space="preserve"> </w:t>
      </w:r>
      <w:r w:rsidRPr="00D6136B">
        <w:rPr>
          <w:rFonts w:ascii="Times New Roman" w:hAnsi="Times New Roman" w:cs="Times New Roman"/>
          <w:color w:val="231F20"/>
          <w:spacing w:val="-2"/>
          <w:w w:val="105"/>
          <w:sz w:val="22"/>
          <w:szCs w:val="22"/>
        </w:rPr>
        <w:t>between</w:t>
      </w:r>
      <w:r w:rsidRPr="00D6136B">
        <w:rPr>
          <w:rFonts w:ascii="Times New Roman" w:hAnsi="Times New Roman" w:cs="Times New Roman"/>
          <w:color w:val="231F20"/>
          <w:spacing w:val="-4"/>
          <w:w w:val="105"/>
          <w:sz w:val="22"/>
          <w:szCs w:val="22"/>
        </w:rPr>
        <w:t xml:space="preserve"> </w:t>
      </w:r>
      <w:r w:rsidRPr="00D6136B">
        <w:rPr>
          <w:rFonts w:ascii="Times New Roman" w:hAnsi="Times New Roman" w:cs="Times New Roman"/>
          <w:color w:val="231F20"/>
          <w:spacing w:val="-2"/>
          <w:w w:val="105"/>
          <w:sz w:val="22"/>
          <w:szCs w:val="22"/>
        </w:rPr>
        <w:t>the</w:t>
      </w:r>
      <w:r w:rsidRPr="00D6136B">
        <w:rPr>
          <w:rFonts w:ascii="Times New Roman" w:hAnsi="Times New Roman" w:cs="Times New Roman"/>
          <w:color w:val="231F20"/>
          <w:spacing w:val="-4"/>
          <w:w w:val="105"/>
          <w:sz w:val="22"/>
          <w:szCs w:val="22"/>
        </w:rPr>
        <w:t xml:space="preserve"> </w:t>
      </w:r>
      <w:r w:rsidRPr="00D6136B">
        <w:rPr>
          <w:rFonts w:ascii="Times New Roman" w:hAnsi="Times New Roman" w:cs="Times New Roman"/>
          <w:color w:val="231F20"/>
          <w:spacing w:val="-2"/>
          <w:w w:val="105"/>
          <w:sz w:val="22"/>
          <w:szCs w:val="22"/>
        </w:rPr>
        <w:t>independent</w:t>
      </w:r>
      <w:r w:rsidRPr="00D6136B">
        <w:rPr>
          <w:rFonts w:ascii="Times New Roman" w:hAnsi="Times New Roman" w:cs="Times New Roman"/>
          <w:color w:val="231F20"/>
          <w:spacing w:val="-4"/>
          <w:w w:val="105"/>
          <w:sz w:val="22"/>
          <w:szCs w:val="22"/>
        </w:rPr>
        <w:t xml:space="preserve"> </w:t>
      </w:r>
      <w:r w:rsidRPr="00D6136B">
        <w:rPr>
          <w:rFonts w:ascii="Times New Roman" w:hAnsi="Times New Roman" w:cs="Times New Roman"/>
          <w:color w:val="231F20"/>
          <w:spacing w:val="-2"/>
          <w:w w:val="105"/>
          <w:sz w:val="22"/>
          <w:szCs w:val="22"/>
        </w:rPr>
        <w:t>variable</w:t>
      </w:r>
      <w:r w:rsidRPr="00D6136B">
        <w:rPr>
          <w:rFonts w:ascii="Times New Roman" w:hAnsi="Times New Roman" w:cs="Times New Roman"/>
          <w:color w:val="231F20"/>
          <w:spacing w:val="-4"/>
          <w:w w:val="105"/>
          <w:sz w:val="22"/>
          <w:szCs w:val="22"/>
        </w:rPr>
        <w:t xml:space="preserve"> </w:t>
      </w:r>
      <w:r w:rsidRPr="00D6136B">
        <w:rPr>
          <w:rFonts w:ascii="Times New Roman" w:hAnsi="Times New Roman" w:cs="Times New Roman"/>
          <w:color w:val="231F20"/>
          <w:spacing w:val="-2"/>
          <w:w w:val="105"/>
          <w:sz w:val="22"/>
          <w:szCs w:val="22"/>
        </w:rPr>
        <w:t xml:space="preserve">and </w:t>
      </w:r>
      <w:r w:rsidRPr="00D6136B">
        <w:rPr>
          <w:rFonts w:ascii="Times New Roman" w:hAnsi="Times New Roman" w:cs="Times New Roman"/>
          <w:color w:val="231F20"/>
          <w:w w:val="105"/>
          <w:sz w:val="22"/>
          <w:szCs w:val="22"/>
        </w:rPr>
        <w:t>the dependent variable is determined to be significant if the result</w:t>
      </w:r>
      <w:r w:rsidRPr="00D6136B">
        <w:rPr>
          <w:rFonts w:ascii="Times New Roman" w:hAnsi="Times New Roman" w:cs="Times New Roman"/>
          <w:color w:val="231F20"/>
          <w:spacing w:val="40"/>
          <w:w w:val="105"/>
          <w:sz w:val="22"/>
          <w:szCs w:val="22"/>
        </w:rPr>
        <w:t xml:space="preserve"> </w:t>
      </w:r>
      <w:r w:rsidRPr="00D6136B">
        <w:rPr>
          <w:rFonts w:ascii="Times New Roman" w:hAnsi="Times New Roman" w:cs="Times New Roman"/>
          <w:color w:val="231F20"/>
          <w:w w:val="105"/>
          <w:sz w:val="22"/>
          <w:szCs w:val="22"/>
        </w:rPr>
        <w:t>is less than 0.05 (</w:t>
      </w:r>
      <w:r w:rsidRPr="00D6136B">
        <w:rPr>
          <w:rFonts w:ascii="Times New Roman" w:hAnsi="Times New Roman" w:cs="Times New Roman"/>
          <w:i/>
          <w:color w:val="231F20"/>
          <w:w w:val="105"/>
          <w:sz w:val="22"/>
          <w:szCs w:val="22"/>
        </w:rPr>
        <w:t xml:space="preserve">P </w:t>
      </w:r>
      <w:r w:rsidRPr="00D6136B">
        <w:rPr>
          <w:rFonts w:ascii="Times New Roman" w:hAnsi="Times New Roman" w:cs="Times New Roman"/>
          <w:color w:val="231F20"/>
          <w:w w:val="105"/>
          <w:sz w:val="22"/>
          <w:szCs w:val="22"/>
        </w:rPr>
        <w:t>value &lt; 0.05). Meanwhile, if the P-value results are more than 0.05, it indicates that the relationship between the independent variables and the research dependent variable is rejected</w:t>
      </w:r>
      <w:r w:rsidRPr="00D6136B">
        <w:rPr>
          <w:rFonts w:ascii="Times New Roman" w:hAnsi="Times New Roman" w:cs="Times New Roman"/>
          <w:color w:val="231F20"/>
          <w:spacing w:val="-2"/>
          <w:w w:val="105"/>
          <w:sz w:val="22"/>
          <w:szCs w:val="22"/>
        </w:rPr>
        <w:t>.</w:t>
      </w:r>
    </w:p>
    <w:p w14:paraId="7580C805" w14:textId="77777777" w:rsidR="00D97723" w:rsidRDefault="00D97723">
      <w:pPr>
        <w:pStyle w:val="ListParagraph"/>
        <w:spacing w:before="1"/>
        <w:ind w:firstLine="0"/>
        <w:rPr>
          <w:rFonts w:ascii="Times New Roman" w:hAnsi="Times New Roman" w:cs="Times New Roman"/>
          <w:b/>
          <w:color w:val="231F20"/>
          <w:sz w:val="24"/>
          <w:szCs w:val="24"/>
        </w:rPr>
      </w:pPr>
    </w:p>
    <w:p w14:paraId="041E1E80" w14:textId="2C2BBC24" w:rsidR="00D97723" w:rsidRDefault="00456E38" w:rsidP="00D6136B">
      <w:pPr>
        <w:pStyle w:val="ListParagraph"/>
        <w:spacing w:before="1"/>
        <w:ind w:firstLine="0"/>
        <w:rPr>
          <w:rFonts w:ascii="Times New Roman" w:hAnsi="Times New Roman" w:cs="Times New Roman"/>
          <w:b/>
          <w:color w:val="231F20"/>
          <w:spacing w:val="-2"/>
          <w:sz w:val="24"/>
          <w:szCs w:val="24"/>
        </w:rPr>
      </w:pPr>
      <w:r>
        <w:rPr>
          <w:rFonts w:ascii="Times New Roman" w:hAnsi="Times New Roman" w:cs="Times New Roman"/>
          <w:b/>
          <w:color w:val="231F20"/>
          <w:sz w:val="24"/>
          <w:szCs w:val="24"/>
        </w:rPr>
        <w:t>Table</w:t>
      </w:r>
      <w:r>
        <w:rPr>
          <w:rFonts w:ascii="Times New Roman" w:hAnsi="Times New Roman" w:cs="Times New Roman"/>
          <w:b/>
          <w:color w:val="231F20"/>
          <w:spacing w:val="4"/>
          <w:sz w:val="24"/>
          <w:szCs w:val="24"/>
        </w:rPr>
        <w:t xml:space="preserve"> </w:t>
      </w:r>
      <w:r>
        <w:rPr>
          <w:rFonts w:ascii="Times New Roman" w:hAnsi="Times New Roman" w:cs="Times New Roman"/>
          <w:b/>
          <w:color w:val="231F20"/>
          <w:sz w:val="24"/>
          <w:szCs w:val="24"/>
        </w:rPr>
        <w:t>6</w:t>
      </w:r>
      <w:r w:rsidR="00D6136B">
        <w:rPr>
          <w:rFonts w:ascii="Times New Roman" w:hAnsi="Times New Roman" w:cs="Times New Roman"/>
          <w:b/>
          <w:color w:val="231F20"/>
          <w:sz w:val="24"/>
          <w:szCs w:val="24"/>
        </w:rPr>
        <w:t>.</w:t>
      </w:r>
      <w:r>
        <w:rPr>
          <w:rFonts w:ascii="Times New Roman" w:hAnsi="Times New Roman" w:cs="Times New Roman"/>
          <w:b/>
          <w:color w:val="231F20"/>
          <w:spacing w:val="4"/>
          <w:sz w:val="24"/>
          <w:szCs w:val="24"/>
        </w:rPr>
        <w:t xml:space="preserve"> </w:t>
      </w:r>
      <w:r>
        <w:rPr>
          <w:rFonts w:ascii="Times New Roman" w:hAnsi="Times New Roman" w:cs="Times New Roman"/>
          <w:b/>
          <w:color w:val="231F20"/>
          <w:sz w:val="24"/>
          <w:szCs w:val="24"/>
        </w:rPr>
        <w:t>Hypothesis</w:t>
      </w:r>
      <w:r>
        <w:rPr>
          <w:rFonts w:ascii="Times New Roman" w:hAnsi="Times New Roman" w:cs="Times New Roman"/>
          <w:b/>
          <w:color w:val="231F20"/>
          <w:spacing w:val="5"/>
          <w:sz w:val="24"/>
          <w:szCs w:val="24"/>
        </w:rPr>
        <w:t xml:space="preserve"> </w:t>
      </w:r>
      <w:r>
        <w:rPr>
          <w:rFonts w:ascii="Times New Roman" w:hAnsi="Times New Roman" w:cs="Times New Roman"/>
          <w:b/>
          <w:color w:val="231F20"/>
          <w:sz w:val="24"/>
          <w:szCs w:val="24"/>
        </w:rPr>
        <w:t>Test</w:t>
      </w:r>
      <w:r>
        <w:rPr>
          <w:rFonts w:ascii="Times New Roman" w:hAnsi="Times New Roman" w:cs="Times New Roman"/>
          <w:b/>
          <w:color w:val="231F20"/>
          <w:spacing w:val="4"/>
          <w:sz w:val="24"/>
          <w:szCs w:val="24"/>
        </w:rPr>
        <w:t xml:space="preserve"> </w:t>
      </w:r>
      <w:r>
        <w:rPr>
          <w:rFonts w:ascii="Times New Roman" w:hAnsi="Times New Roman" w:cs="Times New Roman"/>
          <w:b/>
          <w:color w:val="231F20"/>
          <w:spacing w:val="-2"/>
          <w:sz w:val="24"/>
          <w:szCs w:val="24"/>
        </w:rPr>
        <w:t>Results</w:t>
      </w:r>
    </w:p>
    <w:tbl>
      <w:tblPr>
        <w:tblW w:w="7559" w:type="dxa"/>
        <w:tblInd w:w="567" w:type="dxa"/>
        <w:tblLook w:val="04A0" w:firstRow="1" w:lastRow="0" w:firstColumn="1" w:lastColumn="0" w:noHBand="0" w:noVBand="1"/>
      </w:tblPr>
      <w:tblGrid>
        <w:gridCol w:w="1734"/>
        <w:gridCol w:w="883"/>
        <w:gridCol w:w="816"/>
        <w:gridCol w:w="1005"/>
        <w:gridCol w:w="1274"/>
        <w:gridCol w:w="772"/>
        <w:gridCol w:w="1075"/>
      </w:tblGrid>
      <w:tr w:rsidR="00D97723" w14:paraId="63803F38" w14:textId="77777777" w:rsidTr="00D6136B">
        <w:trPr>
          <w:trHeight w:val="700"/>
        </w:trPr>
        <w:tc>
          <w:tcPr>
            <w:tcW w:w="1734" w:type="dxa"/>
            <w:shd w:val="clear" w:color="auto" w:fill="auto"/>
            <w:vAlign w:val="bottom"/>
          </w:tcPr>
          <w:p w14:paraId="1284C6B4" w14:textId="77777777" w:rsidR="00D97723" w:rsidRDefault="00D97723" w:rsidP="00D6136B">
            <w:pPr>
              <w:rPr>
                <w:rFonts w:ascii="Times New Roman" w:hAnsi="Times New Roman" w:cs="Times New Roman"/>
                <w:sz w:val="20"/>
                <w:szCs w:val="20"/>
              </w:rPr>
            </w:pPr>
          </w:p>
        </w:tc>
        <w:tc>
          <w:tcPr>
            <w:tcW w:w="883"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0AC7B5B2"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Original Sample (O)</w:t>
            </w:r>
          </w:p>
        </w:tc>
        <w:tc>
          <w:tcPr>
            <w:tcW w:w="816" w:type="dxa"/>
            <w:tcBorders>
              <w:top w:val="single" w:sz="4" w:space="0" w:color="000000"/>
              <w:bottom w:val="single" w:sz="4" w:space="0" w:color="000000"/>
              <w:right w:val="single" w:sz="4" w:space="0" w:color="000000"/>
            </w:tcBorders>
            <w:shd w:val="clear" w:color="000000" w:fill="555555"/>
            <w:vAlign w:val="bottom"/>
          </w:tcPr>
          <w:p w14:paraId="2A921A06"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Sample Mean (M)</w:t>
            </w:r>
          </w:p>
        </w:tc>
        <w:tc>
          <w:tcPr>
            <w:tcW w:w="1005" w:type="dxa"/>
            <w:tcBorders>
              <w:top w:val="single" w:sz="4" w:space="0" w:color="000000"/>
              <w:bottom w:val="single" w:sz="4" w:space="0" w:color="000000"/>
              <w:right w:val="single" w:sz="4" w:space="0" w:color="000000"/>
            </w:tcBorders>
            <w:shd w:val="clear" w:color="000000" w:fill="555555"/>
            <w:vAlign w:val="bottom"/>
          </w:tcPr>
          <w:p w14:paraId="41FD2009"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Standard Deviation (STDEV)</w:t>
            </w:r>
          </w:p>
        </w:tc>
        <w:tc>
          <w:tcPr>
            <w:tcW w:w="1274" w:type="dxa"/>
            <w:tcBorders>
              <w:top w:val="single" w:sz="4" w:space="0" w:color="000000"/>
              <w:bottom w:val="single" w:sz="4" w:space="0" w:color="000000"/>
              <w:right w:val="single" w:sz="4" w:space="0" w:color="000000"/>
            </w:tcBorders>
            <w:shd w:val="clear" w:color="000000" w:fill="555555"/>
            <w:vAlign w:val="bottom"/>
          </w:tcPr>
          <w:p w14:paraId="26C2DA87"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themeColor="background1"/>
                <w:sz w:val="20"/>
                <w:szCs w:val="20"/>
              </w:rPr>
              <w:t>T statistics (|O/STDEV|)</w:t>
            </w:r>
          </w:p>
        </w:tc>
        <w:tc>
          <w:tcPr>
            <w:tcW w:w="772" w:type="dxa"/>
            <w:tcBorders>
              <w:top w:val="single" w:sz="4" w:space="0" w:color="000000"/>
              <w:bottom w:val="single" w:sz="4" w:space="0" w:color="000000"/>
              <w:right w:val="single" w:sz="4" w:space="0" w:color="000000"/>
            </w:tcBorders>
            <w:shd w:val="clear" w:color="000000" w:fill="555555"/>
            <w:vAlign w:val="bottom"/>
          </w:tcPr>
          <w:p w14:paraId="1C463E0B" w14:textId="77777777" w:rsidR="00D97723" w:rsidRPr="00D6136B" w:rsidRDefault="00456E38" w:rsidP="00D6136B">
            <w:pPr>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P Values</w:t>
            </w:r>
          </w:p>
        </w:tc>
        <w:tc>
          <w:tcPr>
            <w:tcW w:w="1075" w:type="dxa"/>
            <w:tcBorders>
              <w:top w:val="single" w:sz="4" w:space="0" w:color="000000"/>
              <w:bottom w:val="single" w:sz="4" w:space="0" w:color="000000"/>
              <w:right w:val="single" w:sz="4" w:space="0" w:color="000000"/>
            </w:tcBorders>
            <w:shd w:val="clear" w:color="000000" w:fill="555555"/>
          </w:tcPr>
          <w:p w14:paraId="4DC6ED09" w14:textId="77777777" w:rsidR="00D97723" w:rsidRPr="00D6136B" w:rsidRDefault="00456E38" w:rsidP="00D6136B">
            <w:pPr>
              <w:ind w:left="-35"/>
              <w:jc w:val="center"/>
              <w:rPr>
                <w:rFonts w:ascii="Times New Roman" w:hAnsi="Times New Roman" w:cs="Times New Roman"/>
                <w:color w:val="FFFFFF"/>
                <w:sz w:val="20"/>
                <w:szCs w:val="20"/>
              </w:rPr>
            </w:pPr>
            <w:r w:rsidRPr="00D6136B">
              <w:rPr>
                <w:rFonts w:ascii="Times New Roman" w:hAnsi="Times New Roman" w:cs="Times New Roman"/>
                <w:color w:val="FFFFFF"/>
                <w:sz w:val="20"/>
                <w:szCs w:val="20"/>
              </w:rPr>
              <w:t>Decision</w:t>
            </w:r>
          </w:p>
        </w:tc>
      </w:tr>
      <w:tr w:rsidR="00D97723" w14:paraId="3D43DCCF" w14:textId="77777777" w:rsidTr="00D6136B">
        <w:trPr>
          <w:trHeight w:val="700"/>
        </w:trPr>
        <w:tc>
          <w:tcPr>
            <w:tcW w:w="1734" w:type="dxa"/>
            <w:tcBorders>
              <w:top w:val="single" w:sz="4" w:space="0" w:color="000000"/>
              <w:left w:val="single" w:sz="4" w:space="0" w:color="000000"/>
              <w:bottom w:val="single" w:sz="4" w:space="0" w:color="000000"/>
              <w:right w:val="single" w:sz="4" w:space="0" w:color="000000"/>
            </w:tcBorders>
            <w:shd w:val="clear" w:color="000000" w:fill="555555"/>
            <w:vAlign w:val="bottom"/>
          </w:tcPr>
          <w:p w14:paraId="4A063616" w14:textId="77777777" w:rsidR="00D97723" w:rsidRDefault="00456E38" w:rsidP="00D6136B">
            <w:pPr>
              <w:rPr>
                <w:rFonts w:ascii="Times New Roman" w:hAnsi="Times New Roman" w:cs="Times New Roman"/>
                <w:color w:val="EEECE1" w:themeColor="background2"/>
                <w:sz w:val="20"/>
                <w:szCs w:val="20"/>
              </w:rPr>
            </w:pPr>
            <w:r>
              <w:rPr>
                <w:rFonts w:ascii="Times New Roman" w:hAnsi="Times New Roman" w:cs="Times New Roman"/>
                <w:color w:val="EEECE1" w:themeColor="background2"/>
                <w:sz w:val="20"/>
                <w:szCs w:val="20"/>
              </w:rPr>
              <w:t>X1 -&gt; X2</w:t>
            </w:r>
          </w:p>
        </w:tc>
        <w:tc>
          <w:tcPr>
            <w:tcW w:w="883" w:type="dxa"/>
            <w:tcBorders>
              <w:bottom w:val="single" w:sz="4" w:space="0" w:color="000000"/>
              <w:right w:val="single" w:sz="4" w:space="0" w:color="000000"/>
            </w:tcBorders>
            <w:shd w:val="clear" w:color="000000" w:fill="90EE90"/>
            <w:vAlign w:val="bottom"/>
          </w:tcPr>
          <w:p w14:paraId="6B55D5A9"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0,569</w:t>
            </w:r>
          </w:p>
        </w:tc>
        <w:tc>
          <w:tcPr>
            <w:tcW w:w="816" w:type="dxa"/>
            <w:tcBorders>
              <w:bottom w:val="single" w:sz="4" w:space="0" w:color="000000"/>
              <w:right w:val="single" w:sz="4" w:space="0" w:color="000000"/>
            </w:tcBorders>
            <w:shd w:val="clear" w:color="000000" w:fill="90EE90"/>
            <w:vAlign w:val="bottom"/>
          </w:tcPr>
          <w:p w14:paraId="56F2B545"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0,555</w:t>
            </w:r>
          </w:p>
        </w:tc>
        <w:tc>
          <w:tcPr>
            <w:tcW w:w="1005" w:type="dxa"/>
            <w:tcBorders>
              <w:bottom w:val="single" w:sz="4" w:space="0" w:color="000000"/>
              <w:right w:val="single" w:sz="4" w:space="0" w:color="000000"/>
            </w:tcBorders>
            <w:shd w:val="clear" w:color="000000" w:fill="90EE90"/>
            <w:vAlign w:val="bottom"/>
          </w:tcPr>
          <w:p w14:paraId="38210217"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0,105</w:t>
            </w:r>
          </w:p>
        </w:tc>
        <w:tc>
          <w:tcPr>
            <w:tcW w:w="1274" w:type="dxa"/>
            <w:tcBorders>
              <w:bottom w:val="single" w:sz="4" w:space="0" w:color="000000"/>
              <w:right w:val="single" w:sz="4" w:space="0" w:color="000000"/>
            </w:tcBorders>
            <w:shd w:val="clear" w:color="000000" w:fill="90EE90"/>
            <w:vAlign w:val="bottom"/>
          </w:tcPr>
          <w:p w14:paraId="655A0704"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sz w:val="20"/>
                <w:szCs w:val="20"/>
              </w:rPr>
              <w:t>5,429</w:t>
            </w:r>
          </w:p>
        </w:tc>
        <w:tc>
          <w:tcPr>
            <w:tcW w:w="772" w:type="dxa"/>
            <w:tcBorders>
              <w:bottom w:val="single" w:sz="4" w:space="0" w:color="000000"/>
              <w:right w:val="single" w:sz="4" w:space="0" w:color="000000"/>
            </w:tcBorders>
            <w:shd w:val="clear" w:color="000000" w:fill="90EE90"/>
            <w:vAlign w:val="bottom"/>
          </w:tcPr>
          <w:p w14:paraId="49CC1C6A"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6400"/>
                <w:sz w:val="20"/>
                <w:szCs w:val="20"/>
              </w:rPr>
              <w:t>0,000</w:t>
            </w:r>
          </w:p>
        </w:tc>
        <w:tc>
          <w:tcPr>
            <w:tcW w:w="1075" w:type="dxa"/>
            <w:tcBorders>
              <w:bottom w:val="single" w:sz="4" w:space="0" w:color="000000"/>
              <w:right w:val="single" w:sz="4" w:space="0" w:color="000000"/>
            </w:tcBorders>
            <w:shd w:val="clear" w:color="000000" w:fill="90EE90"/>
          </w:tcPr>
          <w:p w14:paraId="366AE0EE" w14:textId="77777777" w:rsidR="00D97723" w:rsidRPr="00D6136B" w:rsidRDefault="00456E38" w:rsidP="00D6136B">
            <w:pPr>
              <w:rPr>
                <w:rFonts w:ascii="Times New Roman" w:hAnsi="Times New Roman" w:cs="Times New Roman"/>
                <w:color w:val="006400"/>
                <w:sz w:val="20"/>
                <w:szCs w:val="20"/>
              </w:rPr>
            </w:pPr>
            <w:r w:rsidRPr="00D6136B">
              <w:rPr>
                <w:rFonts w:ascii="Times New Roman" w:hAnsi="Times New Roman" w:cs="Times New Roman"/>
                <w:color w:val="006400"/>
                <w:sz w:val="20"/>
                <w:szCs w:val="20"/>
              </w:rPr>
              <w:t>Accepted</w:t>
            </w:r>
          </w:p>
        </w:tc>
      </w:tr>
      <w:tr w:rsidR="00D97723" w14:paraId="343FCFFA" w14:textId="77777777" w:rsidTr="00D6136B">
        <w:trPr>
          <w:trHeight w:val="700"/>
        </w:trPr>
        <w:tc>
          <w:tcPr>
            <w:tcW w:w="1734" w:type="dxa"/>
            <w:tcBorders>
              <w:left w:val="single" w:sz="4" w:space="0" w:color="000000"/>
              <w:bottom w:val="single" w:sz="4" w:space="0" w:color="000000"/>
              <w:right w:val="single" w:sz="4" w:space="0" w:color="000000"/>
            </w:tcBorders>
            <w:shd w:val="clear" w:color="000000" w:fill="555555"/>
            <w:vAlign w:val="bottom"/>
          </w:tcPr>
          <w:p w14:paraId="6F7ABC93" w14:textId="77777777" w:rsidR="00D97723" w:rsidRDefault="00456E38" w:rsidP="00D6136B">
            <w:pPr>
              <w:rPr>
                <w:rFonts w:ascii="Times New Roman" w:hAnsi="Times New Roman" w:cs="Times New Roman"/>
                <w:color w:val="EEECE1" w:themeColor="background2"/>
                <w:sz w:val="20"/>
                <w:szCs w:val="20"/>
              </w:rPr>
            </w:pPr>
            <w:r>
              <w:rPr>
                <w:rFonts w:ascii="Times New Roman" w:hAnsi="Times New Roman" w:cs="Times New Roman"/>
                <w:color w:val="EEECE1" w:themeColor="background2"/>
                <w:sz w:val="20"/>
                <w:szCs w:val="20"/>
              </w:rPr>
              <w:t>X1 -&gt;  Y</w:t>
            </w:r>
          </w:p>
        </w:tc>
        <w:tc>
          <w:tcPr>
            <w:tcW w:w="883" w:type="dxa"/>
            <w:tcBorders>
              <w:bottom w:val="single" w:sz="4" w:space="0" w:color="000000"/>
              <w:right w:val="single" w:sz="4" w:space="0" w:color="000000"/>
            </w:tcBorders>
            <w:shd w:val="clear" w:color="auto" w:fill="auto"/>
            <w:vAlign w:val="bottom"/>
          </w:tcPr>
          <w:p w14:paraId="52A14944"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0,302</w:t>
            </w:r>
          </w:p>
        </w:tc>
        <w:tc>
          <w:tcPr>
            <w:tcW w:w="816" w:type="dxa"/>
            <w:tcBorders>
              <w:bottom w:val="single" w:sz="4" w:space="0" w:color="000000"/>
              <w:right w:val="single" w:sz="4" w:space="0" w:color="000000"/>
            </w:tcBorders>
            <w:shd w:val="clear" w:color="auto" w:fill="auto"/>
            <w:vAlign w:val="bottom"/>
          </w:tcPr>
          <w:p w14:paraId="108484E8"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0,295</w:t>
            </w:r>
          </w:p>
        </w:tc>
        <w:tc>
          <w:tcPr>
            <w:tcW w:w="1005" w:type="dxa"/>
            <w:tcBorders>
              <w:bottom w:val="single" w:sz="4" w:space="0" w:color="000000"/>
              <w:right w:val="single" w:sz="4" w:space="0" w:color="000000"/>
            </w:tcBorders>
            <w:shd w:val="clear" w:color="auto" w:fill="auto"/>
            <w:vAlign w:val="bottom"/>
          </w:tcPr>
          <w:p w14:paraId="46EB6B88"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0,108</w:t>
            </w:r>
          </w:p>
        </w:tc>
        <w:tc>
          <w:tcPr>
            <w:tcW w:w="1274" w:type="dxa"/>
            <w:tcBorders>
              <w:bottom w:val="single" w:sz="4" w:space="0" w:color="000000"/>
              <w:right w:val="single" w:sz="4" w:space="0" w:color="000000"/>
            </w:tcBorders>
            <w:shd w:val="clear" w:color="auto" w:fill="auto"/>
            <w:vAlign w:val="bottom"/>
          </w:tcPr>
          <w:p w14:paraId="50892389"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sz w:val="20"/>
                <w:szCs w:val="20"/>
              </w:rPr>
              <w:t>2,800</w:t>
            </w:r>
          </w:p>
        </w:tc>
        <w:tc>
          <w:tcPr>
            <w:tcW w:w="772" w:type="dxa"/>
            <w:tcBorders>
              <w:bottom w:val="single" w:sz="4" w:space="0" w:color="000000"/>
              <w:right w:val="single" w:sz="4" w:space="0" w:color="000000"/>
            </w:tcBorders>
            <w:shd w:val="clear" w:color="auto" w:fill="auto"/>
            <w:vAlign w:val="bottom"/>
          </w:tcPr>
          <w:p w14:paraId="38252486"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6400"/>
                <w:sz w:val="20"/>
                <w:szCs w:val="20"/>
              </w:rPr>
              <w:t>0,005</w:t>
            </w:r>
          </w:p>
        </w:tc>
        <w:tc>
          <w:tcPr>
            <w:tcW w:w="1075" w:type="dxa"/>
            <w:tcBorders>
              <w:bottom w:val="single" w:sz="4" w:space="0" w:color="000000"/>
              <w:right w:val="single" w:sz="4" w:space="0" w:color="000000"/>
            </w:tcBorders>
            <w:shd w:val="clear" w:color="auto" w:fill="auto"/>
          </w:tcPr>
          <w:p w14:paraId="03F6F5C9" w14:textId="77777777" w:rsidR="00D97723" w:rsidRPr="00D6136B" w:rsidRDefault="00456E38" w:rsidP="00D6136B">
            <w:pPr>
              <w:rPr>
                <w:rFonts w:ascii="Times New Roman" w:hAnsi="Times New Roman" w:cs="Times New Roman"/>
                <w:color w:val="006400"/>
                <w:sz w:val="20"/>
                <w:szCs w:val="20"/>
              </w:rPr>
            </w:pPr>
            <w:r w:rsidRPr="00D6136B">
              <w:rPr>
                <w:rFonts w:ascii="Times New Roman" w:hAnsi="Times New Roman" w:cs="Times New Roman"/>
                <w:color w:val="006400"/>
                <w:sz w:val="20"/>
                <w:szCs w:val="20"/>
              </w:rPr>
              <w:t>Accepted</w:t>
            </w:r>
          </w:p>
        </w:tc>
      </w:tr>
      <w:tr w:rsidR="00D97723" w14:paraId="083EED0D" w14:textId="77777777" w:rsidTr="00D6136B">
        <w:trPr>
          <w:trHeight w:val="700"/>
        </w:trPr>
        <w:tc>
          <w:tcPr>
            <w:tcW w:w="1734" w:type="dxa"/>
            <w:tcBorders>
              <w:left w:val="single" w:sz="4" w:space="0" w:color="000000"/>
              <w:bottom w:val="single" w:sz="4" w:space="0" w:color="000000"/>
              <w:right w:val="single" w:sz="4" w:space="0" w:color="000000"/>
            </w:tcBorders>
            <w:shd w:val="clear" w:color="000000" w:fill="555555"/>
            <w:vAlign w:val="bottom"/>
          </w:tcPr>
          <w:p w14:paraId="0F1A66E4" w14:textId="77777777" w:rsidR="00D97723" w:rsidRDefault="00456E38" w:rsidP="00D6136B">
            <w:pPr>
              <w:rPr>
                <w:rFonts w:ascii="Times New Roman" w:hAnsi="Times New Roman" w:cs="Times New Roman"/>
                <w:color w:val="EEECE1" w:themeColor="background2"/>
                <w:sz w:val="20"/>
                <w:szCs w:val="20"/>
              </w:rPr>
            </w:pPr>
            <w:r>
              <w:rPr>
                <w:rFonts w:ascii="Times New Roman" w:hAnsi="Times New Roman" w:cs="Times New Roman"/>
                <w:color w:val="EEECE1" w:themeColor="background2"/>
                <w:sz w:val="20"/>
                <w:szCs w:val="20"/>
              </w:rPr>
              <w:t>X2 -&gt; X3</w:t>
            </w:r>
          </w:p>
        </w:tc>
        <w:tc>
          <w:tcPr>
            <w:tcW w:w="883" w:type="dxa"/>
            <w:tcBorders>
              <w:bottom w:val="single" w:sz="4" w:space="0" w:color="000000"/>
              <w:right w:val="single" w:sz="4" w:space="0" w:color="000000"/>
            </w:tcBorders>
            <w:shd w:val="clear" w:color="000000" w:fill="90EE90"/>
            <w:vAlign w:val="bottom"/>
          </w:tcPr>
          <w:p w14:paraId="02E9EDBB"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0,618</w:t>
            </w:r>
          </w:p>
        </w:tc>
        <w:tc>
          <w:tcPr>
            <w:tcW w:w="816" w:type="dxa"/>
            <w:tcBorders>
              <w:bottom w:val="single" w:sz="4" w:space="0" w:color="000000"/>
              <w:right w:val="single" w:sz="4" w:space="0" w:color="000000"/>
            </w:tcBorders>
            <w:shd w:val="clear" w:color="000000" w:fill="90EE90"/>
            <w:vAlign w:val="bottom"/>
          </w:tcPr>
          <w:p w14:paraId="6351DB8C"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0,609</w:t>
            </w:r>
          </w:p>
        </w:tc>
        <w:tc>
          <w:tcPr>
            <w:tcW w:w="1005" w:type="dxa"/>
            <w:tcBorders>
              <w:bottom w:val="single" w:sz="4" w:space="0" w:color="000000"/>
              <w:right w:val="single" w:sz="4" w:space="0" w:color="000000"/>
            </w:tcBorders>
            <w:shd w:val="clear" w:color="000000" w:fill="90EE90"/>
            <w:vAlign w:val="bottom"/>
          </w:tcPr>
          <w:p w14:paraId="5660880A"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0,111</w:t>
            </w:r>
          </w:p>
        </w:tc>
        <w:tc>
          <w:tcPr>
            <w:tcW w:w="1274" w:type="dxa"/>
            <w:tcBorders>
              <w:bottom w:val="single" w:sz="4" w:space="0" w:color="000000"/>
              <w:right w:val="single" w:sz="4" w:space="0" w:color="000000"/>
            </w:tcBorders>
            <w:shd w:val="clear" w:color="000000" w:fill="90EE90"/>
            <w:vAlign w:val="bottom"/>
          </w:tcPr>
          <w:p w14:paraId="504FD3FA"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sz w:val="20"/>
                <w:szCs w:val="20"/>
              </w:rPr>
              <w:t>5,572</w:t>
            </w:r>
          </w:p>
        </w:tc>
        <w:tc>
          <w:tcPr>
            <w:tcW w:w="772" w:type="dxa"/>
            <w:tcBorders>
              <w:bottom w:val="single" w:sz="4" w:space="0" w:color="000000"/>
              <w:right w:val="single" w:sz="4" w:space="0" w:color="000000"/>
            </w:tcBorders>
            <w:shd w:val="clear" w:color="000000" w:fill="90EE90"/>
            <w:vAlign w:val="bottom"/>
          </w:tcPr>
          <w:p w14:paraId="218410B0"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6400"/>
                <w:sz w:val="20"/>
                <w:szCs w:val="20"/>
              </w:rPr>
              <w:t>0,000</w:t>
            </w:r>
          </w:p>
        </w:tc>
        <w:tc>
          <w:tcPr>
            <w:tcW w:w="1075" w:type="dxa"/>
            <w:tcBorders>
              <w:bottom w:val="single" w:sz="4" w:space="0" w:color="000000"/>
              <w:right w:val="single" w:sz="4" w:space="0" w:color="000000"/>
            </w:tcBorders>
            <w:shd w:val="clear" w:color="000000" w:fill="90EE90"/>
          </w:tcPr>
          <w:p w14:paraId="6280F4DF" w14:textId="77777777" w:rsidR="00D97723" w:rsidRPr="00D6136B" w:rsidRDefault="00456E38" w:rsidP="00D6136B">
            <w:pPr>
              <w:rPr>
                <w:rFonts w:ascii="Times New Roman" w:hAnsi="Times New Roman" w:cs="Times New Roman"/>
                <w:color w:val="006400"/>
                <w:sz w:val="20"/>
                <w:szCs w:val="20"/>
              </w:rPr>
            </w:pPr>
            <w:r w:rsidRPr="00D6136B">
              <w:rPr>
                <w:rFonts w:ascii="Times New Roman" w:hAnsi="Times New Roman" w:cs="Times New Roman"/>
                <w:color w:val="006400"/>
                <w:sz w:val="20"/>
                <w:szCs w:val="20"/>
              </w:rPr>
              <w:t>Accepted</w:t>
            </w:r>
          </w:p>
        </w:tc>
      </w:tr>
      <w:tr w:rsidR="00D97723" w14:paraId="6706A98B" w14:textId="77777777" w:rsidTr="00D6136B">
        <w:trPr>
          <w:trHeight w:val="700"/>
        </w:trPr>
        <w:tc>
          <w:tcPr>
            <w:tcW w:w="1734" w:type="dxa"/>
            <w:tcBorders>
              <w:left w:val="single" w:sz="4" w:space="0" w:color="000000"/>
              <w:bottom w:val="single" w:sz="4" w:space="0" w:color="000000"/>
              <w:right w:val="single" w:sz="4" w:space="0" w:color="000000"/>
            </w:tcBorders>
            <w:shd w:val="clear" w:color="000000" w:fill="555555"/>
            <w:vAlign w:val="bottom"/>
          </w:tcPr>
          <w:p w14:paraId="7118BD9F" w14:textId="77777777" w:rsidR="00D97723" w:rsidRDefault="00456E38" w:rsidP="00D6136B">
            <w:pPr>
              <w:rPr>
                <w:rFonts w:ascii="Times New Roman" w:hAnsi="Times New Roman" w:cs="Times New Roman"/>
                <w:color w:val="EEECE1" w:themeColor="background2"/>
                <w:sz w:val="20"/>
                <w:szCs w:val="20"/>
              </w:rPr>
            </w:pPr>
            <w:r>
              <w:rPr>
                <w:rFonts w:ascii="Times New Roman" w:hAnsi="Times New Roman" w:cs="Times New Roman"/>
                <w:color w:val="EEECE1" w:themeColor="background2"/>
                <w:sz w:val="20"/>
                <w:szCs w:val="20"/>
              </w:rPr>
              <w:t>X3 -&gt; Y</w:t>
            </w:r>
          </w:p>
        </w:tc>
        <w:tc>
          <w:tcPr>
            <w:tcW w:w="883" w:type="dxa"/>
            <w:tcBorders>
              <w:bottom w:val="single" w:sz="4" w:space="0" w:color="000000"/>
              <w:right w:val="single" w:sz="4" w:space="0" w:color="000000"/>
            </w:tcBorders>
            <w:shd w:val="clear" w:color="auto" w:fill="auto"/>
            <w:vAlign w:val="bottom"/>
          </w:tcPr>
          <w:p w14:paraId="5D2F7BEA"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0,390</w:t>
            </w:r>
          </w:p>
        </w:tc>
        <w:tc>
          <w:tcPr>
            <w:tcW w:w="816" w:type="dxa"/>
            <w:tcBorders>
              <w:bottom w:val="single" w:sz="4" w:space="0" w:color="000000"/>
              <w:right w:val="single" w:sz="4" w:space="0" w:color="000000"/>
            </w:tcBorders>
            <w:shd w:val="clear" w:color="auto" w:fill="auto"/>
            <w:vAlign w:val="bottom"/>
          </w:tcPr>
          <w:p w14:paraId="01B1A34B"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0,387</w:t>
            </w:r>
          </w:p>
        </w:tc>
        <w:tc>
          <w:tcPr>
            <w:tcW w:w="1005" w:type="dxa"/>
            <w:tcBorders>
              <w:bottom w:val="single" w:sz="4" w:space="0" w:color="000000"/>
              <w:right w:val="single" w:sz="4" w:space="0" w:color="000000"/>
            </w:tcBorders>
            <w:shd w:val="clear" w:color="auto" w:fill="auto"/>
            <w:vAlign w:val="bottom"/>
          </w:tcPr>
          <w:p w14:paraId="16D21B36"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0,101</w:t>
            </w:r>
          </w:p>
        </w:tc>
        <w:tc>
          <w:tcPr>
            <w:tcW w:w="1274" w:type="dxa"/>
            <w:tcBorders>
              <w:bottom w:val="single" w:sz="4" w:space="0" w:color="000000"/>
              <w:right w:val="single" w:sz="4" w:space="0" w:color="000000"/>
            </w:tcBorders>
            <w:shd w:val="clear" w:color="auto" w:fill="auto"/>
            <w:vAlign w:val="bottom"/>
          </w:tcPr>
          <w:p w14:paraId="156AAB7B"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sz w:val="20"/>
                <w:szCs w:val="20"/>
              </w:rPr>
              <w:t>3,851</w:t>
            </w:r>
          </w:p>
        </w:tc>
        <w:tc>
          <w:tcPr>
            <w:tcW w:w="772" w:type="dxa"/>
            <w:tcBorders>
              <w:bottom w:val="single" w:sz="4" w:space="0" w:color="000000"/>
              <w:right w:val="single" w:sz="4" w:space="0" w:color="000000"/>
            </w:tcBorders>
            <w:shd w:val="clear" w:color="auto" w:fill="auto"/>
            <w:vAlign w:val="bottom"/>
          </w:tcPr>
          <w:p w14:paraId="38415564"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6400"/>
                <w:sz w:val="20"/>
                <w:szCs w:val="20"/>
              </w:rPr>
              <w:t>0,000</w:t>
            </w:r>
          </w:p>
        </w:tc>
        <w:tc>
          <w:tcPr>
            <w:tcW w:w="1075" w:type="dxa"/>
            <w:tcBorders>
              <w:bottom w:val="single" w:sz="4" w:space="0" w:color="000000"/>
              <w:right w:val="single" w:sz="4" w:space="0" w:color="000000"/>
            </w:tcBorders>
            <w:shd w:val="clear" w:color="auto" w:fill="auto"/>
          </w:tcPr>
          <w:p w14:paraId="3D75B0A6" w14:textId="77777777" w:rsidR="00D97723" w:rsidRPr="00D6136B" w:rsidRDefault="00456E38" w:rsidP="00D6136B">
            <w:pPr>
              <w:rPr>
                <w:rFonts w:ascii="Times New Roman" w:hAnsi="Times New Roman" w:cs="Times New Roman"/>
                <w:color w:val="006400"/>
                <w:sz w:val="20"/>
                <w:szCs w:val="20"/>
              </w:rPr>
            </w:pPr>
            <w:r w:rsidRPr="00D6136B">
              <w:rPr>
                <w:rFonts w:ascii="Times New Roman" w:hAnsi="Times New Roman" w:cs="Times New Roman"/>
                <w:color w:val="006400"/>
                <w:sz w:val="20"/>
                <w:szCs w:val="20"/>
              </w:rPr>
              <w:t>Accepted</w:t>
            </w:r>
          </w:p>
        </w:tc>
      </w:tr>
      <w:tr w:rsidR="00D97723" w14:paraId="3B0D1F84" w14:textId="77777777" w:rsidTr="00D6136B">
        <w:trPr>
          <w:trHeight w:val="700"/>
        </w:trPr>
        <w:tc>
          <w:tcPr>
            <w:tcW w:w="1734" w:type="dxa"/>
            <w:tcBorders>
              <w:left w:val="single" w:sz="4" w:space="0" w:color="000000"/>
              <w:bottom w:val="single" w:sz="4" w:space="0" w:color="000000"/>
              <w:right w:val="single" w:sz="4" w:space="0" w:color="000000"/>
            </w:tcBorders>
            <w:shd w:val="clear" w:color="000000" w:fill="555555"/>
            <w:vAlign w:val="bottom"/>
          </w:tcPr>
          <w:p w14:paraId="05A32027" w14:textId="77777777" w:rsidR="00D97723" w:rsidRDefault="00456E38" w:rsidP="00D6136B">
            <w:pPr>
              <w:rPr>
                <w:rFonts w:ascii="Times New Roman" w:hAnsi="Times New Roman" w:cs="Times New Roman"/>
                <w:color w:val="EEECE1" w:themeColor="background2"/>
                <w:sz w:val="20"/>
                <w:szCs w:val="20"/>
                <w:lang w:val="sv-SE"/>
              </w:rPr>
            </w:pPr>
            <w:r>
              <w:rPr>
                <w:rFonts w:ascii="Times New Roman" w:hAnsi="Times New Roman" w:cs="Times New Roman"/>
                <w:color w:val="EEECE1" w:themeColor="background2"/>
                <w:sz w:val="20"/>
                <w:szCs w:val="20"/>
                <w:lang w:val="sv-SE"/>
              </w:rPr>
              <w:t>X4 x  X1 -&gt; Y</w:t>
            </w:r>
          </w:p>
        </w:tc>
        <w:tc>
          <w:tcPr>
            <w:tcW w:w="883" w:type="dxa"/>
            <w:tcBorders>
              <w:bottom w:val="single" w:sz="4" w:space="0" w:color="000000"/>
              <w:right w:val="single" w:sz="4" w:space="0" w:color="000000"/>
            </w:tcBorders>
            <w:shd w:val="clear" w:color="000000" w:fill="90EE90"/>
            <w:vAlign w:val="bottom"/>
          </w:tcPr>
          <w:p w14:paraId="5E1525CC"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0,079</w:t>
            </w:r>
          </w:p>
        </w:tc>
        <w:tc>
          <w:tcPr>
            <w:tcW w:w="816" w:type="dxa"/>
            <w:tcBorders>
              <w:bottom w:val="single" w:sz="4" w:space="0" w:color="000000"/>
              <w:right w:val="single" w:sz="4" w:space="0" w:color="000000"/>
            </w:tcBorders>
            <w:shd w:val="clear" w:color="000000" w:fill="90EE90"/>
            <w:vAlign w:val="bottom"/>
          </w:tcPr>
          <w:p w14:paraId="6C57F4B3"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0,090</w:t>
            </w:r>
          </w:p>
        </w:tc>
        <w:tc>
          <w:tcPr>
            <w:tcW w:w="1005" w:type="dxa"/>
            <w:tcBorders>
              <w:bottom w:val="single" w:sz="4" w:space="0" w:color="000000"/>
              <w:right w:val="single" w:sz="4" w:space="0" w:color="000000"/>
            </w:tcBorders>
            <w:shd w:val="clear" w:color="000000" w:fill="90EE90"/>
            <w:vAlign w:val="bottom"/>
          </w:tcPr>
          <w:p w14:paraId="05535EF5"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0,073</w:t>
            </w:r>
          </w:p>
        </w:tc>
        <w:tc>
          <w:tcPr>
            <w:tcW w:w="1274" w:type="dxa"/>
            <w:tcBorders>
              <w:bottom w:val="single" w:sz="4" w:space="0" w:color="000000"/>
              <w:right w:val="single" w:sz="4" w:space="0" w:color="000000"/>
            </w:tcBorders>
            <w:shd w:val="clear" w:color="000000" w:fill="90EE90"/>
            <w:vAlign w:val="bottom"/>
          </w:tcPr>
          <w:p w14:paraId="6A6E8E14"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sz w:val="20"/>
                <w:szCs w:val="20"/>
              </w:rPr>
              <w:t>1,089</w:t>
            </w:r>
          </w:p>
        </w:tc>
        <w:tc>
          <w:tcPr>
            <w:tcW w:w="772" w:type="dxa"/>
            <w:tcBorders>
              <w:bottom w:val="single" w:sz="4" w:space="0" w:color="000000"/>
              <w:right w:val="single" w:sz="4" w:space="0" w:color="000000"/>
            </w:tcBorders>
            <w:shd w:val="clear" w:color="000000" w:fill="90EE90"/>
            <w:vAlign w:val="bottom"/>
          </w:tcPr>
          <w:p w14:paraId="2E4D947F"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sz w:val="20"/>
                <w:szCs w:val="20"/>
              </w:rPr>
              <w:t>0,276</w:t>
            </w:r>
          </w:p>
        </w:tc>
        <w:tc>
          <w:tcPr>
            <w:tcW w:w="1075" w:type="dxa"/>
            <w:tcBorders>
              <w:bottom w:val="single" w:sz="4" w:space="0" w:color="000000"/>
              <w:right w:val="single" w:sz="4" w:space="0" w:color="000000"/>
            </w:tcBorders>
            <w:shd w:val="clear" w:color="000000" w:fill="90EE90"/>
          </w:tcPr>
          <w:p w14:paraId="71468FF2" w14:textId="77777777" w:rsidR="00D97723" w:rsidRPr="00D6136B" w:rsidRDefault="00456E38" w:rsidP="00D6136B">
            <w:pPr>
              <w:rPr>
                <w:rFonts w:ascii="Times New Roman" w:hAnsi="Times New Roman" w:cs="Times New Roman"/>
                <w:sz w:val="20"/>
                <w:szCs w:val="20"/>
              </w:rPr>
            </w:pPr>
            <w:r w:rsidRPr="00D6136B">
              <w:rPr>
                <w:rFonts w:ascii="Times New Roman" w:hAnsi="Times New Roman" w:cs="Times New Roman"/>
                <w:sz w:val="20"/>
                <w:szCs w:val="20"/>
              </w:rPr>
              <w:t>Rejected</w:t>
            </w:r>
          </w:p>
        </w:tc>
      </w:tr>
      <w:tr w:rsidR="00D97723" w14:paraId="0C5D622C" w14:textId="77777777" w:rsidTr="00D6136B">
        <w:trPr>
          <w:trHeight w:val="700"/>
        </w:trPr>
        <w:tc>
          <w:tcPr>
            <w:tcW w:w="1734" w:type="dxa"/>
            <w:tcBorders>
              <w:left w:val="single" w:sz="4" w:space="0" w:color="000000"/>
              <w:bottom w:val="single" w:sz="4" w:space="0" w:color="000000"/>
              <w:right w:val="single" w:sz="4" w:space="0" w:color="000000"/>
            </w:tcBorders>
            <w:shd w:val="clear" w:color="000000" w:fill="555555"/>
            <w:vAlign w:val="bottom"/>
          </w:tcPr>
          <w:p w14:paraId="017ED450" w14:textId="77777777" w:rsidR="00D97723" w:rsidRDefault="00456E38" w:rsidP="00D6136B">
            <w:pPr>
              <w:rPr>
                <w:rFonts w:ascii="Times New Roman" w:hAnsi="Times New Roman" w:cs="Times New Roman"/>
                <w:color w:val="EEECE1" w:themeColor="background2"/>
                <w:sz w:val="20"/>
                <w:szCs w:val="20"/>
                <w:lang w:val="sv-SE"/>
              </w:rPr>
            </w:pPr>
            <w:r>
              <w:rPr>
                <w:rFonts w:ascii="Times New Roman" w:hAnsi="Times New Roman" w:cs="Times New Roman"/>
                <w:color w:val="EEECE1" w:themeColor="background2"/>
                <w:sz w:val="20"/>
                <w:szCs w:val="20"/>
                <w:lang w:val="sv-SE"/>
              </w:rPr>
              <w:t>Z x X2 -&gt; X3</w:t>
            </w:r>
          </w:p>
        </w:tc>
        <w:tc>
          <w:tcPr>
            <w:tcW w:w="883" w:type="dxa"/>
            <w:tcBorders>
              <w:bottom w:val="single" w:sz="4" w:space="0" w:color="000000"/>
              <w:right w:val="single" w:sz="4" w:space="0" w:color="000000"/>
            </w:tcBorders>
            <w:shd w:val="clear" w:color="auto" w:fill="auto"/>
            <w:vAlign w:val="bottom"/>
          </w:tcPr>
          <w:p w14:paraId="79A3ADDE"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0,204</w:t>
            </w:r>
          </w:p>
        </w:tc>
        <w:tc>
          <w:tcPr>
            <w:tcW w:w="816" w:type="dxa"/>
            <w:tcBorders>
              <w:bottom w:val="single" w:sz="4" w:space="0" w:color="000000"/>
              <w:right w:val="single" w:sz="4" w:space="0" w:color="000000"/>
            </w:tcBorders>
            <w:shd w:val="clear" w:color="auto" w:fill="auto"/>
            <w:vAlign w:val="bottom"/>
          </w:tcPr>
          <w:p w14:paraId="17520F52"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0,196</w:t>
            </w:r>
          </w:p>
        </w:tc>
        <w:tc>
          <w:tcPr>
            <w:tcW w:w="1005" w:type="dxa"/>
            <w:tcBorders>
              <w:bottom w:val="single" w:sz="4" w:space="0" w:color="000000"/>
              <w:right w:val="single" w:sz="4" w:space="0" w:color="000000"/>
            </w:tcBorders>
            <w:shd w:val="clear" w:color="auto" w:fill="auto"/>
            <w:vAlign w:val="bottom"/>
          </w:tcPr>
          <w:p w14:paraId="42226A92"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0000"/>
                <w:sz w:val="20"/>
                <w:szCs w:val="20"/>
              </w:rPr>
              <w:t>0,075</w:t>
            </w:r>
          </w:p>
        </w:tc>
        <w:tc>
          <w:tcPr>
            <w:tcW w:w="1274" w:type="dxa"/>
            <w:tcBorders>
              <w:bottom w:val="single" w:sz="4" w:space="0" w:color="000000"/>
              <w:right w:val="single" w:sz="4" w:space="0" w:color="000000"/>
            </w:tcBorders>
            <w:shd w:val="clear" w:color="auto" w:fill="auto"/>
            <w:vAlign w:val="bottom"/>
          </w:tcPr>
          <w:p w14:paraId="3D5F3C34"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sz w:val="20"/>
                <w:szCs w:val="20"/>
              </w:rPr>
              <w:t>2,723</w:t>
            </w:r>
          </w:p>
        </w:tc>
        <w:tc>
          <w:tcPr>
            <w:tcW w:w="772" w:type="dxa"/>
            <w:tcBorders>
              <w:bottom w:val="single" w:sz="4" w:space="0" w:color="000000"/>
              <w:right w:val="single" w:sz="4" w:space="0" w:color="000000"/>
            </w:tcBorders>
            <w:shd w:val="clear" w:color="auto" w:fill="auto"/>
            <w:vAlign w:val="bottom"/>
          </w:tcPr>
          <w:p w14:paraId="09957694" w14:textId="77777777" w:rsidR="00D97723" w:rsidRPr="00D6136B" w:rsidRDefault="00456E38" w:rsidP="00D6136B">
            <w:pPr>
              <w:jc w:val="right"/>
              <w:rPr>
                <w:rFonts w:ascii="Times New Roman" w:hAnsi="Times New Roman" w:cs="Times New Roman"/>
                <w:color w:val="000000"/>
                <w:sz w:val="20"/>
                <w:szCs w:val="20"/>
              </w:rPr>
            </w:pPr>
            <w:r w:rsidRPr="00D6136B">
              <w:rPr>
                <w:rFonts w:ascii="Times New Roman" w:hAnsi="Times New Roman" w:cs="Times New Roman"/>
                <w:color w:val="006400"/>
                <w:sz w:val="20"/>
                <w:szCs w:val="20"/>
              </w:rPr>
              <w:t>0,006</w:t>
            </w:r>
          </w:p>
        </w:tc>
        <w:tc>
          <w:tcPr>
            <w:tcW w:w="1075" w:type="dxa"/>
            <w:tcBorders>
              <w:bottom w:val="single" w:sz="4" w:space="0" w:color="000000"/>
              <w:right w:val="single" w:sz="4" w:space="0" w:color="000000"/>
            </w:tcBorders>
            <w:shd w:val="clear" w:color="auto" w:fill="auto"/>
          </w:tcPr>
          <w:p w14:paraId="45F2BD85" w14:textId="77777777" w:rsidR="00D97723" w:rsidRPr="00D6136B" w:rsidRDefault="00456E38" w:rsidP="00D6136B">
            <w:pPr>
              <w:rPr>
                <w:rFonts w:ascii="Times New Roman" w:hAnsi="Times New Roman" w:cs="Times New Roman"/>
                <w:color w:val="006400"/>
                <w:sz w:val="20"/>
                <w:szCs w:val="20"/>
              </w:rPr>
            </w:pPr>
            <w:r w:rsidRPr="00D6136B">
              <w:rPr>
                <w:rFonts w:ascii="Times New Roman" w:hAnsi="Times New Roman" w:cs="Times New Roman"/>
                <w:color w:val="006400"/>
                <w:sz w:val="20"/>
                <w:szCs w:val="20"/>
              </w:rPr>
              <w:t>Accepted</w:t>
            </w:r>
          </w:p>
        </w:tc>
      </w:tr>
    </w:tbl>
    <w:p w14:paraId="758BF711" w14:textId="77777777" w:rsidR="00D97723" w:rsidRPr="00D6136B" w:rsidRDefault="00456E38">
      <w:pPr>
        <w:pStyle w:val="BodyText"/>
        <w:spacing w:before="121"/>
        <w:ind w:left="567" w:right="45"/>
        <w:rPr>
          <w:rFonts w:ascii="Times New Roman" w:hAnsi="Times New Roman" w:cs="Times New Roman"/>
          <w:sz w:val="16"/>
          <w:szCs w:val="16"/>
        </w:rPr>
      </w:pPr>
      <w:r w:rsidRPr="00D6136B">
        <w:rPr>
          <w:rFonts w:ascii="Times New Roman" w:hAnsi="Times New Roman" w:cs="Times New Roman"/>
          <w:sz w:val="16"/>
          <w:szCs w:val="16"/>
        </w:rPr>
        <w:t>Sources: Processed secondary data (2024)</w:t>
      </w:r>
    </w:p>
    <w:p w14:paraId="15923326" w14:textId="77777777" w:rsidR="00D97723" w:rsidRDefault="00456E38">
      <w:pPr>
        <w:pStyle w:val="Heading2"/>
        <w:tabs>
          <w:tab w:val="left" w:pos="620"/>
        </w:tabs>
        <w:spacing w:before="93" w:line="276" w:lineRule="auto"/>
        <w:ind w:firstLine="0"/>
        <w:jc w:val="both"/>
        <w:rPr>
          <w:rFonts w:ascii="Times New Roman" w:hAnsi="Times New Roman" w:cs="Times New Roman"/>
          <w:b w:val="0"/>
          <w:bCs w:val="0"/>
          <w:i w:val="0"/>
          <w:iCs w:val="0"/>
          <w:color w:val="231F20"/>
        </w:rPr>
      </w:pPr>
      <w:r w:rsidRPr="00D6136B">
        <w:rPr>
          <w:rFonts w:ascii="Times New Roman" w:hAnsi="Times New Roman" w:cs="Times New Roman"/>
          <w:b w:val="0"/>
          <w:bCs w:val="0"/>
          <w:i w:val="0"/>
          <w:iCs w:val="0"/>
          <w:color w:val="231F20"/>
        </w:rPr>
        <w:t>Based</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on</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the</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results</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of</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measuring</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the</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path</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coefficient</w:t>
      </w:r>
      <w:r w:rsidRPr="00D6136B">
        <w:rPr>
          <w:rFonts w:ascii="Times New Roman" w:hAnsi="Times New Roman" w:cs="Times New Roman"/>
          <w:b w:val="0"/>
          <w:bCs w:val="0"/>
          <w:i w:val="0"/>
          <w:iCs w:val="0"/>
          <w:color w:val="231F20"/>
          <w:spacing w:val="40"/>
        </w:rPr>
        <w:t xml:space="preserve"> </w:t>
      </w:r>
      <w:r w:rsidRPr="00D6136B">
        <w:rPr>
          <w:rFonts w:ascii="Times New Roman" w:hAnsi="Times New Roman" w:cs="Times New Roman"/>
          <w:b w:val="0"/>
          <w:bCs w:val="0"/>
          <w:i w:val="0"/>
          <w:iCs w:val="0"/>
          <w:color w:val="231F20"/>
        </w:rPr>
        <w:t>above, It is known that five hypotheses have a T-Value above 1.96, which means they have a significant effect, but when viewed from the estimated coefficient value, it shows that from the six hypotheses, the results show that there are five research data that have a significant effect and support the proposed research hypothesis so that they can be accepted. Meanwhile, one hypothesis related to moderation has a T-Value below 1.96, so the hypothesis is rejected.</w:t>
      </w:r>
    </w:p>
    <w:p w14:paraId="5D40AB6B" w14:textId="77777777" w:rsidR="00A36740" w:rsidRPr="00D6136B" w:rsidRDefault="00A36740">
      <w:pPr>
        <w:pStyle w:val="Heading2"/>
        <w:tabs>
          <w:tab w:val="left" w:pos="620"/>
        </w:tabs>
        <w:spacing w:before="93" w:line="276" w:lineRule="auto"/>
        <w:ind w:firstLine="0"/>
        <w:jc w:val="both"/>
        <w:rPr>
          <w:rFonts w:ascii="Times New Roman" w:hAnsi="Times New Roman" w:cs="Times New Roman"/>
          <w:b w:val="0"/>
          <w:bCs w:val="0"/>
          <w:i w:val="0"/>
          <w:iCs w:val="0"/>
        </w:rPr>
      </w:pPr>
    </w:p>
    <w:p w14:paraId="24C108E8" w14:textId="77777777" w:rsidR="00D97723" w:rsidRDefault="00456E38">
      <w:pPr>
        <w:pStyle w:val="Heading2"/>
        <w:numPr>
          <w:ilvl w:val="0"/>
          <w:numId w:val="1"/>
        </w:numPr>
        <w:tabs>
          <w:tab w:val="left" w:pos="851"/>
        </w:tabs>
        <w:spacing w:before="93"/>
        <w:rPr>
          <w:rFonts w:ascii="Times New Roman" w:hAnsi="Times New Roman" w:cs="Times New Roman"/>
          <w:i w:val="0"/>
          <w:iCs w:val="0"/>
          <w:sz w:val="24"/>
          <w:szCs w:val="24"/>
        </w:rPr>
      </w:pPr>
      <w:r>
        <w:rPr>
          <w:rFonts w:ascii="Times New Roman" w:hAnsi="Times New Roman" w:cs="Times New Roman"/>
          <w:i w:val="0"/>
          <w:iCs w:val="0"/>
          <w:sz w:val="24"/>
          <w:szCs w:val="24"/>
        </w:rPr>
        <w:t>Conclusion</w:t>
      </w:r>
    </w:p>
    <w:p w14:paraId="1C7F666E" w14:textId="7B2CBD73" w:rsidR="00D97723" w:rsidRPr="00D6136B" w:rsidRDefault="00456E38">
      <w:pPr>
        <w:spacing w:line="276" w:lineRule="auto"/>
        <w:ind w:left="620"/>
        <w:jc w:val="both"/>
        <w:rPr>
          <w:rFonts w:ascii="Times New Roman" w:hAnsi="Times New Roman" w:cs="Times New Roman"/>
        </w:rPr>
      </w:pPr>
      <w:r w:rsidRPr="00D6136B">
        <w:rPr>
          <w:rFonts w:ascii="Times New Roman" w:hAnsi="Times New Roman" w:cs="Times New Roman"/>
          <w:color w:val="231F20"/>
        </w:rPr>
        <w:t xml:space="preserve">Based on the research results that have been </w:t>
      </w:r>
      <w:r w:rsidRPr="00D6136B">
        <w:rPr>
          <w:rFonts w:ascii="Times New Roman" w:hAnsi="Times New Roman" w:cs="Times New Roman"/>
        </w:rPr>
        <w:t>described five hypothesis that can be proven by research data. The five hypotheses that were accepted were that FL</w:t>
      </w:r>
      <w:r w:rsidR="00D05EC2" w:rsidRPr="00D6136B">
        <w:rPr>
          <w:rFonts w:ascii="Times New Roman" w:hAnsi="Times New Roman" w:cs="Times New Roman"/>
        </w:rPr>
        <w:t xml:space="preserve"> </w:t>
      </w:r>
      <w:r w:rsidRPr="00D6136B">
        <w:rPr>
          <w:rFonts w:ascii="Times New Roman" w:hAnsi="Times New Roman" w:cs="Times New Roman"/>
        </w:rPr>
        <w:t>had a positive effect on saving intentions, saving intentions had a positive effect on saving behavior, retirement saving behavior had a positive effect on planning and FL</w:t>
      </w:r>
      <w:r w:rsidR="00D05EC2" w:rsidRPr="00D6136B">
        <w:rPr>
          <w:rFonts w:ascii="Times New Roman" w:hAnsi="Times New Roman" w:cs="Times New Roman"/>
        </w:rPr>
        <w:t xml:space="preserve"> </w:t>
      </w:r>
      <w:r w:rsidRPr="00D6136B">
        <w:rPr>
          <w:rFonts w:ascii="Times New Roman" w:hAnsi="Times New Roman" w:cs="Times New Roman"/>
        </w:rPr>
        <w:t xml:space="preserve">had a positive effect on retirement planning. However, one of the hypotheses not supported by the research data, namely the moderation of </w:t>
      </w:r>
      <w:r w:rsidRPr="00D6136B">
        <w:rPr>
          <w:rFonts w:ascii="Times New Roman" w:hAnsi="Times New Roman" w:cs="Times New Roman"/>
          <w:i/>
        </w:rPr>
        <w:t>herding behavior</w:t>
      </w:r>
      <w:r w:rsidRPr="00D6136B">
        <w:rPr>
          <w:rFonts w:ascii="Times New Roman" w:hAnsi="Times New Roman" w:cs="Times New Roman"/>
        </w:rPr>
        <w:t xml:space="preserve"> to strengthen the relationship </w:t>
      </w:r>
      <w:r w:rsidRPr="00D6136B">
        <w:rPr>
          <w:rFonts w:ascii="Times New Roman" w:hAnsi="Times New Roman" w:cs="Times New Roman"/>
          <w:iCs/>
        </w:rPr>
        <w:t>between FL</w:t>
      </w:r>
      <w:r w:rsidRPr="00D6136B">
        <w:rPr>
          <w:rFonts w:ascii="Times New Roman" w:hAnsi="Times New Roman" w:cs="Times New Roman"/>
        </w:rPr>
        <w:t xml:space="preserve">and retirement planning, was rejected. </w:t>
      </w:r>
    </w:p>
    <w:p w14:paraId="5E893BA3" w14:textId="77777777" w:rsidR="00D97723" w:rsidRPr="00D6136B" w:rsidRDefault="00456E38">
      <w:pPr>
        <w:spacing w:line="276" w:lineRule="auto"/>
        <w:ind w:left="620"/>
        <w:jc w:val="both"/>
        <w:rPr>
          <w:rFonts w:ascii="Times New Roman" w:hAnsi="Times New Roman" w:cs="Times New Roman"/>
        </w:rPr>
      </w:pPr>
      <w:r w:rsidRPr="00D6136B">
        <w:tab/>
      </w:r>
      <w:r w:rsidRPr="00D6136B">
        <w:tab/>
      </w:r>
      <w:r w:rsidRPr="00D6136B">
        <w:rPr>
          <w:rFonts w:ascii="Times New Roman" w:hAnsi="Times New Roman" w:cs="Times New Roman"/>
        </w:rPr>
        <w:t xml:space="preserve">For employees who work in private retail companies, it is very important to be able to live frugally considering the low average monthly income and relatively high cost of living and tend to increase so that they can meet their living needs and part of the funds are saved.  Savings funds can be used when needed to meet emergency needs and funds to meet retirement needs. According to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{"citationItems":[{"id":"ITEM-1","itemData":{"DOI":"10.3389/fpsyg.2017.02338","ISSN":"16641078","abstract":"Retirement is a time of life that has grown ever longer in the developed world, and the number of pensioners has increased accordingly, questioning the strength of Social Security systems and the social safety net in general. Financial Planning for Retirement (FRP) consists of the series of activities involved in the accumulation of wealth to cover needs in the post-retirement stage of life. The negative short-, mid-, and long-term consequences of inadequate Financial Planning for Retirement do not only affect individuals, but also their extended families, homes, eventually producing an unwanted impact on the entire society. The Capacity-Willingness-Opportunity Model has been proposed to understand FPR, combined with Intentional Change Theory, a framework for understanding the process, antecedents and consequences of FPR. From this perspective, we propose this promising model, but there are a large number of variables that have not been included that offer novel ways to deepen our understanding of FPR. A focus on each dimension of the model, the role of age and psychosocial variables associated with demographic indicators such as gender, health status, and migration, allow us to provide a proposal of scientific advancement of FPR.","author":[{"dropping-particle":"","family":"Topa","given":"Gabriela","non-dropping-particle":"","parse-names":false,"suffix":""},{"dropping-particle":"","family":"Lunceford","given":"Gregg","non-dropping-particle":"","parse-names":false,"suffix":""},{"dropping-particle":"","family":"Boyatzis","given":"Richard E.","non-dropping-particle":"","parse-names":false,"suffix":""}],"container-title":"Frontiers in Psychology","id":"ITEM-1","issue":"JAN","issued":{"date-parts":[["2018"]]},"page":"1-8","title":"Financial planning for retirement: A psychosocial perspective","type":"article-journal","volume":"8"},"uris":["http://www.mendeley.com/documents/?uuid=61f825ec-1d81-4c50-8143-b6be7bcc9a8c"]}],"mendeley":{"formattedCitation":"(Topa et al., 2018)","manualFormatting":"Topa et al. (2018)","plainTextFormattedCitation":"(Topa et al., 2018)","previouslyFormattedCitation":"(Topa et al., 2018)"},"properties":{"noteIndex":0},"schema":"https://github.com/citation-style-language/schema/raw/master/csl-citation.json"}</w:instrText>
      </w:r>
      <w:r w:rsidRPr="00D6136B">
        <w:rPr>
          <w:rFonts w:ascii="Times New Roman" w:hAnsi="Times New Roman" w:cs="Times New Roman"/>
        </w:rPr>
        <w:fldChar w:fldCharType="separate"/>
      </w:r>
      <w:bookmarkStart w:id="304" w:name="Bookmark183"/>
      <w:r w:rsidRPr="00D6136B">
        <w:rPr>
          <w:rFonts w:ascii="Times New Roman" w:hAnsi="Times New Roman" w:cs="Times New Roman"/>
          <w:noProof/>
        </w:rPr>
        <w:t>T</w:t>
      </w:r>
      <w:bookmarkStart w:id="305" w:name="Bookmark1671"/>
      <w:r w:rsidRPr="00D6136B">
        <w:rPr>
          <w:rFonts w:ascii="Times New Roman" w:hAnsi="Times New Roman" w:cs="Times New Roman"/>
          <w:noProof/>
        </w:rPr>
        <w:t xml:space="preserve">opa </w:t>
      </w:r>
      <w:r w:rsidRPr="00D6136B">
        <w:rPr>
          <w:rFonts w:ascii="Times New Roman" w:hAnsi="Times New Roman" w:cs="Times New Roman"/>
          <w:i/>
          <w:iCs/>
          <w:noProof/>
        </w:rPr>
        <w:t xml:space="preserve">et al. </w:t>
      </w:r>
      <w:r w:rsidRPr="00D6136B">
        <w:rPr>
          <w:rFonts w:ascii="Times New Roman" w:hAnsi="Times New Roman" w:cs="Times New Roman"/>
          <w:noProof/>
        </w:rPr>
        <w:t>(2018)</w:t>
      </w:r>
      <w:r w:rsidRPr="00D6136B">
        <w:rPr>
          <w:rFonts w:ascii="Times New Roman" w:hAnsi="Times New Roman" w:cs="Times New Roman"/>
        </w:rPr>
        <w:fldChar w:fldCharType="end"/>
      </w:r>
      <w:bookmarkEnd w:id="304"/>
      <w:bookmarkEnd w:id="305"/>
      <w:r w:rsidRPr="00D6136B">
        <w:rPr>
          <w:rFonts w:ascii="Times New Roman" w:hAnsi="Times New Roman" w:cs="Times New Roman"/>
        </w:rPr>
        <w:t xml:space="preserve"> In planning for retirement, people act by accumulating wealth (</w:t>
      </w:r>
      <w:r w:rsidRPr="00D6136B">
        <w:rPr>
          <w:rFonts w:ascii="Times New Roman" w:hAnsi="Times New Roman" w:cs="Times New Roman"/>
          <w:i/>
          <w:iCs/>
        </w:rPr>
        <w:t>wealth accumulation)</w:t>
      </w:r>
      <w:r w:rsidRPr="00D6136B">
        <w:rPr>
          <w:rFonts w:ascii="Times New Roman" w:hAnsi="Times New Roman" w:cs="Times New Roman"/>
        </w:rPr>
        <w:t xml:space="preserve"> in order to meet their needs after entering retirement.</w:t>
      </w:r>
    </w:p>
    <w:p w14:paraId="51C1C676" w14:textId="77777777" w:rsidR="00D97723" w:rsidRPr="00D6136B" w:rsidRDefault="00456E38">
      <w:pPr>
        <w:spacing w:line="276" w:lineRule="auto"/>
        <w:ind w:left="620"/>
        <w:jc w:val="both"/>
        <w:rPr>
          <w:rFonts w:ascii="Times New Roman" w:hAnsi="Times New Roman" w:cs="Times New Roman"/>
        </w:rPr>
      </w:pPr>
      <w:r w:rsidRPr="00D6136B">
        <w:rPr>
          <w:rFonts w:ascii="Times New Roman" w:hAnsi="Times New Roman" w:cs="Times New Roman"/>
        </w:rPr>
        <w:tab/>
      </w:r>
      <w:r w:rsidRPr="00D6136B">
        <w:rPr>
          <w:rFonts w:ascii="Times New Roman" w:hAnsi="Times New Roman" w:cs="Times New Roman"/>
        </w:rPr>
        <w:tab/>
      </w:r>
      <w:r w:rsidRPr="00D6136B">
        <w:rPr>
          <w:rFonts w:ascii="Times New Roman" w:hAnsi="Times New Roman" w:cs="Times New Roman"/>
          <w:lang w:val="en-ID"/>
        </w:rPr>
        <w:t>The results of this research have implications as mentioned above.</w:t>
      </w:r>
      <w:r w:rsidRPr="00D6136B">
        <w:rPr>
          <w:rFonts w:ascii="Times New Roman" w:hAnsi="Times New Roman" w:cs="Times New Roman"/>
        </w:rPr>
        <w:t xml:space="preserve"> It is hoped that the results that will be obtained at the end of this study will provide implications for better retirement preparation with a more prosperous quality of life even though they retire earlier.</w:t>
      </w:r>
    </w:p>
    <w:p w14:paraId="11E78C70" w14:textId="77777777" w:rsidR="00D97723" w:rsidRPr="00D6136B" w:rsidRDefault="00456E38" w:rsidP="00D6136B">
      <w:pPr>
        <w:spacing w:line="276" w:lineRule="auto"/>
        <w:ind w:left="620"/>
        <w:jc w:val="both"/>
        <w:rPr>
          <w:rFonts w:ascii="Times New Roman" w:hAnsi="Times New Roman" w:cs="Times New Roman"/>
        </w:rPr>
      </w:pPr>
      <w:r w:rsidRPr="00D6136B">
        <w:rPr>
          <w:rFonts w:ascii="Times New Roman" w:hAnsi="Times New Roman" w:cs="Times New Roman"/>
        </w:rPr>
        <w:t>For private employees, especially those who do not have a monthly pension fund and use it until the end of life, they can prepare for retirement early. The hope is that life after retirement can be more prosperous. The results of this study can provide new knowledge for policymakers to consider approaches related to improving the quality of financial advice as well as provide good knowledge in calculating the amount needed for retirement. It is hoped that this knowledge can overcome the causes of poverty in old age, dependence on welfare institutions and family support. This is in line with the findings of previous research by</w:t>
      </w:r>
      <w:r w:rsidRPr="00D6136B">
        <w:rPr>
          <w:rFonts w:ascii="Times New Roman" w:hAnsi="Times New Roman" w:cs="Times New Roman"/>
          <w:lang w:val="en-ID"/>
        </w:rPr>
        <w:t xml:space="preserve"> </w:t>
      </w:r>
      <w:r w:rsidRPr="00D6136B">
        <w:rPr>
          <w:rFonts w:ascii="Times New Roman" w:hAnsi="Times New Roman" w:cs="Times New Roman"/>
        </w:rPr>
        <w:fldChar w:fldCharType="begin" w:fldLock="1"/>
      </w:r>
      <w:r w:rsidRPr="00D6136B">
        <w:rPr>
          <w:rFonts w:ascii="Times New Roman" w:hAnsi="Times New Roman" w:cs="Times New Roman"/>
        </w:rPr>
        <w:instrText>ADDIN CSL_CITATION {"citationItems":[{"id":"ITEM-1","itemData":{"DOI":"10.1108/IJSE-11-2016-0303","ISSN":"0306-8293","abstract":"Purpose: The purpose of this paper is to analyse the level of financial literacy among youth in the world based on previous studies. The study, particularly, focus at how socio-economic and demographic factors such as age, gender, marital status and income influence financial literacy level of youth and whether there is any interrelationship between financial knowledge, financial attitude and financial behaviour. Strong endeavour of the world economies to improve the financial well-being of their citizens has contributed to the rising importance of financial literacy as it equips the individuals to take quality financial decisions to enhance their financial well-being. Design/methodology/approach: This literature review consists of seven key sections. The first ection of this paper reviews the conceptual definitions of youth. Second part summarises the literature on financial literacy. Third, fourth and fifth section summarises the literature on the components of financial literacy, i.e. financial knowledge, financial attitude and financial behaviour, respectively. Sixth section reviews the empirical studies on the influence of socio-economic and demographic factors on financial literacy level. Seventh section summarises the literature on interrelationship between financial knowledge, financial attitude and financial behaviour. Findings: The study reveals that the financial literacy level among youth is low across the most part of the world that has become a cause of concern. Also, it has been observed that various socio-economic and demographic factors such as age, gender, income, marital status and educational attainment influenceflie financial literacy level of youth and there exists an interrelationship between financial knowledge, financial attitude and financial behaviour. Originality/value: Youth have to live a longer life ahead, thus, the decisions taken by them are going to affect thenifora longer period of time, making it imperative for them to develop an understanding of the world of finance so as to avoid wrong choice of financial products. Thus, financial literacy is of significant relevance. This paper aims to understand the influence of various factors influencing the financial literacy as understanding the factors that contribute to or detract from the acquisition of financial literacy among youth can help in making policy interventions targeted at youth to enhance their financial well-being.","author":[{"dropping-particle":"","family":"Garg","given":"Neha","non-dropping-particle":"","parse-names":false,"suffix":""},{"dropping-particle":"","family":"Singh","given":"Shveta","non-dropping-particle":"","parse-names":false,"suffix":""}],"container-title":"International Journal of Social Economics","id":"ITEM-1","issue":"1","issued":{"date-parts":[["2018","1","8"]]},"page":"173-186","title":"Financial literacy among youth","type":"article-journal","volume":"45"},"uris":["http://www.mendeley.com/documents/?uuid=102ea7c6-4c6a-4584-b23e-e289904672aa"]}],"mendeley":{"formattedCitation":"(Garg &amp; Singh, 2018)","manualFormatting":"Garg &amp; Saingh (2018)","plainTextFormattedCitation":"(Garg &amp; Singh, 2018)","previouslyFormattedCitation":"(Garg &amp; Singh, 2018)"},"properties":{"noteIndex":0},"schema":"https://github.com/citation-style-language/schema/raw/master/csl-citation.json"}</w:instrText>
      </w:r>
      <w:r w:rsidRPr="00D6136B">
        <w:rPr>
          <w:rFonts w:ascii="Times New Roman" w:hAnsi="Times New Roman" w:cs="Times New Roman"/>
        </w:rPr>
        <w:fldChar w:fldCharType="separate"/>
      </w:r>
      <w:bookmarkStart w:id="306" w:name="Bookmark184"/>
      <w:r w:rsidRPr="00D6136B">
        <w:rPr>
          <w:rFonts w:ascii="Times New Roman" w:hAnsi="Times New Roman" w:cs="Times New Roman"/>
          <w:noProof/>
          <w:lang w:val="en-ID"/>
        </w:rPr>
        <w:t>G</w:t>
      </w:r>
      <w:bookmarkStart w:id="307" w:name="Bookmark1681"/>
      <w:r w:rsidRPr="00D6136B">
        <w:rPr>
          <w:rFonts w:ascii="Times New Roman" w:hAnsi="Times New Roman" w:cs="Times New Roman"/>
          <w:noProof/>
          <w:lang w:val="en-ID"/>
        </w:rPr>
        <w:t>arg &amp; Saingh (2018)</w:t>
      </w:r>
      <w:r w:rsidRPr="00D6136B">
        <w:rPr>
          <w:rFonts w:ascii="Times New Roman" w:hAnsi="Times New Roman" w:cs="Times New Roman"/>
        </w:rPr>
        <w:fldChar w:fldCharType="end"/>
      </w:r>
      <w:bookmarkEnd w:id="306"/>
      <w:bookmarkEnd w:id="307"/>
      <w:r w:rsidRPr="00D6136B">
        <w:rPr>
          <w:rFonts w:ascii="Times New Roman" w:hAnsi="Times New Roman" w:cs="Times New Roman"/>
          <w:lang w:val="id"/>
        </w:rPr>
        <w:t xml:space="preserve"> </w:t>
      </w:r>
      <w:r w:rsidRPr="00D6136B">
        <w:rPr>
          <w:rFonts w:ascii="Times New Roman" w:hAnsi="Times New Roman" w:cs="Times New Roman"/>
        </w:rPr>
        <w:t xml:space="preserve">that employees who start saving early want to achieve a quality and sustainable retirement life. </w:t>
      </w:r>
    </w:p>
    <w:p w14:paraId="7B0369EB" w14:textId="77777777" w:rsidR="00D97723" w:rsidRPr="00D6136B" w:rsidRDefault="00456E38" w:rsidP="00D6136B">
      <w:pPr>
        <w:spacing w:line="276" w:lineRule="auto"/>
        <w:ind w:left="620"/>
        <w:jc w:val="both"/>
        <w:rPr>
          <w:rFonts w:ascii="Times New Roman" w:hAnsi="Times New Roman" w:cs="Times New Roman"/>
        </w:rPr>
      </w:pPr>
      <w:r w:rsidRPr="00D6136B">
        <w:rPr>
          <w:rFonts w:ascii="Times New Roman" w:hAnsi="Times New Roman" w:cs="Times New Roman"/>
        </w:rPr>
        <w:t>This study still has limitations that need to be completed in the next study. First, this research was only conducted in private companies engaged in the retail sector with an age limit of over 40 years to 55 years. In addition, the domicile of the</w:t>
      </w:r>
      <w:r w:rsidRPr="002B4A82">
        <w:rPr>
          <w:rFonts w:ascii="Times New Roman" w:hAnsi="Times New Roman" w:cs="Times New Roman"/>
          <w:sz w:val="24"/>
          <w:szCs w:val="24"/>
        </w:rPr>
        <w:t xml:space="preserve"> </w:t>
      </w:r>
      <w:r w:rsidRPr="00D6136B">
        <w:rPr>
          <w:rFonts w:ascii="Times New Roman" w:hAnsi="Times New Roman" w:cs="Times New Roman"/>
        </w:rPr>
        <w:t>respondents is</w:t>
      </w:r>
      <w:r w:rsidRPr="002B4A82">
        <w:rPr>
          <w:rFonts w:ascii="Times New Roman" w:hAnsi="Times New Roman" w:cs="Times New Roman"/>
          <w:sz w:val="24"/>
          <w:szCs w:val="24"/>
        </w:rPr>
        <w:t xml:space="preserve"> </w:t>
      </w:r>
      <w:r w:rsidRPr="00D6136B">
        <w:rPr>
          <w:rFonts w:ascii="Times New Roman" w:hAnsi="Times New Roman" w:cs="Times New Roman"/>
        </w:rPr>
        <w:t xml:space="preserve">predominantly in the Greater Jakarta area </w:t>
      </w:r>
      <w:r w:rsidRPr="00D6136B">
        <w:rPr>
          <w:rFonts w:ascii="Times New Roman" w:hAnsi="Times New Roman" w:cs="Times New Roman"/>
          <w:lang w:val="en-ID"/>
        </w:rPr>
        <w:t xml:space="preserve">(68,2%). </w:t>
      </w:r>
      <w:r w:rsidRPr="00D6136B">
        <w:rPr>
          <w:rFonts w:ascii="Times New Roman" w:hAnsi="Times New Roman" w:cs="Times New Roman"/>
        </w:rPr>
        <w:t>When considering non-Greater Jakarta respondents who are still on the island of Java, the distribution is 81.8%. Further research can be focused on certain areas that are more specific and have their own cultural uniqueness, including belief in superstitious things.</w:t>
      </w:r>
    </w:p>
    <w:p w14:paraId="4D035647" w14:textId="77777777" w:rsidR="00D97723" w:rsidRPr="00D6136B" w:rsidRDefault="00456E38" w:rsidP="00D05EC2">
      <w:pPr>
        <w:pStyle w:val="Heading2"/>
        <w:spacing w:before="93"/>
        <w:ind w:left="567" w:firstLine="0"/>
        <w:rPr>
          <w:rFonts w:ascii="Times New Roman" w:hAnsi="Times New Roman" w:cs="Times New Roman"/>
        </w:rPr>
      </w:pPr>
      <w:r w:rsidRPr="00D6136B">
        <w:rPr>
          <w:rFonts w:ascii="Times New Roman" w:hAnsi="Times New Roman" w:cs="Times New Roman"/>
        </w:rPr>
        <w:t>Acknowledgement</w:t>
      </w:r>
    </w:p>
    <w:p w14:paraId="1411D004" w14:textId="77777777" w:rsidR="00D97723" w:rsidRPr="00D6136B" w:rsidRDefault="00456E38" w:rsidP="00D05EC2">
      <w:pPr>
        <w:spacing w:line="276" w:lineRule="auto"/>
        <w:ind w:left="709"/>
        <w:jc w:val="both"/>
        <w:rPr>
          <w:rFonts w:ascii="Times New Roman" w:hAnsi="Times New Roman" w:cs="Times New Roman"/>
        </w:rPr>
      </w:pPr>
      <w:r w:rsidRPr="00D6136B">
        <w:rPr>
          <w:rFonts w:ascii="Times New Roman" w:eastAsia="BookAntiqua" w:hAnsi="Times New Roman" w:cs="Times New Roman"/>
        </w:rPr>
        <w:tab/>
        <w:t xml:space="preserve">This study is funded by one of the authors who corresponded </w:t>
      </w:r>
      <w:r w:rsidRPr="00D6136B">
        <w:rPr>
          <w:rFonts w:ascii="Times New Roman" w:hAnsi="Times New Roman" w:cs="Times New Roman"/>
        </w:rPr>
        <w:t xml:space="preserve">as part of the </w:t>
      </w:r>
      <w:r w:rsidRPr="00D6136B">
        <w:rPr>
          <w:rFonts w:ascii="Times New Roman" w:hAnsi="Times New Roman" w:cs="Times New Roman"/>
        </w:rPr>
        <w:tab/>
        <w:t xml:space="preserve">requirements needed to obtain a Master of Management degree at the Master of </w:t>
      </w:r>
      <w:r w:rsidRPr="00D6136B">
        <w:rPr>
          <w:rFonts w:ascii="Times New Roman" w:hAnsi="Times New Roman" w:cs="Times New Roman"/>
        </w:rPr>
        <w:tab/>
        <w:t xml:space="preserve">Management Study Program, Faculty of Economics and Business, Esa </w:t>
      </w:r>
      <w:proofErr w:type="spellStart"/>
      <w:r w:rsidRPr="00D6136B">
        <w:rPr>
          <w:rFonts w:ascii="Times New Roman" w:hAnsi="Times New Roman" w:cs="Times New Roman"/>
        </w:rPr>
        <w:t>Unggul</w:t>
      </w:r>
      <w:proofErr w:type="spellEnd"/>
      <w:r w:rsidRPr="00D6136B">
        <w:rPr>
          <w:rFonts w:ascii="Times New Roman" w:hAnsi="Times New Roman" w:cs="Times New Roman"/>
        </w:rPr>
        <w:t xml:space="preserve"> University.</w:t>
      </w:r>
    </w:p>
    <w:p w14:paraId="0A65E45A" w14:textId="77777777" w:rsidR="00D97723" w:rsidRDefault="00456E38">
      <w:pPr>
        <w:pStyle w:val="Heading2"/>
        <w:tabs>
          <w:tab w:val="left" w:pos="426"/>
        </w:tabs>
        <w:spacing w:before="93"/>
        <w:ind w:left="1418" w:hanging="709"/>
        <w:rPr>
          <w:rFonts w:ascii="Times New Roman" w:hAnsi="Times New Roman" w:cs="Times New Roman"/>
          <w:sz w:val="24"/>
          <w:szCs w:val="24"/>
        </w:rPr>
      </w:pPr>
      <w:r>
        <w:rPr>
          <w:rFonts w:ascii="Times New Roman" w:hAnsi="Times New Roman" w:cs="Times New Roman"/>
          <w:sz w:val="24"/>
          <w:szCs w:val="24"/>
        </w:rPr>
        <w:t>References:</w:t>
      </w:r>
    </w:p>
    <w:p w14:paraId="402A2541" w14:textId="7DAACAA9" w:rsidR="004A5E0E" w:rsidRPr="00D6136B" w:rsidRDefault="00456E38"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rPr>
        <w:fldChar w:fldCharType="begin" w:fldLock="1"/>
      </w:r>
      <w:r w:rsidRPr="00D6136B">
        <w:rPr>
          <w:rFonts w:ascii="Times New Roman" w:hAnsi="Times New Roman" w:cs="Times New Roman"/>
        </w:rPr>
        <w:instrText>ADDIN Mendeley Bibliography CSL_BIBLIOGRAPHY</w:instrText>
      </w:r>
      <w:r w:rsidRPr="00D6136B">
        <w:rPr>
          <w:rFonts w:ascii="Times New Roman" w:hAnsi="Times New Roman" w:cs="Times New Roman"/>
        </w:rPr>
        <w:fldChar w:fldCharType="separate"/>
      </w:r>
      <w:bookmarkStart w:id="308" w:name="Bookmark185"/>
      <w:bookmarkStart w:id="309" w:name="Bookmark1691"/>
      <w:r w:rsidR="004A5E0E" w:rsidRPr="00D6136B">
        <w:rPr>
          <w:rFonts w:ascii="Times New Roman" w:hAnsi="Times New Roman" w:cs="Times New Roman"/>
          <w:noProof/>
        </w:rPr>
        <w:t xml:space="preserve">Agnew, J., Bateman, H., Thorp, S., &amp; Agnew, J. R. (2013). Financial Literacy and Retirement Planning in Australian Australian School of Business Working Paper Financial literacy and retirement planning in Australia. </w:t>
      </w:r>
      <w:r w:rsidR="004A5E0E" w:rsidRPr="00D6136B">
        <w:rPr>
          <w:rFonts w:ascii="Times New Roman" w:hAnsi="Times New Roman" w:cs="Times New Roman"/>
          <w:i/>
          <w:iCs/>
          <w:noProof/>
        </w:rPr>
        <w:t>SSRN Electronic Journal</w:t>
      </w:r>
      <w:r w:rsidR="004A5E0E" w:rsidRPr="00D6136B">
        <w:rPr>
          <w:rFonts w:ascii="Times New Roman" w:hAnsi="Times New Roman" w:cs="Times New Roman"/>
          <w:noProof/>
        </w:rPr>
        <w:t xml:space="preserve">, </w:t>
      </w:r>
      <w:r w:rsidR="004A5E0E" w:rsidRPr="00D6136B">
        <w:rPr>
          <w:rFonts w:ascii="Times New Roman" w:hAnsi="Times New Roman" w:cs="Times New Roman"/>
          <w:i/>
          <w:iCs/>
          <w:noProof/>
        </w:rPr>
        <w:t>2012</w:t>
      </w:r>
      <w:r w:rsidR="004A5E0E" w:rsidRPr="00D6136B">
        <w:rPr>
          <w:rFonts w:ascii="Times New Roman" w:hAnsi="Times New Roman" w:cs="Times New Roman"/>
          <w:noProof/>
        </w:rPr>
        <w:t>.</w:t>
      </w:r>
    </w:p>
    <w:p w14:paraId="2BE40365"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Ahmad, N. W., Yunus, M. M., Baharudin, N. A., Johari, N., &amp; Ripain, N. (2015). Determinant of Saving Behavior among Staff in International Islamic University College Selangor. </w:t>
      </w:r>
      <w:r w:rsidRPr="00D6136B">
        <w:rPr>
          <w:rFonts w:ascii="Times New Roman" w:hAnsi="Times New Roman" w:cs="Times New Roman"/>
          <w:i/>
          <w:iCs/>
          <w:noProof/>
        </w:rPr>
        <w:t>Proceedings of the International Conference on Economics and Banking 2015</w:t>
      </w:r>
      <w:r w:rsidRPr="00D6136B">
        <w:rPr>
          <w:rFonts w:ascii="Times New Roman" w:hAnsi="Times New Roman" w:cs="Times New Roman"/>
          <w:noProof/>
        </w:rPr>
        <w:t xml:space="preserve">, </w:t>
      </w:r>
      <w:r w:rsidRPr="00D6136B">
        <w:rPr>
          <w:rFonts w:ascii="Times New Roman" w:hAnsi="Times New Roman" w:cs="Times New Roman"/>
          <w:i/>
          <w:iCs/>
          <w:noProof/>
        </w:rPr>
        <w:t>5</w:t>
      </w:r>
      <w:r w:rsidRPr="00D6136B">
        <w:rPr>
          <w:rFonts w:ascii="Times New Roman" w:hAnsi="Times New Roman" w:cs="Times New Roman"/>
          <w:noProof/>
        </w:rPr>
        <w:t>(January). https://doi.org/10.2991/iceb-15.2015.35</w:t>
      </w:r>
    </w:p>
    <w:p w14:paraId="6563148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Ahmad Zazili, A. S., Bin Ghazali, M. F., Binti Abu Bakar, N. T., Binti Ayob, M., &amp; Binti Abd Samad, I. H. (2017). Retirement Planning: Young Professionals in Private Sector. </w:t>
      </w:r>
      <w:r w:rsidRPr="00D6136B">
        <w:rPr>
          <w:rFonts w:ascii="Times New Roman" w:hAnsi="Times New Roman" w:cs="Times New Roman"/>
          <w:i/>
          <w:iCs/>
          <w:noProof/>
        </w:rPr>
        <w:t>SHS Web of Conferences</w:t>
      </w:r>
      <w:r w:rsidRPr="00D6136B">
        <w:rPr>
          <w:rFonts w:ascii="Times New Roman" w:hAnsi="Times New Roman" w:cs="Times New Roman"/>
          <w:noProof/>
        </w:rPr>
        <w:t xml:space="preserve">, </w:t>
      </w:r>
      <w:r w:rsidRPr="00D6136B">
        <w:rPr>
          <w:rFonts w:ascii="Times New Roman" w:hAnsi="Times New Roman" w:cs="Times New Roman"/>
          <w:i/>
          <w:iCs/>
          <w:noProof/>
        </w:rPr>
        <w:t>36</w:t>
      </w:r>
      <w:r w:rsidRPr="00D6136B">
        <w:rPr>
          <w:rFonts w:ascii="Times New Roman" w:hAnsi="Times New Roman" w:cs="Times New Roman"/>
          <w:noProof/>
        </w:rPr>
        <w:t>, 00024. https://doi.org/10.1051/shsconf/20173600024</w:t>
      </w:r>
    </w:p>
    <w:p w14:paraId="25167866"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Aizad, M. E., Ismail, S., &amp; Abd Samad, K. (2023). Measuring Financial Planning for Retirement of Gig Workers in Malaysia: A Pilot Study. </w:t>
      </w:r>
      <w:r w:rsidRPr="00D6136B">
        <w:rPr>
          <w:rFonts w:ascii="Times New Roman" w:hAnsi="Times New Roman" w:cs="Times New Roman"/>
          <w:i/>
          <w:iCs/>
          <w:noProof/>
        </w:rPr>
        <w:t>Information Management and Business Review</w:t>
      </w:r>
      <w:r w:rsidRPr="00D6136B">
        <w:rPr>
          <w:rFonts w:ascii="Times New Roman" w:hAnsi="Times New Roman" w:cs="Times New Roman"/>
          <w:noProof/>
        </w:rPr>
        <w:t xml:space="preserve">, </w:t>
      </w:r>
      <w:r w:rsidRPr="00D6136B">
        <w:rPr>
          <w:rFonts w:ascii="Times New Roman" w:hAnsi="Times New Roman" w:cs="Times New Roman"/>
          <w:i/>
          <w:iCs/>
          <w:noProof/>
        </w:rPr>
        <w:t>15</w:t>
      </w:r>
      <w:r w:rsidRPr="00D6136B">
        <w:rPr>
          <w:rFonts w:ascii="Times New Roman" w:hAnsi="Times New Roman" w:cs="Times New Roman"/>
          <w:noProof/>
        </w:rPr>
        <w:t>(3(I)), 325–340. https://doi.org/10.22610/imbr.v15i3(I).3543</w:t>
      </w:r>
    </w:p>
    <w:p w14:paraId="6A15AB3B"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Ajzen, I. (1991). The Theory of Planned Behavior. </w:t>
      </w:r>
      <w:r w:rsidRPr="00D6136B">
        <w:rPr>
          <w:rFonts w:ascii="Times New Roman" w:hAnsi="Times New Roman" w:cs="Times New Roman"/>
          <w:i/>
          <w:iCs/>
          <w:noProof/>
        </w:rPr>
        <w:t>Organizational Behavior and Human Decision Processes</w:t>
      </w:r>
      <w:r w:rsidRPr="00D6136B">
        <w:rPr>
          <w:rFonts w:ascii="Times New Roman" w:hAnsi="Times New Roman" w:cs="Times New Roman"/>
          <w:noProof/>
        </w:rPr>
        <w:t xml:space="preserve">, </w:t>
      </w:r>
      <w:r w:rsidRPr="00D6136B">
        <w:rPr>
          <w:rFonts w:ascii="Times New Roman" w:hAnsi="Times New Roman" w:cs="Times New Roman"/>
          <w:i/>
          <w:iCs/>
          <w:noProof/>
        </w:rPr>
        <w:t>33</w:t>
      </w:r>
      <w:r w:rsidRPr="00D6136B">
        <w:rPr>
          <w:rFonts w:ascii="Times New Roman" w:hAnsi="Times New Roman" w:cs="Times New Roman"/>
          <w:noProof/>
        </w:rPr>
        <w:t>(1), 52. https://doi.org/10.47985/dcidj.475</w:t>
      </w:r>
    </w:p>
    <w:p w14:paraId="5C56EFE4"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Alexandra, L., Erzsébet, N., &amp; Boglárka, Z. (2017). </w:t>
      </w:r>
      <w:r w:rsidRPr="00D6136B">
        <w:rPr>
          <w:rFonts w:ascii="Times New Roman" w:hAnsi="Times New Roman" w:cs="Times New Roman"/>
          <w:noProof/>
        </w:rPr>
        <w:t xml:space="preserve">Financial Personality Types and Attitudes that Affect Financial Indebtedness. </w:t>
      </w:r>
      <w:r w:rsidRPr="00D6136B">
        <w:rPr>
          <w:rFonts w:ascii="Times New Roman" w:hAnsi="Times New Roman" w:cs="Times New Roman"/>
          <w:i/>
          <w:iCs/>
          <w:noProof/>
        </w:rPr>
        <w:t>International Journal of Social Science and Economic Research</w:t>
      </w:r>
      <w:r w:rsidRPr="00D6136B">
        <w:rPr>
          <w:rFonts w:ascii="Times New Roman" w:hAnsi="Times New Roman" w:cs="Times New Roman"/>
          <w:noProof/>
        </w:rPr>
        <w:t xml:space="preserve">, </w:t>
      </w:r>
      <w:r w:rsidRPr="00D6136B">
        <w:rPr>
          <w:rFonts w:ascii="Times New Roman" w:hAnsi="Times New Roman" w:cs="Times New Roman"/>
          <w:i/>
          <w:iCs/>
          <w:noProof/>
        </w:rPr>
        <w:t>02</w:t>
      </w:r>
      <w:r w:rsidRPr="00D6136B">
        <w:rPr>
          <w:rFonts w:ascii="Times New Roman" w:hAnsi="Times New Roman" w:cs="Times New Roman"/>
          <w:noProof/>
        </w:rPr>
        <w:t>(09), 4687–4704. www.ijsser.org</w:t>
      </w:r>
    </w:p>
    <w:p w14:paraId="0E3DE888"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Alshebami, A. S., &amp; Aldhyani, T. H. H. (2022). The Interplay of Social Influence, Financial Literacy, and Saving Behaviour among Saudi Youth and the Moderating Effect of Self-Control. </w:t>
      </w:r>
      <w:r w:rsidRPr="00D6136B">
        <w:rPr>
          <w:rFonts w:ascii="Times New Roman" w:hAnsi="Times New Roman" w:cs="Times New Roman"/>
          <w:i/>
          <w:iCs/>
          <w:noProof/>
        </w:rPr>
        <w:t>Sustainability</w:t>
      </w:r>
      <w:r w:rsidRPr="00D6136B">
        <w:rPr>
          <w:rFonts w:ascii="Times New Roman" w:hAnsi="Times New Roman" w:cs="Times New Roman"/>
          <w:noProof/>
        </w:rPr>
        <w:t xml:space="preserve">, </w:t>
      </w:r>
      <w:r w:rsidRPr="00D6136B">
        <w:rPr>
          <w:rFonts w:ascii="Times New Roman" w:hAnsi="Times New Roman" w:cs="Times New Roman"/>
          <w:i/>
          <w:iCs/>
          <w:noProof/>
        </w:rPr>
        <w:t>14</w:t>
      </w:r>
      <w:r w:rsidRPr="00D6136B">
        <w:rPr>
          <w:rFonts w:ascii="Times New Roman" w:hAnsi="Times New Roman" w:cs="Times New Roman"/>
          <w:noProof/>
        </w:rPr>
        <w:t>(14), 8780. https://doi.org/10.3390/su14148780</w:t>
      </w:r>
    </w:p>
    <w:p w14:paraId="780E4FB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Amirio, D. (2015). RI’s financial literacy remains among lowest in Asia. </w:t>
      </w:r>
      <w:r w:rsidRPr="00D6136B">
        <w:rPr>
          <w:rFonts w:ascii="Times New Roman" w:hAnsi="Times New Roman" w:cs="Times New Roman"/>
          <w:i/>
          <w:iCs/>
          <w:noProof/>
        </w:rPr>
        <w:t>The Jakarta Post</w:t>
      </w:r>
      <w:r w:rsidRPr="00D6136B">
        <w:rPr>
          <w:rFonts w:ascii="Times New Roman" w:hAnsi="Times New Roman" w:cs="Times New Roman"/>
          <w:noProof/>
        </w:rPr>
        <w:t>. https://www.thejakartapost.com/news/2015/09/04/ri-s-financial-literacy-remains-among-lowest-asia.html</w:t>
      </w:r>
    </w:p>
    <w:p w14:paraId="5814328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Angela, G., &amp; Pamungkas, A. S. (2022). </w:t>
      </w:r>
      <w:r w:rsidRPr="00D6136B">
        <w:rPr>
          <w:rFonts w:ascii="Times New Roman" w:hAnsi="Times New Roman" w:cs="Times New Roman"/>
          <w:noProof/>
        </w:rPr>
        <w:t xml:space="preserve">The Influence of Financial Literacy, Parental Socialization, Peer Influence and Self-Control on Saving Behavior. </w:t>
      </w:r>
      <w:r w:rsidRPr="00D6136B">
        <w:rPr>
          <w:rFonts w:ascii="Times New Roman" w:hAnsi="Times New Roman" w:cs="Times New Roman"/>
          <w:i/>
          <w:iCs/>
          <w:noProof/>
        </w:rPr>
        <w:t>Proceedings of the 3rd Tarumanagara International Conference on the Applications of Social Sciences and Humanities (TICASH 2021)</w:t>
      </w:r>
      <w:r w:rsidRPr="00D6136B">
        <w:rPr>
          <w:rFonts w:ascii="Times New Roman" w:hAnsi="Times New Roman" w:cs="Times New Roman"/>
          <w:noProof/>
        </w:rPr>
        <w:t xml:space="preserve">, </w:t>
      </w:r>
      <w:r w:rsidRPr="00D6136B">
        <w:rPr>
          <w:rFonts w:ascii="Times New Roman" w:hAnsi="Times New Roman" w:cs="Times New Roman"/>
          <w:i/>
          <w:iCs/>
          <w:noProof/>
        </w:rPr>
        <w:t>655</w:t>
      </w:r>
      <w:r w:rsidRPr="00D6136B">
        <w:rPr>
          <w:rFonts w:ascii="Times New Roman" w:hAnsi="Times New Roman" w:cs="Times New Roman"/>
          <w:noProof/>
        </w:rPr>
        <w:t>(Icebm 2021), 560–566. https://doi.org/10.2991/assehr.k.220404.217</w:t>
      </w:r>
    </w:p>
    <w:p w14:paraId="19E387B7"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lang w:val="sv-SE"/>
        </w:rPr>
      </w:pPr>
      <w:r w:rsidRPr="00D6136B">
        <w:rPr>
          <w:rFonts w:ascii="Times New Roman" w:hAnsi="Times New Roman" w:cs="Times New Roman"/>
          <w:noProof/>
          <w:lang w:val="sv-SE"/>
        </w:rPr>
        <w:t xml:space="preserve">Badan Pusat Statistik. (2024). </w:t>
      </w:r>
      <w:r w:rsidRPr="00D6136B">
        <w:rPr>
          <w:rFonts w:ascii="Times New Roman" w:hAnsi="Times New Roman" w:cs="Times New Roman"/>
          <w:i/>
          <w:iCs/>
          <w:noProof/>
          <w:lang w:val="sv-SE"/>
        </w:rPr>
        <w:t>Badan Pusat Statistik</w:t>
      </w:r>
      <w:r w:rsidRPr="00D6136B">
        <w:rPr>
          <w:rFonts w:ascii="Times New Roman" w:hAnsi="Times New Roman" w:cs="Times New Roman"/>
          <w:noProof/>
          <w:lang w:val="sv-SE"/>
        </w:rPr>
        <w:t>. Badan Pusat Statistik. https://bps.go.id</w:t>
      </w:r>
    </w:p>
    <w:p w14:paraId="48DA3812"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Balint, A., &amp; Kokeny Horvathne, A. (2013). Saving Habits of Hungarian College Students. </w:t>
      </w:r>
      <w:r w:rsidRPr="00D6136B">
        <w:rPr>
          <w:rFonts w:ascii="Times New Roman" w:hAnsi="Times New Roman" w:cs="Times New Roman"/>
          <w:i/>
          <w:iCs/>
          <w:noProof/>
        </w:rPr>
        <w:t>European Scientific Journal</w:t>
      </w:r>
      <w:r w:rsidRPr="00D6136B">
        <w:rPr>
          <w:rFonts w:ascii="Times New Roman" w:hAnsi="Times New Roman" w:cs="Times New Roman"/>
          <w:noProof/>
        </w:rPr>
        <w:t xml:space="preserve">, </w:t>
      </w:r>
      <w:r w:rsidRPr="00D6136B">
        <w:rPr>
          <w:rFonts w:ascii="Times New Roman" w:hAnsi="Times New Roman" w:cs="Times New Roman"/>
          <w:i/>
          <w:iCs/>
          <w:noProof/>
        </w:rPr>
        <w:t>9</w:t>
      </w:r>
      <w:r w:rsidRPr="00D6136B">
        <w:rPr>
          <w:rFonts w:ascii="Times New Roman" w:hAnsi="Times New Roman" w:cs="Times New Roman"/>
          <w:noProof/>
        </w:rPr>
        <w:t>(34), 1857–7881.</w:t>
      </w:r>
    </w:p>
    <w:p w14:paraId="76A5D40A"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Baskoro, R. A., &amp; Aulia, R. (2019). The Effect of Financial Literacy and Financial Inclusion on Retirement Planning. </w:t>
      </w:r>
      <w:r w:rsidRPr="00D6136B">
        <w:rPr>
          <w:rFonts w:ascii="Times New Roman" w:hAnsi="Times New Roman" w:cs="Times New Roman"/>
          <w:i/>
          <w:iCs/>
          <w:noProof/>
        </w:rPr>
        <w:t>International Journal of Business Economics (IJBE)</w:t>
      </w:r>
      <w:r w:rsidRPr="00D6136B">
        <w:rPr>
          <w:rFonts w:ascii="Times New Roman" w:hAnsi="Times New Roman" w:cs="Times New Roman"/>
          <w:noProof/>
        </w:rPr>
        <w:t xml:space="preserve">, </w:t>
      </w:r>
      <w:r w:rsidRPr="00D6136B">
        <w:rPr>
          <w:rFonts w:ascii="Times New Roman" w:hAnsi="Times New Roman" w:cs="Times New Roman"/>
          <w:i/>
          <w:iCs/>
          <w:noProof/>
        </w:rPr>
        <w:t>1</w:t>
      </w:r>
      <w:r w:rsidRPr="00D6136B">
        <w:rPr>
          <w:rFonts w:ascii="Times New Roman" w:hAnsi="Times New Roman" w:cs="Times New Roman"/>
          <w:noProof/>
        </w:rPr>
        <w:t>(1), 49–58. https://doi.org/10.30596/ijbe.v1i1.3442</w:t>
      </w:r>
    </w:p>
    <w:p w14:paraId="52C48B1A"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Bertuah, E., &amp; Nurlinda, R. (2019). Testing Financial Information in Forming Investor Confidence. </w:t>
      </w:r>
      <w:r w:rsidRPr="00D6136B">
        <w:rPr>
          <w:rFonts w:ascii="Times New Roman" w:hAnsi="Times New Roman" w:cs="Times New Roman"/>
          <w:i/>
          <w:iCs/>
          <w:noProof/>
        </w:rPr>
        <w:t>Proceedings of the 2019 International Conference on Organizational Innovation (ICOI 2019)</w:t>
      </w:r>
      <w:r w:rsidRPr="00D6136B">
        <w:rPr>
          <w:rFonts w:ascii="Times New Roman" w:hAnsi="Times New Roman" w:cs="Times New Roman"/>
          <w:noProof/>
        </w:rPr>
        <w:t xml:space="preserve">, </w:t>
      </w:r>
      <w:r w:rsidRPr="00D6136B">
        <w:rPr>
          <w:rFonts w:ascii="Times New Roman" w:hAnsi="Times New Roman" w:cs="Times New Roman"/>
          <w:i/>
          <w:iCs/>
          <w:noProof/>
        </w:rPr>
        <w:t>100</w:t>
      </w:r>
      <w:r w:rsidRPr="00D6136B">
        <w:rPr>
          <w:rFonts w:ascii="Times New Roman" w:hAnsi="Times New Roman" w:cs="Times New Roman"/>
          <w:noProof/>
        </w:rPr>
        <w:t>(Icoi), 448–452. https://doi.org/10.2991/icoi-19.2019.78</w:t>
      </w:r>
    </w:p>
    <w:p w14:paraId="59194DD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Bertuah, E., &amp; Oppusunggu, H. D. (2022). MIX : Jurnal Ilmiah Manajemen Jurnal Ilmiah Manajemen. </w:t>
      </w:r>
      <w:r w:rsidRPr="00D6136B">
        <w:rPr>
          <w:rFonts w:ascii="Times New Roman" w:hAnsi="Times New Roman" w:cs="Times New Roman"/>
          <w:i/>
          <w:iCs/>
          <w:noProof/>
        </w:rPr>
        <w:t>MIX: Jurnal Ilmiah Manajemen</w:t>
      </w:r>
      <w:r w:rsidRPr="00D6136B">
        <w:rPr>
          <w:rFonts w:ascii="Times New Roman" w:hAnsi="Times New Roman" w:cs="Times New Roman"/>
          <w:noProof/>
        </w:rPr>
        <w:t xml:space="preserve">, </w:t>
      </w:r>
      <w:r w:rsidRPr="00D6136B">
        <w:rPr>
          <w:rFonts w:ascii="Times New Roman" w:hAnsi="Times New Roman" w:cs="Times New Roman"/>
          <w:i/>
          <w:iCs/>
          <w:noProof/>
        </w:rPr>
        <w:t>18</w:t>
      </w:r>
      <w:r w:rsidRPr="00D6136B">
        <w:rPr>
          <w:rFonts w:ascii="Times New Roman" w:hAnsi="Times New Roman" w:cs="Times New Roman"/>
          <w:noProof/>
        </w:rPr>
        <w:t>(1), 31–43.</w:t>
      </w:r>
    </w:p>
    <w:p w14:paraId="3ACD2D4B"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Bhatia, G. K., &amp; Tyagi, M. (2018). An Impact of Socio-Economic Factors on Saving Behaviour of Individuals. </w:t>
      </w:r>
      <w:r w:rsidRPr="00D6136B">
        <w:rPr>
          <w:rFonts w:ascii="Times New Roman" w:hAnsi="Times New Roman" w:cs="Times New Roman"/>
          <w:i/>
          <w:iCs/>
          <w:noProof/>
        </w:rPr>
        <w:t>Asian Journal of Management</w:t>
      </w:r>
      <w:r w:rsidRPr="00D6136B">
        <w:rPr>
          <w:rFonts w:ascii="Times New Roman" w:hAnsi="Times New Roman" w:cs="Times New Roman"/>
          <w:noProof/>
        </w:rPr>
        <w:t xml:space="preserve">, </w:t>
      </w:r>
      <w:r w:rsidRPr="00D6136B">
        <w:rPr>
          <w:rFonts w:ascii="Times New Roman" w:hAnsi="Times New Roman" w:cs="Times New Roman"/>
          <w:i/>
          <w:iCs/>
          <w:noProof/>
        </w:rPr>
        <w:t>9</w:t>
      </w:r>
      <w:r w:rsidRPr="00D6136B">
        <w:rPr>
          <w:rFonts w:ascii="Times New Roman" w:hAnsi="Times New Roman" w:cs="Times New Roman"/>
          <w:noProof/>
        </w:rPr>
        <w:t>(1), 64. https://doi.org/10.5958/2321-5763.2018.00010.0</w:t>
      </w:r>
    </w:p>
    <w:p w14:paraId="6C4F6272"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lang w:val="sv-SE"/>
        </w:rPr>
      </w:pPr>
      <w:r w:rsidRPr="00D6136B">
        <w:rPr>
          <w:rFonts w:ascii="Times New Roman" w:hAnsi="Times New Roman" w:cs="Times New Roman"/>
          <w:noProof/>
        </w:rPr>
        <w:t xml:space="preserve">Bikhchandani, S., &amp; Sharma, S. (2001). </w:t>
      </w:r>
      <w:r w:rsidRPr="00D6136B">
        <w:rPr>
          <w:rFonts w:ascii="Times New Roman" w:hAnsi="Times New Roman" w:cs="Times New Roman"/>
          <w:i/>
          <w:iCs/>
          <w:noProof/>
        </w:rPr>
        <w:t>Herd Behavior in Financial Markets</w:t>
      </w:r>
      <w:r w:rsidRPr="00D6136B">
        <w:rPr>
          <w:rFonts w:ascii="Times New Roman" w:hAnsi="Times New Roman" w:cs="Times New Roman"/>
          <w:noProof/>
        </w:rPr>
        <w:t xml:space="preserve">. </w:t>
      </w:r>
      <w:r w:rsidRPr="00D6136B">
        <w:rPr>
          <w:rFonts w:ascii="Times New Roman" w:hAnsi="Times New Roman" w:cs="Times New Roman"/>
          <w:i/>
          <w:iCs/>
          <w:noProof/>
          <w:lang w:val="sv-SE"/>
        </w:rPr>
        <w:t>24</w:t>
      </w:r>
      <w:r w:rsidRPr="00D6136B">
        <w:rPr>
          <w:rFonts w:ascii="Times New Roman" w:hAnsi="Times New Roman" w:cs="Times New Roman"/>
          <w:noProof/>
          <w:lang w:val="sv-SE"/>
        </w:rPr>
        <w:t>(1), 69–72. https://doi.org/10.1111/j.1532-950X.1995.tb01298.x</w:t>
      </w:r>
    </w:p>
    <w:p w14:paraId="3C80A534"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Calderone, M., Sadhu, S., Fiala, N., Sarr, L., &amp; Mulaj, F. (2018). </w:t>
      </w:r>
      <w:r w:rsidRPr="00D6136B">
        <w:rPr>
          <w:rFonts w:ascii="Times New Roman" w:hAnsi="Times New Roman" w:cs="Times New Roman"/>
          <w:noProof/>
        </w:rPr>
        <w:t xml:space="preserve">Financial education and savings behavior: Evidence from a randomized experiment among low-income clients of branchless banking in India. </w:t>
      </w:r>
      <w:r w:rsidRPr="00D6136B">
        <w:rPr>
          <w:rFonts w:ascii="Times New Roman" w:hAnsi="Times New Roman" w:cs="Times New Roman"/>
          <w:i/>
          <w:iCs/>
          <w:noProof/>
        </w:rPr>
        <w:t>Economic Development and Cultural Change</w:t>
      </w:r>
      <w:r w:rsidRPr="00D6136B">
        <w:rPr>
          <w:rFonts w:ascii="Times New Roman" w:hAnsi="Times New Roman" w:cs="Times New Roman"/>
          <w:noProof/>
        </w:rPr>
        <w:t xml:space="preserve">, </w:t>
      </w:r>
      <w:r w:rsidRPr="00D6136B">
        <w:rPr>
          <w:rFonts w:ascii="Times New Roman" w:hAnsi="Times New Roman" w:cs="Times New Roman"/>
          <w:i/>
          <w:iCs/>
          <w:noProof/>
        </w:rPr>
        <w:t>66</w:t>
      </w:r>
      <w:r w:rsidRPr="00D6136B">
        <w:rPr>
          <w:rFonts w:ascii="Times New Roman" w:hAnsi="Times New Roman" w:cs="Times New Roman"/>
          <w:noProof/>
        </w:rPr>
        <w:t>(4), 793–825. https://doi.org/10.1086/697413</w:t>
      </w:r>
    </w:p>
    <w:p w14:paraId="2E4E840C"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Castro-González, S., Rey-Ares, L., Fernández-López, S., &amp; Daoudi, D. (2020). The effect of self-control upon participation in voluntary pension schemes. </w:t>
      </w:r>
      <w:r w:rsidRPr="00D6136B">
        <w:rPr>
          <w:rFonts w:ascii="Times New Roman" w:hAnsi="Times New Roman" w:cs="Times New Roman"/>
          <w:i/>
          <w:iCs/>
          <w:noProof/>
        </w:rPr>
        <w:t>Economics and Sociology</w:t>
      </w:r>
      <w:r w:rsidRPr="00D6136B">
        <w:rPr>
          <w:rFonts w:ascii="Times New Roman" w:hAnsi="Times New Roman" w:cs="Times New Roman"/>
          <w:noProof/>
        </w:rPr>
        <w:t xml:space="preserve">, </w:t>
      </w:r>
      <w:r w:rsidRPr="00D6136B">
        <w:rPr>
          <w:rFonts w:ascii="Times New Roman" w:hAnsi="Times New Roman" w:cs="Times New Roman"/>
          <w:i/>
          <w:iCs/>
          <w:noProof/>
        </w:rPr>
        <w:t>13</w:t>
      </w:r>
      <w:r w:rsidRPr="00D6136B">
        <w:rPr>
          <w:rFonts w:ascii="Times New Roman" w:hAnsi="Times New Roman" w:cs="Times New Roman"/>
          <w:noProof/>
        </w:rPr>
        <w:t>(1), 11–23. https://doi.org/10.14254/2071-789X.2020/13-1/1</w:t>
      </w:r>
    </w:p>
    <w:p w14:paraId="152C972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Chatterjee, S., Fan, L., Jacobs, B., &amp; Haas, R. (2017). Risk Tolerance and Goals-based Savings Behavior of Households: The Role of Financial Literacy. </w:t>
      </w:r>
      <w:r w:rsidRPr="00D6136B">
        <w:rPr>
          <w:rFonts w:ascii="Times New Roman" w:hAnsi="Times New Roman" w:cs="Times New Roman"/>
          <w:i/>
          <w:iCs/>
          <w:noProof/>
        </w:rPr>
        <w:t>Journal of Personal Finance</w:t>
      </w:r>
      <w:r w:rsidRPr="00D6136B">
        <w:rPr>
          <w:rFonts w:ascii="Times New Roman" w:hAnsi="Times New Roman" w:cs="Times New Roman"/>
          <w:noProof/>
        </w:rPr>
        <w:t xml:space="preserve">, </w:t>
      </w:r>
      <w:r w:rsidRPr="00D6136B">
        <w:rPr>
          <w:rFonts w:ascii="Times New Roman" w:hAnsi="Times New Roman" w:cs="Times New Roman"/>
          <w:i/>
          <w:iCs/>
          <w:noProof/>
        </w:rPr>
        <w:t>16</w:t>
      </w:r>
      <w:r w:rsidRPr="00D6136B">
        <w:rPr>
          <w:rFonts w:ascii="Times New Roman" w:hAnsi="Times New Roman" w:cs="Times New Roman"/>
          <w:noProof/>
        </w:rPr>
        <w:t>(1), 66–77.</w:t>
      </w:r>
    </w:p>
    <w:p w14:paraId="6AAE8D80"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Cho, J. (2016). </w:t>
      </w:r>
      <w:r w:rsidRPr="00D6136B">
        <w:rPr>
          <w:rFonts w:ascii="Times New Roman" w:hAnsi="Times New Roman" w:cs="Times New Roman"/>
          <w:i/>
          <w:iCs/>
          <w:noProof/>
        </w:rPr>
        <w:t>Bridge Employment and Health</w:t>
      </w:r>
      <w:r w:rsidRPr="00D6136B">
        <w:rPr>
          <w:rFonts w:ascii="Times New Roman" w:hAnsi="Times New Roman" w:cs="Times New Roman"/>
          <w:noProof/>
        </w:rPr>
        <w:t xml:space="preserve"> (Vol. 66). University of Michigan.</w:t>
      </w:r>
    </w:p>
    <w:p w14:paraId="45775066"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Choi, K.-H., &amp; Yoon, S.-M. (2020). Investor Sentiment and Herding Behavior in the Korean Stock Market. </w:t>
      </w:r>
      <w:r w:rsidRPr="00D6136B">
        <w:rPr>
          <w:rFonts w:ascii="Times New Roman" w:hAnsi="Times New Roman" w:cs="Times New Roman"/>
          <w:i/>
          <w:iCs/>
          <w:noProof/>
        </w:rPr>
        <w:t>International Journal of Financial Studies</w:t>
      </w:r>
      <w:r w:rsidRPr="00D6136B">
        <w:rPr>
          <w:rFonts w:ascii="Times New Roman" w:hAnsi="Times New Roman" w:cs="Times New Roman"/>
          <w:noProof/>
        </w:rPr>
        <w:t xml:space="preserve">, </w:t>
      </w:r>
      <w:r w:rsidRPr="00D6136B">
        <w:rPr>
          <w:rFonts w:ascii="Times New Roman" w:hAnsi="Times New Roman" w:cs="Times New Roman"/>
          <w:i/>
          <w:iCs/>
          <w:noProof/>
        </w:rPr>
        <w:t>8</w:t>
      </w:r>
      <w:r w:rsidRPr="00D6136B">
        <w:rPr>
          <w:rFonts w:ascii="Times New Roman" w:hAnsi="Times New Roman" w:cs="Times New Roman"/>
          <w:noProof/>
        </w:rPr>
        <w:t>(2), 34. https://doi.org/10.3390/ijfs8020034</w:t>
      </w:r>
    </w:p>
    <w:p w14:paraId="0D543E4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Chun, Y. K., Fenn, C. J., &amp; Al-Khaled, A. A. S. (2021). The Relationship between Socio-Demographics and Financial Literacy with Financial Planning Among Young Adults in Klang Valley, Malaysia. </w:t>
      </w:r>
      <w:r w:rsidRPr="00D6136B">
        <w:rPr>
          <w:rFonts w:ascii="Times New Roman" w:hAnsi="Times New Roman" w:cs="Times New Roman"/>
          <w:i/>
          <w:iCs/>
          <w:noProof/>
        </w:rPr>
        <w:t>Jurnal Pengurusan</w:t>
      </w:r>
      <w:r w:rsidRPr="00D6136B">
        <w:rPr>
          <w:rFonts w:ascii="Times New Roman" w:hAnsi="Times New Roman" w:cs="Times New Roman"/>
          <w:noProof/>
        </w:rPr>
        <w:t xml:space="preserve">, </w:t>
      </w:r>
      <w:r w:rsidRPr="00D6136B">
        <w:rPr>
          <w:rFonts w:ascii="Times New Roman" w:hAnsi="Times New Roman" w:cs="Times New Roman"/>
          <w:i/>
          <w:iCs/>
          <w:noProof/>
        </w:rPr>
        <w:t>63</w:t>
      </w:r>
      <w:r w:rsidRPr="00D6136B">
        <w:rPr>
          <w:rFonts w:ascii="Times New Roman" w:hAnsi="Times New Roman" w:cs="Times New Roman"/>
          <w:noProof/>
        </w:rPr>
        <w:t>. https://doi.org/10.17576/JEM</w:t>
      </w:r>
    </w:p>
    <w:p w14:paraId="73E63934"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Croy, G., Gerrans, P., &amp; Speelman, C. (2010). The role and relevance of domain knowledge, perceptions of planning importance, and risk tolerance in predicting savings intentions. </w:t>
      </w:r>
      <w:r w:rsidRPr="00D6136B">
        <w:rPr>
          <w:rFonts w:ascii="Times New Roman" w:hAnsi="Times New Roman" w:cs="Times New Roman"/>
          <w:i/>
          <w:iCs/>
          <w:noProof/>
        </w:rPr>
        <w:t>Journal of Economic Psychology</w:t>
      </w:r>
      <w:r w:rsidRPr="00D6136B">
        <w:rPr>
          <w:rFonts w:ascii="Times New Roman" w:hAnsi="Times New Roman" w:cs="Times New Roman"/>
          <w:noProof/>
        </w:rPr>
        <w:t xml:space="preserve">, </w:t>
      </w:r>
      <w:r w:rsidRPr="00D6136B">
        <w:rPr>
          <w:rFonts w:ascii="Times New Roman" w:hAnsi="Times New Roman" w:cs="Times New Roman"/>
          <w:i/>
          <w:iCs/>
          <w:noProof/>
        </w:rPr>
        <w:t>31</w:t>
      </w:r>
      <w:r w:rsidRPr="00D6136B">
        <w:rPr>
          <w:rFonts w:ascii="Times New Roman" w:hAnsi="Times New Roman" w:cs="Times New Roman"/>
          <w:noProof/>
        </w:rPr>
        <w:t>(6), 860–871. https://doi.org/10.1016/j.joep.2010.06.002</w:t>
      </w:r>
    </w:p>
    <w:p w14:paraId="622D730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Dangol, J., &amp; Maharjan, S. (2018). Parental and Peer Influence on the Saving Behavior of the Youth. </w:t>
      </w:r>
      <w:r w:rsidRPr="00D6136B">
        <w:rPr>
          <w:rFonts w:ascii="Times New Roman" w:hAnsi="Times New Roman" w:cs="Times New Roman"/>
          <w:i/>
          <w:iCs/>
          <w:noProof/>
        </w:rPr>
        <w:t>International Research Journal of Management Science</w:t>
      </w:r>
      <w:r w:rsidRPr="00D6136B">
        <w:rPr>
          <w:rFonts w:ascii="Times New Roman" w:hAnsi="Times New Roman" w:cs="Times New Roman"/>
          <w:noProof/>
        </w:rPr>
        <w:t xml:space="preserve">, </w:t>
      </w:r>
      <w:r w:rsidRPr="00D6136B">
        <w:rPr>
          <w:rFonts w:ascii="Times New Roman" w:hAnsi="Times New Roman" w:cs="Times New Roman"/>
          <w:i/>
          <w:iCs/>
          <w:noProof/>
        </w:rPr>
        <w:t>3</w:t>
      </w:r>
      <w:r w:rsidRPr="00D6136B">
        <w:rPr>
          <w:rFonts w:ascii="Times New Roman" w:hAnsi="Times New Roman" w:cs="Times New Roman"/>
          <w:noProof/>
        </w:rPr>
        <w:t>(1), 42–63. https://doi.org/10.3126/irjms.v3i0.28035</w:t>
      </w:r>
    </w:p>
    <w:p w14:paraId="04A3C0F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Danish, R. Q., Rehman, M., Hasnain, M., Latif, A., &amp; Afzal, A. (2021). Determinants of saving behavior through saving intentions: an empirical evidence from the service sector. </w:t>
      </w:r>
      <w:r w:rsidRPr="00D6136B">
        <w:rPr>
          <w:rFonts w:ascii="Times New Roman" w:hAnsi="Times New Roman" w:cs="Times New Roman"/>
          <w:i/>
          <w:iCs/>
          <w:noProof/>
        </w:rPr>
        <w:t xml:space="preserve">Ilkoqgretim Online - Elementary Education Online </w:t>
      </w:r>
      <w:r w:rsidRPr="00D6136B">
        <w:rPr>
          <w:rFonts w:ascii="Times New Roman" w:hAnsi="Times New Roman" w:cs="Times New Roman"/>
          <w:noProof/>
        </w:rPr>
        <w:t xml:space="preserve">, </w:t>
      </w:r>
      <w:r w:rsidRPr="00D6136B">
        <w:rPr>
          <w:rFonts w:ascii="Times New Roman" w:hAnsi="Times New Roman" w:cs="Times New Roman"/>
          <w:i/>
          <w:iCs/>
          <w:noProof/>
        </w:rPr>
        <w:t>20</w:t>
      </w:r>
      <w:r w:rsidRPr="00D6136B">
        <w:rPr>
          <w:rFonts w:ascii="Times New Roman" w:hAnsi="Times New Roman" w:cs="Times New Roman"/>
          <w:noProof/>
        </w:rPr>
        <w:t>(5), 7082–7094. https://doi.org/10.17051/ilkonline.2021.05.801</w:t>
      </w:r>
    </w:p>
    <w:p w14:paraId="192EBE9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Denton, F. T., &amp; Spencer, B. G. (2009). What is retirement? A review and assessment of alternative concepts and measures. </w:t>
      </w:r>
      <w:r w:rsidRPr="00D6136B">
        <w:rPr>
          <w:rFonts w:ascii="Times New Roman" w:hAnsi="Times New Roman" w:cs="Times New Roman"/>
          <w:i/>
          <w:iCs/>
          <w:noProof/>
        </w:rPr>
        <w:t>Canadian Journal on Aging</w:t>
      </w:r>
      <w:r w:rsidRPr="00D6136B">
        <w:rPr>
          <w:rFonts w:ascii="Times New Roman" w:hAnsi="Times New Roman" w:cs="Times New Roman"/>
          <w:noProof/>
        </w:rPr>
        <w:t xml:space="preserve">, </w:t>
      </w:r>
      <w:r w:rsidRPr="00D6136B">
        <w:rPr>
          <w:rFonts w:ascii="Times New Roman" w:hAnsi="Times New Roman" w:cs="Times New Roman"/>
          <w:i/>
          <w:iCs/>
          <w:noProof/>
        </w:rPr>
        <w:t>28</w:t>
      </w:r>
      <w:r w:rsidRPr="00D6136B">
        <w:rPr>
          <w:rFonts w:ascii="Times New Roman" w:hAnsi="Times New Roman" w:cs="Times New Roman"/>
          <w:noProof/>
        </w:rPr>
        <w:t>(1), 63–76. https://doi.org/10.1017/S0714980809090047</w:t>
      </w:r>
    </w:p>
    <w:p w14:paraId="315362A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Disney, R., &amp; Gathergood, J. (2013). Financial literacy and consumer credit portfolios. </w:t>
      </w:r>
      <w:r w:rsidRPr="00D6136B">
        <w:rPr>
          <w:rFonts w:ascii="Times New Roman" w:hAnsi="Times New Roman" w:cs="Times New Roman"/>
          <w:i/>
          <w:iCs/>
          <w:noProof/>
        </w:rPr>
        <w:t>Journal of Banking &amp; Finance</w:t>
      </w:r>
      <w:r w:rsidRPr="00D6136B">
        <w:rPr>
          <w:rFonts w:ascii="Times New Roman" w:hAnsi="Times New Roman" w:cs="Times New Roman"/>
          <w:noProof/>
        </w:rPr>
        <w:t xml:space="preserve">, </w:t>
      </w:r>
      <w:r w:rsidRPr="00D6136B">
        <w:rPr>
          <w:rFonts w:ascii="Times New Roman" w:hAnsi="Times New Roman" w:cs="Times New Roman"/>
          <w:i/>
          <w:iCs/>
          <w:noProof/>
        </w:rPr>
        <w:t>37</w:t>
      </w:r>
      <w:r w:rsidRPr="00D6136B">
        <w:rPr>
          <w:rFonts w:ascii="Times New Roman" w:hAnsi="Times New Roman" w:cs="Times New Roman"/>
          <w:noProof/>
        </w:rPr>
        <w:t>(7), 2246–2254. https://doi.org/10.1016/j.jbankfin.2013.01.013</w:t>
      </w:r>
    </w:p>
    <w:p w14:paraId="66FD784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Fairer, B. F. (2022). </w:t>
      </w:r>
      <w:r w:rsidRPr="00D6136B">
        <w:rPr>
          <w:rFonts w:ascii="Times New Roman" w:hAnsi="Times New Roman" w:cs="Times New Roman"/>
          <w:i/>
          <w:iCs/>
          <w:noProof/>
        </w:rPr>
        <w:t>Annex 1. Financial inclusion and literacy in Asia and the Pacific Annex 2. Central banks’ internal corporate actions to promote inclusive development Online Annexes Building Forward Fairer Economic and Social Survey of Asia and the Pacific 2022 Economic P</w:t>
      </w:r>
      <w:r w:rsidRPr="00D6136B">
        <w:rPr>
          <w:rFonts w:ascii="Times New Roman" w:hAnsi="Times New Roman" w:cs="Times New Roman"/>
          <w:noProof/>
        </w:rPr>
        <w:t>.</w:t>
      </w:r>
    </w:p>
    <w:p w14:paraId="071BB2A0"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Fazli Sabri, M., &amp; Tze Juen, T. (2014). </w:t>
      </w:r>
      <w:r w:rsidRPr="00D6136B">
        <w:rPr>
          <w:rFonts w:ascii="Times New Roman" w:hAnsi="Times New Roman" w:cs="Times New Roman"/>
          <w:noProof/>
        </w:rPr>
        <w:t xml:space="preserve">The Influence of Financial Literacy, Saving Behaviour, and Financial Management on Retirement Confidence among Women Working in the Malaysian Public Sector. </w:t>
      </w:r>
      <w:r w:rsidRPr="00D6136B">
        <w:rPr>
          <w:rFonts w:ascii="Times New Roman" w:hAnsi="Times New Roman" w:cs="Times New Roman"/>
          <w:i/>
          <w:iCs/>
          <w:noProof/>
        </w:rPr>
        <w:t>Asian Social Science</w:t>
      </w:r>
      <w:r w:rsidRPr="00D6136B">
        <w:rPr>
          <w:rFonts w:ascii="Times New Roman" w:hAnsi="Times New Roman" w:cs="Times New Roman"/>
          <w:noProof/>
        </w:rPr>
        <w:t xml:space="preserve">, </w:t>
      </w:r>
      <w:r w:rsidRPr="00D6136B">
        <w:rPr>
          <w:rFonts w:ascii="Times New Roman" w:hAnsi="Times New Roman" w:cs="Times New Roman"/>
          <w:i/>
          <w:iCs/>
          <w:noProof/>
        </w:rPr>
        <w:t>10</w:t>
      </w:r>
      <w:r w:rsidRPr="00D6136B">
        <w:rPr>
          <w:rFonts w:ascii="Times New Roman" w:hAnsi="Times New Roman" w:cs="Times New Roman"/>
          <w:noProof/>
        </w:rPr>
        <w:t>(14), 40–51. https://doi.org/10.5539/ass.v10n14p40</w:t>
      </w:r>
    </w:p>
    <w:p w14:paraId="4CA04EE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Firli, A., &amp; Hidayati, N. (2021). The Influence of Financial Knowledge, Financial Attitude, and Personality Towards Financial Management Behavior on Productive Age Population. </w:t>
      </w:r>
      <w:r w:rsidRPr="00D6136B">
        <w:rPr>
          <w:rFonts w:ascii="Times New Roman" w:hAnsi="Times New Roman" w:cs="Times New Roman"/>
          <w:i/>
          <w:iCs/>
          <w:noProof/>
        </w:rPr>
        <w:t>Review of Integrative Business and Economics Research</w:t>
      </w:r>
      <w:r w:rsidRPr="00D6136B">
        <w:rPr>
          <w:rFonts w:ascii="Times New Roman" w:hAnsi="Times New Roman" w:cs="Times New Roman"/>
          <w:noProof/>
        </w:rPr>
        <w:t xml:space="preserve">, </w:t>
      </w:r>
      <w:r w:rsidRPr="00D6136B">
        <w:rPr>
          <w:rFonts w:ascii="Times New Roman" w:hAnsi="Times New Roman" w:cs="Times New Roman"/>
          <w:i/>
          <w:iCs/>
          <w:noProof/>
        </w:rPr>
        <w:t>10</w:t>
      </w:r>
      <w:r w:rsidRPr="00D6136B">
        <w:rPr>
          <w:rFonts w:ascii="Times New Roman" w:hAnsi="Times New Roman" w:cs="Times New Roman"/>
          <w:noProof/>
        </w:rPr>
        <w:t>(3), 43–55.</w:t>
      </w:r>
    </w:p>
    <w:p w14:paraId="3D000F9F"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Firmansyah, D. (2014). The Influence of Family Backgrounds Toward Student’s Saving Behavior: A Survey of College Students in Jabodetabek. </w:t>
      </w:r>
      <w:r w:rsidRPr="00D6136B">
        <w:rPr>
          <w:rFonts w:ascii="Times New Roman" w:hAnsi="Times New Roman" w:cs="Times New Roman"/>
          <w:i/>
          <w:iCs/>
          <w:noProof/>
        </w:rPr>
        <w:t>SSRN Electronic Journal</w:t>
      </w:r>
      <w:r w:rsidRPr="00D6136B">
        <w:rPr>
          <w:rFonts w:ascii="Times New Roman" w:hAnsi="Times New Roman" w:cs="Times New Roman"/>
          <w:noProof/>
        </w:rPr>
        <w:t xml:space="preserve">, </w:t>
      </w:r>
      <w:r w:rsidRPr="00D6136B">
        <w:rPr>
          <w:rFonts w:ascii="Times New Roman" w:hAnsi="Times New Roman" w:cs="Times New Roman"/>
          <w:i/>
          <w:iCs/>
          <w:noProof/>
        </w:rPr>
        <w:t>4</w:t>
      </w:r>
      <w:r w:rsidRPr="00D6136B">
        <w:rPr>
          <w:rFonts w:ascii="Times New Roman" w:hAnsi="Times New Roman" w:cs="Times New Roman"/>
          <w:noProof/>
        </w:rPr>
        <w:t>(1), 1–6. https://doi.org/10.2139/ssrn.2358346</w:t>
      </w:r>
    </w:p>
    <w:p w14:paraId="46640B7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Garg, N., &amp; Singh, S. (2018). Financial literacy among youth. </w:t>
      </w:r>
      <w:r w:rsidRPr="00D6136B">
        <w:rPr>
          <w:rFonts w:ascii="Times New Roman" w:hAnsi="Times New Roman" w:cs="Times New Roman"/>
          <w:i/>
          <w:iCs/>
          <w:noProof/>
        </w:rPr>
        <w:t>International Journal of Social Economics</w:t>
      </w:r>
      <w:r w:rsidRPr="00D6136B">
        <w:rPr>
          <w:rFonts w:ascii="Times New Roman" w:hAnsi="Times New Roman" w:cs="Times New Roman"/>
          <w:noProof/>
        </w:rPr>
        <w:t xml:space="preserve">, </w:t>
      </w:r>
      <w:r w:rsidRPr="00D6136B">
        <w:rPr>
          <w:rFonts w:ascii="Times New Roman" w:hAnsi="Times New Roman" w:cs="Times New Roman"/>
          <w:i/>
          <w:iCs/>
          <w:noProof/>
        </w:rPr>
        <w:t>45</w:t>
      </w:r>
      <w:r w:rsidRPr="00D6136B">
        <w:rPr>
          <w:rFonts w:ascii="Times New Roman" w:hAnsi="Times New Roman" w:cs="Times New Roman"/>
          <w:noProof/>
        </w:rPr>
        <w:t>(1), 173–186. https://doi.org/10.1108/IJSE-11-2016-0303</w:t>
      </w:r>
    </w:p>
    <w:p w14:paraId="0718EA17"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Garman, E. T., &amp; Forgue, R. E. (2004). </w:t>
      </w:r>
      <w:r w:rsidRPr="00D6136B">
        <w:rPr>
          <w:rFonts w:ascii="Times New Roman" w:hAnsi="Times New Roman" w:cs="Times New Roman"/>
          <w:i/>
          <w:iCs/>
          <w:noProof/>
        </w:rPr>
        <w:t>Personal Finance; Personal Finance</w:t>
      </w:r>
      <w:r w:rsidRPr="00D6136B">
        <w:rPr>
          <w:rFonts w:ascii="Times New Roman" w:hAnsi="Times New Roman" w:cs="Times New Roman"/>
          <w:noProof/>
        </w:rPr>
        <w:t>. Cengage Learning. https://thuvienso.hoasen.edu.vn/handle/123456789/12268%0Ahttps://thuvienso.hoasen.edu.vn/bitstream/handle/123456789/12268/Contents.pdf?sequence=5&amp;isAllowed=y</w:t>
      </w:r>
    </w:p>
    <w:p w14:paraId="61D9329F"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Gilenko, E., &amp; Chernova, A. (2021). Saving behavior and financial literacy of Russian high school students: An application of a copula-based bivariate probit-regression approach. </w:t>
      </w:r>
      <w:r w:rsidRPr="00D6136B">
        <w:rPr>
          <w:rFonts w:ascii="Times New Roman" w:hAnsi="Times New Roman" w:cs="Times New Roman"/>
          <w:i/>
          <w:iCs/>
          <w:noProof/>
        </w:rPr>
        <w:t>Children and Youth Services Review</w:t>
      </w:r>
      <w:r w:rsidRPr="00D6136B">
        <w:rPr>
          <w:rFonts w:ascii="Times New Roman" w:hAnsi="Times New Roman" w:cs="Times New Roman"/>
          <w:noProof/>
        </w:rPr>
        <w:t xml:space="preserve">, </w:t>
      </w:r>
      <w:r w:rsidRPr="00D6136B">
        <w:rPr>
          <w:rFonts w:ascii="Times New Roman" w:hAnsi="Times New Roman" w:cs="Times New Roman"/>
          <w:i/>
          <w:iCs/>
          <w:noProof/>
        </w:rPr>
        <w:t>127</w:t>
      </w:r>
      <w:r w:rsidRPr="00D6136B">
        <w:rPr>
          <w:rFonts w:ascii="Times New Roman" w:hAnsi="Times New Roman" w:cs="Times New Roman"/>
          <w:noProof/>
        </w:rPr>
        <w:t>(February), 106122. https://doi.org/10.1016/j.childyouth.2021.106122</w:t>
      </w:r>
    </w:p>
    <w:p w14:paraId="6477D56D"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Hair, J. F. J., Hult, G. T. M., Ringle, C. M., &amp; Sarstedt, M. (2014). A Primer on Partial Least Squares Structural Equation Modeling (PLS-SEM). </w:t>
      </w:r>
      <w:r w:rsidRPr="00D6136B">
        <w:rPr>
          <w:rFonts w:ascii="Times New Roman" w:hAnsi="Times New Roman" w:cs="Times New Roman"/>
          <w:i/>
          <w:iCs/>
          <w:noProof/>
        </w:rPr>
        <w:t>European Journal of Tourism Research</w:t>
      </w:r>
      <w:r w:rsidRPr="00D6136B">
        <w:rPr>
          <w:rFonts w:ascii="Times New Roman" w:hAnsi="Times New Roman" w:cs="Times New Roman"/>
          <w:noProof/>
        </w:rPr>
        <w:t xml:space="preserve">, </w:t>
      </w:r>
      <w:r w:rsidRPr="00D6136B">
        <w:rPr>
          <w:rFonts w:ascii="Times New Roman" w:hAnsi="Times New Roman" w:cs="Times New Roman"/>
          <w:i/>
          <w:iCs/>
          <w:noProof/>
        </w:rPr>
        <w:t>6</w:t>
      </w:r>
      <w:r w:rsidRPr="00D6136B">
        <w:rPr>
          <w:rFonts w:ascii="Times New Roman" w:hAnsi="Times New Roman" w:cs="Times New Roman"/>
          <w:noProof/>
        </w:rPr>
        <w:t>(2), 211–213. https://doi.org/10.54055/ejtr.v6i2.134</w:t>
      </w:r>
    </w:p>
    <w:p w14:paraId="6443A45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Hair Jr., J. F., Matthews, L. M., Matthews, R. L., &amp; Sarstedt, M. (2017). PLS-SEM or CB-SEM: updated guidelines on which method to use. </w:t>
      </w:r>
      <w:r w:rsidRPr="00D6136B">
        <w:rPr>
          <w:rFonts w:ascii="Times New Roman" w:hAnsi="Times New Roman" w:cs="Times New Roman"/>
          <w:i/>
          <w:iCs/>
          <w:noProof/>
        </w:rPr>
        <w:t>International Journal of Multivariate Data Analysis</w:t>
      </w:r>
      <w:r w:rsidRPr="00D6136B">
        <w:rPr>
          <w:rFonts w:ascii="Times New Roman" w:hAnsi="Times New Roman" w:cs="Times New Roman"/>
          <w:noProof/>
        </w:rPr>
        <w:t xml:space="preserve">, </w:t>
      </w:r>
      <w:r w:rsidRPr="00D6136B">
        <w:rPr>
          <w:rFonts w:ascii="Times New Roman" w:hAnsi="Times New Roman" w:cs="Times New Roman"/>
          <w:i/>
          <w:iCs/>
          <w:noProof/>
        </w:rPr>
        <w:t>1</w:t>
      </w:r>
      <w:r w:rsidRPr="00D6136B">
        <w:rPr>
          <w:rFonts w:ascii="Times New Roman" w:hAnsi="Times New Roman" w:cs="Times New Roman"/>
          <w:noProof/>
        </w:rPr>
        <w:t>(2), 107. https://doi.org/10.1504/ijmda.2017.10008574</w:t>
      </w:r>
    </w:p>
    <w:p w14:paraId="120587F6"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Harahap, S., Thoyib, A., Sumiati, S., &amp; Djazuli, A. (2022). The Impact of Financial Literacy on Retirement Planning with Serial Mediation of Financial Risk Tolerance and Saving Behavior: Evidence of Medium Entrepreneurs in Indonesia. </w:t>
      </w:r>
      <w:r w:rsidRPr="00D6136B">
        <w:rPr>
          <w:rFonts w:ascii="Times New Roman" w:hAnsi="Times New Roman" w:cs="Times New Roman"/>
          <w:i/>
          <w:iCs/>
          <w:noProof/>
        </w:rPr>
        <w:t>International Journal of Financial Studies</w:t>
      </w:r>
      <w:r w:rsidRPr="00D6136B">
        <w:rPr>
          <w:rFonts w:ascii="Times New Roman" w:hAnsi="Times New Roman" w:cs="Times New Roman"/>
          <w:noProof/>
        </w:rPr>
        <w:t xml:space="preserve">, </w:t>
      </w:r>
      <w:r w:rsidRPr="00D6136B">
        <w:rPr>
          <w:rFonts w:ascii="Times New Roman" w:hAnsi="Times New Roman" w:cs="Times New Roman"/>
          <w:i/>
          <w:iCs/>
          <w:noProof/>
        </w:rPr>
        <w:t>10</w:t>
      </w:r>
      <w:r w:rsidRPr="00D6136B">
        <w:rPr>
          <w:rFonts w:ascii="Times New Roman" w:hAnsi="Times New Roman" w:cs="Times New Roman"/>
          <w:noProof/>
        </w:rPr>
        <w:t>(3), 66. https://doi.org/10.3390/ijfs10030066</w:t>
      </w:r>
    </w:p>
    <w:p w14:paraId="4DF1E3B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Hashim, H., Jamalludin, &amp; Kamarudin, Z. (2018). Factors Affecting the Saving Behaviour of Taj International College Students. </w:t>
      </w:r>
      <w:r w:rsidRPr="00D6136B">
        <w:rPr>
          <w:rFonts w:ascii="Times New Roman" w:hAnsi="Times New Roman" w:cs="Times New Roman"/>
          <w:i/>
          <w:iCs/>
          <w:noProof/>
        </w:rPr>
        <w:t>The Journal of Management and Science (ALQIMAH)</w:t>
      </w:r>
      <w:r w:rsidRPr="00D6136B">
        <w:rPr>
          <w:rFonts w:ascii="Times New Roman" w:hAnsi="Times New Roman" w:cs="Times New Roman"/>
          <w:noProof/>
        </w:rPr>
        <w:t xml:space="preserve">, </w:t>
      </w:r>
      <w:r w:rsidRPr="00D6136B">
        <w:rPr>
          <w:rFonts w:ascii="Times New Roman" w:hAnsi="Times New Roman" w:cs="Times New Roman"/>
          <w:i/>
          <w:iCs/>
          <w:noProof/>
        </w:rPr>
        <w:t>4</w:t>
      </w:r>
      <w:r w:rsidRPr="00D6136B">
        <w:rPr>
          <w:rFonts w:ascii="Times New Roman" w:hAnsi="Times New Roman" w:cs="Times New Roman"/>
          <w:noProof/>
        </w:rPr>
        <w:t>(1). https://www.researchgate.net/publication/330425997</w:t>
      </w:r>
    </w:p>
    <w:p w14:paraId="53BA1270"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Hassan Al‐Tamimi, H. A., &amp; Anood Bin Kalli, A. (2009). </w:t>
      </w:r>
      <w:r w:rsidRPr="00D6136B">
        <w:rPr>
          <w:rFonts w:ascii="Times New Roman" w:hAnsi="Times New Roman" w:cs="Times New Roman"/>
          <w:noProof/>
        </w:rPr>
        <w:t xml:space="preserve">Financial literacy and investment decisions of UAE investors. </w:t>
      </w:r>
      <w:r w:rsidRPr="00D6136B">
        <w:rPr>
          <w:rFonts w:ascii="Times New Roman" w:hAnsi="Times New Roman" w:cs="Times New Roman"/>
          <w:i/>
          <w:iCs/>
          <w:noProof/>
        </w:rPr>
        <w:t>The Journal of Risk Finance</w:t>
      </w:r>
      <w:r w:rsidRPr="00D6136B">
        <w:rPr>
          <w:rFonts w:ascii="Times New Roman" w:hAnsi="Times New Roman" w:cs="Times New Roman"/>
          <w:noProof/>
        </w:rPr>
        <w:t xml:space="preserve">, </w:t>
      </w:r>
      <w:r w:rsidRPr="00D6136B">
        <w:rPr>
          <w:rFonts w:ascii="Times New Roman" w:hAnsi="Times New Roman" w:cs="Times New Roman"/>
          <w:i/>
          <w:iCs/>
          <w:noProof/>
        </w:rPr>
        <w:t>10</w:t>
      </w:r>
      <w:r w:rsidRPr="00D6136B">
        <w:rPr>
          <w:rFonts w:ascii="Times New Roman" w:hAnsi="Times New Roman" w:cs="Times New Roman"/>
          <w:noProof/>
        </w:rPr>
        <w:t>(5), 500–516. https://doi.org/10.1108/15265940911001402</w:t>
      </w:r>
    </w:p>
    <w:p w14:paraId="2462318C"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Hassan, K. H., Rahim, R. A., Ahmad, F., Tengku Zainuddin, T. N. A., Merican, R. R., &amp; Bahari, S. K. (2016). Retirement Planning Behaviour of Working Individuals and Legal Proposition for New Pension System in Malaysia. </w:t>
      </w:r>
      <w:r w:rsidRPr="00D6136B">
        <w:rPr>
          <w:rFonts w:ascii="Times New Roman" w:hAnsi="Times New Roman" w:cs="Times New Roman"/>
          <w:i/>
          <w:iCs/>
          <w:noProof/>
        </w:rPr>
        <w:t>Journal of Politics and Law</w:t>
      </w:r>
      <w:r w:rsidRPr="00D6136B">
        <w:rPr>
          <w:rFonts w:ascii="Times New Roman" w:hAnsi="Times New Roman" w:cs="Times New Roman"/>
          <w:noProof/>
        </w:rPr>
        <w:t xml:space="preserve">, </w:t>
      </w:r>
      <w:r w:rsidRPr="00D6136B">
        <w:rPr>
          <w:rFonts w:ascii="Times New Roman" w:hAnsi="Times New Roman" w:cs="Times New Roman"/>
          <w:i/>
          <w:iCs/>
          <w:noProof/>
        </w:rPr>
        <w:t>9</w:t>
      </w:r>
      <w:r w:rsidRPr="00D6136B">
        <w:rPr>
          <w:rFonts w:ascii="Times New Roman" w:hAnsi="Times New Roman" w:cs="Times New Roman"/>
          <w:noProof/>
        </w:rPr>
        <w:t>(4), 43. https://doi.org/10.5539/jpl.v9n4p43</w:t>
      </w:r>
    </w:p>
    <w:p w14:paraId="6613A00C"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Hayat, Amir, &amp; Anwar, M. (2016). Impact of Behavioral Biases on Investment Decision Making with Moderating Role of Financial Literacy. </w:t>
      </w:r>
      <w:r w:rsidRPr="00D6136B">
        <w:rPr>
          <w:rFonts w:ascii="Times New Roman" w:hAnsi="Times New Roman" w:cs="Times New Roman"/>
          <w:i/>
          <w:iCs/>
          <w:noProof/>
        </w:rPr>
        <w:t>Jinnah Business Review</w:t>
      </w:r>
      <w:r w:rsidRPr="00D6136B">
        <w:rPr>
          <w:rFonts w:ascii="Times New Roman" w:hAnsi="Times New Roman" w:cs="Times New Roman"/>
          <w:noProof/>
        </w:rPr>
        <w:t xml:space="preserve">, </w:t>
      </w:r>
      <w:r w:rsidRPr="00D6136B">
        <w:rPr>
          <w:rFonts w:ascii="Times New Roman" w:hAnsi="Times New Roman" w:cs="Times New Roman"/>
          <w:i/>
          <w:iCs/>
          <w:noProof/>
        </w:rPr>
        <w:t>6</w:t>
      </w:r>
      <w:r w:rsidRPr="00D6136B">
        <w:rPr>
          <w:rFonts w:ascii="Times New Roman" w:hAnsi="Times New Roman" w:cs="Times New Roman"/>
          <w:noProof/>
        </w:rPr>
        <w:t>(2), 34–41. https://doi.org/10.53369/RKXA7855</w:t>
      </w:r>
    </w:p>
    <w:p w14:paraId="19EFE48C"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Heenkenda, S. (2014). Determination of financial risk tolerance among different household sectors in Sri Lanka. </w:t>
      </w:r>
      <w:r w:rsidRPr="00D6136B">
        <w:rPr>
          <w:rFonts w:ascii="Times New Roman" w:hAnsi="Times New Roman" w:cs="Times New Roman"/>
          <w:i/>
          <w:iCs/>
          <w:noProof/>
        </w:rPr>
        <w:t>Asian Journal of Empirical Research</w:t>
      </w:r>
      <w:r w:rsidRPr="00D6136B">
        <w:rPr>
          <w:rFonts w:ascii="Times New Roman" w:hAnsi="Times New Roman" w:cs="Times New Roman"/>
          <w:noProof/>
        </w:rPr>
        <w:t xml:space="preserve">, </w:t>
      </w:r>
      <w:r w:rsidRPr="00D6136B">
        <w:rPr>
          <w:rFonts w:ascii="Times New Roman" w:hAnsi="Times New Roman" w:cs="Times New Roman"/>
          <w:i/>
          <w:iCs/>
          <w:noProof/>
        </w:rPr>
        <w:t>5</w:t>
      </w:r>
      <w:r w:rsidRPr="00D6136B">
        <w:rPr>
          <w:rFonts w:ascii="Times New Roman" w:hAnsi="Times New Roman" w:cs="Times New Roman"/>
          <w:noProof/>
        </w:rPr>
        <w:t>(11), 206–222. https://archive.aessweb.com/index.php/5004/article/view/3866</w:t>
      </w:r>
    </w:p>
    <w:p w14:paraId="231F8FD3"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Henager, R., &amp; Cude, B. J. (2016). Financial Literacy and Long- and Short-Term Financial Behavior in Different Age Groups. </w:t>
      </w:r>
      <w:r w:rsidRPr="00D6136B">
        <w:rPr>
          <w:rFonts w:ascii="Times New Roman" w:hAnsi="Times New Roman" w:cs="Times New Roman"/>
          <w:i/>
          <w:iCs/>
          <w:noProof/>
        </w:rPr>
        <w:t>Journal of Financial Counseling and Planning</w:t>
      </w:r>
      <w:r w:rsidRPr="00D6136B">
        <w:rPr>
          <w:rFonts w:ascii="Times New Roman" w:hAnsi="Times New Roman" w:cs="Times New Roman"/>
          <w:noProof/>
        </w:rPr>
        <w:t xml:space="preserve">, </w:t>
      </w:r>
      <w:r w:rsidRPr="00D6136B">
        <w:rPr>
          <w:rFonts w:ascii="Times New Roman" w:hAnsi="Times New Roman" w:cs="Times New Roman"/>
          <w:i/>
          <w:iCs/>
          <w:noProof/>
        </w:rPr>
        <w:t>27</w:t>
      </w:r>
      <w:r w:rsidRPr="00D6136B">
        <w:rPr>
          <w:rFonts w:ascii="Times New Roman" w:hAnsi="Times New Roman" w:cs="Times New Roman"/>
          <w:noProof/>
        </w:rPr>
        <w:t>(1), 3–19. https://doi.org/10.1891/1052-3073.27.1.3</w:t>
      </w:r>
    </w:p>
    <w:p w14:paraId="0CDD57A4"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Hershey, D. A., Jacobs-Lawson, J. M., McArdle, J. J., &amp; Hamagami, F. (2007). Psychological Foundations of Financial Planning for Retirement. </w:t>
      </w:r>
      <w:r w:rsidRPr="00D6136B">
        <w:rPr>
          <w:rFonts w:ascii="Times New Roman" w:hAnsi="Times New Roman" w:cs="Times New Roman"/>
          <w:i/>
          <w:iCs/>
          <w:noProof/>
        </w:rPr>
        <w:t>Journal of Adult Development</w:t>
      </w:r>
      <w:r w:rsidRPr="00D6136B">
        <w:rPr>
          <w:rFonts w:ascii="Times New Roman" w:hAnsi="Times New Roman" w:cs="Times New Roman"/>
          <w:noProof/>
        </w:rPr>
        <w:t xml:space="preserve">, </w:t>
      </w:r>
      <w:r w:rsidRPr="00D6136B">
        <w:rPr>
          <w:rFonts w:ascii="Times New Roman" w:hAnsi="Times New Roman" w:cs="Times New Roman"/>
          <w:i/>
          <w:iCs/>
          <w:noProof/>
        </w:rPr>
        <w:t>14</w:t>
      </w:r>
      <w:r w:rsidRPr="00D6136B">
        <w:rPr>
          <w:rFonts w:ascii="Times New Roman" w:hAnsi="Times New Roman" w:cs="Times New Roman"/>
          <w:noProof/>
        </w:rPr>
        <w:t>(1–2), 26–36. https://doi.org/10.1007/s10804-007-9028-1</w:t>
      </w:r>
    </w:p>
    <w:p w14:paraId="2277D4B8"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Holst, A., &amp; Iversen, J. M. (2011). </w:t>
      </w:r>
      <w:r w:rsidRPr="00D6136B">
        <w:rPr>
          <w:rFonts w:ascii="Times New Roman" w:hAnsi="Times New Roman" w:cs="Times New Roman"/>
          <w:noProof/>
        </w:rPr>
        <w:t xml:space="preserve">An Application of a Revised Theory of Planned Behavior : Predicting the Intention to Use Personal Care Products without Endocrine Disrupting Chemicals. </w:t>
      </w:r>
      <w:r w:rsidRPr="00D6136B">
        <w:rPr>
          <w:rFonts w:ascii="Times New Roman" w:hAnsi="Times New Roman" w:cs="Times New Roman"/>
          <w:i/>
          <w:iCs/>
          <w:noProof/>
        </w:rPr>
        <w:t>Copenhagen Business School</w:t>
      </w:r>
      <w:r w:rsidRPr="00D6136B">
        <w:rPr>
          <w:rFonts w:ascii="Times New Roman" w:hAnsi="Times New Roman" w:cs="Times New Roman"/>
          <w:noProof/>
        </w:rPr>
        <w:t>. http://arxiv.org/abs/1101.0080</w:t>
      </w:r>
    </w:p>
    <w:p w14:paraId="6A285BC7"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Huston, S. J. (2012). Financial literacy and the cost of borrowing. </w:t>
      </w:r>
      <w:r w:rsidRPr="00D6136B">
        <w:rPr>
          <w:rFonts w:ascii="Times New Roman" w:hAnsi="Times New Roman" w:cs="Times New Roman"/>
          <w:i/>
          <w:iCs/>
          <w:noProof/>
        </w:rPr>
        <w:t>International Journal of Consumer Studies</w:t>
      </w:r>
      <w:r w:rsidRPr="00D6136B">
        <w:rPr>
          <w:rFonts w:ascii="Times New Roman" w:hAnsi="Times New Roman" w:cs="Times New Roman"/>
          <w:noProof/>
        </w:rPr>
        <w:t xml:space="preserve">, </w:t>
      </w:r>
      <w:r w:rsidRPr="00D6136B">
        <w:rPr>
          <w:rFonts w:ascii="Times New Roman" w:hAnsi="Times New Roman" w:cs="Times New Roman"/>
          <w:i/>
          <w:iCs/>
          <w:noProof/>
        </w:rPr>
        <w:t>36</w:t>
      </w:r>
      <w:r w:rsidRPr="00D6136B">
        <w:rPr>
          <w:rFonts w:ascii="Times New Roman" w:hAnsi="Times New Roman" w:cs="Times New Roman"/>
          <w:noProof/>
        </w:rPr>
        <w:t>(5), 566–572. https://doi.org/10.1111/j.1470-6431.2012.01122.x</w:t>
      </w:r>
    </w:p>
    <w:p w14:paraId="2955BF54"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Jain, R., Jain, P., &amp; Jain, C. (2015). Behavioral Biases in the Decision Making of Individual Investors. </w:t>
      </w:r>
      <w:r w:rsidRPr="00D6136B">
        <w:rPr>
          <w:rFonts w:ascii="Times New Roman" w:hAnsi="Times New Roman" w:cs="Times New Roman"/>
          <w:i/>
          <w:iCs/>
          <w:noProof/>
        </w:rPr>
        <w:t>The IUP Journal of Management Research</w:t>
      </w:r>
      <w:r w:rsidRPr="00D6136B">
        <w:rPr>
          <w:rFonts w:ascii="Times New Roman" w:hAnsi="Times New Roman" w:cs="Times New Roman"/>
          <w:noProof/>
        </w:rPr>
        <w:t xml:space="preserve">, </w:t>
      </w:r>
      <w:r w:rsidRPr="00D6136B">
        <w:rPr>
          <w:rFonts w:ascii="Times New Roman" w:hAnsi="Times New Roman" w:cs="Times New Roman"/>
          <w:i/>
          <w:iCs/>
          <w:noProof/>
        </w:rPr>
        <w:t>14</w:t>
      </w:r>
      <w:r w:rsidRPr="00D6136B">
        <w:rPr>
          <w:rFonts w:ascii="Times New Roman" w:hAnsi="Times New Roman" w:cs="Times New Roman"/>
          <w:noProof/>
        </w:rPr>
        <w:t>(3), 7–27.</w:t>
      </w:r>
    </w:p>
    <w:p w14:paraId="5999D1C8"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Jamal, A., Azlan, A., Kamal, W., Mohdrahimie, R., Roslemohidin, A. K., &amp; Osman, Z. (2015). The Effects of Social Influence and Financial Literacy on Savings Behavior: A Study on Students of Higher Learning Institutions in Kota Kinabalu, Sabah. </w:t>
      </w:r>
      <w:r w:rsidRPr="00D6136B">
        <w:rPr>
          <w:rFonts w:ascii="Times New Roman" w:hAnsi="Times New Roman" w:cs="Times New Roman"/>
          <w:i/>
          <w:iCs/>
          <w:noProof/>
        </w:rPr>
        <w:t>International Journal of Business and Social Science</w:t>
      </w:r>
      <w:r w:rsidRPr="00D6136B">
        <w:rPr>
          <w:rFonts w:ascii="Times New Roman" w:hAnsi="Times New Roman" w:cs="Times New Roman"/>
          <w:noProof/>
        </w:rPr>
        <w:t xml:space="preserve">, </w:t>
      </w:r>
      <w:r w:rsidRPr="00D6136B">
        <w:rPr>
          <w:rFonts w:ascii="Times New Roman" w:hAnsi="Times New Roman" w:cs="Times New Roman"/>
          <w:i/>
          <w:iCs/>
          <w:noProof/>
        </w:rPr>
        <w:t>6</w:t>
      </w:r>
      <w:r w:rsidRPr="00D6136B">
        <w:rPr>
          <w:rFonts w:ascii="Times New Roman" w:hAnsi="Times New Roman" w:cs="Times New Roman"/>
          <w:noProof/>
        </w:rPr>
        <w:t>(111), 110–119.</w:t>
      </w:r>
    </w:p>
    <w:p w14:paraId="7D11BE7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Joo, S. H., &amp; Grable, J. E. (2005). Employee education and the likelihood of having a retirement savings program. </w:t>
      </w:r>
      <w:r w:rsidRPr="00D6136B">
        <w:rPr>
          <w:rFonts w:ascii="Times New Roman" w:hAnsi="Times New Roman" w:cs="Times New Roman"/>
          <w:i/>
          <w:iCs/>
          <w:noProof/>
        </w:rPr>
        <w:t>Journal of Financial Counseling and Planning</w:t>
      </w:r>
      <w:r w:rsidRPr="00D6136B">
        <w:rPr>
          <w:rFonts w:ascii="Times New Roman" w:hAnsi="Times New Roman" w:cs="Times New Roman"/>
          <w:noProof/>
        </w:rPr>
        <w:t xml:space="preserve">, </w:t>
      </w:r>
      <w:r w:rsidRPr="00D6136B">
        <w:rPr>
          <w:rFonts w:ascii="Times New Roman" w:hAnsi="Times New Roman" w:cs="Times New Roman"/>
          <w:i/>
          <w:iCs/>
          <w:noProof/>
        </w:rPr>
        <w:t>16</w:t>
      </w:r>
      <w:r w:rsidRPr="00D6136B">
        <w:rPr>
          <w:rFonts w:ascii="Times New Roman" w:hAnsi="Times New Roman" w:cs="Times New Roman"/>
          <w:noProof/>
        </w:rPr>
        <w:t>(1), 37–49.</w:t>
      </w:r>
    </w:p>
    <w:p w14:paraId="2CC3FE9F"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Kadir, J. M. A., Shoukat, A., Naghavi, N., &amp; Jamaluddin, A. A. (2021). Saving Behavior in Emerging Country: The Role of Financial Knowledge, Peer Influence and Parent Socialization. </w:t>
      </w:r>
      <w:r w:rsidRPr="00D6136B">
        <w:rPr>
          <w:rFonts w:ascii="Times New Roman" w:hAnsi="Times New Roman" w:cs="Times New Roman"/>
          <w:i/>
          <w:iCs/>
          <w:noProof/>
        </w:rPr>
        <w:t>Paskistan Business Review</w:t>
      </w:r>
      <w:r w:rsidRPr="00D6136B">
        <w:rPr>
          <w:rFonts w:ascii="Times New Roman" w:hAnsi="Times New Roman" w:cs="Times New Roman"/>
          <w:noProof/>
        </w:rPr>
        <w:t xml:space="preserve">, </w:t>
      </w:r>
      <w:r w:rsidRPr="00D6136B">
        <w:rPr>
          <w:rFonts w:ascii="Times New Roman" w:hAnsi="Times New Roman" w:cs="Times New Roman"/>
          <w:i/>
          <w:iCs/>
          <w:noProof/>
        </w:rPr>
        <w:t>22</w:t>
      </w:r>
      <w:r w:rsidRPr="00D6136B">
        <w:rPr>
          <w:rFonts w:ascii="Times New Roman" w:hAnsi="Times New Roman" w:cs="Times New Roman"/>
          <w:noProof/>
        </w:rPr>
        <w:t>(4), 629–644.</w:t>
      </w:r>
    </w:p>
    <w:p w14:paraId="760BE01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Khan, M. N., Rothwell, D. W., Cherney, K., &amp; Sussman, T. (2017). Understanding the Financial Knowledge Gap: A New Dimension of Inequality in Later Life. </w:t>
      </w:r>
      <w:r w:rsidRPr="00D6136B">
        <w:rPr>
          <w:rFonts w:ascii="Times New Roman" w:hAnsi="Times New Roman" w:cs="Times New Roman"/>
          <w:i/>
          <w:iCs/>
          <w:noProof/>
        </w:rPr>
        <w:t>Journal of Gerontological Social Work</w:t>
      </w:r>
      <w:r w:rsidRPr="00D6136B">
        <w:rPr>
          <w:rFonts w:ascii="Times New Roman" w:hAnsi="Times New Roman" w:cs="Times New Roman"/>
          <w:noProof/>
        </w:rPr>
        <w:t xml:space="preserve">, </w:t>
      </w:r>
      <w:r w:rsidRPr="00D6136B">
        <w:rPr>
          <w:rFonts w:ascii="Times New Roman" w:hAnsi="Times New Roman" w:cs="Times New Roman"/>
          <w:i/>
          <w:iCs/>
          <w:noProof/>
        </w:rPr>
        <w:t>60</w:t>
      </w:r>
      <w:r w:rsidRPr="00D6136B">
        <w:rPr>
          <w:rFonts w:ascii="Times New Roman" w:hAnsi="Times New Roman" w:cs="Times New Roman"/>
          <w:noProof/>
        </w:rPr>
        <w:t>(6–7), 487–503. https://doi.org/10.1080/01634372.2017.1317311</w:t>
      </w:r>
    </w:p>
    <w:p w14:paraId="40A1CE3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Khatun, M. (2018). Effect of Financial Literacy and Parental Socialization on Students Savings Behavior of Bangladesh. </w:t>
      </w:r>
      <w:r w:rsidRPr="00D6136B">
        <w:rPr>
          <w:rFonts w:ascii="Times New Roman" w:hAnsi="Times New Roman" w:cs="Times New Roman"/>
          <w:i/>
          <w:iCs/>
          <w:noProof/>
        </w:rPr>
        <w:t>International Journal of Scientific and Research Publications (IJSRP)</w:t>
      </w:r>
      <w:r w:rsidRPr="00D6136B">
        <w:rPr>
          <w:rFonts w:ascii="Times New Roman" w:hAnsi="Times New Roman" w:cs="Times New Roman"/>
          <w:noProof/>
        </w:rPr>
        <w:t xml:space="preserve">, </w:t>
      </w:r>
      <w:r w:rsidRPr="00D6136B">
        <w:rPr>
          <w:rFonts w:ascii="Times New Roman" w:hAnsi="Times New Roman" w:cs="Times New Roman"/>
          <w:i/>
          <w:iCs/>
          <w:noProof/>
        </w:rPr>
        <w:t>8</w:t>
      </w:r>
      <w:r w:rsidRPr="00D6136B">
        <w:rPr>
          <w:rFonts w:ascii="Times New Roman" w:hAnsi="Times New Roman" w:cs="Times New Roman"/>
          <w:noProof/>
        </w:rPr>
        <w:t>(12), 296–305. https://doi.org/10.29322/ijsrp.8.12.2018.p8440</w:t>
      </w:r>
    </w:p>
    <w:p w14:paraId="1A71F75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Kim, M. J., &amp; Petrick, J. F. (2021). The Effect of Herding Behaviors on Dual-Route Processing of Communications Aimed at Tourism Crowdfunding Ventures. </w:t>
      </w:r>
      <w:r w:rsidRPr="00D6136B">
        <w:rPr>
          <w:rFonts w:ascii="Times New Roman" w:hAnsi="Times New Roman" w:cs="Times New Roman"/>
          <w:i/>
          <w:iCs/>
          <w:noProof/>
        </w:rPr>
        <w:t>Journal of Travel Research</w:t>
      </w:r>
      <w:r w:rsidRPr="00D6136B">
        <w:rPr>
          <w:rFonts w:ascii="Times New Roman" w:hAnsi="Times New Roman" w:cs="Times New Roman"/>
          <w:noProof/>
        </w:rPr>
        <w:t xml:space="preserve">, </w:t>
      </w:r>
      <w:r w:rsidRPr="00D6136B">
        <w:rPr>
          <w:rFonts w:ascii="Times New Roman" w:hAnsi="Times New Roman" w:cs="Times New Roman"/>
          <w:i/>
          <w:iCs/>
          <w:noProof/>
        </w:rPr>
        <w:t>60</w:t>
      </w:r>
      <w:r w:rsidRPr="00D6136B">
        <w:rPr>
          <w:rFonts w:ascii="Times New Roman" w:hAnsi="Times New Roman" w:cs="Times New Roman"/>
          <w:noProof/>
        </w:rPr>
        <w:t>(5), 947–964. https://doi.org/10.1177/0047287520919515</w:t>
      </w:r>
    </w:p>
    <w:p w14:paraId="208B3D45"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Kompas. (2024, June 3). Warga Lansia Masih Bekerja untuk Menopang Generasi Z. </w:t>
      </w:r>
      <w:r w:rsidRPr="00D6136B">
        <w:rPr>
          <w:rFonts w:ascii="Times New Roman" w:hAnsi="Times New Roman" w:cs="Times New Roman"/>
          <w:i/>
          <w:iCs/>
          <w:noProof/>
        </w:rPr>
        <w:t>Kompas</w:t>
      </w:r>
      <w:r w:rsidRPr="00D6136B">
        <w:rPr>
          <w:rFonts w:ascii="Times New Roman" w:hAnsi="Times New Roman" w:cs="Times New Roman"/>
          <w:noProof/>
        </w:rPr>
        <w:t>, 1 &amp; 15.</w:t>
      </w:r>
    </w:p>
    <w:p w14:paraId="18BA3F4F"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Kumankoma-Sarpong, E. (2023). Financial literacy and retirement planning in Ghana. </w:t>
      </w:r>
      <w:r w:rsidRPr="00D6136B">
        <w:rPr>
          <w:rFonts w:ascii="Times New Roman" w:hAnsi="Times New Roman" w:cs="Times New Roman"/>
          <w:i/>
          <w:iCs/>
          <w:noProof/>
        </w:rPr>
        <w:t>Review of Behavioral Finance</w:t>
      </w:r>
      <w:r w:rsidRPr="00D6136B">
        <w:rPr>
          <w:rFonts w:ascii="Times New Roman" w:hAnsi="Times New Roman" w:cs="Times New Roman"/>
          <w:noProof/>
        </w:rPr>
        <w:t xml:space="preserve">, </w:t>
      </w:r>
      <w:r w:rsidRPr="00D6136B">
        <w:rPr>
          <w:rFonts w:ascii="Times New Roman" w:hAnsi="Times New Roman" w:cs="Times New Roman"/>
          <w:i/>
          <w:iCs/>
          <w:noProof/>
        </w:rPr>
        <w:t>15</w:t>
      </w:r>
      <w:r w:rsidRPr="00D6136B">
        <w:rPr>
          <w:rFonts w:ascii="Times New Roman" w:hAnsi="Times New Roman" w:cs="Times New Roman"/>
          <w:noProof/>
        </w:rPr>
        <w:t>(1), 103–118. https://doi.org/10.1108/RBF-05-2020-0110</w:t>
      </w:r>
    </w:p>
    <w:p w14:paraId="3C1B78DD"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Kusairi, S., Sanusi, N. A., Muhamad, S., Shukri, M., &amp; Zamri, N. (2019). Financial households’ efficacy, risk preference and saving behaviour: Lessons from lower-income households in Malaysia. </w:t>
      </w:r>
      <w:r w:rsidRPr="00D6136B">
        <w:rPr>
          <w:rFonts w:ascii="Times New Roman" w:hAnsi="Times New Roman" w:cs="Times New Roman"/>
          <w:i/>
          <w:iCs/>
          <w:noProof/>
        </w:rPr>
        <w:t>Economics &amp; Sociology</w:t>
      </w:r>
      <w:r w:rsidRPr="00D6136B">
        <w:rPr>
          <w:rFonts w:ascii="Times New Roman" w:hAnsi="Times New Roman" w:cs="Times New Roman"/>
          <w:noProof/>
        </w:rPr>
        <w:t xml:space="preserve">, </w:t>
      </w:r>
      <w:r w:rsidRPr="00D6136B">
        <w:rPr>
          <w:rFonts w:ascii="Times New Roman" w:hAnsi="Times New Roman" w:cs="Times New Roman"/>
          <w:i/>
          <w:iCs/>
          <w:noProof/>
        </w:rPr>
        <w:t>12</w:t>
      </w:r>
      <w:r w:rsidRPr="00D6136B">
        <w:rPr>
          <w:rFonts w:ascii="Times New Roman" w:hAnsi="Times New Roman" w:cs="Times New Roman"/>
          <w:noProof/>
        </w:rPr>
        <w:t>(2), 301–318. https://doi.org/10.14254/2071-789X.2019/12-2/18</w:t>
      </w:r>
    </w:p>
    <w:p w14:paraId="04F894D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en-ID"/>
        </w:rPr>
        <w:t xml:space="preserve">Kusumajati, W., Syah, T. Y. R., Kustiawan, U., Negoro, D. A., &amp; Tegor. </w:t>
      </w:r>
      <w:r w:rsidRPr="00D6136B">
        <w:rPr>
          <w:rFonts w:ascii="Times New Roman" w:hAnsi="Times New Roman" w:cs="Times New Roman"/>
          <w:noProof/>
        </w:rPr>
        <w:t xml:space="preserve">(2019). Effect Of Religiosity, Prevention Focus, Future Orientation, And Financial Knowledge On Purchase Intention To Long-Term Investment In Sharia Insurance. </w:t>
      </w:r>
      <w:r w:rsidRPr="00D6136B">
        <w:rPr>
          <w:rFonts w:ascii="Times New Roman" w:hAnsi="Times New Roman" w:cs="Times New Roman"/>
          <w:i/>
          <w:iCs/>
          <w:noProof/>
        </w:rPr>
        <w:t>Russian Journal of Agricultural and Socio-Economic Sciences</w:t>
      </w:r>
      <w:r w:rsidRPr="00D6136B">
        <w:rPr>
          <w:rFonts w:ascii="Times New Roman" w:hAnsi="Times New Roman" w:cs="Times New Roman"/>
          <w:noProof/>
        </w:rPr>
        <w:t xml:space="preserve">, </w:t>
      </w:r>
      <w:r w:rsidRPr="00D6136B">
        <w:rPr>
          <w:rFonts w:ascii="Times New Roman" w:hAnsi="Times New Roman" w:cs="Times New Roman"/>
          <w:i/>
          <w:iCs/>
          <w:noProof/>
        </w:rPr>
        <w:t>87</w:t>
      </w:r>
      <w:r w:rsidRPr="00D6136B">
        <w:rPr>
          <w:rFonts w:ascii="Times New Roman" w:hAnsi="Times New Roman" w:cs="Times New Roman"/>
          <w:noProof/>
        </w:rPr>
        <w:t>(3), 231–242. https://doi.org/10.18551/rjoas.2019-03.27</w:t>
      </w:r>
    </w:p>
    <w:p w14:paraId="4F730526"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Kusumawati, A., Listyorini, S., Suharyono, &amp; Yulianto, E. (2020). The Role of Religiosity on Fashion Store Patronage Intention of Muslim Consumers in Indonesia. </w:t>
      </w:r>
      <w:r w:rsidRPr="00D6136B">
        <w:rPr>
          <w:rFonts w:ascii="Times New Roman" w:hAnsi="Times New Roman" w:cs="Times New Roman"/>
          <w:i/>
          <w:iCs/>
          <w:noProof/>
        </w:rPr>
        <w:t>SAGE Open</w:t>
      </w:r>
      <w:r w:rsidRPr="00D6136B">
        <w:rPr>
          <w:rFonts w:ascii="Times New Roman" w:hAnsi="Times New Roman" w:cs="Times New Roman"/>
          <w:noProof/>
        </w:rPr>
        <w:t xml:space="preserve">, </w:t>
      </w:r>
      <w:r w:rsidRPr="00D6136B">
        <w:rPr>
          <w:rFonts w:ascii="Times New Roman" w:hAnsi="Times New Roman" w:cs="Times New Roman"/>
          <w:i/>
          <w:iCs/>
          <w:noProof/>
        </w:rPr>
        <w:t>10</w:t>
      </w:r>
      <w:r w:rsidRPr="00D6136B">
        <w:rPr>
          <w:rFonts w:ascii="Times New Roman" w:hAnsi="Times New Roman" w:cs="Times New Roman"/>
          <w:noProof/>
        </w:rPr>
        <w:t>(2), 215824402092703. https://doi.org/10.1177/2158244020927035</w:t>
      </w:r>
    </w:p>
    <w:p w14:paraId="0A99651D"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Larisa, L. E., Njo, A., &amp; Wijaya, S. (2020). Female workers’ readiness for retirement planning: an evidence from Indonesia. </w:t>
      </w:r>
      <w:r w:rsidRPr="00D6136B">
        <w:rPr>
          <w:rFonts w:ascii="Times New Roman" w:hAnsi="Times New Roman" w:cs="Times New Roman"/>
          <w:i/>
          <w:iCs/>
          <w:noProof/>
        </w:rPr>
        <w:t>Review of Behavioral Finance</w:t>
      </w:r>
      <w:r w:rsidRPr="00D6136B">
        <w:rPr>
          <w:rFonts w:ascii="Times New Roman" w:hAnsi="Times New Roman" w:cs="Times New Roman"/>
          <w:noProof/>
        </w:rPr>
        <w:t xml:space="preserve">, </w:t>
      </w:r>
      <w:r w:rsidRPr="00D6136B">
        <w:rPr>
          <w:rFonts w:ascii="Times New Roman" w:hAnsi="Times New Roman" w:cs="Times New Roman"/>
          <w:i/>
          <w:iCs/>
          <w:noProof/>
        </w:rPr>
        <w:t>13</w:t>
      </w:r>
      <w:r w:rsidRPr="00D6136B">
        <w:rPr>
          <w:rFonts w:ascii="Times New Roman" w:hAnsi="Times New Roman" w:cs="Times New Roman"/>
          <w:noProof/>
        </w:rPr>
        <w:t>(5), 566–583. https://doi.org/10.1108/RBF-04-2020-0079</w:t>
      </w:r>
    </w:p>
    <w:p w14:paraId="39C8C900"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Le Blanc, J., Porpiglia, A., Teppa, F., Zhu, J., &amp; Ziegelmeyer, M. (2016). Household saving behavior in the Euro area. </w:t>
      </w:r>
      <w:r w:rsidRPr="00D6136B">
        <w:rPr>
          <w:rFonts w:ascii="Times New Roman" w:hAnsi="Times New Roman" w:cs="Times New Roman"/>
          <w:i/>
          <w:iCs/>
          <w:noProof/>
        </w:rPr>
        <w:t>International Journal of Central Banking</w:t>
      </w:r>
      <w:r w:rsidRPr="00D6136B">
        <w:rPr>
          <w:rFonts w:ascii="Times New Roman" w:hAnsi="Times New Roman" w:cs="Times New Roman"/>
          <w:noProof/>
        </w:rPr>
        <w:t xml:space="preserve">, </w:t>
      </w:r>
      <w:r w:rsidRPr="00D6136B">
        <w:rPr>
          <w:rFonts w:ascii="Times New Roman" w:hAnsi="Times New Roman" w:cs="Times New Roman"/>
          <w:i/>
          <w:iCs/>
          <w:noProof/>
        </w:rPr>
        <w:t>12</w:t>
      </w:r>
      <w:r w:rsidRPr="00D6136B">
        <w:rPr>
          <w:rFonts w:ascii="Times New Roman" w:hAnsi="Times New Roman" w:cs="Times New Roman"/>
          <w:noProof/>
        </w:rPr>
        <w:t>(2), 15–69.</w:t>
      </w:r>
    </w:p>
    <w:p w14:paraId="66D3D91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Lim, T. S., Mail, R., Abd Karim, M. R., Ahmad Baharul Ulum, Z. K., Jaidi, J., &amp; Noordin, R. (2018). A serial mediation model of financial knowledge on the intention to invest: The central role of risk perception and attitude. </w:t>
      </w:r>
      <w:r w:rsidRPr="00D6136B">
        <w:rPr>
          <w:rFonts w:ascii="Times New Roman" w:hAnsi="Times New Roman" w:cs="Times New Roman"/>
          <w:i/>
          <w:iCs/>
          <w:noProof/>
        </w:rPr>
        <w:t>Journal of Behavioral and Experimental Finance</w:t>
      </w:r>
      <w:r w:rsidRPr="00D6136B">
        <w:rPr>
          <w:rFonts w:ascii="Times New Roman" w:hAnsi="Times New Roman" w:cs="Times New Roman"/>
          <w:noProof/>
        </w:rPr>
        <w:t xml:space="preserve">, </w:t>
      </w:r>
      <w:r w:rsidRPr="00D6136B">
        <w:rPr>
          <w:rFonts w:ascii="Times New Roman" w:hAnsi="Times New Roman" w:cs="Times New Roman"/>
          <w:i/>
          <w:iCs/>
          <w:noProof/>
        </w:rPr>
        <w:t>20</w:t>
      </w:r>
      <w:r w:rsidRPr="00D6136B">
        <w:rPr>
          <w:rFonts w:ascii="Times New Roman" w:hAnsi="Times New Roman" w:cs="Times New Roman"/>
          <w:noProof/>
        </w:rPr>
        <w:t>, 74–79. https://doi.org/10.1016/j.jbef.2018.08.001</w:t>
      </w:r>
    </w:p>
    <w:p w14:paraId="683B59BC"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Ling, H. (2021). Determinants of Saving Behaviour among Universities Students in Guangdong Province. </w:t>
      </w:r>
      <w:r w:rsidRPr="00D6136B">
        <w:rPr>
          <w:rFonts w:ascii="Times New Roman" w:hAnsi="Times New Roman" w:cs="Times New Roman"/>
          <w:i/>
          <w:iCs/>
          <w:noProof/>
        </w:rPr>
        <w:t>The Frontiers of Society, Science and Technology</w:t>
      </w:r>
      <w:r w:rsidRPr="00D6136B">
        <w:rPr>
          <w:rFonts w:ascii="Times New Roman" w:hAnsi="Times New Roman" w:cs="Times New Roman"/>
          <w:noProof/>
        </w:rPr>
        <w:t xml:space="preserve">, </w:t>
      </w:r>
      <w:r w:rsidRPr="00D6136B">
        <w:rPr>
          <w:rFonts w:ascii="Times New Roman" w:hAnsi="Times New Roman" w:cs="Times New Roman"/>
          <w:i/>
          <w:iCs/>
          <w:noProof/>
        </w:rPr>
        <w:t>3</w:t>
      </w:r>
      <w:r w:rsidRPr="00D6136B">
        <w:rPr>
          <w:rFonts w:ascii="Times New Roman" w:hAnsi="Times New Roman" w:cs="Times New Roman"/>
          <w:noProof/>
        </w:rPr>
        <w:t>(5), 51–70. https://doi.org/10.25236/fsst.2021.030510</w:t>
      </w:r>
    </w:p>
    <w:p w14:paraId="47EE651A"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Lulaj, E., Dragusha, B., Lulaj, D., Rustaj, V., &amp; Gashi, A. (2021). </w:t>
      </w:r>
      <w:r w:rsidRPr="00D6136B">
        <w:rPr>
          <w:rFonts w:ascii="Times New Roman" w:hAnsi="Times New Roman" w:cs="Times New Roman"/>
          <w:noProof/>
        </w:rPr>
        <w:t xml:space="preserve">Households Savings And Financial Behavior In Relation To The Ability To Handle Financial Emergencies: Case Study Of Kosovo. </w:t>
      </w:r>
      <w:r w:rsidRPr="00D6136B">
        <w:rPr>
          <w:rFonts w:ascii="Times New Roman" w:hAnsi="Times New Roman" w:cs="Times New Roman"/>
          <w:i/>
          <w:iCs/>
          <w:noProof/>
        </w:rPr>
        <w:t>Acta Scientiarum Polonorum. Oeconomia</w:t>
      </w:r>
      <w:r w:rsidRPr="00D6136B">
        <w:rPr>
          <w:rFonts w:ascii="Times New Roman" w:hAnsi="Times New Roman" w:cs="Times New Roman"/>
          <w:noProof/>
        </w:rPr>
        <w:t xml:space="preserve">, </w:t>
      </w:r>
      <w:r w:rsidRPr="00D6136B">
        <w:rPr>
          <w:rFonts w:ascii="Times New Roman" w:hAnsi="Times New Roman" w:cs="Times New Roman"/>
          <w:i/>
          <w:iCs/>
          <w:noProof/>
        </w:rPr>
        <w:t>20</w:t>
      </w:r>
      <w:r w:rsidRPr="00D6136B">
        <w:rPr>
          <w:rFonts w:ascii="Times New Roman" w:hAnsi="Times New Roman" w:cs="Times New Roman"/>
          <w:noProof/>
        </w:rPr>
        <w:t>(1), 35–48. https://doi.org/10.22630/ASPE.2021.20.1.4</w:t>
      </w:r>
    </w:p>
    <w:p w14:paraId="1FA96E30"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Lusardi, A., Michaud, P. C., &amp; Mitchell, O. S. (2017). Optimal financial knowledge and wealth inequality. </w:t>
      </w:r>
      <w:r w:rsidRPr="00D6136B">
        <w:rPr>
          <w:rFonts w:ascii="Times New Roman" w:hAnsi="Times New Roman" w:cs="Times New Roman"/>
          <w:i/>
          <w:iCs/>
          <w:noProof/>
        </w:rPr>
        <w:t>Journal of Political Economy</w:t>
      </w:r>
      <w:r w:rsidRPr="00D6136B">
        <w:rPr>
          <w:rFonts w:ascii="Times New Roman" w:hAnsi="Times New Roman" w:cs="Times New Roman"/>
          <w:noProof/>
        </w:rPr>
        <w:t xml:space="preserve">, </w:t>
      </w:r>
      <w:r w:rsidRPr="00D6136B">
        <w:rPr>
          <w:rFonts w:ascii="Times New Roman" w:hAnsi="Times New Roman" w:cs="Times New Roman"/>
          <w:i/>
          <w:iCs/>
          <w:noProof/>
        </w:rPr>
        <w:t>125</w:t>
      </w:r>
      <w:r w:rsidRPr="00D6136B">
        <w:rPr>
          <w:rFonts w:ascii="Times New Roman" w:hAnsi="Times New Roman" w:cs="Times New Roman"/>
          <w:noProof/>
        </w:rPr>
        <w:t>(2), 431–477. https://doi.org/10.1086/690950</w:t>
      </w:r>
    </w:p>
    <w:p w14:paraId="41F4F5D0"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Lusardi, A., Mitchell, O. ., &amp; Curto, V. (2011). Financial literacy and financial sophistication in the older population. </w:t>
      </w:r>
      <w:r w:rsidRPr="00D6136B">
        <w:rPr>
          <w:rFonts w:ascii="Times New Roman" w:hAnsi="Times New Roman" w:cs="Times New Roman"/>
          <w:i/>
          <w:iCs/>
          <w:noProof/>
        </w:rPr>
        <w:t>Journal of Pension Economics and Finance</w:t>
      </w:r>
      <w:r w:rsidRPr="00D6136B">
        <w:rPr>
          <w:rFonts w:ascii="Times New Roman" w:hAnsi="Times New Roman" w:cs="Times New Roman"/>
          <w:noProof/>
        </w:rPr>
        <w:t xml:space="preserve">, </w:t>
      </w:r>
      <w:r w:rsidRPr="00D6136B">
        <w:rPr>
          <w:rFonts w:ascii="Times New Roman" w:hAnsi="Times New Roman" w:cs="Times New Roman"/>
          <w:i/>
          <w:iCs/>
          <w:noProof/>
        </w:rPr>
        <w:t>13</w:t>
      </w:r>
      <w:r w:rsidRPr="00D6136B">
        <w:rPr>
          <w:rFonts w:ascii="Times New Roman" w:hAnsi="Times New Roman" w:cs="Times New Roman"/>
          <w:noProof/>
        </w:rPr>
        <w:t>(4), 347–366. https://doi.org/10.1017/S1474747214000031</w:t>
      </w:r>
    </w:p>
    <w:p w14:paraId="6D870640"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Lusardi, A., &amp; Mitchell, O. S. (2007). </w:t>
      </w:r>
      <w:r w:rsidRPr="00D6136B">
        <w:rPr>
          <w:rFonts w:ascii="Times New Roman" w:hAnsi="Times New Roman" w:cs="Times New Roman"/>
          <w:i/>
          <w:iCs/>
          <w:noProof/>
        </w:rPr>
        <w:t>Financial Literacy and Retirement Planning: New Evidence from the Rand American Life Panel</w:t>
      </w:r>
      <w:r w:rsidRPr="00D6136B">
        <w:rPr>
          <w:rFonts w:ascii="Times New Roman" w:hAnsi="Times New Roman" w:cs="Times New Roman"/>
          <w:noProof/>
        </w:rPr>
        <w:t>.</w:t>
      </w:r>
    </w:p>
    <w:p w14:paraId="7007AF5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Megananda, T. B., &amp; Faturohman, T. (2022). </w:t>
      </w:r>
      <w:r w:rsidRPr="00D6136B">
        <w:rPr>
          <w:rFonts w:ascii="Times New Roman" w:hAnsi="Times New Roman" w:cs="Times New Roman"/>
          <w:noProof/>
        </w:rPr>
        <w:t xml:space="preserve">Improving Financial Well-being in Indonesia: The Mediating Role of Financial Behavior. </w:t>
      </w:r>
      <w:r w:rsidRPr="00D6136B">
        <w:rPr>
          <w:rFonts w:ascii="Times New Roman" w:hAnsi="Times New Roman" w:cs="Times New Roman"/>
          <w:i/>
          <w:iCs/>
          <w:noProof/>
        </w:rPr>
        <w:t>Review of Integrative Business and Economics Research</w:t>
      </w:r>
      <w:r w:rsidRPr="00D6136B">
        <w:rPr>
          <w:rFonts w:ascii="Times New Roman" w:hAnsi="Times New Roman" w:cs="Times New Roman"/>
          <w:noProof/>
        </w:rPr>
        <w:t xml:space="preserve">, </w:t>
      </w:r>
      <w:r w:rsidRPr="00D6136B">
        <w:rPr>
          <w:rFonts w:ascii="Times New Roman" w:hAnsi="Times New Roman" w:cs="Times New Roman"/>
          <w:i/>
          <w:iCs/>
          <w:noProof/>
        </w:rPr>
        <w:t>11</w:t>
      </w:r>
      <w:r w:rsidRPr="00D6136B">
        <w:rPr>
          <w:rFonts w:ascii="Times New Roman" w:hAnsi="Times New Roman" w:cs="Times New Roman"/>
          <w:noProof/>
        </w:rPr>
        <w:t>(4), 201–219.</w:t>
      </w:r>
    </w:p>
    <w:p w14:paraId="71DECAF6"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Mitchell, O. S., Lusardi, A., &amp; Curto, V. (2009). Financial Literacy and Financial Sophistication Among Older Americans. </w:t>
      </w:r>
      <w:r w:rsidRPr="00D6136B">
        <w:rPr>
          <w:rFonts w:ascii="Times New Roman" w:hAnsi="Times New Roman" w:cs="Times New Roman"/>
          <w:i/>
          <w:iCs/>
          <w:noProof/>
        </w:rPr>
        <w:t>SSRN Electronic Journal</w:t>
      </w:r>
      <w:r w:rsidRPr="00D6136B">
        <w:rPr>
          <w:rFonts w:ascii="Times New Roman" w:hAnsi="Times New Roman" w:cs="Times New Roman"/>
          <w:noProof/>
        </w:rPr>
        <w:t xml:space="preserve">, </w:t>
      </w:r>
      <w:r w:rsidRPr="00D6136B">
        <w:rPr>
          <w:rFonts w:ascii="Times New Roman" w:hAnsi="Times New Roman" w:cs="Times New Roman"/>
          <w:i/>
          <w:iCs/>
          <w:noProof/>
        </w:rPr>
        <w:t>October</w:t>
      </w:r>
      <w:r w:rsidRPr="00D6136B">
        <w:rPr>
          <w:rFonts w:ascii="Times New Roman" w:hAnsi="Times New Roman" w:cs="Times New Roman"/>
          <w:noProof/>
        </w:rPr>
        <w:t>. https://doi.org/10.2139/ssrn.1499844</w:t>
      </w:r>
    </w:p>
    <w:p w14:paraId="0B1D334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Mohammed Esmail Alekam, J., Salniza Bt Md. </w:t>
      </w:r>
      <w:r w:rsidRPr="00D6136B">
        <w:rPr>
          <w:rFonts w:ascii="Times New Roman" w:hAnsi="Times New Roman" w:cs="Times New Roman"/>
          <w:noProof/>
          <w:lang w:val="sv-SE"/>
        </w:rPr>
        <w:t xml:space="preserve">Salleh, M., &amp; Sanuri bin Mohd. </w:t>
      </w:r>
      <w:r w:rsidRPr="00D6136B">
        <w:rPr>
          <w:rFonts w:ascii="Times New Roman" w:hAnsi="Times New Roman" w:cs="Times New Roman"/>
          <w:noProof/>
        </w:rPr>
        <w:t xml:space="preserve">Mokhtar, S. (2018). The Effect of Family, Peer, Behavior, Saving and Spending Behavior on Financial Literacy among Young Generations. </w:t>
      </w:r>
      <w:r w:rsidRPr="00D6136B">
        <w:rPr>
          <w:rFonts w:ascii="Times New Roman" w:hAnsi="Times New Roman" w:cs="Times New Roman"/>
          <w:i/>
          <w:iCs/>
          <w:noProof/>
        </w:rPr>
        <w:t>International Journal of Organizational Leadership</w:t>
      </w:r>
      <w:r w:rsidRPr="00D6136B">
        <w:rPr>
          <w:rFonts w:ascii="Times New Roman" w:hAnsi="Times New Roman" w:cs="Times New Roman"/>
          <w:noProof/>
        </w:rPr>
        <w:t xml:space="preserve">, </w:t>
      </w:r>
      <w:r w:rsidRPr="00D6136B">
        <w:rPr>
          <w:rFonts w:ascii="Times New Roman" w:hAnsi="Times New Roman" w:cs="Times New Roman"/>
          <w:i/>
          <w:iCs/>
          <w:noProof/>
        </w:rPr>
        <w:t>7</w:t>
      </w:r>
      <w:r w:rsidRPr="00D6136B">
        <w:rPr>
          <w:rFonts w:ascii="Times New Roman" w:hAnsi="Times New Roman" w:cs="Times New Roman"/>
          <w:noProof/>
        </w:rPr>
        <w:t>(3), 309–323. https://doi.org/10.33844/ijol.2018.60258</w:t>
      </w:r>
    </w:p>
    <w:p w14:paraId="7A452AF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Morgan, P. J., &amp; Long, T. Q. (2020). Financial literacy, financial inclusion, and savings behavior in Laos. </w:t>
      </w:r>
      <w:r w:rsidRPr="00D6136B">
        <w:rPr>
          <w:rFonts w:ascii="Times New Roman" w:hAnsi="Times New Roman" w:cs="Times New Roman"/>
          <w:i/>
          <w:iCs/>
          <w:noProof/>
        </w:rPr>
        <w:t>Journal of Asian Economics</w:t>
      </w:r>
      <w:r w:rsidRPr="00D6136B">
        <w:rPr>
          <w:rFonts w:ascii="Times New Roman" w:hAnsi="Times New Roman" w:cs="Times New Roman"/>
          <w:noProof/>
        </w:rPr>
        <w:t xml:space="preserve">, </w:t>
      </w:r>
      <w:r w:rsidRPr="00D6136B">
        <w:rPr>
          <w:rFonts w:ascii="Times New Roman" w:hAnsi="Times New Roman" w:cs="Times New Roman"/>
          <w:i/>
          <w:iCs/>
          <w:noProof/>
        </w:rPr>
        <w:t>68</w:t>
      </w:r>
      <w:r w:rsidRPr="00D6136B">
        <w:rPr>
          <w:rFonts w:ascii="Times New Roman" w:hAnsi="Times New Roman" w:cs="Times New Roman"/>
          <w:noProof/>
        </w:rPr>
        <w:t>, 101197. https://doi.org/10.1016/j.asieco.2020.101197</w:t>
      </w:r>
    </w:p>
    <w:p w14:paraId="4A8F4A4F"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Morgan, P. J., &amp; Trinh, L. Q. (2019). </w:t>
      </w:r>
      <w:r w:rsidRPr="00D6136B">
        <w:rPr>
          <w:rFonts w:ascii="Times New Roman" w:hAnsi="Times New Roman" w:cs="Times New Roman"/>
          <w:noProof/>
        </w:rPr>
        <w:t xml:space="preserve">Determinants and Impacts of Financial Literacy in Cambodia and Viet Nam. </w:t>
      </w:r>
      <w:r w:rsidRPr="00D6136B">
        <w:rPr>
          <w:rFonts w:ascii="Times New Roman" w:hAnsi="Times New Roman" w:cs="Times New Roman"/>
          <w:i/>
          <w:iCs/>
          <w:noProof/>
        </w:rPr>
        <w:t>Journal of Risk and Financial Management</w:t>
      </w:r>
      <w:r w:rsidRPr="00D6136B">
        <w:rPr>
          <w:rFonts w:ascii="Times New Roman" w:hAnsi="Times New Roman" w:cs="Times New Roman"/>
          <w:noProof/>
        </w:rPr>
        <w:t xml:space="preserve">, </w:t>
      </w:r>
      <w:r w:rsidRPr="00D6136B">
        <w:rPr>
          <w:rFonts w:ascii="Times New Roman" w:hAnsi="Times New Roman" w:cs="Times New Roman"/>
          <w:i/>
          <w:iCs/>
          <w:noProof/>
        </w:rPr>
        <w:t>12</w:t>
      </w:r>
      <w:r w:rsidRPr="00D6136B">
        <w:rPr>
          <w:rFonts w:ascii="Times New Roman" w:hAnsi="Times New Roman" w:cs="Times New Roman"/>
          <w:noProof/>
        </w:rPr>
        <w:t>(1). https://doi.org/10.3390/jrfm12010019</w:t>
      </w:r>
    </w:p>
    <w:p w14:paraId="7622923C"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Mustafa, W. M. W., Islam, M. A., Asyraf, M., Hassan, M. S., Royhan, P., &amp; Rahman, S. (2023). The Effects of Financial Attitudes, Financial Literacy and Health Literacy on Sustainable Financial Retirement Planning: The Moderating Role of the Financial Advisor. </w:t>
      </w:r>
      <w:r w:rsidRPr="00D6136B">
        <w:rPr>
          <w:rFonts w:ascii="Times New Roman" w:hAnsi="Times New Roman" w:cs="Times New Roman"/>
          <w:i/>
          <w:iCs/>
          <w:noProof/>
        </w:rPr>
        <w:t>Sustainability (Switzerland)</w:t>
      </w:r>
      <w:r w:rsidRPr="00D6136B">
        <w:rPr>
          <w:rFonts w:ascii="Times New Roman" w:hAnsi="Times New Roman" w:cs="Times New Roman"/>
          <w:noProof/>
        </w:rPr>
        <w:t xml:space="preserve">, </w:t>
      </w:r>
      <w:r w:rsidRPr="00D6136B">
        <w:rPr>
          <w:rFonts w:ascii="Times New Roman" w:hAnsi="Times New Roman" w:cs="Times New Roman"/>
          <w:i/>
          <w:iCs/>
          <w:noProof/>
        </w:rPr>
        <w:t>15</w:t>
      </w:r>
      <w:r w:rsidRPr="00D6136B">
        <w:rPr>
          <w:rFonts w:ascii="Times New Roman" w:hAnsi="Times New Roman" w:cs="Times New Roman"/>
          <w:noProof/>
        </w:rPr>
        <w:t>(3). https://doi.org/10.3390/su15032677</w:t>
      </w:r>
    </w:p>
    <w:p w14:paraId="27510A53"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Nguyen, T. A. N., Polách, J., &amp; Vozňáková, I. (2019). The role of financial literacy in retirement investment choice. </w:t>
      </w:r>
      <w:r w:rsidRPr="00D6136B">
        <w:rPr>
          <w:rFonts w:ascii="Times New Roman" w:hAnsi="Times New Roman" w:cs="Times New Roman"/>
          <w:i/>
          <w:iCs/>
          <w:noProof/>
        </w:rPr>
        <w:t>Equilibrium. Quarterly Journal of Economics and Economic Policy</w:t>
      </w:r>
      <w:r w:rsidRPr="00D6136B">
        <w:rPr>
          <w:rFonts w:ascii="Times New Roman" w:hAnsi="Times New Roman" w:cs="Times New Roman"/>
          <w:noProof/>
        </w:rPr>
        <w:t xml:space="preserve">, </w:t>
      </w:r>
      <w:r w:rsidRPr="00D6136B">
        <w:rPr>
          <w:rFonts w:ascii="Times New Roman" w:hAnsi="Times New Roman" w:cs="Times New Roman"/>
          <w:i/>
          <w:iCs/>
          <w:noProof/>
        </w:rPr>
        <w:t>14</w:t>
      </w:r>
      <w:r w:rsidRPr="00D6136B">
        <w:rPr>
          <w:rFonts w:ascii="Times New Roman" w:hAnsi="Times New Roman" w:cs="Times New Roman"/>
          <w:noProof/>
        </w:rPr>
        <w:t>(4), 569–589. https://doi.org/10.24136/eq.2019.027</w:t>
      </w:r>
    </w:p>
    <w:p w14:paraId="6B05D5CF"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Nguyen, V. T., &amp; Doan, M. D. (2020). The Correlation between Financial Literacy and Personal Saving Behavior in Vietnam. </w:t>
      </w:r>
      <w:r w:rsidRPr="00D6136B">
        <w:rPr>
          <w:rFonts w:ascii="Times New Roman" w:hAnsi="Times New Roman" w:cs="Times New Roman"/>
          <w:i/>
          <w:iCs/>
          <w:noProof/>
        </w:rPr>
        <w:t>Asian Economic and Financial Review</w:t>
      </w:r>
      <w:r w:rsidRPr="00D6136B">
        <w:rPr>
          <w:rFonts w:ascii="Times New Roman" w:hAnsi="Times New Roman" w:cs="Times New Roman"/>
          <w:noProof/>
        </w:rPr>
        <w:t xml:space="preserve">, </w:t>
      </w:r>
      <w:r w:rsidRPr="00D6136B">
        <w:rPr>
          <w:rFonts w:ascii="Times New Roman" w:hAnsi="Times New Roman" w:cs="Times New Roman"/>
          <w:i/>
          <w:iCs/>
          <w:noProof/>
        </w:rPr>
        <w:t>10</w:t>
      </w:r>
      <w:r w:rsidRPr="00D6136B">
        <w:rPr>
          <w:rFonts w:ascii="Times New Roman" w:hAnsi="Times New Roman" w:cs="Times New Roman"/>
          <w:noProof/>
        </w:rPr>
        <w:t>(6), 590–603. https://doi.org/10.18488/journal.aefr.2020.106.590.603</w:t>
      </w:r>
    </w:p>
    <w:p w14:paraId="59E8673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lang w:val="sv-SE"/>
        </w:rPr>
      </w:pPr>
      <w:r w:rsidRPr="00D6136B">
        <w:rPr>
          <w:rFonts w:ascii="Times New Roman" w:hAnsi="Times New Roman" w:cs="Times New Roman"/>
          <w:noProof/>
          <w:lang w:val="sv-SE"/>
        </w:rPr>
        <w:t xml:space="preserve">Otoritas Jasa Keuangan. (2023). </w:t>
      </w:r>
      <w:r w:rsidRPr="00D6136B">
        <w:rPr>
          <w:rFonts w:ascii="Times New Roman" w:hAnsi="Times New Roman" w:cs="Times New Roman"/>
          <w:i/>
          <w:iCs/>
          <w:noProof/>
          <w:lang w:val="sv-SE"/>
        </w:rPr>
        <w:t>Otoritas Jasa Keuangan</w:t>
      </w:r>
      <w:r w:rsidRPr="00D6136B">
        <w:rPr>
          <w:rFonts w:ascii="Times New Roman" w:hAnsi="Times New Roman" w:cs="Times New Roman"/>
          <w:noProof/>
          <w:lang w:val="sv-SE"/>
        </w:rPr>
        <w:t>. Otoritas Jasa Keuangan. https://ojk.go.id/</w:t>
      </w:r>
    </w:p>
    <w:p w14:paraId="43CCEDD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Peiris, T. U. I. (2021). Effect of Financial Literacy on Individual Savings Behavior; the Mediation Role of Intention to Saving. </w:t>
      </w:r>
      <w:r w:rsidRPr="00D6136B">
        <w:rPr>
          <w:rFonts w:ascii="Times New Roman" w:hAnsi="Times New Roman" w:cs="Times New Roman"/>
          <w:i/>
          <w:iCs/>
          <w:noProof/>
        </w:rPr>
        <w:t>European Journal of Business and Management Research</w:t>
      </w:r>
      <w:r w:rsidRPr="00D6136B">
        <w:rPr>
          <w:rFonts w:ascii="Times New Roman" w:hAnsi="Times New Roman" w:cs="Times New Roman"/>
          <w:noProof/>
        </w:rPr>
        <w:t xml:space="preserve">, </w:t>
      </w:r>
      <w:r w:rsidRPr="00D6136B">
        <w:rPr>
          <w:rFonts w:ascii="Times New Roman" w:hAnsi="Times New Roman" w:cs="Times New Roman"/>
          <w:i/>
          <w:iCs/>
          <w:noProof/>
        </w:rPr>
        <w:t>6</w:t>
      </w:r>
      <w:r w:rsidRPr="00D6136B">
        <w:rPr>
          <w:rFonts w:ascii="Times New Roman" w:hAnsi="Times New Roman" w:cs="Times New Roman"/>
          <w:noProof/>
        </w:rPr>
        <w:t>(5), 94–99. https://doi.org/10.24018/ejbmr.2021.6.5.1064</w:t>
      </w:r>
    </w:p>
    <w:p w14:paraId="27CC4B4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Pg Hj Md Salleh, P. M. H. A., &amp; Baha, R. (2020). </w:t>
      </w:r>
      <w:r w:rsidRPr="00D6136B">
        <w:rPr>
          <w:rFonts w:ascii="Times New Roman" w:hAnsi="Times New Roman" w:cs="Times New Roman"/>
          <w:noProof/>
        </w:rPr>
        <w:t xml:space="preserve">Retirement concerns and financial literacy in Brunei. </w:t>
      </w:r>
      <w:r w:rsidRPr="00D6136B">
        <w:rPr>
          <w:rFonts w:ascii="Times New Roman" w:hAnsi="Times New Roman" w:cs="Times New Roman"/>
          <w:i/>
          <w:iCs/>
          <w:noProof/>
        </w:rPr>
        <w:t>International Journal of Sociology and Social Policy</w:t>
      </w:r>
      <w:r w:rsidRPr="00D6136B">
        <w:rPr>
          <w:rFonts w:ascii="Times New Roman" w:hAnsi="Times New Roman" w:cs="Times New Roman"/>
          <w:noProof/>
        </w:rPr>
        <w:t xml:space="preserve">, </w:t>
      </w:r>
      <w:r w:rsidRPr="00D6136B">
        <w:rPr>
          <w:rFonts w:ascii="Times New Roman" w:hAnsi="Times New Roman" w:cs="Times New Roman"/>
          <w:i/>
          <w:iCs/>
          <w:noProof/>
        </w:rPr>
        <w:t>40</w:t>
      </w:r>
      <w:r w:rsidRPr="00D6136B">
        <w:rPr>
          <w:rFonts w:ascii="Times New Roman" w:hAnsi="Times New Roman" w:cs="Times New Roman"/>
          <w:noProof/>
        </w:rPr>
        <w:t>(3/4), 342–365. https://doi.org/10.1108/IJSSP-09-2019-0193</w:t>
      </w:r>
    </w:p>
    <w:p w14:paraId="6370F99F"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Phan, K. C., &amp; Jian, Z. (2014). </w:t>
      </w:r>
      <w:r w:rsidRPr="00D6136B">
        <w:rPr>
          <w:rFonts w:ascii="Times New Roman" w:hAnsi="Times New Roman" w:cs="Times New Roman"/>
          <w:noProof/>
        </w:rPr>
        <w:t xml:space="preserve">Factors Influencing Individual Investors’ Behavior: An Empirical Study of the Vietnamese Stock Market. </w:t>
      </w:r>
      <w:r w:rsidRPr="00D6136B">
        <w:rPr>
          <w:rFonts w:ascii="Times New Roman" w:hAnsi="Times New Roman" w:cs="Times New Roman"/>
          <w:i/>
          <w:iCs/>
          <w:noProof/>
        </w:rPr>
        <w:t>American Journal of Business and Management</w:t>
      </w:r>
      <w:r w:rsidRPr="00D6136B">
        <w:rPr>
          <w:rFonts w:ascii="Times New Roman" w:hAnsi="Times New Roman" w:cs="Times New Roman"/>
          <w:noProof/>
        </w:rPr>
        <w:t xml:space="preserve">, </w:t>
      </w:r>
      <w:r w:rsidRPr="00D6136B">
        <w:rPr>
          <w:rFonts w:ascii="Times New Roman" w:hAnsi="Times New Roman" w:cs="Times New Roman"/>
          <w:i/>
          <w:iCs/>
          <w:noProof/>
        </w:rPr>
        <w:t>3</w:t>
      </w:r>
      <w:r w:rsidRPr="00D6136B">
        <w:rPr>
          <w:rFonts w:ascii="Times New Roman" w:hAnsi="Times New Roman" w:cs="Times New Roman"/>
          <w:noProof/>
        </w:rPr>
        <w:t>(2), 77–94. https://doi.org/10.11634/216796061403527</w:t>
      </w:r>
    </w:p>
    <w:p w14:paraId="00253B42"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Pijoh Lidwina, Indradewa Rhian, S. T. (2020). Research Article Research Article. </w:t>
      </w:r>
      <w:r w:rsidRPr="00D6136B">
        <w:rPr>
          <w:rFonts w:ascii="Times New Roman" w:hAnsi="Times New Roman" w:cs="Times New Roman"/>
          <w:i/>
          <w:iCs/>
          <w:noProof/>
        </w:rPr>
        <w:t>Financial Literacy, Financial Behaviour and Financial Anxiety; Implication Well Being of Top Management Level Employees</w:t>
      </w:r>
      <w:r w:rsidRPr="00D6136B">
        <w:rPr>
          <w:rFonts w:ascii="Times New Roman" w:hAnsi="Times New Roman" w:cs="Times New Roman"/>
          <w:noProof/>
        </w:rPr>
        <w:t xml:space="preserve">, </w:t>
      </w:r>
      <w:r w:rsidRPr="00D6136B">
        <w:rPr>
          <w:rFonts w:ascii="Times New Roman" w:hAnsi="Times New Roman" w:cs="Times New Roman"/>
          <w:i/>
          <w:iCs/>
          <w:noProof/>
        </w:rPr>
        <w:t>4</w:t>
      </w:r>
      <w:r w:rsidRPr="00D6136B">
        <w:rPr>
          <w:rFonts w:ascii="Times New Roman" w:hAnsi="Times New Roman" w:cs="Times New Roman"/>
          <w:noProof/>
        </w:rPr>
        <w:t>(4), 527–534.</w:t>
      </w:r>
    </w:p>
    <w:p w14:paraId="2F5EF512"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Rahayu, R., Ali, S., Aulia, A., &amp; Hidayah, R. (2022). The Current Digital Financial Literacy and Financial Behavior in Indonesian Millennial Generation. </w:t>
      </w:r>
      <w:r w:rsidRPr="00D6136B">
        <w:rPr>
          <w:rFonts w:ascii="Times New Roman" w:hAnsi="Times New Roman" w:cs="Times New Roman"/>
          <w:i/>
          <w:iCs/>
          <w:noProof/>
        </w:rPr>
        <w:t>Journal of Accounting and Investment</w:t>
      </w:r>
      <w:r w:rsidRPr="00D6136B">
        <w:rPr>
          <w:rFonts w:ascii="Times New Roman" w:hAnsi="Times New Roman" w:cs="Times New Roman"/>
          <w:noProof/>
        </w:rPr>
        <w:t xml:space="preserve">, </w:t>
      </w:r>
      <w:r w:rsidRPr="00D6136B">
        <w:rPr>
          <w:rFonts w:ascii="Times New Roman" w:hAnsi="Times New Roman" w:cs="Times New Roman"/>
          <w:i/>
          <w:iCs/>
          <w:noProof/>
        </w:rPr>
        <w:t>23</w:t>
      </w:r>
      <w:r w:rsidRPr="00D6136B">
        <w:rPr>
          <w:rFonts w:ascii="Times New Roman" w:hAnsi="Times New Roman" w:cs="Times New Roman"/>
          <w:noProof/>
        </w:rPr>
        <w:t>(1), 78–94. https://doi.org/10.18196/jai.v23i1.13205</w:t>
      </w:r>
    </w:p>
    <w:p w14:paraId="68EC7FD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Remund, D. L. (2010). Financial Literacy Explicated: The Case for a Clearer Definition in an Increasingly Complex Economy. </w:t>
      </w:r>
      <w:r w:rsidRPr="00D6136B">
        <w:rPr>
          <w:rFonts w:ascii="Times New Roman" w:hAnsi="Times New Roman" w:cs="Times New Roman"/>
          <w:i/>
          <w:iCs/>
          <w:noProof/>
        </w:rPr>
        <w:t>Journal of Consumer Affairs</w:t>
      </w:r>
      <w:r w:rsidRPr="00D6136B">
        <w:rPr>
          <w:rFonts w:ascii="Times New Roman" w:hAnsi="Times New Roman" w:cs="Times New Roman"/>
          <w:noProof/>
        </w:rPr>
        <w:t xml:space="preserve">, </w:t>
      </w:r>
      <w:r w:rsidRPr="00D6136B">
        <w:rPr>
          <w:rFonts w:ascii="Times New Roman" w:hAnsi="Times New Roman" w:cs="Times New Roman"/>
          <w:i/>
          <w:iCs/>
          <w:noProof/>
        </w:rPr>
        <w:t>44</w:t>
      </w:r>
      <w:r w:rsidRPr="00D6136B">
        <w:rPr>
          <w:rFonts w:ascii="Times New Roman" w:hAnsi="Times New Roman" w:cs="Times New Roman"/>
          <w:noProof/>
        </w:rPr>
        <w:t>(2), 276–295. https://doi.org/10.1111/j.1745-6606.2010.01169.x</w:t>
      </w:r>
    </w:p>
    <w:p w14:paraId="53F059B4"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Safari, K., Njoka, C., &amp; Munkwa, M. G. (2021). Financial literacy and personal retirement planning: a socioeconomic approach. </w:t>
      </w:r>
      <w:r w:rsidRPr="00D6136B">
        <w:rPr>
          <w:rFonts w:ascii="Times New Roman" w:hAnsi="Times New Roman" w:cs="Times New Roman"/>
          <w:i/>
          <w:iCs/>
          <w:noProof/>
        </w:rPr>
        <w:t>Journal of Business and Socio-Economic Development</w:t>
      </w:r>
      <w:r w:rsidRPr="00D6136B">
        <w:rPr>
          <w:rFonts w:ascii="Times New Roman" w:hAnsi="Times New Roman" w:cs="Times New Roman"/>
          <w:noProof/>
        </w:rPr>
        <w:t xml:space="preserve">, </w:t>
      </w:r>
      <w:r w:rsidRPr="00D6136B">
        <w:rPr>
          <w:rFonts w:ascii="Times New Roman" w:hAnsi="Times New Roman" w:cs="Times New Roman"/>
          <w:i/>
          <w:iCs/>
          <w:noProof/>
        </w:rPr>
        <w:t>1</w:t>
      </w:r>
      <w:r w:rsidRPr="00D6136B">
        <w:rPr>
          <w:rFonts w:ascii="Times New Roman" w:hAnsi="Times New Roman" w:cs="Times New Roman"/>
          <w:noProof/>
        </w:rPr>
        <w:t>(2), 121–134. https://doi.org/10.1108/JBSED-04-2021-0052</w:t>
      </w:r>
    </w:p>
    <w:p w14:paraId="46AE33F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Salikin, N., Wahab, N. A., Zakaria, N., Masruki, R., &amp; Nordin, S. N. (2012). </w:t>
      </w:r>
      <w:r w:rsidRPr="00D6136B">
        <w:rPr>
          <w:rFonts w:ascii="Times New Roman" w:hAnsi="Times New Roman" w:cs="Times New Roman"/>
          <w:noProof/>
        </w:rPr>
        <w:t xml:space="preserve">Students’ Saving Attitude: Does Parents’ BackgroundMatter? </w:t>
      </w:r>
      <w:r w:rsidRPr="00D6136B">
        <w:rPr>
          <w:rFonts w:ascii="Times New Roman" w:hAnsi="Times New Roman" w:cs="Times New Roman"/>
          <w:i/>
          <w:iCs/>
          <w:noProof/>
        </w:rPr>
        <w:t>International Journal of Trade, Economics and Finance</w:t>
      </w:r>
      <w:r w:rsidRPr="00D6136B">
        <w:rPr>
          <w:rFonts w:ascii="Times New Roman" w:hAnsi="Times New Roman" w:cs="Times New Roman"/>
          <w:noProof/>
        </w:rPr>
        <w:t xml:space="preserve">, </w:t>
      </w:r>
      <w:r w:rsidRPr="00D6136B">
        <w:rPr>
          <w:rFonts w:ascii="Times New Roman" w:hAnsi="Times New Roman" w:cs="Times New Roman"/>
          <w:i/>
          <w:iCs/>
          <w:noProof/>
        </w:rPr>
        <w:t>3</w:t>
      </w:r>
      <w:r w:rsidRPr="00D6136B">
        <w:rPr>
          <w:rFonts w:ascii="Times New Roman" w:hAnsi="Times New Roman" w:cs="Times New Roman"/>
          <w:noProof/>
        </w:rPr>
        <w:t>(6), 479–484. https://doi.org/10.7763/IJTEF.2012.V3.249</w:t>
      </w:r>
    </w:p>
    <w:p w14:paraId="240D7CC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Salim, A. S., &amp; Pamungkas, A. S. (2022). </w:t>
      </w:r>
      <w:r w:rsidRPr="00D6136B">
        <w:rPr>
          <w:rFonts w:ascii="Times New Roman" w:hAnsi="Times New Roman" w:cs="Times New Roman"/>
          <w:noProof/>
        </w:rPr>
        <w:t xml:space="preserve">The Influence of Financial Literacy, Parental Socialization, and Peer Influences on Saving Behavior. </w:t>
      </w:r>
      <w:r w:rsidRPr="00D6136B">
        <w:rPr>
          <w:rFonts w:ascii="Times New Roman" w:hAnsi="Times New Roman" w:cs="Times New Roman"/>
          <w:i/>
          <w:iCs/>
          <w:noProof/>
        </w:rPr>
        <w:t>Proceedings of the 3rd Tarumanagara International Conference on the Applications of Social Sciences and Humanities (TICASH 2021)</w:t>
      </w:r>
      <w:r w:rsidRPr="00D6136B">
        <w:rPr>
          <w:rFonts w:ascii="Times New Roman" w:hAnsi="Times New Roman" w:cs="Times New Roman"/>
          <w:noProof/>
        </w:rPr>
        <w:t xml:space="preserve">, </w:t>
      </w:r>
      <w:r w:rsidRPr="00D6136B">
        <w:rPr>
          <w:rFonts w:ascii="Times New Roman" w:hAnsi="Times New Roman" w:cs="Times New Roman"/>
          <w:i/>
          <w:iCs/>
          <w:noProof/>
        </w:rPr>
        <w:t>655</w:t>
      </w:r>
      <w:r w:rsidRPr="00D6136B">
        <w:rPr>
          <w:rFonts w:ascii="Times New Roman" w:hAnsi="Times New Roman" w:cs="Times New Roman"/>
          <w:noProof/>
        </w:rPr>
        <w:t>(Ticash 2021), 1356–1361. https://doi.org/10.2991/assehr.k.220404.217</w:t>
      </w:r>
    </w:p>
    <w:p w14:paraId="3479A308"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Satsios, N., &amp; Hadjidakis, S. (2017). The Effect of Religiosity and Self Mastery on Saving Behaviour of Pomak Households in Thrace. </w:t>
      </w:r>
      <w:r w:rsidRPr="00D6136B">
        <w:rPr>
          <w:rFonts w:ascii="Times New Roman" w:hAnsi="Times New Roman" w:cs="Times New Roman"/>
          <w:i/>
          <w:iCs/>
          <w:noProof/>
        </w:rPr>
        <w:t>Journal Sustainable Development, Culture, Traditions</w:t>
      </w:r>
      <w:r w:rsidRPr="00D6136B">
        <w:rPr>
          <w:rFonts w:ascii="Times New Roman" w:hAnsi="Times New Roman" w:cs="Times New Roman"/>
          <w:noProof/>
        </w:rPr>
        <w:t xml:space="preserve">, </w:t>
      </w:r>
      <w:r w:rsidRPr="00D6136B">
        <w:rPr>
          <w:rFonts w:ascii="Times New Roman" w:hAnsi="Times New Roman" w:cs="Times New Roman"/>
          <w:i/>
          <w:iCs/>
          <w:noProof/>
        </w:rPr>
        <w:t>1b</w:t>
      </w:r>
      <w:r w:rsidRPr="00D6136B">
        <w:rPr>
          <w:rFonts w:ascii="Times New Roman" w:hAnsi="Times New Roman" w:cs="Times New Roman"/>
          <w:noProof/>
        </w:rPr>
        <w:t>(May), 17–27. https://www.researchgate.net/publication/321219347</w:t>
      </w:r>
    </w:p>
    <w:p w14:paraId="39704C96"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lang w:val="sv-SE"/>
        </w:rPr>
        <w:t xml:space="preserve">Satsios, N., Karamanis, K., Galanou, A., &amp; Sotiropoulos, I. (2020). </w:t>
      </w:r>
      <w:r w:rsidRPr="00D6136B">
        <w:rPr>
          <w:rFonts w:ascii="Times New Roman" w:hAnsi="Times New Roman" w:cs="Times New Roman"/>
          <w:noProof/>
        </w:rPr>
        <w:t xml:space="preserve">The saving behaviour of pomaks in Bulgaria: A path analysis approach. </w:t>
      </w:r>
      <w:r w:rsidRPr="00D6136B">
        <w:rPr>
          <w:rFonts w:ascii="Times New Roman" w:hAnsi="Times New Roman" w:cs="Times New Roman"/>
          <w:i/>
          <w:iCs/>
          <w:noProof/>
        </w:rPr>
        <w:t>Ikonomicheski Izsledvania</w:t>
      </w:r>
      <w:r w:rsidRPr="00D6136B">
        <w:rPr>
          <w:rFonts w:ascii="Times New Roman" w:hAnsi="Times New Roman" w:cs="Times New Roman"/>
          <w:noProof/>
        </w:rPr>
        <w:t xml:space="preserve">, </w:t>
      </w:r>
      <w:r w:rsidRPr="00D6136B">
        <w:rPr>
          <w:rFonts w:ascii="Times New Roman" w:hAnsi="Times New Roman" w:cs="Times New Roman"/>
          <w:i/>
          <w:iCs/>
          <w:noProof/>
        </w:rPr>
        <w:t>29</w:t>
      </w:r>
      <w:r w:rsidRPr="00D6136B">
        <w:rPr>
          <w:rFonts w:ascii="Times New Roman" w:hAnsi="Times New Roman" w:cs="Times New Roman"/>
          <w:noProof/>
        </w:rPr>
        <w:t>(3), 105–120.</w:t>
      </w:r>
    </w:p>
    <w:p w14:paraId="2436F8CD"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Sondari, M. C., &amp; Sudarsono, R. (2015). Using Theory of Planned Behavior in Predicting Intention to Invest : Case of Indonesia. </w:t>
      </w:r>
      <w:r w:rsidRPr="00D6136B">
        <w:rPr>
          <w:rFonts w:ascii="Times New Roman" w:hAnsi="Times New Roman" w:cs="Times New Roman"/>
          <w:i/>
          <w:iCs/>
          <w:noProof/>
        </w:rPr>
        <w:t>International Academic Research Journal of Business and Technology 1(2) 2015 Page 137-141</w:t>
      </w:r>
      <w:r w:rsidRPr="00D6136B">
        <w:rPr>
          <w:rFonts w:ascii="Times New Roman" w:hAnsi="Times New Roman" w:cs="Times New Roman"/>
          <w:noProof/>
        </w:rPr>
        <w:t xml:space="preserve">, </w:t>
      </w:r>
      <w:r w:rsidRPr="00D6136B">
        <w:rPr>
          <w:rFonts w:ascii="Times New Roman" w:hAnsi="Times New Roman" w:cs="Times New Roman"/>
          <w:i/>
          <w:iCs/>
          <w:noProof/>
        </w:rPr>
        <w:t>August</w:t>
      </w:r>
      <w:r w:rsidRPr="00D6136B">
        <w:rPr>
          <w:rFonts w:ascii="Times New Roman" w:hAnsi="Times New Roman" w:cs="Times New Roman"/>
          <w:noProof/>
        </w:rPr>
        <w:t>. http://s3.amazonaws.com/academia.edu.documents/45973157/IBTC2015-p137-141.pdf?AWSAccessKeyId=AKIAJ56TQJRTWSMTNPEA&amp;Expires=1473238789&amp;Signature=LOnYcRcmKt39IuoYbkq2d5KpZRA%3D&amp;response-content-disposition=inline%3B filename%3DUsing_Theory_of_Planned_Behavio</w:t>
      </w:r>
    </w:p>
    <w:p w14:paraId="6BF38FEF"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Suh, E. (2021). Can’t save or won’t save: financial resilience and discretionary retirement saving among British adults in their thirties and forties. </w:t>
      </w:r>
      <w:r w:rsidRPr="00D6136B">
        <w:rPr>
          <w:rFonts w:ascii="Times New Roman" w:hAnsi="Times New Roman" w:cs="Times New Roman"/>
          <w:i/>
          <w:iCs/>
          <w:noProof/>
        </w:rPr>
        <w:t>Ageing and Society</w:t>
      </w:r>
      <w:r w:rsidRPr="00D6136B">
        <w:rPr>
          <w:rFonts w:ascii="Times New Roman" w:hAnsi="Times New Roman" w:cs="Times New Roman"/>
          <w:noProof/>
        </w:rPr>
        <w:t xml:space="preserve">, </w:t>
      </w:r>
      <w:r w:rsidRPr="00D6136B">
        <w:rPr>
          <w:rFonts w:ascii="Times New Roman" w:hAnsi="Times New Roman" w:cs="Times New Roman"/>
          <w:i/>
          <w:iCs/>
          <w:noProof/>
        </w:rPr>
        <w:t>42</w:t>
      </w:r>
      <w:r w:rsidRPr="00D6136B">
        <w:rPr>
          <w:rFonts w:ascii="Times New Roman" w:hAnsi="Times New Roman" w:cs="Times New Roman"/>
          <w:noProof/>
        </w:rPr>
        <w:t>(12), 2940–2967. https://doi.org/10.1017/S0144686X21000337</w:t>
      </w:r>
    </w:p>
    <w:p w14:paraId="79E5BE4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Suthianto, C. F. Y. (2023). The Impact of Brand Equity, E-Brand Experience, and Web Entertainment Toward E-Satisfaction and E-Loyalty on Marketplace. </w:t>
      </w:r>
      <w:r w:rsidRPr="00D6136B">
        <w:rPr>
          <w:rFonts w:ascii="Times New Roman" w:hAnsi="Times New Roman" w:cs="Times New Roman"/>
          <w:i/>
          <w:iCs/>
          <w:noProof/>
        </w:rPr>
        <w:t>International Journal of Electronic Commerce Studies</w:t>
      </w:r>
      <w:r w:rsidRPr="00D6136B">
        <w:rPr>
          <w:rFonts w:ascii="Times New Roman" w:hAnsi="Times New Roman" w:cs="Times New Roman"/>
          <w:noProof/>
        </w:rPr>
        <w:t xml:space="preserve">, </w:t>
      </w:r>
      <w:r w:rsidRPr="00D6136B">
        <w:rPr>
          <w:rFonts w:ascii="Times New Roman" w:hAnsi="Times New Roman" w:cs="Times New Roman"/>
          <w:i/>
          <w:iCs/>
          <w:noProof/>
        </w:rPr>
        <w:t>14</w:t>
      </w:r>
      <w:r w:rsidRPr="00D6136B">
        <w:rPr>
          <w:rFonts w:ascii="Times New Roman" w:hAnsi="Times New Roman" w:cs="Times New Roman"/>
          <w:noProof/>
        </w:rPr>
        <w:t>(1), 095. https://doi.org/10.7903/ijecs.2158</w:t>
      </w:r>
    </w:p>
    <w:p w14:paraId="7DC0BC52"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Tase, F., &amp; Kustiawan, U. (2023). The Impact of Job Insecurity on Intrinsic Motivation, Anxiety, Depression, and Job Performance of Information Technology Company Employees in Indonesia. </w:t>
      </w:r>
      <w:r w:rsidRPr="00D6136B">
        <w:rPr>
          <w:rFonts w:ascii="Times New Roman" w:hAnsi="Times New Roman" w:cs="Times New Roman"/>
          <w:i/>
          <w:iCs/>
          <w:noProof/>
        </w:rPr>
        <w:t>Formosa Journal of Multidisciplinary Research</w:t>
      </w:r>
      <w:r w:rsidRPr="00D6136B">
        <w:rPr>
          <w:rFonts w:ascii="Times New Roman" w:hAnsi="Times New Roman" w:cs="Times New Roman"/>
          <w:noProof/>
        </w:rPr>
        <w:t xml:space="preserve">, </w:t>
      </w:r>
      <w:r w:rsidRPr="00D6136B">
        <w:rPr>
          <w:rFonts w:ascii="Times New Roman" w:hAnsi="Times New Roman" w:cs="Times New Roman"/>
          <w:i/>
          <w:iCs/>
          <w:noProof/>
        </w:rPr>
        <w:t>2</w:t>
      </w:r>
      <w:r w:rsidRPr="00D6136B">
        <w:rPr>
          <w:rFonts w:ascii="Times New Roman" w:hAnsi="Times New Roman" w:cs="Times New Roman"/>
          <w:noProof/>
        </w:rPr>
        <w:t>(1), 345–356. https://doi.org/10.55927/fjmr.v2i1.2795</w:t>
      </w:r>
    </w:p>
    <w:p w14:paraId="6605879A"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Topa, G., Lunceford, G., &amp; Boyatzis, R. E. (2018). Financial planning for retirement: A psychosocial perspective. </w:t>
      </w:r>
      <w:r w:rsidRPr="00D6136B">
        <w:rPr>
          <w:rFonts w:ascii="Times New Roman" w:hAnsi="Times New Roman" w:cs="Times New Roman"/>
          <w:i/>
          <w:iCs/>
          <w:noProof/>
        </w:rPr>
        <w:t>Frontiers in Psychology</w:t>
      </w:r>
      <w:r w:rsidRPr="00D6136B">
        <w:rPr>
          <w:rFonts w:ascii="Times New Roman" w:hAnsi="Times New Roman" w:cs="Times New Roman"/>
          <w:noProof/>
        </w:rPr>
        <w:t xml:space="preserve">, </w:t>
      </w:r>
      <w:r w:rsidRPr="00D6136B">
        <w:rPr>
          <w:rFonts w:ascii="Times New Roman" w:hAnsi="Times New Roman" w:cs="Times New Roman"/>
          <w:i/>
          <w:iCs/>
          <w:noProof/>
        </w:rPr>
        <w:t>8</w:t>
      </w:r>
      <w:r w:rsidRPr="00D6136B">
        <w:rPr>
          <w:rFonts w:ascii="Times New Roman" w:hAnsi="Times New Roman" w:cs="Times New Roman"/>
          <w:noProof/>
        </w:rPr>
        <w:t>(JAN), 1–8. https://doi.org/10.3389/fpsyg.2017.02338</w:t>
      </w:r>
    </w:p>
    <w:p w14:paraId="7D301BD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Uy, C., Manalo, R. A., &amp; Bayona, S. P. (2024). Determinants of Saving Behavior of Working Professionals: An Intergenerational Perspective. </w:t>
      </w:r>
      <w:r w:rsidRPr="00D6136B">
        <w:rPr>
          <w:rFonts w:ascii="Times New Roman" w:hAnsi="Times New Roman" w:cs="Times New Roman"/>
          <w:i/>
          <w:iCs/>
          <w:noProof/>
        </w:rPr>
        <w:t>Review of Integrative Business and Economics Research</w:t>
      </w:r>
      <w:r w:rsidRPr="00D6136B">
        <w:rPr>
          <w:rFonts w:ascii="Times New Roman" w:hAnsi="Times New Roman" w:cs="Times New Roman"/>
          <w:noProof/>
        </w:rPr>
        <w:t xml:space="preserve">, </w:t>
      </w:r>
      <w:r w:rsidRPr="00D6136B">
        <w:rPr>
          <w:rFonts w:ascii="Times New Roman" w:hAnsi="Times New Roman" w:cs="Times New Roman"/>
          <w:i/>
          <w:iCs/>
          <w:noProof/>
        </w:rPr>
        <w:t>13</w:t>
      </w:r>
      <w:r w:rsidRPr="00D6136B">
        <w:rPr>
          <w:rFonts w:ascii="Times New Roman" w:hAnsi="Times New Roman" w:cs="Times New Roman"/>
          <w:noProof/>
        </w:rPr>
        <w:t>(2), 372–390.</w:t>
      </w:r>
    </w:p>
    <w:p w14:paraId="39A94C2B"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Van Rooij, M. C. J., Lusardi, A., &amp; Alessie, R. J. M. (2012). Financial Literacy, Retirement Planning and Household Wealth. </w:t>
      </w:r>
      <w:r w:rsidRPr="00D6136B">
        <w:rPr>
          <w:rFonts w:ascii="Times New Roman" w:hAnsi="Times New Roman" w:cs="Times New Roman"/>
          <w:i/>
          <w:iCs/>
          <w:noProof/>
        </w:rPr>
        <w:t>The Economic Journal</w:t>
      </w:r>
      <w:r w:rsidRPr="00D6136B">
        <w:rPr>
          <w:rFonts w:ascii="Times New Roman" w:hAnsi="Times New Roman" w:cs="Times New Roman"/>
          <w:noProof/>
        </w:rPr>
        <w:t xml:space="preserve">, </w:t>
      </w:r>
      <w:r w:rsidRPr="00D6136B">
        <w:rPr>
          <w:rFonts w:ascii="Times New Roman" w:hAnsi="Times New Roman" w:cs="Times New Roman"/>
          <w:i/>
          <w:iCs/>
          <w:noProof/>
        </w:rPr>
        <w:t>122</w:t>
      </w:r>
      <w:r w:rsidRPr="00D6136B">
        <w:rPr>
          <w:rFonts w:ascii="Times New Roman" w:hAnsi="Times New Roman" w:cs="Times New Roman"/>
          <w:noProof/>
        </w:rPr>
        <w:t>(560), 449–478. https://doi.org/10.1111/j.1468-0297.2012.02501.x</w:t>
      </w:r>
    </w:p>
    <w:p w14:paraId="2EDBDCAC"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Van Rooij, M., Lusardi, A., &amp; Alessie, R. (2011). Financial literacy and stock market participation. </w:t>
      </w:r>
      <w:r w:rsidRPr="00D6136B">
        <w:rPr>
          <w:rFonts w:ascii="Times New Roman" w:hAnsi="Times New Roman" w:cs="Times New Roman"/>
          <w:i/>
          <w:iCs/>
          <w:noProof/>
        </w:rPr>
        <w:t>Journal of Financial Economics</w:t>
      </w:r>
      <w:r w:rsidRPr="00D6136B">
        <w:rPr>
          <w:rFonts w:ascii="Times New Roman" w:hAnsi="Times New Roman" w:cs="Times New Roman"/>
          <w:noProof/>
        </w:rPr>
        <w:t xml:space="preserve">, </w:t>
      </w:r>
      <w:r w:rsidRPr="00D6136B">
        <w:rPr>
          <w:rFonts w:ascii="Times New Roman" w:hAnsi="Times New Roman" w:cs="Times New Roman"/>
          <w:i/>
          <w:iCs/>
          <w:noProof/>
        </w:rPr>
        <w:t>101</w:t>
      </w:r>
      <w:r w:rsidRPr="00D6136B">
        <w:rPr>
          <w:rFonts w:ascii="Times New Roman" w:hAnsi="Times New Roman" w:cs="Times New Roman"/>
          <w:noProof/>
        </w:rPr>
        <w:t>(2), 449–472. https://doi.org/10.1016/j.jfineco.2011.03.006</w:t>
      </w:r>
    </w:p>
    <w:p w14:paraId="43AD7E29"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Wahyuni, D. S., Agustini, K., Ariadi, G., Mertayasa, I. N. E., &amp; Sugihartini, N. (2021). The impact of external knowledge on organization performance with indirect effect of instructional agility and process innovation effectiveness. </w:t>
      </w:r>
      <w:r w:rsidRPr="00D6136B">
        <w:rPr>
          <w:rFonts w:ascii="Times New Roman" w:hAnsi="Times New Roman" w:cs="Times New Roman"/>
          <w:i/>
          <w:iCs/>
          <w:noProof/>
        </w:rPr>
        <w:t>Journal of Physics: Conference Series</w:t>
      </w:r>
      <w:r w:rsidRPr="00D6136B">
        <w:rPr>
          <w:rFonts w:ascii="Times New Roman" w:hAnsi="Times New Roman" w:cs="Times New Roman"/>
          <w:noProof/>
        </w:rPr>
        <w:t xml:space="preserve">, </w:t>
      </w:r>
      <w:r w:rsidRPr="00D6136B">
        <w:rPr>
          <w:rFonts w:ascii="Times New Roman" w:hAnsi="Times New Roman" w:cs="Times New Roman"/>
          <w:i/>
          <w:iCs/>
          <w:noProof/>
        </w:rPr>
        <w:t>1810</w:t>
      </w:r>
      <w:r w:rsidRPr="00D6136B">
        <w:rPr>
          <w:rFonts w:ascii="Times New Roman" w:hAnsi="Times New Roman" w:cs="Times New Roman"/>
          <w:noProof/>
        </w:rPr>
        <w:t>(1), 012074. https://doi.org/10.1088/1742-6596/1810/1/012074</w:t>
      </w:r>
    </w:p>
    <w:p w14:paraId="71CDD644"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Widjaja, I., Arifin, A. Z., &amp; Setini, M. (2020). The effects of financial literacy and subjective norms on saving behavior. </w:t>
      </w:r>
      <w:r w:rsidRPr="00D6136B">
        <w:rPr>
          <w:rFonts w:ascii="Times New Roman" w:hAnsi="Times New Roman" w:cs="Times New Roman"/>
          <w:i/>
          <w:iCs/>
          <w:noProof/>
        </w:rPr>
        <w:t>Management Science Letters</w:t>
      </w:r>
      <w:r w:rsidRPr="00D6136B">
        <w:rPr>
          <w:rFonts w:ascii="Times New Roman" w:hAnsi="Times New Roman" w:cs="Times New Roman"/>
          <w:noProof/>
        </w:rPr>
        <w:t xml:space="preserve">, </w:t>
      </w:r>
      <w:r w:rsidRPr="00D6136B">
        <w:rPr>
          <w:rFonts w:ascii="Times New Roman" w:hAnsi="Times New Roman" w:cs="Times New Roman"/>
          <w:i/>
          <w:iCs/>
          <w:noProof/>
        </w:rPr>
        <w:t>10</w:t>
      </w:r>
      <w:r w:rsidRPr="00D6136B">
        <w:rPr>
          <w:rFonts w:ascii="Times New Roman" w:hAnsi="Times New Roman" w:cs="Times New Roman"/>
          <w:noProof/>
        </w:rPr>
        <w:t>(15), 3635–3642. https://doi.org/10.5267/j.msl.2020.6.030</w:t>
      </w:r>
    </w:p>
    <w:p w14:paraId="00A1D3B6"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Widyastuti, U., Suhud, U., &amp; Sumiati, A. (2016). The Impact of Financial Literacy on Student Teachers’ Saving Intention and Saving Behaviour. </w:t>
      </w:r>
      <w:r w:rsidRPr="00D6136B">
        <w:rPr>
          <w:rFonts w:ascii="Times New Roman" w:hAnsi="Times New Roman" w:cs="Times New Roman"/>
          <w:i/>
          <w:iCs/>
          <w:noProof/>
        </w:rPr>
        <w:t>Mediterranean Journal of Social Sciences</w:t>
      </w:r>
      <w:r w:rsidRPr="00D6136B">
        <w:rPr>
          <w:rFonts w:ascii="Times New Roman" w:hAnsi="Times New Roman" w:cs="Times New Roman"/>
          <w:noProof/>
        </w:rPr>
        <w:t xml:space="preserve">, </w:t>
      </w:r>
      <w:r w:rsidRPr="00D6136B">
        <w:rPr>
          <w:rFonts w:ascii="Times New Roman" w:hAnsi="Times New Roman" w:cs="Times New Roman"/>
          <w:i/>
          <w:iCs/>
          <w:noProof/>
        </w:rPr>
        <w:t>November 2016</w:t>
      </w:r>
      <w:r w:rsidRPr="00D6136B">
        <w:rPr>
          <w:rFonts w:ascii="Times New Roman" w:hAnsi="Times New Roman" w:cs="Times New Roman"/>
          <w:noProof/>
        </w:rPr>
        <w:t>. https://doi.org/10.5901/mjss.2016.v7n6p41</w:t>
      </w:r>
    </w:p>
    <w:p w14:paraId="5B439AE6"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Xiao, J. J. (2020). Financial Literacy in Asia: A Scoping Review. </w:t>
      </w:r>
      <w:r w:rsidRPr="00D6136B">
        <w:rPr>
          <w:rFonts w:ascii="Times New Roman" w:hAnsi="Times New Roman" w:cs="Times New Roman"/>
          <w:i/>
          <w:iCs/>
          <w:noProof/>
        </w:rPr>
        <w:t>SSRN Electronic Journal</w:t>
      </w:r>
      <w:r w:rsidRPr="00D6136B">
        <w:rPr>
          <w:rFonts w:ascii="Times New Roman" w:hAnsi="Times New Roman" w:cs="Times New Roman"/>
          <w:noProof/>
        </w:rPr>
        <w:t xml:space="preserve">, </w:t>
      </w:r>
      <w:r w:rsidRPr="00D6136B">
        <w:rPr>
          <w:rFonts w:ascii="Times New Roman" w:hAnsi="Times New Roman" w:cs="Times New Roman"/>
          <w:i/>
          <w:iCs/>
          <w:noProof/>
        </w:rPr>
        <w:t>January 2020</w:t>
      </w:r>
      <w:r w:rsidRPr="00D6136B">
        <w:rPr>
          <w:rFonts w:ascii="Times New Roman" w:hAnsi="Times New Roman" w:cs="Times New Roman"/>
          <w:noProof/>
        </w:rPr>
        <w:t>. https://doi.org/10.2139/ssrn.3743345</w:t>
      </w:r>
    </w:p>
    <w:p w14:paraId="4B9A42B8"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Xie, X., Osińska, M., &amp; Szczepaniak, M. (2023). Do young generations save for retirement? Ensuring financial security of Gen Z and Gen Y. </w:t>
      </w:r>
      <w:r w:rsidRPr="00D6136B">
        <w:rPr>
          <w:rFonts w:ascii="Times New Roman" w:hAnsi="Times New Roman" w:cs="Times New Roman"/>
          <w:i/>
          <w:iCs/>
          <w:noProof/>
        </w:rPr>
        <w:t>Journal of Policy Modeling</w:t>
      </w:r>
      <w:r w:rsidRPr="00D6136B">
        <w:rPr>
          <w:rFonts w:ascii="Times New Roman" w:hAnsi="Times New Roman" w:cs="Times New Roman"/>
          <w:noProof/>
        </w:rPr>
        <w:t xml:space="preserve">, </w:t>
      </w:r>
      <w:r w:rsidRPr="00D6136B">
        <w:rPr>
          <w:rFonts w:ascii="Times New Roman" w:hAnsi="Times New Roman" w:cs="Times New Roman"/>
          <w:i/>
          <w:iCs/>
          <w:noProof/>
        </w:rPr>
        <w:t>45</w:t>
      </w:r>
      <w:r w:rsidRPr="00D6136B">
        <w:rPr>
          <w:rFonts w:ascii="Times New Roman" w:hAnsi="Times New Roman" w:cs="Times New Roman"/>
          <w:noProof/>
        </w:rPr>
        <w:t>(3), 644–668. https://doi.org/10.1016/j.jpolmod.2023.05.003</w:t>
      </w:r>
    </w:p>
    <w:p w14:paraId="77FE77FD"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Yanuar Rahmat Syah, T., Alimwidodo, P. C., Lianti, L., &amp; Hatta, H. (2022). Perceived Price as Antecedent of Satisfaction and Loyalty: Learn from Fast Food Multinational Restaurants in Indonesia. </w:t>
      </w:r>
      <w:r w:rsidRPr="00D6136B">
        <w:rPr>
          <w:rFonts w:ascii="Times New Roman" w:hAnsi="Times New Roman" w:cs="Times New Roman"/>
          <w:i/>
          <w:iCs/>
          <w:noProof/>
        </w:rPr>
        <w:t>Central European Business Review</w:t>
      </w:r>
      <w:r w:rsidRPr="00D6136B">
        <w:rPr>
          <w:rFonts w:ascii="Times New Roman" w:hAnsi="Times New Roman" w:cs="Times New Roman"/>
          <w:noProof/>
        </w:rPr>
        <w:t xml:space="preserve">, </w:t>
      </w:r>
      <w:r w:rsidRPr="00D6136B">
        <w:rPr>
          <w:rFonts w:ascii="Times New Roman" w:hAnsi="Times New Roman" w:cs="Times New Roman"/>
          <w:i/>
          <w:iCs/>
          <w:noProof/>
        </w:rPr>
        <w:t>11</w:t>
      </w:r>
      <w:r w:rsidRPr="00D6136B">
        <w:rPr>
          <w:rFonts w:ascii="Times New Roman" w:hAnsi="Times New Roman" w:cs="Times New Roman"/>
          <w:noProof/>
        </w:rPr>
        <w:t>(4), 63–84. https://doi.org/10.18267/j.cebr.304</w:t>
      </w:r>
    </w:p>
    <w:p w14:paraId="784E1B5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Yap et al, 2017. (2017). The Importance of Financial Literacy on the Malaysian Household Retirement Planning. </w:t>
      </w:r>
      <w:r w:rsidRPr="00D6136B">
        <w:rPr>
          <w:rFonts w:ascii="Times New Roman" w:hAnsi="Times New Roman" w:cs="Times New Roman"/>
          <w:i/>
          <w:iCs/>
          <w:noProof/>
        </w:rPr>
        <w:t>International Business Management</w:t>
      </w:r>
      <w:r w:rsidRPr="00D6136B">
        <w:rPr>
          <w:rFonts w:ascii="Times New Roman" w:hAnsi="Times New Roman" w:cs="Times New Roman"/>
          <w:noProof/>
        </w:rPr>
        <w:t xml:space="preserve">, </w:t>
      </w:r>
      <w:r w:rsidRPr="00D6136B">
        <w:rPr>
          <w:rFonts w:ascii="Times New Roman" w:hAnsi="Times New Roman" w:cs="Times New Roman"/>
          <w:i/>
          <w:iCs/>
          <w:noProof/>
        </w:rPr>
        <w:t>11</w:t>
      </w:r>
      <w:r w:rsidRPr="00D6136B">
        <w:rPr>
          <w:rFonts w:ascii="Times New Roman" w:hAnsi="Times New Roman" w:cs="Times New Roman"/>
          <w:noProof/>
        </w:rPr>
        <w:t>(7), 1457–1461.</w:t>
      </w:r>
    </w:p>
    <w:p w14:paraId="677CEC18"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Yoong, F. J., See, B. L., &amp; Baronovich, D.-L. (2012). Financial Literacy Key to Retirement Planning in Malaysia. </w:t>
      </w:r>
      <w:r w:rsidRPr="00D6136B">
        <w:rPr>
          <w:rFonts w:ascii="Times New Roman" w:hAnsi="Times New Roman" w:cs="Times New Roman"/>
          <w:i/>
          <w:iCs/>
          <w:noProof/>
        </w:rPr>
        <w:t>Journal of Management and Sustainability</w:t>
      </w:r>
      <w:r w:rsidRPr="00D6136B">
        <w:rPr>
          <w:rFonts w:ascii="Times New Roman" w:hAnsi="Times New Roman" w:cs="Times New Roman"/>
          <w:noProof/>
        </w:rPr>
        <w:t xml:space="preserve">, </w:t>
      </w:r>
      <w:r w:rsidRPr="00D6136B">
        <w:rPr>
          <w:rFonts w:ascii="Times New Roman" w:hAnsi="Times New Roman" w:cs="Times New Roman"/>
          <w:i/>
          <w:iCs/>
          <w:noProof/>
        </w:rPr>
        <w:t>2</w:t>
      </w:r>
      <w:r w:rsidRPr="00D6136B">
        <w:rPr>
          <w:rFonts w:ascii="Times New Roman" w:hAnsi="Times New Roman" w:cs="Times New Roman"/>
          <w:noProof/>
        </w:rPr>
        <w:t>(1). https://doi.org/10.5539/jms.v2n1p75</w:t>
      </w:r>
    </w:p>
    <w:p w14:paraId="3E7A33CE"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Yoshino, N., Morgan, P. J., &amp; Trinh, L. Q. (2017). </w:t>
      </w:r>
      <w:r w:rsidRPr="00D6136B">
        <w:rPr>
          <w:rFonts w:ascii="Times New Roman" w:hAnsi="Times New Roman" w:cs="Times New Roman"/>
          <w:i/>
          <w:iCs/>
          <w:noProof/>
        </w:rPr>
        <w:t>ADBI Working Paper Series Financial Literacy In Japan: Determinant And Impacts Asian Development Bank Institute</w:t>
      </w:r>
      <w:r w:rsidRPr="00D6136B">
        <w:rPr>
          <w:rFonts w:ascii="Times New Roman" w:hAnsi="Times New Roman" w:cs="Times New Roman"/>
          <w:noProof/>
        </w:rPr>
        <w:t xml:space="preserve"> (Issue 796). ADBI Institute. www.adbi.org</w:t>
      </w:r>
    </w:p>
    <w:p w14:paraId="71222C91" w14:textId="77777777" w:rsidR="004A5E0E" w:rsidRPr="00D6136B" w:rsidRDefault="004A5E0E" w:rsidP="00D6136B">
      <w:pPr>
        <w:autoSpaceDE w:val="0"/>
        <w:autoSpaceDN w:val="0"/>
        <w:adjustRightInd w:val="0"/>
        <w:spacing w:before="60" w:line="276" w:lineRule="auto"/>
        <w:ind w:left="480" w:hanging="480"/>
        <w:jc w:val="both"/>
        <w:rPr>
          <w:rFonts w:ascii="Times New Roman" w:hAnsi="Times New Roman" w:cs="Times New Roman"/>
          <w:noProof/>
        </w:rPr>
      </w:pPr>
      <w:r w:rsidRPr="00D6136B">
        <w:rPr>
          <w:rFonts w:ascii="Times New Roman" w:hAnsi="Times New Roman" w:cs="Times New Roman"/>
          <w:noProof/>
        </w:rPr>
        <w:t xml:space="preserve">Zeb, S., &amp; Bilal, A. (2021). Financial Literacy and Retirement Planning in Pakistan. </w:t>
      </w:r>
      <w:r w:rsidRPr="00D6136B">
        <w:rPr>
          <w:rFonts w:ascii="Times New Roman" w:hAnsi="Times New Roman" w:cs="Times New Roman"/>
          <w:i/>
          <w:iCs/>
          <w:noProof/>
        </w:rPr>
        <w:t>Global Management Journal for Academic &amp; Corporate Studies</w:t>
      </w:r>
      <w:r w:rsidRPr="00D6136B">
        <w:rPr>
          <w:rFonts w:ascii="Times New Roman" w:hAnsi="Times New Roman" w:cs="Times New Roman"/>
          <w:noProof/>
        </w:rPr>
        <w:t xml:space="preserve">, </w:t>
      </w:r>
      <w:r w:rsidRPr="00D6136B">
        <w:rPr>
          <w:rFonts w:ascii="Times New Roman" w:hAnsi="Times New Roman" w:cs="Times New Roman"/>
          <w:i/>
          <w:iCs/>
          <w:noProof/>
        </w:rPr>
        <w:t>11</w:t>
      </w:r>
      <w:r w:rsidRPr="00D6136B">
        <w:rPr>
          <w:rFonts w:ascii="Times New Roman" w:hAnsi="Times New Roman" w:cs="Times New Roman"/>
          <w:noProof/>
        </w:rPr>
        <w:t>(1), 1–20.</w:t>
      </w:r>
    </w:p>
    <w:p w14:paraId="01F5FB55" w14:textId="687636C8" w:rsidR="00D97723" w:rsidRPr="00D6136B" w:rsidRDefault="00456E38" w:rsidP="00D6136B">
      <w:pPr>
        <w:spacing w:before="60" w:line="276" w:lineRule="auto"/>
        <w:ind w:left="1134" w:hanging="425"/>
        <w:jc w:val="both"/>
        <w:rPr>
          <w:rFonts w:ascii="Times New Roman" w:hAnsi="Times New Roman" w:cs="Times New Roman"/>
        </w:rPr>
      </w:pPr>
      <w:r w:rsidRPr="00D6136B">
        <w:rPr>
          <w:rFonts w:ascii="Times New Roman" w:hAnsi="Times New Roman" w:cs="Times New Roman"/>
        </w:rPr>
        <w:fldChar w:fldCharType="end"/>
      </w:r>
      <w:bookmarkEnd w:id="308"/>
      <w:bookmarkEnd w:id="309"/>
    </w:p>
    <w:p w14:paraId="2F834CD5" w14:textId="77777777" w:rsidR="00D97723" w:rsidRPr="00D6136B" w:rsidRDefault="00D97723" w:rsidP="00D6136B">
      <w:pPr>
        <w:pStyle w:val="BodyText"/>
        <w:spacing w:before="67" w:line="276" w:lineRule="auto"/>
        <w:ind w:left="1134" w:right="47" w:hanging="425"/>
        <w:rPr>
          <w:rFonts w:ascii="Times New Roman" w:hAnsi="Times New Roman" w:cs="Times New Roman"/>
          <w:sz w:val="22"/>
          <w:szCs w:val="22"/>
        </w:rPr>
      </w:pPr>
    </w:p>
    <w:sectPr w:rsidR="00D97723" w:rsidRPr="00D6136B" w:rsidSect="00D6136B">
      <w:headerReference w:type="even" r:id="rId17"/>
      <w:headerReference w:type="default" r:id="rId18"/>
      <w:footerReference w:type="even" r:id="rId19"/>
      <w:footerReference w:type="default" r:id="rId20"/>
      <w:pgSz w:w="11906" w:h="16838"/>
      <w:pgMar w:top="1701" w:right="1701" w:bottom="1701" w:left="1701" w:header="0" w:footer="539" w:gutter="0"/>
      <w:cols w:space="720"/>
      <w:formProt w:val="0"/>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7CD10" w14:textId="77777777" w:rsidR="00204909" w:rsidRDefault="00204909">
      <w:r>
        <w:separator/>
      </w:r>
    </w:p>
  </w:endnote>
  <w:endnote w:type="continuationSeparator" w:id="0">
    <w:p w14:paraId="79B410AB" w14:textId="77777777" w:rsidR="00204909" w:rsidRDefault="00204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BookAntiqu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99BD" w14:textId="77777777" w:rsidR="00716E2C" w:rsidRDefault="00716E2C">
    <w:pPr>
      <w:pStyle w:val="BodyText"/>
      <w:spacing w:line="9" w:lineRule="auto"/>
      <w:ind w:left="0"/>
      <w:jc w:val="left"/>
      <w:rPr>
        <w:sz w:val="20"/>
      </w:rPr>
    </w:pPr>
  </w:p>
  <w:p w14:paraId="0409A555" w14:textId="77777777" w:rsidR="00716E2C" w:rsidRDefault="00716E2C">
    <w:pPr>
      <w:pStyle w:val="BodyText"/>
      <w:spacing w:line="9" w:lineRule="auto"/>
      <w:ind w:left="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737D" w14:textId="77777777" w:rsidR="00716E2C" w:rsidRDefault="00716E2C">
    <w:pPr>
      <w:pStyle w:val="BodyText"/>
      <w:spacing w:line="9" w:lineRule="auto"/>
      <w:rPr>
        <w:color w:val="231F20"/>
        <w:sz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3A65" w14:textId="77777777" w:rsidR="00716E2C" w:rsidRDefault="00716E2C">
    <w:pPr>
      <w:pStyle w:val="BodyText"/>
      <w:spacing w:line="9" w:lineRule="auto"/>
      <w:ind w:left="0"/>
      <w:jc w:val="left"/>
      <w:rPr>
        <w:sz w:val="20"/>
      </w:rPr>
    </w:pPr>
  </w:p>
  <w:p w14:paraId="23924E4F" w14:textId="77777777" w:rsidR="00716E2C" w:rsidRDefault="00716E2C">
    <w:pPr>
      <w:pStyle w:val="BodyText"/>
      <w:spacing w:line="9" w:lineRule="auto"/>
      <w:ind w:left="0"/>
      <w:jc w:val="left"/>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9E3B" w14:textId="77777777" w:rsidR="00716E2C" w:rsidRDefault="00716E2C">
    <w:pPr>
      <w:pStyle w:val="Footer"/>
      <w:jc w:val="center"/>
      <w:rPr>
        <w:color w:val="000000"/>
        <w:sz w:val="20"/>
        <w:szCs w:val="20"/>
      </w:rPr>
    </w:pPr>
  </w:p>
  <w:p w14:paraId="5360091C" w14:textId="77777777" w:rsidR="00716E2C" w:rsidRDefault="00716E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B0FF" w14:textId="77777777" w:rsidR="00204909" w:rsidRDefault="00204909">
      <w:r>
        <w:separator/>
      </w:r>
    </w:p>
  </w:footnote>
  <w:footnote w:type="continuationSeparator" w:id="0">
    <w:p w14:paraId="275417D0" w14:textId="77777777" w:rsidR="00204909" w:rsidRDefault="00204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0C99" w14:textId="77777777" w:rsidR="00716E2C" w:rsidRDefault="00716E2C">
    <w:pPr>
      <w:pStyle w:val="BodyText"/>
      <w:spacing w:line="9"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80F6" w14:textId="77777777" w:rsidR="00716E2C" w:rsidRDefault="00716E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31E3" w14:textId="77777777" w:rsidR="00716E2C" w:rsidRDefault="00716E2C">
    <w:pPr>
      <w:spacing w:line="9" w:lineRule="auto"/>
      <w:rPr>
        <w:color w:val="000000"/>
        <w:sz w:val="20"/>
        <w:szCs w:val="20"/>
      </w:rPr>
    </w:pPr>
    <w:r>
      <w:rPr>
        <w:noProof/>
        <w:color w:val="000000"/>
        <w:sz w:val="20"/>
        <w:szCs w:val="20"/>
      </w:rPr>
      <mc:AlternateContent>
        <mc:Choice Requires="wps">
          <w:drawing>
            <wp:anchor distT="0" distB="0" distL="0" distR="0" simplePos="0" relativeHeight="36" behindDoc="1" locked="0" layoutInCell="1" allowOverlap="1" wp14:anchorId="466E05AE" wp14:editId="05DCCFA9">
              <wp:simplePos x="0" y="0"/>
              <wp:positionH relativeFrom="page">
                <wp:posOffset>5044440</wp:posOffset>
              </wp:positionH>
              <wp:positionV relativeFrom="page">
                <wp:posOffset>444500</wp:posOffset>
              </wp:positionV>
              <wp:extent cx="1452880" cy="177800"/>
              <wp:effectExtent l="0" t="0" r="0" b="0"/>
              <wp:wrapNone/>
              <wp:docPr id="45" name="Rectangle 2133448377"/>
              <wp:cNvGraphicFramePr/>
              <a:graphic xmlns:a="http://schemas.openxmlformats.org/drawingml/2006/main">
                <a:graphicData uri="http://schemas.microsoft.com/office/word/2010/wordprocessingShape">
                  <wps:wsp>
                    <wps:cNvSpPr/>
                    <wps:spPr>
                      <a:xfrm>
                        <a:off x="0" y="0"/>
                        <a:ext cx="1452240" cy="177120"/>
                      </a:xfrm>
                      <a:prstGeom prst="rect">
                        <a:avLst/>
                      </a:prstGeom>
                      <a:noFill/>
                      <a:ln>
                        <a:noFill/>
                      </a:ln>
                    </wps:spPr>
                    <wps:style>
                      <a:lnRef idx="0">
                        <a:scrgbClr r="0" g="0" b="0"/>
                      </a:lnRef>
                      <a:fillRef idx="0">
                        <a:scrgbClr r="0" g="0" b="0"/>
                      </a:fillRef>
                      <a:effectRef idx="0">
                        <a:scrgbClr r="0" g="0" b="0"/>
                      </a:effectRef>
                      <a:fontRef idx="minor"/>
                    </wps:style>
                    <wps:txbx>
                      <w:txbxContent>
                        <w:p w14:paraId="30D3F307" w14:textId="77777777" w:rsidR="00716E2C" w:rsidRDefault="00716E2C">
                          <w:pPr>
                            <w:pStyle w:val="FrameContents"/>
                            <w:spacing w:before="12"/>
                            <w:ind w:left="20" w:firstLine="20"/>
                            <w:rPr>
                              <w:color w:val="000000"/>
                            </w:rPr>
                          </w:pPr>
                        </w:p>
                      </w:txbxContent>
                    </wps:txbx>
                    <wps:bodyPr lIns="0" tIns="0" rIns="0" bIns="0">
                      <a:noAutofit/>
                    </wps:bodyPr>
                  </wps:wsp>
                </a:graphicData>
              </a:graphic>
            </wp:anchor>
          </w:drawing>
        </mc:Choice>
        <mc:Fallback>
          <w:pict>
            <v:rect w14:anchorId="466E05AE" id="Rectangle 2133448377" o:spid="_x0000_s1038" style="position:absolute;margin-left:397.2pt;margin-top:35pt;width:114.4pt;height:14pt;z-index:-5033164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" filled="f" stroked="f">
              <v:textbox inset="0,0,0,0">
                <w:txbxContent>
                  <w:p w14:paraId="30D3F307" w14:textId="77777777" w:rsidR="00716E2C" w:rsidRDefault="00716E2C">
                    <w:pPr>
                      <w:pStyle w:val="FrameContents"/>
                      <w:spacing w:before="12"/>
                      <w:ind w:left="20" w:firstLine="20"/>
                      <w:rPr>
                        <w:color w:val="000000"/>
                      </w:rPr>
                    </w:pPr>
                  </w:p>
                </w:txbxContent>
              </v:textbox>
              <w10:wrap anchorx="page" anchory="page"/>
            </v:rect>
          </w:pict>
        </mc:Fallback>
      </mc:AlternateContent>
    </w:r>
  </w:p>
  <w:p w14:paraId="6CAFA90E" w14:textId="77777777" w:rsidR="00716E2C" w:rsidRDefault="00716E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5B0"/>
    <w:multiLevelType w:val="multilevel"/>
    <w:tmpl w:val="6B0E8F96"/>
    <w:lvl w:ilvl="0">
      <w:start w:val="1"/>
      <w:numFmt w:val="bullet"/>
      <w:lvlText w:val=""/>
      <w:lvlJc w:val="left"/>
      <w:pPr>
        <w:tabs>
          <w:tab w:val="num" w:pos="720"/>
        </w:tabs>
        <w:ind w:left="720" w:hanging="720"/>
      </w:pPr>
      <w:rPr>
        <w:rFonts w:ascii="Symbol" w:hAnsi="Symbol" w:cs="Symbol" w:hint="default"/>
        <w:sz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3E637FE"/>
    <w:multiLevelType w:val="multilevel"/>
    <w:tmpl w:val="976A3410"/>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A3D02EF"/>
    <w:multiLevelType w:val="multilevel"/>
    <w:tmpl w:val="526ED7BA"/>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0ADD6033"/>
    <w:multiLevelType w:val="multilevel"/>
    <w:tmpl w:val="881E5EC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0A11E05"/>
    <w:multiLevelType w:val="multilevel"/>
    <w:tmpl w:val="957404D6"/>
    <w:lvl w:ilvl="0">
      <w:start w:val="1"/>
      <w:numFmt w:val="bullet"/>
      <w:lvlText w:val=""/>
      <w:lvlJc w:val="left"/>
      <w:pPr>
        <w:ind w:left="720"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284090C"/>
    <w:multiLevelType w:val="multilevel"/>
    <w:tmpl w:val="861A2398"/>
    <w:lvl w:ilvl="0">
      <w:start w:val="1"/>
      <w:numFmt w:val="bullet"/>
      <w:lvlText w:val=""/>
      <w:lvlJc w:val="left"/>
      <w:pPr>
        <w:ind w:left="827" w:hanging="360"/>
      </w:pPr>
      <w:rPr>
        <w:rFonts w:ascii="Symbol" w:hAnsi="Symbol" w:cs="Symbol" w:hint="default"/>
        <w:b/>
        <w:sz w:val="24"/>
      </w:r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6" w15:restartNumberingAfterBreak="0">
    <w:nsid w:val="14D138BD"/>
    <w:multiLevelType w:val="multilevel"/>
    <w:tmpl w:val="CF220A8A"/>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442448CB"/>
    <w:multiLevelType w:val="multilevel"/>
    <w:tmpl w:val="C674EEDA"/>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4AE33071"/>
    <w:multiLevelType w:val="multilevel"/>
    <w:tmpl w:val="4A4498FA"/>
    <w:lvl w:ilvl="0">
      <w:start w:val="1"/>
      <w:numFmt w:val="bullet"/>
      <w:lvlText w:val=""/>
      <w:lvlJc w:val="left"/>
      <w:pPr>
        <w:ind w:left="864" w:hanging="360"/>
      </w:pPr>
      <w:rPr>
        <w:rFonts w:ascii="Symbol" w:hAnsi="Symbol" w:cs="Symbol" w:hint="default"/>
        <w:b/>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cs="Wingdings" w:hint="default"/>
      </w:rPr>
    </w:lvl>
    <w:lvl w:ilvl="3">
      <w:start w:val="1"/>
      <w:numFmt w:val="bullet"/>
      <w:lvlText w:val=""/>
      <w:lvlJc w:val="left"/>
      <w:pPr>
        <w:ind w:left="3024" w:hanging="360"/>
      </w:pPr>
      <w:rPr>
        <w:rFonts w:ascii="Symbol" w:hAnsi="Symbol" w:cs="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cs="Wingdings" w:hint="default"/>
      </w:rPr>
    </w:lvl>
    <w:lvl w:ilvl="6">
      <w:start w:val="1"/>
      <w:numFmt w:val="bullet"/>
      <w:lvlText w:val=""/>
      <w:lvlJc w:val="left"/>
      <w:pPr>
        <w:ind w:left="5184" w:hanging="360"/>
      </w:pPr>
      <w:rPr>
        <w:rFonts w:ascii="Symbol" w:hAnsi="Symbol" w:cs="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cs="Wingdings" w:hint="default"/>
      </w:rPr>
    </w:lvl>
  </w:abstractNum>
  <w:abstractNum w:abstractNumId="9" w15:restartNumberingAfterBreak="0">
    <w:nsid w:val="582975B3"/>
    <w:multiLevelType w:val="multilevel"/>
    <w:tmpl w:val="6340E978"/>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59881160"/>
    <w:multiLevelType w:val="multilevel"/>
    <w:tmpl w:val="AC3279D8"/>
    <w:lvl w:ilvl="0">
      <w:start w:val="1"/>
      <w:numFmt w:val="bullet"/>
      <w:lvlText w:val=""/>
      <w:lvlJc w:val="left"/>
      <w:pPr>
        <w:ind w:left="864" w:hanging="360"/>
      </w:pPr>
      <w:rPr>
        <w:rFonts w:ascii="Symbol" w:hAnsi="Symbol" w:cs="Symbol" w:hint="default"/>
        <w:sz w:val="24"/>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cs="Wingdings" w:hint="default"/>
      </w:rPr>
    </w:lvl>
    <w:lvl w:ilvl="3">
      <w:start w:val="1"/>
      <w:numFmt w:val="bullet"/>
      <w:lvlText w:val=""/>
      <w:lvlJc w:val="left"/>
      <w:pPr>
        <w:ind w:left="3024" w:hanging="360"/>
      </w:pPr>
      <w:rPr>
        <w:rFonts w:ascii="Symbol" w:hAnsi="Symbol" w:cs="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cs="Wingdings" w:hint="default"/>
      </w:rPr>
    </w:lvl>
    <w:lvl w:ilvl="6">
      <w:start w:val="1"/>
      <w:numFmt w:val="bullet"/>
      <w:lvlText w:val=""/>
      <w:lvlJc w:val="left"/>
      <w:pPr>
        <w:ind w:left="5184" w:hanging="360"/>
      </w:pPr>
      <w:rPr>
        <w:rFonts w:ascii="Symbol" w:hAnsi="Symbol" w:cs="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cs="Wingdings" w:hint="default"/>
      </w:rPr>
    </w:lvl>
  </w:abstractNum>
  <w:abstractNum w:abstractNumId="11" w15:restartNumberingAfterBreak="0">
    <w:nsid w:val="5D0A20F8"/>
    <w:multiLevelType w:val="multilevel"/>
    <w:tmpl w:val="DF6E14B4"/>
    <w:lvl w:ilvl="0">
      <w:start w:val="1"/>
      <w:numFmt w:val="bullet"/>
      <w:lvlText w:val=""/>
      <w:lvlJc w:val="left"/>
      <w:pPr>
        <w:ind w:left="827" w:hanging="360"/>
      </w:pPr>
      <w:rPr>
        <w:rFonts w:ascii="Symbol" w:hAnsi="Symbol" w:cs="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cs="Wingdings" w:hint="default"/>
      </w:rPr>
    </w:lvl>
    <w:lvl w:ilvl="3">
      <w:start w:val="1"/>
      <w:numFmt w:val="bullet"/>
      <w:lvlText w:val=""/>
      <w:lvlJc w:val="left"/>
      <w:pPr>
        <w:ind w:left="2987" w:hanging="360"/>
      </w:pPr>
      <w:rPr>
        <w:rFonts w:ascii="Symbol" w:hAnsi="Symbol" w:cs="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cs="Wingdings" w:hint="default"/>
      </w:rPr>
    </w:lvl>
    <w:lvl w:ilvl="6">
      <w:start w:val="1"/>
      <w:numFmt w:val="bullet"/>
      <w:lvlText w:val=""/>
      <w:lvlJc w:val="left"/>
      <w:pPr>
        <w:ind w:left="5147" w:hanging="360"/>
      </w:pPr>
      <w:rPr>
        <w:rFonts w:ascii="Symbol" w:hAnsi="Symbol" w:cs="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cs="Wingdings" w:hint="default"/>
      </w:rPr>
    </w:lvl>
  </w:abstractNum>
  <w:abstractNum w:abstractNumId="12" w15:restartNumberingAfterBreak="0">
    <w:nsid w:val="5D362EE3"/>
    <w:multiLevelType w:val="multilevel"/>
    <w:tmpl w:val="CDE6662A"/>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5D8B6A9C"/>
    <w:multiLevelType w:val="multilevel"/>
    <w:tmpl w:val="9BD0E864"/>
    <w:lvl w:ilvl="0">
      <w:start w:val="1"/>
      <w:numFmt w:val="decimal"/>
      <w:lvlText w:val="%1."/>
      <w:lvlJc w:val="left"/>
      <w:pPr>
        <w:ind w:left="620" w:hanging="560"/>
      </w:pPr>
      <w:rPr>
        <w:rFonts w:ascii="Times New Roman" w:eastAsia="Cambria" w:hAnsi="Times New Roman" w:cs="Cambria"/>
        <w:b/>
        <w:bCs/>
        <w:i w:val="0"/>
        <w:iCs w:val="0"/>
        <w:color w:val="231F20"/>
        <w:spacing w:val="0"/>
        <w:w w:val="90"/>
        <w:sz w:val="24"/>
        <w:szCs w:val="24"/>
        <w:lang w:val="en-US" w:eastAsia="en-US" w:bidi="ar-SA"/>
      </w:rPr>
    </w:lvl>
    <w:lvl w:ilvl="1">
      <w:start w:val="1"/>
      <w:numFmt w:val="decimal"/>
      <w:lvlText w:val="%1.%2"/>
      <w:lvlJc w:val="left"/>
      <w:pPr>
        <w:ind w:left="1128" w:hanging="560"/>
      </w:pPr>
      <w:rPr>
        <w:rFonts w:ascii="Times New Roman" w:eastAsia="Palatino Linotype" w:hAnsi="Times New Roman" w:cs="Times New Roman"/>
        <w:b/>
        <w:bCs/>
        <w:i w:val="0"/>
        <w:iCs w:val="0"/>
        <w:color w:val="231F20"/>
        <w:spacing w:val="0"/>
        <w:w w:val="90"/>
        <w:sz w:val="24"/>
        <w:szCs w:val="24"/>
        <w:lang w:val="en-US" w:eastAsia="en-US" w:bidi="ar-SA"/>
      </w:rPr>
    </w:lvl>
    <w:lvl w:ilvl="2">
      <w:start w:val="1"/>
      <w:numFmt w:val="decimal"/>
      <w:lvlText w:val="%1.%2.%3"/>
      <w:lvlJc w:val="left"/>
      <w:pPr>
        <w:ind w:left="620" w:hanging="560"/>
      </w:pPr>
      <w:rPr>
        <w:rFonts w:ascii="Times New Roman" w:eastAsia="Times New Roman" w:hAnsi="Times New Roman" w:cs="Times New Roman"/>
        <w:b w:val="0"/>
        <w:bCs w:val="0"/>
        <w:i/>
        <w:iCs/>
        <w:color w:val="231F20"/>
        <w:spacing w:val="0"/>
        <w:w w:val="90"/>
        <w:sz w:val="24"/>
        <w:szCs w:val="21"/>
        <w:lang w:val="en-US" w:eastAsia="en-US" w:bidi="ar-SA"/>
      </w:rPr>
    </w:lvl>
    <w:lvl w:ilvl="3">
      <w:start w:val="1"/>
      <w:numFmt w:val="bullet"/>
      <w:lvlText w:val=""/>
      <w:lvlJc w:val="left"/>
      <w:pPr>
        <w:ind w:left="2378" w:hanging="560"/>
      </w:pPr>
      <w:rPr>
        <w:rFonts w:ascii="Symbol" w:hAnsi="Symbol" w:cs="Symbol" w:hint="default"/>
        <w:lang w:val="en-US" w:eastAsia="en-US" w:bidi="ar-SA"/>
      </w:rPr>
    </w:lvl>
    <w:lvl w:ilvl="4">
      <w:start w:val="1"/>
      <w:numFmt w:val="bullet"/>
      <w:lvlText w:val=""/>
      <w:lvlJc w:val="left"/>
      <w:pPr>
        <w:ind w:left="2964" w:hanging="560"/>
      </w:pPr>
      <w:rPr>
        <w:rFonts w:ascii="Symbol" w:hAnsi="Symbol" w:cs="Symbol" w:hint="default"/>
        <w:lang w:val="en-US" w:eastAsia="en-US" w:bidi="ar-SA"/>
      </w:rPr>
    </w:lvl>
    <w:lvl w:ilvl="5">
      <w:start w:val="1"/>
      <w:numFmt w:val="bullet"/>
      <w:lvlText w:val=""/>
      <w:lvlJc w:val="left"/>
      <w:pPr>
        <w:ind w:left="3550" w:hanging="560"/>
      </w:pPr>
      <w:rPr>
        <w:rFonts w:ascii="Symbol" w:hAnsi="Symbol" w:cs="Symbol" w:hint="default"/>
        <w:lang w:val="en-US" w:eastAsia="en-US" w:bidi="ar-SA"/>
      </w:rPr>
    </w:lvl>
    <w:lvl w:ilvl="6">
      <w:start w:val="1"/>
      <w:numFmt w:val="bullet"/>
      <w:lvlText w:val=""/>
      <w:lvlJc w:val="left"/>
      <w:pPr>
        <w:ind w:left="4136" w:hanging="560"/>
      </w:pPr>
      <w:rPr>
        <w:rFonts w:ascii="Symbol" w:hAnsi="Symbol" w:cs="Symbol" w:hint="default"/>
        <w:lang w:val="en-US" w:eastAsia="en-US" w:bidi="ar-SA"/>
      </w:rPr>
    </w:lvl>
    <w:lvl w:ilvl="7">
      <w:start w:val="1"/>
      <w:numFmt w:val="bullet"/>
      <w:lvlText w:val=""/>
      <w:lvlJc w:val="left"/>
      <w:pPr>
        <w:ind w:left="4722" w:hanging="560"/>
      </w:pPr>
      <w:rPr>
        <w:rFonts w:ascii="Symbol" w:hAnsi="Symbol" w:cs="Symbol" w:hint="default"/>
        <w:lang w:val="en-US" w:eastAsia="en-US" w:bidi="ar-SA"/>
      </w:rPr>
    </w:lvl>
    <w:lvl w:ilvl="8">
      <w:start w:val="1"/>
      <w:numFmt w:val="bullet"/>
      <w:lvlText w:val=""/>
      <w:lvlJc w:val="left"/>
      <w:pPr>
        <w:ind w:left="5308" w:hanging="560"/>
      </w:pPr>
      <w:rPr>
        <w:rFonts w:ascii="Symbol" w:hAnsi="Symbol" w:cs="Symbol" w:hint="default"/>
        <w:lang w:val="en-US" w:eastAsia="en-US" w:bidi="ar-SA"/>
      </w:rPr>
    </w:lvl>
  </w:abstractNum>
  <w:abstractNum w:abstractNumId="14" w15:restartNumberingAfterBreak="0">
    <w:nsid w:val="644F7391"/>
    <w:multiLevelType w:val="multilevel"/>
    <w:tmpl w:val="B97A02B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6BD05A35"/>
    <w:multiLevelType w:val="multilevel"/>
    <w:tmpl w:val="E926E2DC"/>
    <w:lvl w:ilvl="0">
      <w:start w:val="1"/>
      <w:numFmt w:val="bullet"/>
      <w:lvlText w:val=""/>
      <w:lvlJc w:val="left"/>
      <w:pPr>
        <w:tabs>
          <w:tab w:val="num" w:pos="720"/>
        </w:tabs>
        <w:ind w:left="720" w:hanging="720"/>
      </w:pPr>
      <w:rPr>
        <w:rFonts w:ascii="Symbol" w:hAnsi="Symbol" w:cs="Symbol" w:hint="default"/>
        <w:sz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C3918E0"/>
    <w:multiLevelType w:val="multilevel"/>
    <w:tmpl w:val="F64431F6"/>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6CDF6780"/>
    <w:multiLevelType w:val="multilevel"/>
    <w:tmpl w:val="DB04B3D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75E63C03"/>
    <w:multiLevelType w:val="multilevel"/>
    <w:tmpl w:val="DB747D9E"/>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7A817EBB"/>
    <w:multiLevelType w:val="multilevel"/>
    <w:tmpl w:val="41D63072"/>
    <w:lvl w:ilvl="0">
      <w:start w:val="1"/>
      <w:numFmt w:val="bullet"/>
      <w:lvlText w:val=""/>
      <w:lvlJc w:val="left"/>
      <w:pPr>
        <w:ind w:left="827" w:hanging="360"/>
      </w:pPr>
      <w:rPr>
        <w:rFonts w:ascii="Symbol" w:hAnsi="Symbol" w:cs="Symbol" w:hint="default"/>
        <w:sz w:val="24"/>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cs="Wingdings" w:hint="default"/>
      </w:rPr>
    </w:lvl>
    <w:lvl w:ilvl="3">
      <w:start w:val="1"/>
      <w:numFmt w:val="bullet"/>
      <w:lvlText w:val=""/>
      <w:lvlJc w:val="left"/>
      <w:pPr>
        <w:ind w:left="2987" w:hanging="360"/>
      </w:pPr>
      <w:rPr>
        <w:rFonts w:ascii="Symbol" w:hAnsi="Symbol" w:cs="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cs="Wingdings" w:hint="default"/>
      </w:rPr>
    </w:lvl>
    <w:lvl w:ilvl="6">
      <w:start w:val="1"/>
      <w:numFmt w:val="bullet"/>
      <w:lvlText w:val=""/>
      <w:lvlJc w:val="left"/>
      <w:pPr>
        <w:ind w:left="5147" w:hanging="360"/>
      </w:pPr>
      <w:rPr>
        <w:rFonts w:ascii="Symbol" w:hAnsi="Symbol" w:cs="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cs="Wingdings" w:hint="default"/>
      </w:rPr>
    </w:lvl>
  </w:abstractNum>
  <w:num w:numId="1" w16cid:durableId="980690339">
    <w:abstractNumId w:val="13"/>
  </w:num>
  <w:num w:numId="2" w16cid:durableId="837236432">
    <w:abstractNumId w:val="5"/>
  </w:num>
  <w:num w:numId="3" w16cid:durableId="654140463">
    <w:abstractNumId w:val="19"/>
  </w:num>
  <w:num w:numId="4" w16cid:durableId="1944531437">
    <w:abstractNumId w:val="3"/>
  </w:num>
  <w:num w:numId="5" w16cid:durableId="911543949">
    <w:abstractNumId w:val="6"/>
  </w:num>
  <w:num w:numId="6" w16cid:durableId="1930774871">
    <w:abstractNumId w:val="8"/>
  </w:num>
  <w:num w:numId="7" w16cid:durableId="99373295">
    <w:abstractNumId w:val="2"/>
  </w:num>
  <w:num w:numId="8" w16cid:durableId="1027484988">
    <w:abstractNumId w:val="10"/>
  </w:num>
  <w:num w:numId="9" w16cid:durableId="77680397">
    <w:abstractNumId w:val="11"/>
  </w:num>
  <w:num w:numId="10" w16cid:durableId="1982270435">
    <w:abstractNumId w:val="9"/>
  </w:num>
  <w:num w:numId="11" w16cid:durableId="1094941681">
    <w:abstractNumId w:val="4"/>
  </w:num>
  <w:num w:numId="12" w16cid:durableId="800608961">
    <w:abstractNumId w:val="18"/>
  </w:num>
  <w:num w:numId="13" w16cid:durableId="433945101">
    <w:abstractNumId w:val="7"/>
  </w:num>
  <w:num w:numId="14" w16cid:durableId="312148270">
    <w:abstractNumId w:val="17"/>
  </w:num>
  <w:num w:numId="15" w16cid:durableId="28531665">
    <w:abstractNumId w:val="16"/>
  </w:num>
  <w:num w:numId="16" w16cid:durableId="1644505021">
    <w:abstractNumId w:val="0"/>
  </w:num>
  <w:num w:numId="17" w16cid:durableId="2440367">
    <w:abstractNumId w:val="1"/>
  </w:num>
  <w:num w:numId="18" w16cid:durableId="675962164">
    <w:abstractNumId w:val="12"/>
  </w:num>
  <w:num w:numId="19" w16cid:durableId="1835485307">
    <w:abstractNumId w:val="15"/>
  </w:num>
  <w:num w:numId="20" w16cid:durableId="4725997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CwMDE3MTYyMDcwMzVS0lEKTi0uzszPAykwrQUAIM7zuSwAAAA="/>
  </w:docVars>
  <w:rsids>
    <w:rsidRoot w:val="00D97723"/>
    <w:rsid w:val="0003346C"/>
    <w:rsid w:val="000F755A"/>
    <w:rsid w:val="0012328B"/>
    <w:rsid w:val="00181911"/>
    <w:rsid w:val="001C0507"/>
    <w:rsid w:val="00204909"/>
    <w:rsid w:val="00263D77"/>
    <w:rsid w:val="00283183"/>
    <w:rsid w:val="002B4A82"/>
    <w:rsid w:val="002C72F6"/>
    <w:rsid w:val="002F67A8"/>
    <w:rsid w:val="0033409F"/>
    <w:rsid w:val="003F614B"/>
    <w:rsid w:val="00413760"/>
    <w:rsid w:val="00432751"/>
    <w:rsid w:val="00456E38"/>
    <w:rsid w:val="004A5E0E"/>
    <w:rsid w:val="004D7E29"/>
    <w:rsid w:val="005B42B8"/>
    <w:rsid w:val="005E4450"/>
    <w:rsid w:val="0065778D"/>
    <w:rsid w:val="00666DCF"/>
    <w:rsid w:val="0067700A"/>
    <w:rsid w:val="00716E2C"/>
    <w:rsid w:val="007421E6"/>
    <w:rsid w:val="00754968"/>
    <w:rsid w:val="00771849"/>
    <w:rsid w:val="007B1169"/>
    <w:rsid w:val="007D6321"/>
    <w:rsid w:val="007E4D8B"/>
    <w:rsid w:val="00827C70"/>
    <w:rsid w:val="008E2E09"/>
    <w:rsid w:val="008E3207"/>
    <w:rsid w:val="0090602A"/>
    <w:rsid w:val="009F599D"/>
    <w:rsid w:val="00A36740"/>
    <w:rsid w:val="00A449B9"/>
    <w:rsid w:val="00A704DA"/>
    <w:rsid w:val="00A85FE1"/>
    <w:rsid w:val="00AB301B"/>
    <w:rsid w:val="00AC7F48"/>
    <w:rsid w:val="00AD5D5F"/>
    <w:rsid w:val="00B5208B"/>
    <w:rsid w:val="00B54812"/>
    <w:rsid w:val="00B76FA7"/>
    <w:rsid w:val="00B83E0E"/>
    <w:rsid w:val="00BC52EC"/>
    <w:rsid w:val="00C735DE"/>
    <w:rsid w:val="00C9418A"/>
    <w:rsid w:val="00D05EC2"/>
    <w:rsid w:val="00D100BA"/>
    <w:rsid w:val="00D31CD7"/>
    <w:rsid w:val="00D34687"/>
    <w:rsid w:val="00D51758"/>
    <w:rsid w:val="00D51BC4"/>
    <w:rsid w:val="00D6136B"/>
    <w:rsid w:val="00D91D6E"/>
    <w:rsid w:val="00D97723"/>
    <w:rsid w:val="00E13C3C"/>
    <w:rsid w:val="00EC0498"/>
    <w:rsid w:val="00EF27A7"/>
    <w:rsid w:val="00EF42B0"/>
    <w:rsid w:val="00F6542D"/>
    <w:rsid w:val="00F8315A"/>
  </w:rsids>
  <m:mathPr>
    <m:mathFont m:val="Cambria Math"/>
    <m:brkBin m:val="before"/>
    <m:brkBinSub m:val="--"/>
    <m:smallFrac m:val="0"/>
    <m:dispDef/>
    <m:lMargin m:val="0"/>
    <m:rMargin m:val="0"/>
    <m:defJc m:val="centerGroup"/>
    <m:wrapIndent m:val="1440"/>
    <m:intLim m:val="subSup"/>
    <m:naryLim m:val="undOvr"/>
  </m:mathPr>
  <w:themeFontLang w:val="en-ID" w:eastAsia="ko-KR"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B58A7"/>
  <w15:docId w15:val="{29542EE5-D267-4889-B43C-15572B91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mbria" w:eastAsia="Cambria" w:hAnsi="Cambria" w:cs="Cambria"/>
    </w:rPr>
  </w:style>
  <w:style w:type="paragraph" w:styleId="Heading1">
    <w:name w:val="heading 1"/>
    <w:basedOn w:val="Normal"/>
    <w:uiPriority w:val="9"/>
    <w:qFormat/>
    <w:pPr>
      <w:ind w:left="618" w:hanging="560"/>
      <w:outlineLvl w:val="0"/>
    </w:pPr>
    <w:rPr>
      <w:b/>
      <w:bCs/>
      <w:sz w:val="24"/>
      <w:szCs w:val="24"/>
    </w:rPr>
  </w:style>
  <w:style w:type="paragraph" w:styleId="Heading2">
    <w:name w:val="heading 2"/>
    <w:basedOn w:val="Normal"/>
    <w:uiPriority w:val="9"/>
    <w:unhideWhenUsed/>
    <w:qFormat/>
    <w:pPr>
      <w:ind w:left="620" w:hanging="560"/>
      <w:outlineLvl w:val="1"/>
    </w:pPr>
    <w:rPr>
      <w:rFonts w:ascii="Palatino Linotype" w:eastAsia="Palatino Linotype" w:hAnsi="Palatino Linotype" w:cs="Palatino Linotype"/>
      <w:b/>
      <w:bCs/>
      <w:i/>
      <w:iCs/>
    </w:rPr>
  </w:style>
  <w:style w:type="paragraph" w:styleId="Heading4">
    <w:name w:val="heading 4"/>
    <w:basedOn w:val="Normal"/>
    <w:next w:val="Normal"/>
    <w:link w:val="Heading4Char"/>
    <w:uiPriority w:val="9"/>
    <w:semiHidden/>
    <w:unhideWhenUsed/>
    <w:qFormat/>
    <w:rsid w:val="004A3B4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1612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83D5A"/>
    <w:rPr>
      <w:rFonts w:ascii="Cambria" w:eastAsia="Cambria" w:hAnsi="Cambria" w:cs="Cambria"/>
    </w:rPr>
  </w:style>
  <w:style w:type="character" w:customStyle="1" w:styleId="FooterChar">
    <w:name w:val="Footer Char"/>
    <w:basedOn w:val="DefaultParagraphFont"/>
    <w:link w:val="Footer"/>
    <w:uiPriority w:val="99"/>
    <w:qFormat/>
    <w:rsid w:val="00F83D5A"/>
    <w:rPr>
      <w:rFonts w:ascii="Cambria" w:eastAsia="Cambria" w:hAnsi="Cambria" w:cs="Cambria"/>
    </w:rPr>
  </w:style>
  <w:style w:type="character" w:customStyle="1" w:styleId="InternetLink">
    <w:name w:val="Internet Link"/>
    <w:basedOn w:val="DefaultParagraphFont"/>
    <w:uiPriority w:val="99"/>
    <w:unhideWhenUsed/>
    <w:rsid w:val="00F83D5A"/>
    <w:rPr>
      <w:color w:val="0000FF" w:themeColor="hyperlink"/>
      <w:u w:val="single"/>
    </w:rPr>
  </w:style>
  <w:style w:type="character" w:customStyle="1" w:styleId="UnresolvedMention1">
    <w:name w:val="Unresolved Mention1"/>
    <w:basedOn w:val="DefaultParagraphFont"/>
    <w:uiPriority w:val="99"/>
    <w:semiHidden/>
    <w:unhideWhenUsed/>
    <w:qFormat/>
    <w:rsid w:val="00F83D5A"/>
    <w:rPr>
      <w:color w:val="605E5C"/>
      <w:shd w:val="clear" w:color="auto" w:fill="E1DFDD"/>
    </w:rPr>
  </w:style>
  <w:style w:type="character" w:styleId="CommentReference">
    <w:name w:val="annotation reference"/>
    <w:basedOn w:val="DefaultParagraphFont"/>
    <w:uiPriority w:val="99"/>
    <w:semiHidden/>
    <w:unhideWhenUsed/>
    <w:qFormat/>
    <w:rsid w:val="00F23AD3"/>
    <w:rPr>
      <w:sz w:val="16"/>
      <w:szCs w:val="16"/>
    </w:rPr>
  </w:style>
  <w:style w:type="character" w:customStyle="1" w:styleId="CommentTextChar">
    <w:name w:val="Comment Text Char"/>
    <w:basedOn w:val="DefaultParagraphFont"/>
    <w:link w:val="CommentText"/>
    <w:uiPriority w:val="99"/>
    <w:qFormat/>
    <w:rsid w:val="00F23AD3"/>
    <w:rPr>
      <w:rFonts w:ascii="Cambria" w:eastAsia="Cambria" w:hAnsi="Cambria" w:cs="Cambria"/>
      <w:sz w:val="20"/>
      <w:szCs w:val="20"/>
    </w:rPr>
  </w:style>
  <w:style w:type="character" w:customStyle="1" w:styleId="CommentSubjectChar">
    <w:name w:val="Comment Subject Char"/>
    <w:basedOn w:val="CommentTextChar"/>
    <w:link w:val="CommentSubject"/>
    <w:uiPriority w:val="99"/>
    <w:semiHidden/>
    <w:qFormat/>
    <w:rsid w:val="00F23AD3"/>
    <w:rPr>
      <w:rFonts w:ascii="Cambria" w:eastAsia="Cambria" w:hAnsi="Cambria" w:cs="Cambria"/>
      <w:b/>
      <w:bCs/>
      <w:sz w:val="20"/>
      <w:szCs w:val="20"/>
    </w:rPr>
  </w:style>
  <w:style w:type="character" w:customStyle="1" w:styleId="Heading5Char">
    <w:name w:val="Heading 5 Char"/>
    <w:basedOn w:val="DefaultParagraphFont"/>
    <w:link w:val="Heading5"/>
    <w:uiPriority w:val="9"/>
    <w:qFormat/>
    <w:rsid w:val="00416128"/>
    <w:rPr>
      <w:rFonts w:asciiTheme="majorHAnsi" w:eastAsiaTheme="majorEastAsia" w:hAnsiTheme="majorHAnsi" w:cstheme="majorBidi"/>
      <w:color w:val="365F91" w:themeColor="accent1" w:themeShade="BF"/>
    </w:rPr>
  </w:style>
  <w:style w:type="character" w:customStyle="1" w:styleId="BalloonTextChar">
    <w:name w:val="Balloon Text Char"/>
    <w:basedOn w:val="DefaultParagraphFont"/>
    <w:link w:val="BalloonText"/>
    <w:uiPriority w:val="99"/>
    <w:semiHidden/>
    <w:qFormat/>
    <w:rsid w:val="00880D7A"/>
    <w:rPr>
      <w:rFonts w:ascii="Segoe UI" w:eastAsia="Cambria" w:hAnsi="Segoe UI" w:cs="Segoe UI"/>
      <w:sz w:val="18"/>
      <w:szCs w:val="18"/>
    </w:rPr>
  </w:style>
  <w:style w:type="character" w:customStyle="1" w:styleId="Heading4Char">
    <w:name w:val="Heading 4 Char"/>
    <w:basedOn w:val="DefaultParagraphFont"/>
    <w:link w:val="Heading4"/>
    <w:uiPriority w:val="9"/>
    <w:semiHidden/>
    <w:qFormat/>
    <w:rsid w:val="004A3B4C"/>
    <w:rPr>
      <w:rFonts w:asciiTheme="majorHAnsi" w:eastAsiaTheme="majorEastAsia" w:hAnsiTheme="majorHAnsi" w:cstheme="majorBidi"/>
      <w:i/>
      <w:iCs/>
      <w:color w:val="365F91" w:themeColor="accent1" w:themeShade="BF"/>
    </w:rPr>
  </w:style>
  <w:style w:type="character" w:customStyle="1" w:styleId="UnresolvedMention2">
    <w:name w:val="Unresolved Mention2"/>
    <w:basedOn w:val="DefaultParagraphFont"/>
    <w:uiPriority w:val="99"/>
    <w:semiHidden/>
    <w:unhideWhenUsed/>
    <w:qFormat/>
    <w:rsid w:val="003A2817"/>
    <w:rPr>
      <w:color w:val="605E5C"/>
      <w:shd w:val="clear" w:color="auto" w:fill="E1DFDD"/>
    </w:rPr>
  </w:style>
  <w:style w:type="character" w:customStyle="1" w:styleId="ListLabel1">
    <w:name w:val="ListLabel 1"/>
    <w:qFormat/>
    <w:rPr>
      <w:rFonts w:ascii="Times New Roman" w:eastAsia="Cambria" w:hAnsi="Times New Roman" w:cs="Cambria"/>
      <w:b/>
      <w:bCs/>
      <w:i w:val="0"/>
      <w:iCs w:val="0"/>
      <w:color w:val="231F20"/>
      <w:spacing w:val="0"/>
      <w:w w:val="90"/>
      <w:sz w:val="24"/>
      <w:szCs w:val="24"/>
      <w:lang w:val="en-US" w:eastAsia="en-US" w:bidi="ar-SA"/>
    </w:rPr>
  </w:style>
  <w:style w:type="character" w:customStyle="1" w:styleId="ListLabel2">
    <w:name w:val="ListLabel 2"/>
    <w:qFormat/>
    <w:rPr>
      <w:rFonts w:ascii="Times New Roman" w:eastAsia="Palatino Linotype" w:hAnsi="Times New Roman" w:cs="Times New Roman"/>
      <w:b w:val="0"/>
      <w:bCs w:val="0"/>
      <w:i w:val="0"/>
      <w:iCs w:val="0"/>
      <w:color w:val="231F20"/>
      <w:spacing w:val="0"/>
      <w:w w:val="90"/>
      <w:sz w:val="24"/>
      <w:szCs w:val="24"/>
      <w:lang w:val="en-US" w:eastAsia="en-US" w:bidi="ar-SA"/>
    </w:rPr>
  </w:style>
  <w:style w:type="character" w:customStyle="1" w:styleId="ListLabel3">
    <w:name w:val="ListLabel 3"/>
    <w:qFormat/>
    <w:rPr>
      <w:rFonts w:ascii="Times New Roman" w:eastAsia="Times New Roman" w:hAnsi="Times New Roman" w:cs="Times New Roman"/>
      <w:b w:val="0"/>
      <w:bCs w:val="0"/>
      <w:i/>
      <w:iCs/>
      <w:color w:val="231F20"/>
      <w:spacing w:val="0"/>
      <w:w w:val="90"/>
      <w:sz w:val="24"/>
      <w:szCs w:val="21"/>
      <w:lang w:val="en-US" w:eastAsia="en-US" w:bidi="ar-SA"/>
    </w:rPr>
  </w:style>
  <w:style w:type="character" w:customStyle="1" w:styleId="ListLabel4">
    <w:name w:val="ListLabel 4"/>
    <w:qFormat/>
    <w:rPr>
      <w:lang w:val="en-US" w:eastAsia="en-US" w:bidi="ar-SA"/>
    </w:rPr>
  </w:style>
  <w:style w:type="character" w:customStyle="1" w:styleId="ListLabel5">
    <w:name w:val="ListLabel 5"/>
    <w:qFormat/>
    <w:rPr>
      <w:lang w:val="en-US" w:eastAsia="en-US" w:bidi="ar-SA"/>
    </w:rPr>
  </w:style>
  <w:style w:type="character" w:customStyle="1" w:styleId="ListLabel6">
    <w:name w:val="ListLabel 6"/>
    <w:qFormat/>
    <w:rPr>
      <w:lang w:val="en-US" w:eastAsia="en-US" w:bidi="ar-SA"/>
    </w:rPr>
  </w:style>
  <w:style w:type="character" w:customStyle="1" w:styleId="ListLabel7">
    <w:name w:val="ListLabel 7"/>
    <w:qFormat/>
    <w:rPr>
      <w:lang w:val="en-US" w:eastAsia="en-US" w:bidi="ar-SA"/>
    </w:rPr>
  </w:style>
  <w:style w:type="character" w:customStyle="1" w:styleId="ListLabel8">
    <w:name w:val="ListLabel 8"/>
    <w:qFormat/>
    <w:rPr>
      <w:lang w:val="en-US" w:eastAsia="en-US" w:bidi="ar-SA"/>
    </w:rPr>
  </w:style>
  <w:style w:type="character" w:customStyle="1" w:styleId="ListLabel9">
    <w:name w:val="ListLabel 9"/>
    <w:qFormat/>
    <w:rPr>
      <w:lang w:val="en-US" w:eastAsia="en-US" w:bidi="ar-SA"/>
    </w:rPr>
  </w:style>
  <w:style w:type="character" w:customStyle="1" w:styleId="ListLabel10">
    <w:name w:val="ListLabel 10"/>
    <w:qFormat/>
    <w:rPr>
      <w:rFonts w:eastAsia="Cambria" w:cs="Cambria"/>
      <w:b/>
      <w:bCs/>
      <w:i w:val="0"/>
      <w:iCs w:val="0"/>
      <w:color w:val="231F20"/>
      <w:spacing w:val="0"/>
      <w:w w:val="90"/>
      <w:sz w:val="24"/>
      <w:szCs w:val="24"/>
      <w:lang w:val="en-US" w:eastAsia="en-US" w:bidi="ar-SA"/>
    </w:rPr>
  </w:style>
  <w:style w:type="character" w:customStyle="1" w:styleId="ListLabel11">
    <w:name w:val="ListLabel 11"/>
    <w:qFormat/>
    <w:rPr>
      <w:rFonts w:eastAsia="Palatino Linotype" w:cs="Palatino Linotype"/>
      <w:b/>
      <w:bCs/>
      <w:i/>
      <w:iCs/>
      <w:color w:val="231F20"/>
      <w:spacing w:val="0"/>
      <w:w w:val="90"/>
      <w:sz w:val="22"/>
      <w:szCs w:val="22"/>
      <w:lang w:val="en-US" w:eastAsia="en-US" w:bidi="ar-SA"/>
    </w:rPr>
  </w:style>
  <w:style w:type="character" w:customStyle="1" w:styleId="ListLabel12">
    <w:name w:val="ListLabel 12"/>
    <w:qFormat/>
    <w:rPr>
      <w:rFonts w:eastAsia="Times New Roman" w:cs="Times New Roman"/>
      <w:b w:val="0"/>
      <w:bCs w:val="0"/>
      <w:i/>
      <w:iCs/>
      <w:color w:val="231F20"/>
      <w:spacing w:val="0"/>
      <w:w w:val="90"/>
      <w:sz w:val="21"/>
      <w:szCs w:val="21"/>
      <w:lang w:val="en-US" w:eastAsia="en-US" w:bidi="ar-SA"/>
    </w:rPr>
  </w:style>
  <w:style w:type="character" w:customStyle="1" w:styleId="ListLabel13">
    <w:name w:val="ListLabel 13"/>
    <w:qFormat/>
    <w:rPr>
      <w:lang w:val="en-US" w:eastAsia="en-US" w:bidi="ar-SA"/>
    </w:rPr>
  </w:style>
  <w:style w:type="character" w:customStyle="1" w:styleId="ListLabel14">
    <w:name w:val="ListLabel 14"/>
    <w:qFormat/>
    <w:rPr>
      <w:lang w:val="en-US" w:eastAsia="en-US" w:bidi="ar-SA"/>
    </w:rPr>
  </w:style>
  <w:style w:type="character" w:customStyle="1" w:styleId="ListLabel15">
    <w:name w:val="ListLabel 15"/>
    <w:qFormat/>
    <w:rPr>
      <w:lang w:val="en-US" w:eastAsia="en-US" w:bidi="ar-SA"/>
    </w:rPr>
  </w:style>
  <w:style w:type="character" w:customStyle="1" w:styleId="ListLabel16">
    <w:name w:val="ListLabel 16"/>
    <w:qFormat/>
    <w:rPr>
      <w:lang w:val="en-US" w:eastAsia="en-US" w:bidi="ar-SA"/>
    </w:rPr>
  </w:style>
  <w:style w:type="character" w:customStyle="1" w:styleId="ListLabel17">
    <w:name w:val="ListLabel 17"/>
    <w:qFormat/>
    <w:rPr>
      <w:lang w:val="en-US" w:eastAsia="en-US" w:bidi="ar-SA"/>
    </w:rPr>
  </w:style>
  <w:style w:type="character" w:customStyle="1" w:styleId="ListLabel18">
    <w:name w:val="ListLabel 18"/>
    <w:qFormat/>
    <w:rPr>
      <w:lang w:val="en-US" w:eastAsia="en-US" w:bidi="ar-SA"/>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color w:val="231F20"/>
      <w:w w:val="90"/>
    </w:rPr>
  </w:style>
  <w:style w:type="character" w:customStyle="1" w:styleId="ListLabel68">
    <w:name w:val="ListLabel 68"/>
    <w:qFormat/>
    <w:rPr>
      <w:color w:val="231F20"/>
      <w:w w:val="90"/>
    </w:rPr>
  </w:style>
  <w:style w:type="character" w:customStyle="1" w:styleId="ListLabel69">
    <w:name w:val="ListLabel 69"/>
    <w:qFormat/>
    <w:rPr>
      <w:color w:val="231F20"/>
      <w:w w:val="90"/>
    </w:rPr>
  </w:style>
  <w:style w:type="character" w:customStyle="1" w:styleId="ListLabel70">
    <w:name w:val="ListLabel 70"/>
    <w:qFormat/>
    <w:rPr>
      <w:color w:val="231F20"/>
      <w:w w:val="90"/>
    </w:rPr>
  </w:style>
  <w:style w:type="character" w:customStyle="1" w:styleId="ListLabel71">
    <w:name w:val="ListLabel 71"/>
    <w:qFormat/>
    <w:rPr>
      <w:color w:val="231F20"/>
      <w:w w:val="90"/>
    </w:rPr>
  </w:style>
  <w:style w:type="character" w:customStyle="1" w:styleId="ListLabel72">
    <w:name w:val="ListLabel 72"/>
    <w:qFormat/>
    <w:rPr>
      <w:color w:val="231F20"/>
      <w:w w:val="90"/>
    </w:rPr>
  </w:style>
  <w:style w:type="character" w:customStyle="1" w:styleId="ListLabel73">
    <w:name w:val="ListLabel 73"/>
    <w:qFormat/>
    <w:rPr>
      <w:color w:val="231F20"/>
      <w:w w:val="90"/>
    </w:rPr>
  </w:style>
  <w:style w:type="character" w:customStyle="1" w:styleId="ListLabel74">
    <w:name w:val="ListLabel 74"/>
    <w:qFormat/>
    <w:rPr>
      <w:color w:val="231F20"/>
      <w:w w:val="90"/>
    </w:rPr>
  </w:style>
  <w:style w:type="character" w:customStyle="1" w:styleId="ListLabel75">
    <w:name w:val="ListLabel 75"/>
    <w:qFormat/>
    <w:rPr>
      <w:color w:val="231F20"/>
      <w:w w:val="90"/>
    </w:rPr>
  </w:style>
  <w:style w:type="character" w:customStyle="1" w:styleId="ListLabel76">
    <w:name w:val="ListLabel 76"/>
    <w:qFormat/>
    <w:rPr>
      <w:rFonts w:ascii="Times New Roman" w:hAnsi="Times New Roman" w:cs="Times New Roman"/>
      <w:spacing w:val="-2"/>
      <w:sz w:val="16"/>
      <w:lang w:val="en-ID"/>
    </w:rPr>
  </w:style>
  <w:style w:type="character" w:customStyle="1" w:styleId="ts-alignment-element">
    <w:name w:val="ts-alignment-element"/>
    <w:basedOn w:val="DefaultParagraphFont"/>
    <w:qFormat/>
    <w:rsid w:val="007C5595"/>
  </w:style>
  <w:style w:type="character" w:customStyle="1" w:styleId="ts-alignment-element-highlighted">
    <w:name w:val="ts-alignment-element-highlighted"/>
    <w:basedOn w:val="DefaultParagraphFont"/>
    <w:qFormat/>
    <w:rsid w:val="007C5595"/>
  </w:style>
  <w:style w:type="character" w:customStyle="1" w:styleId="ListLabel77">
    <w:name w:val="ListLabel 77"/>
    <w:qFormat/>
    <w:rPr>
      <w:rFonts w:ascii="Times New Roman" w:eastAsia="Cambria" w:hAnsi="Times New Roman" w:cs="Cambria"/>
      <w:b/>
      <w:bCs/>
      <w:i w:val="0"/>
      <w:iCs w:val="0"/>
      <w:color w:val="231F20"/>
      <w:spacing w:val="0"/>
      <w:w w:val="90"/>
      <w:sz w:val="24"/>
      <w:szCs w:val="24"/>
      <w:lang w:val="en-US" w:eastAsia="en-US" w:bidi="ar-SA"/>
    </w:rPr>
  </w:style>
  <w:style w:type="character" w:customStyle="1" w:styleId="ListLabel78">
    <w:name w:val="ListLabel 78"/>
    <w:qFormat/>
    <w:rPr>
      <w:rFonts w:ascii="Times New Roman" w:eastAsia="Palatino Linotype" w:hAnsi="Times New Roman" w:cs="Times New Roman"/>
      <w:b w:val="0"/>
      <w:bCs w:val="0"/>
      <w:i w:val="0"/>
      <w:iCs w:val="0"/>
      <w:color w:val="231F20"/>
      <w:spacing w:val="0"/>
      <w:w w:val="90"/>
      <w:sz w:val="24"/>
      <w:szCs w:val="24"/>
      <w:lang w:val="en-US" w:eastAsia="en-US" w:bidi="ar-SA"/>
    </w:rPr>
  </w:style>
  <w:style w:type="character" w:customStyle="1" w:styleId="ListLabel79">
    <w:name w:val="ListLabel 79"/>
    <w:qFormat/>
    <w:rPr>
      <w:rFonts w:ascii="Times New Roman" w:eastAsia="Times New Roman" w:hAnsi="Times New Roman" w:cs="Times New Roman"/>
      <w:b w:val="0"/>
      <w:bCs w:val="0"/>
      <w:i/>
      <w:iCs/>
      <w:color w:val="231F20"/>
      <w:spacing w:val="0"/>
      <w:w w:val="90"/>
      <w:sz w:val="24"/>
      <w:szCs w:val="21"/>
      <w:lang w:val="en-US" w:eastAsia="en-US" w:bidi="ar-SA"/>
    </w:rPr>
  </w:style>
  <w:style w:type="character" w:customStyle="1" w:styleId="ListLabel80">
    <w:name w:val="ListLabel 80"/>
    <w:qFormat/>
    <w:rPr>
      <w:rFonts w:cs="Symbol"/>
      <w:lang w:val="en-US" w:eastAsia="en-US" w:bidi="ar-SA"/>
    </w:rPr>
  </w:style>
  <w:style w:type="character" w:customStyle="1" w:styleId="ListLabel81">
    <w:name w:val="ListLabel 81"/>
    <w:qFormat/>
    <w:rPr>
      <w:rFonts w:cs="Symbol"/>
      <w:lang w:val="en-US" w:eastAsia="en-US" w:bidi="ar-SA"/>
    </w:rPr>
  </w:style>
  <w:style w:type="character" w:customStyle="1" w:styleId="ListLabel82">
    <w:name w:val="ListLabel 82"/>
    <w:qFormat/>
    <w:rPr>
      <w:rFonts w:cs="Symbol"/>
      <w:lang w:val="en-US" w:eastAsia="en-US" w:bidi="ar-SA"/>
    </w:rPr>
  </w:style>
  <w:style w:type="character" w:customStyle="1" w:styleId="ListLabel83">
    <w:name w:val="ListLabel 83"/>
    <w:qFormat/>
    <w:rPr>
      <w:rFonts w:cs="Symbol"/>
      <w:lang w:val="en-US" w:eastAsia="en-US" w:bidi="ar-SA"/>
    </w:rPr>
  </w:style>
  <w:style w:type="character" w:customStyle="1" w:styleId="ListLabel84">
    <w:name w:val="ListLabel 84"/>
    <w:qFormat/>
    <w:rPr>
      <w:rFonts w:cs="Symbol"/>
      <w:lang w:val="en-US" w:eastAsia="en-US" w:bidi="ar-SA"/>
    </w:rPr>
  </w:style>
  <w:style w:type="character" w:customStyle="1" w:styleId="ListLabel85">
    <w:name w:val="ListLabel 85"/>
    <w:qFormat/>
    <w:rPr>
      <w:rFonts w:cs="Symbol"/>
      <w:lang w:val="en-US" w:eastAsia="en-US" w:bidi="ar-SA"/>
    </w:rPr>
  </w:style>
  <w:style w:type="character" w:customStyle="1" w:styleId="ListLabel86">
    <w:name w:val="ListLabel 86"/>
    <w:qFormat/>
    <w:rPr>
      <w:rFonts w:ascii="Times New Roman" w:hAnsi="Times New Roman" w:cs="Symbol"/>
      <w:b/>
      <w:sz w:val="24"/>
    </w:rPr>
  </w:style>
  <w:style w:type="character" w:customStyle="1" w:styleId="ListLabel87">
    <w:name w:val="ListLabel 87"/>
    <w:qFormat/>
    <w:rPr>
      <w:rFonts w:ascii="Times New Roman" w:hAnsi="Times New Roman" w:cs="Symbol"/>
      <w:sz w:val="24"/>
    </w:rPr>
  </w:style>
  <w:style w:type="character" w:customStyle="1" w:styleId="ListLabel88">
    <w:name w:val="ListLabel 88"/>
    <w:qFormat/>
    <w:rPr>
      <w:rFonts w:cs="Courier New"/>
    </w:rPr>
  </w:style>
  <w:style w:type="character" w:customStyle="1" w:styleId="ListLabel89">
    <w:name w:val="ListLabel 89"/>
    <w:qFormat/>
    <w:rPr>
      <w:rFonts w:cs="Wingdings"/>
    </w:rPr>
  </w:style>
  <w:style w:type="character" w:customStyle="1" w:styleId="ListLabel90">
    <w:name w:val="ListLabel 90"/>
    <w:qFormat/>
    <w:rPr>
      <w:rFonts w:cs="Symbol"/>
    </w:rPr>
  </w:style>
  <w:style w:type="character" w:customStyle="1" w:styleId="ListLabel91">
    <w:name w:val="ListLabel 91"/>
    <w:qFormat/>
    <w:rPr>
      <w:rFonts w:cs="Courier New"/>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cs="Symbol"/>
    </w:rPr>
  </w:style>
  <w:style w:type="character" w:customStyle="1" w:styleId="ListLabel100">
    <w:name w:val="ListLabel 100"/>
    <w:qFormat/>
    <w:rPr>
      <w:rFonts w:cs="Courier New"/>
    </w:rPr>
  </w:style>
  <w:style w:type="character" w:customStyle="1" w:styleId="ListLabel101">
    <w:name w:val="ListLabel 101"/>
    <w:qFormat/>
    <w:rPr>
      <w:rFonts w:cs="Wingdings"/>
    </w:rPr>
  </w:style>
  <w:style w:type="character" w:customStyle="1" w:styleId="ListLabel102">
    <w:name w:val="ListLabel 102"/>
    <w:qFormat/>
    <w:rPr>
      <w:rFonts w:cs="Symbol"/>
    </w:rPr>
  </w:style>
  <w:style w:type="character" w:customStyle="1" w:styleId="ListLabel103">
    <w:name w:val="ListLabel 103"/>
    <w:qFormat/>
    <w:rPr>
      <w:rFonts w:cs="Courier New"/>
    </w:rPr>
  </w:style>
  <w:style w:type="character" w:customStyle="1" w:styleId="ListLabel104">
    <w:name w:val="ListLabel 104"/>
    <w:qFormat/>
    <w:rPr>
      <w:rFonts w:cs="Wingdings"/>
    </w:rPr>
  </w:style>
  <w:style w:type="character" w:customStyle="1" w:styleId="ListLabel105">
    <w:name w:val="ListLabel 105"/>
    <w:qFormat/>
    <w:rPr>
      <w:rFonts w:ascii="Times New Roman" w:hAnsi="Times New Roman" w:cs="Symbol"/>
      <w:sz w:val="24"/>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cs="Symbol"/>
      <w:b/>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rFonts w:ascii="Times New Roman" w:hAnsi="Times New Roman" w:cs="Symbol"/>
      <w:sz w:val="24"/>
    </w:rPr>
  </w:style>
  <w:style w:type="character" w:customStyle="1" w:styleId="ListLabel124">
    <w:name w:val="ListLabel 124"/>
    <w:qFormat/>
    <w:rPr>
      <w:rFonts w:cs="Courier New"/>
    </w:rPr>
  </w:style>
  <w:style w:type="character" w:customStyle="1" w:styleId="ListLabel125">
    <w:name w:val="ListLabel 125"/>
    <w:qFormat/>
    <w:rPr>
      <w:rFonts w:cs="Wingdings"/>
    </w:rPr>
  </w:style>
  <w:style w:type="character" w:customStyle="1" w:styleId="ListLabel126">
    <w:name w:val="ListLabel 126"/>
    <w:qFormat/>
    <w:rPr>
      <w:rFonts w:cs="Symbol"/>
    </w:rPr>
  </w:style>
  <w:style w:type="character" w:customStyle="1" w:styleId="ListLabel127">
    <w:name w:val="ListLabel 127"/>
    <w:qFormat/>
    <w:rPr>
      <w:rFonts w:cs="Courier New"/>
    </w:rPr>
  </w:style>
  <w:style w:type="character" w:customStyle="1" w:styleId="ListLabel128">
    <w:name w:val="ListLabel 128"/>
    <w:qFormat/>
    <w:rPr>
      <w:rFonts w:cs="Wingdings"/>
    </w:rPr>
  </w:style>
  <w:style w:type="character" w:customStyle="1" w:styleId="ListLabel129">
    <w:name w:val="ListLabel 129"/>
    <w:qFormat/>
    <w:rPr>
      <w:rFonts w:cs="Symbol"/>
    </w:rPr>
  </w:style>
  <w:style w:type="character" w:customStyle="1" w:styleId="ListLabel130">
    <w:name w:val="ListLabel 130"/>
    <w:qFormat/>
    <w:rPr>
      <w:rFonts w:cs="Courier New"/>
    </w:rPr>
  </w:style>
  <w:style w:type="character" w:customStyle="1" w:styleId="ListLabel131">
    <w:name w:val="ListLabel 131"/>
    <w:qFormat/>
    <w:rPr>
      <w:rFonts w:cs="Wingdings"/>
    </w:rPr>
  </w:style>
  <w:style w:type="character" w:customStyle="1" w:styleId="ListLabel132">
    <w:name w:val="ListLabel 132"/>
    <w:qFormat/>
    <w:rPr>
      <w:rFonts w:ascii="Times New Roman" w:hAnsi="Times New Roman" w:cs="Symbol"/>
      <w:sz w:val="24"/>
    </w:rPr>
  </w:style>
  <w:style w:type="character" w:customStyle="1" w:styleId="ListLabel133">
    <w:name w:val="ListLabel 133"/>
    <w:qFormat/>
    <w:rPr>
      <w:rFonts w:cs="Courier New"/>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cs="Symbol"/>
    </w:rPr>
  </w:style>
  <w:style w:type="character" w:customStyle="1" w:styleId="ListLabel142">
    <w:name w:val="ListLabel 142"/>
    <w:qFormat/>
    <w:rPr>
      <w:rFonts w:cs="Courier New"/>
    </w:rPr>
  </w:style>
  <w:style w:type="character" w:customStyle="1" w:styleId="ListLabel143">
    <w:name w:val="ListLabel 143"/>
    <w:qFormat/>
    <w:rPr>
      <w:rFonts w:cs="Wingdings"/>
    </w:rPr>
  </w:style>
  <w:style w:type="character" w:customStyle="1" w:styleId="ListLabel144">
    <w:name w:val="ListLabel 144"/>
    <w:qFormat/>
    <w:rPr>
      <w:rFonts w:cs="Symbol"/>
    </w:rPr>
  </w:style>
  <w:style w:type="character" w:customStyle="1" w:styleId="ListLabel145">
    <w:name w:val="ListLabel 145"/>
    <w:qFormat/>
    <w:rPr>
      <w:rFonts w:cs="Courier New"/>
    </w:rPr>
  </w:style>
  <w:style w:type="character" w:customStyle="1" w:styleId="ListLabel146">
    <w:name w:val="ListLabel 146"/>
    <w:qFormat/>
    <w:rPr>
      <w:rFonts w:cs="Wingdings"/>
    </w:rPr>
  </w:style>
  <w:style w:type="character" w:customStyle="1" w:styleId="ListLabel147">
    <w:name w:val="ListLabel 147"/>
    <w:qFormat/>
    <w:rPr>
      <w:rFonts w:cs="Symbol"/>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ascii="Times New Roman" w:hAnsi="Times New Roman" w:cs="Symbol"/>
      <w:b/>
      <w:sz w:val="24"/>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cs="Symbol"/>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b/>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rFonts w:cs="Symbol"/>
    </w:rPr>
  </w:style>
  <w:style w:type="character" w:customStyle="1" w:styleId="ListLabel166">
    <w:name w:val="ListLabel 166"/>
    <w:qFormat/>
    <w:rPr>
      <w:rFonts w:cs="Courier New"/>
    </w:rPr>
  </w:style>
  <w:style w:type="character" w:customStyle="1" w:styleId="ListLabel167">
    <w:name w:val="ListLabel 167"/>
    <w:qFormat/>
    <w:rPr>
      <w:rFonts w:cs="Wingdings"/>
    </w:rPr>
  </w:style>
  <w:style w:type="character" w:customStyle="1" w:styleId="ListLabel168">
    <w:name w:val="ListLabel 168"/>
    <w:qFormat/>
    <w:rPr>
      <w:rFonts w:ascii="Times New Roman" w:hAnsi="Times New Roman" w:cs="Symbol"/>
      <w:sz w:val="24"/>
    </w:rPr>
  </w:style>
  <w:style w:type="character" w:customStyle="1" w:styleId="ListLabel169">
    <w:name w:val="ListLabel 169"/>
    <w:qFormat/>
    <w:rPr>
      <w:rFonts w:cs="Courier New"/>
    </w:rPr>
  </w:style>
  <w:style w:type="character" w:customStyle="1" w:styleId="ListLabel170">
    <w:name w:val="ListLabel 170"/>
    <w:qFormat/>
    <w:rPr>
      <w:rFonts w:cs="Wingdings"/>
    </w:rPr>
  </w:style>
  <w:style w:type="character" w:customStyle="1" w:styleId="ListLabel171">
    <w:name w:val="ListLabel 171"/>
    <w:qFormat/>
    <w:rPr>
      <w:rFonts w:cs="Symbol"/>
    </w:rPr>
  </w:style>
  <w:style w:type="character" w:customStyle="1" w:styleId="ListLabel172">
    <w:name w:val="ListLabel 172"/>
    <w:qFormat/>
    <w:rPr>
      <w:rFonts w:cs="Courier New"/>
    </w:rPr>
  </w:style>
  <w:style w:type="character" w:customStyle="1" w:styleId="ListLabel173">
    <w:name w:val="ListLabel 173"/>
    <w:qFormat/>
    <w:rPr>
      <w:rFonts w:cs="Wingdings"/>
    </w:rPr>
  </w:style>
  <w:style w:type="character" w:customStyle="1" w:styleId="ListLabel174">
    <w:name w:val="ListLabel 174"/>
    <w:qFormat/>
    <w:rPr>
      <w:rFonts w:cs="Symbol"/>
    </w:rPr>
  </w:style>
  <w:style w:type="character" w:customStyle="1" w:styleId="ListLabel175">
    <w:name w:val="ListLabel 175"/>
    <w:qFormat/>
    <w:rPr>
      <w:rFonts w:cs="Courier New"/>
    </w:rPr>
  </w:style>
  <w:style w:type="character" w:customStyle="1" w:styleId="ListLabel176">
    <w:name w:val="ListLabel 176"/>
    <w:qFormat/>
    <w:rPr>
      <w:rFonts w:cs="Wingdings"/>
    </w:rPr>
  </w:style>
  <w:style w:type="character" w:customStyle="1" w:styleId="ListLabel177">
    <w:name w:val="ListLabel 177"/>
    <w:qFormat/>
    <w:rPr>
      <w:rFonts w:ascii="Times New Roman" w:hAnsi="Times New Roman" w:cs="Symbol"/>
      <w:sz w:val="24"/>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Symbol"/>
    </w:rPr>
  </w:style>
  <w:style w:type="character" w:customStyle="1" w:styleId="ListLabel184">
    <w:name w:val="ListLabel 184"/>
    <w:qFormat/>
    <w:rPr>
      <w:rFonts w:cs="Courier New"/>
    </w:rPr>
  </w:style>
  <w:style w:type="character" w:customStyle="1" w:styleId="ListLabel185">
    <w:name w:val="ListLabel 185"/>
    <w:qFormat/>
    <w:rPr>
      <w:rFonts w:cs="Wingdings"/>
    </w:rPr>
  </w:style>
  <w:style w:type="character" w:customStyle="1" w:styleId="ListLabel186">
    <w:name w:val="ListLabel 186"/>
    <w:qFormat/>
    <w:rPr>
      <w:rFonts w:cs="Symbol"/>
    </w:rPr>
  </w:style>
  <w:style w:type="character" w:customStyle="1" w:styleId="ListLabel187">
    <w:name w:val="ListLabel 187"/>
    <w:qFormat/>
    <w:rPr>
      <w:rFonts w:cs="Courier New"/>
    </w:rPr>
  </w:style>
  <w:style w:type="character" w:customStyle="1" w:styleId="ListLabel188">
    <w:name w:val="ListLabel 188"/>
    <w:qFormat/>
    <w:rPr>
      <w:rFonts w:cs="Wingdings"/>
    </w:rPr>
  </w:style>
  <w:style w:type="character" w:customStyle="1" w:styleId="ListLabel189">
    <w:name w:val="ListLabel 189"/>
    <w:qFormat/>
    <w:rPr>
      <w:rFonts w:cs="Symbol"/>
    </w:rPr>
  </w:style>
  <w:style w:type="character" w:customStyle="1" w:styleId="ListLabel190">
    <w:name w:val="ListLabel 190"/>
    <w:qFormat/>
    <w:rPr>
      <w:rFonts w:cs="Courier New"/>
    </w:rPr>
  </w:style>
  <w:style w:type="character" w:customStyle="1" w:styleId="ListLabel191">
    <w:name w:val="ListLabel 191"/>
    <w:qFormat/>
    <w:rPr>
      <w:rFonts w:cs="Wingdings"/>
    </w:rPr>
  </w:style>
  <w:style w:type="character" w:customStyle="1" w:styleId="ListLabel192">
    <w:name w:val="ListLabel 192"/>
    <w:qFormat/>
    <w:rPr>
      <w:rFonts w:cs="Symbol"/>
    </w:rPr>
  </w:style>
  <w:style w:type="character" w:customStyle="1" w:styleId="ListLabel193">
    <w:name w:val="ListLabel 193"/>
    <w:qFormat/>
    <w:rPr>
      <w:rFonts w:cs="Courier New"/>
    </w:rPr>
  </w:style>
  <w:style w:type="character" w:customStyle="1" w:styleId="ListLabel194">
    <w:name w:val="ListLabel 194"/>
    <w:qFormat/>
    <w:rPr>
      <w:rFonts w:cs="Wingdings"/>
    </w:rPr>
  </w:style>
  <w:style w:type="character" w:customStyle="1" w:styleId="ListLabel195">
    <w:name w:val="ListLabel 195"/>
    <w:qFormat/>
    <w:rPr>
      <w:rFonts w:ascii="Times New Roman" w:hAnsi="Times New Roman" w:cs="Symbol"/>
      <w:sz w:val="24"/>
    </w:rPr>
  </w:style>
  <w:style w:type="character" w:customStyle="1" w:styleId="ListLabel196">
    <w:name w:val="ListLabel 196"/>
    <w:qFormat/>
    <w:rPr>
      <w:rFonts w:cs="Courier New"/>
    </w:rPr>
  </w:style>
  <w:style w:type="character" w:customStyle="1" w:styleId="ListLabel197">
    <w:name w:val="ListLabel 197"/>
    <w:qFormat/>
    <w:rPr>
      <w:rFonts w:cs="Wingdings"/>
    </w:rPr>
  </w:style>
  <w:style w:type="character" w:customStyle="1" w:styleId="ListLabel198">
    <w:name w:val="ListLabel 198"/>
    <w:qFormat/>
    <w:rPr>
      <w:rFonts w:cs="Symbol"/>
    </w:rPr>
  </w:style>
  <w:style w:type="character" w:customStyle="1" w:styleId="ListLabel199">
    <w:name w:val="ListLabel 199"/>
    <w:qFormat/>
    <w:rPr>
      <w:rFonts w:cs="Courier New"/>
    </w:rPr>
  </w:style>
  <w:style w:type="character" w:customStyle="1" w:styleId="ListLabel200">
    <w:name w:val="ListLabel 200"/>
    <w:qFormat/>
    <w:rPr>
      <w:rFonts w:cs="Wingdings"/>
    </w:rPr>
  </w:style>
  <w:style w:type="character" w:customStyle="1" w:styleId="ListLabel201">
    <w:name w:val="ListLabel 201"/>
    <w:qFormat/>
    <w:rPr>
      <w:rFonts w:cs="Symbol"/>
    </w:rPr>
  </w:style>
  <w:style w:type="character" w:customStyle="1" w:styleId="ListLabel202">
    <w:name w:val="ListLabel 202"/>
    <w:qFormat/>
    <w:rPr>
      <w:rFonts w:cs="Courier New"/>
    </w:rPr>
  </w:style>
  <w:style w:type="character" w:customStyle="1" w:styleId="ListLabel203">
    <w:name w:val="ListLabel 203"/>
    <w:qFormat/>
    <w:rPr>
      <w:rFonts w:cs="Wingdings"/>
    </w:rPr>
  </w:style>
  <w:style w:type="character" w:customStyle="1" w:styleId="ListLabel204">
    <w:name w:val="ListLabel 204"/>
    <w:qFormat/>
    <w:rPr>
      <w:rFonts w:ascii="Times New Roman" w:hAnsi="Times New Roman" w:cs="Symbol"/>
      <w:sz w:val="24"/>
    </w:rPr>
  </w:style>
  <w:style w:type="character" w:customStyle="1" w:styleId="ListLabel205">
    <w:name w:val="ListLabel 205"/>
    <w:qFormat/>
    <w:rPr>
      <w:rFonts w:ascii="Times New Roman" w:hAnsi="Times New Roman" w:cs="Symbol"/>
      <w:sz w:val="24"/>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rFonts w:cs="Symbol"/>
    </w:rPr>
  </w:style>
  <w:style w:type="character" w:customStyle="1" w:styleId="ListLabel209">
    <w:name w:val="ListLabel 209"/>
    <w:qFormat/>
    <w:rPr>
      <w:rFonts w:cs="Courier New"/>
    </w:rPr>
  </w:style>
  <w:style w:type="character" w:customStyle="1" w:styleId="ListLabel210">
    <w:name w:val="ListLabel 210"/>
    <w:qFormat/>
    <w:rPr>
      <w:rFonts w:cs="Wingdings"/>
    </w:rPr>
  </w:style>
  <w:style w:type="character" w:customStyle="1" w:styleId="ListLabel211">
    <w:name w:val="ListLabel 211"/>
    <w:qFormat/>
    <w:rPr>
      <w:rFonts w:cs="Symbol"/>
    </w:rPr>
  </w:style>
  <w:style w:type="character" w:customStyle="1" w:styleId="ListLabel212">
    <w:name w:val="ListLabel 212"/>
    <w:qFormat/>
    <w:rPr>
      <w:rFonts w:cs="Courier New"/>
    </w:rPr>
  </w:style>
  <w:style w:type="character" w:customStyle="1" w:styleId="ListLabel213">
    <w:name w:val="ListLabel 213"/>
    <w:qFormat/>
    <w:rPr>
      <w:rFonts w:cs="Wingdings"/>
    </w:rPr>
  </w:style>
  <w:style w:type="character" w:customStyle="1" w:styleId="ListLabel214">
    <w:name w:val="ListLabel 214"/>
    <w:qFormat/>
    <w:rPr>
      <w:rFonts w:ascii="Times New Roman" w:hAnsi="Times New Roman" w:cs="Symbol"/>
      <w:b/>
      <w:sz w:val="24"/>
    </w:rPr>
  </w:style>
  <w:style w:type="character" w:customStyle="1" w:styleId="ListLabel215">
    <w:name w:val="ListLabel 215"/>
    <w:qFormat/>
    <w:rPr>
      <w:rFonts w:cs="Courier New"/>
    </w:rPr>
  </w:style>
  <w:style w:type="character" w:customStyle="1" w:styleId="ListLabel216">
    <w:name w:val="ListLabel 216"/>
    <w:qFormat/>
    <w:rPr>
      <w:rFonts w:cs="Wingdings"/>
    </w:rPr>
  </w:style>
  <w:style w:type="character" w:customStyle="1" w:styleId="ListLabel217">
    <w:name w:val="ListLabel 217"/>
    <w:qFormat/>
    <w:rPr>
      <w:rFonts w:cs="Symbol"/>
    </w:rPr>
  </w:style>
  <w:style w:type="character" w:customStyle="1" w:styleId="ListLabel218">
    <w:name w:val="ListLabel 218"/>
    <w:qFormat/>
    <w:rPr>
      <w:rFonts w:cs="Courier New"/>
    </w:rPr>
  </w:style>
  <w:style w:type="character" w:customStyle="1" w:styleId="ListLabel219">
    <w:name w:val="ListLabel 219"/>
    <w:qFormat/>
    <w:rPr>
      <w:rFonts w:cs="Wingdings"/>
    </w:rPr>
  </w:style>
  <w:style w:type="character" w:customStyle="1" w:styleId="ListLabel220">
    <w:name w:val="ListLabel 220"/>
    <w:qFormat/>
    <w:rPr>
      <w:rFonts w:cs="Symbol"/>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ascii="Times New Roman" w:hAnsi="Times New Roman" w:cs="Symbol"/>
      <w:sz w:val="24"/>
    </w:rPr>
  </w:style>
  <w:style w:type="character" w:customStyle="1" w:styleId="ListLabel224">
    <w:name w:val="ListLabel 224"/>
    <w:qFormat/>
    <w:rPr>
      <w:rFonts w:ascii="Times New Roman" w:hAnsi="Times New Roman" w:cs="Times New Roman"/>
      <w:color w:val="231F20"/>
      <w:sz w:val="16"/>
      <w:szCs w:val="16"/>
    </w:rPr>
  </w:style>
  <w:style w:type="character" w:customStyle="1" w:styleId="ListLabel225">
    <w:name w:val="ListLabel 225"/>
    <w:qFormat/>
    <w:rPr>
      <w:rFonts w:ascii="Times New Roman" w:hAnsi="Times New Roman" w:cs="Times New Roman"/>
      <w:color w:val="231F20"/>
      <w:w w:val="105"/>
      <w:sz w:val="16"/>
      <w:szCs w:val="16"/>
    </w:rPr>
  </w:style>
  <w:style w:type="character" w:customStyle="1" w:styleId="ListLabel226">
    <w:name w:val="ListLabel 226"/>
    <w:qFormat/>
    <w:rPr>
      <w:rFonts w:ascii="Times New Roman" w:hAnsi="Times New Roman" w:cs="Times New Roman"/>
      <w:spacing w:val="-2"/>
      <w:sz w:val="16"/>
      <w:lang w:val="en-ID"/>
    </w:rPr>
  </w:style>
  <w:style w:type="paragraph" w:customStyle="1" w:styleId="Heading">
    <w:name w:val="Heading"/>
    <w:basedOn w:val="Normal"/>
    <w:next w:val="BodyText"/>
    <w:qFormat/>
    <w:pPr>
      <w:keepNext/>
      <w:spacing w:before="240" w:after="120"/>
    </w:pPr>
    <w:rPr>
      <w:rFonts w:ascii="Arial" w:eastAsia="Microsoft YaHei" w:hAnsi="Arial" w:cs="Arial"/>
      <w:sz w:val="28"/>
      <w:szCs w:val="28"/>
    </w:rPr>
  </w:style>
  <w:style w:type="paragraph" w:styleId="BodyText">
    <w:name w:val="Body Text"/>
    <w:basedOn w:val="Normal"/>
    <w:uiPriority w:val="1"/>
    <w:qFormat/>
    <w:pPr>
      <w:ind w:left="53"/>
      <w:jc w:val="both"/>
    </w:pPr>
    <w:rPr>
      <w:sz w:val="21"/>
      <w:szCs w:val="21"/>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uiPriority w:val="10"/>
    <w:qFormat/>
    <w:pPr>
      <w:spacing w:before="61"/>
      <w:ind w:left="598" w:right="603"/>
      <w:jc w:val="center"/>
    </w:pPr>
    <w:rPr>
      <w:rFonts w:ascii="Times New Roman" w:eastAsia="Times New Roman" w:hAnsi="Times New Roman" w:cs="Times New Roman"/>
      <w:b/>
      <w:bCs/>
      <w:sz w:val="36"/>
      <w:szCs w:val="36"/>
    </w:rPr>
  </w:style>
  <w:style w:type="paragraph" w:styleId="ListParagraph">
    <w:name w:val="List Paragraph"/>
    <w:basedOn w:val="Normal"/>
    <w:uiPriority w:val="1"/>
    <w:qFormat/>
    <w:pPr>
      <w:ind w:left="620" w:hanging="560"/>
    </w:pPr>
    <w:rPr>
      <w:rFonts w:ascii="Palatino Linotype" w:eastAsia="Palatino Linotype" w:hAnsi="Palatino Linotype" w:cs="Palatino Linotype"/>
    </w:rPr>
  </w:style>
  <w:style w:type="paragraph" w:customStyle="1" w:styleId="TableParagraph">
    <w:name w:val="Table Paragraph"/>
    <w:basedOn w:val="Normal"/>
    <w:uiPriority w:val="1"/>
    <w:qFormat/>
    <w:pPr>
      <w:spacing w:before="32"/>
      <w:jc w:val="center"/>
    </w:pPr>
  </w:style>
  <w:style w:type="paragraph" w:styleId="Header">
    <w:name w:val="header"/>
    <w:basedOn w:val="Normal"/>
    <w:link w:val="HeaderChar"/>
    <w:uiPriority w:val="99"/>
    <w:unhideWhenUsed/>
    <w:rsid w:val="00F83D5A"/>
    <w:pPr>
      <w:tabs>
        <w:tab w:val="center" w:pos="4513"/>
        <w:tab w:val="right" w:pos="9026"/>
      </w:tabs>
    </w:pPr>
  </w:style>
  <w:style w:type="paragraph" w:styleId="Footer">
    <w:name w:val="footer"/>
    <w:basedOn w:val="Normal"/>
    <w:link w:val="FooterChar"/>
    <w:uiPriority w:val="99"/>
    <w:unhideWhenUsed/>
    <w:rsid w:val="00F83D5A"/>
    <w:pPr>
      <w:tabs>
        <w:tab w:val="center" w:pos="4513"/>
        <w:tab w:val="right" w:pos="9026"/>
      </w:tabs>
    </w:pPr>
  </w:style>
  <w:style w:type="paragraph" w:styleId="CommentText">
    <w:name w:val="annotation text"/>
    <w:basedOn w:val="Normal"/>
    <w:link w:val="CommentTextChar"/>
    <w:uiPriority w:val="99"/>
    <w:unhideWhenUsed/>
    <w:qFormat/>
    <w:rsid w:val="00F23AD3"/>
    <w:rPr>
      <w:sz w:val="20"/>
      <w:szCs w:val="20"/>
    </w:rPr>
  </w:style>
  <w:style w:type="paragraph" w:styleId="CommentSubject">
    <w:name w:val="annotation subject"/>
    <w:basedOn w:val="CommentText"/>
    <w:next w:val="CommentText"/>
    <w:link w:val="CommentSubjectChar"/>
    <w:uiPriority w:val="99"/>
    <w:semiHidden/>
    <w:unhideWhenUsed/>
    <w:qFormat/>
    <w:rsid w:val="00F23AD3"/>
    <w:rPr>
      <w:b/>
      <w:bCs/>
    </w:rPr>
  </w:style>
  <w:style w:type="paragraph" w:styleId="BalloonText">
    <w:name w:val="Balloon Text"/>
    <w:basedOn w:val="Normal"/>
    <w:link w:val="BalloonTextChar"/>
    <w:uiPriority w:val="99"/>
    <w:semiHidden/>
    <w:unhideWhenUsed/>
    <w:qFormat/>
    <w:rsid w:val="00880D7A"/>
    <w:rPr>
      <w:rFonts w:ascii="Segoe UI" w:hAnsi="Segoe UI" w:cs="Segoe UI"/>
      <w:sz w:val="18"/>
      <w:szCs w:val="18"/>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ajba.vol"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tantri.yanuar@esaunggul.ac.id"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kurniawaticiputr@gmail.com" TargetMode="Externa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6T14:17:16.991"/>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customXml/itemProps1.xml><?xml version="1.0" encoding="utf-8"?>
<ds:datastoreItem xmlns:ds="http://schemas.openxmlformats.org/officeDocument/2006/customXml" ds:itemID="{D0B7A622-A366-45FE-B7B5-DAED402AC463}">
  <ds:schemaRefs>
    <ds:schemaRef ds:uri="http://schemas.openxmlformats.org/officeDocument/2006/bibliography"/>
  </ds:schemaRefs>
</ds:datastoreItem>
</file>

<file path=customXml/itemProps2.xml><?xml version="1.0" encoding="utf-8"?>
<ds:datastoreItem xmlns:ds="http://schemas.openxmlformats.org/officeDocument/2006/customXml" ds:itemID="{47B6C12D-D7D7-470B-9D51-F6453D39CF1D}">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87008</Words>
  <Characters>495952</Characters>
  <Application>Microsoft Office Word</Application>
  <DocSecurity>0</DocSecurity>
  <Lines>4132</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Kurniawati Ciputra</dc:creator>
  <dc:description/>
  <cp:lastModifiedBy>kurniawati ciputra</cp:lastModifiedBy>
  <cp:revision>2</cp:revision>
  <dcterms:created xsi:type="dcterms:W3CDTF">2025-01-11T04:33:00Z</dcterms:created>
  <dcterms:modified xsi:type="dcterms:W3CDTF">2025-01-11T04:33:00Z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2024-07-19T00:00:00Z</vt:filetime>
  </property>
  <property fmtid="{D5CDD505-2E9C-101B-9397-08002B2CF9AE}" pid="4" name="Creator">
    <vt:lpwstr>Adobe InDesign CC 13.1 (Windows)</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2024-12-17T00:00:00Z</vt:filetime>
  </property>
  <property fmtid="{D5CDD505-2E9C-101B-9397-08002B2CF9AE}" pid="8" name="LinksUpToDate">
    <vt:bool>false</vt:bool>
  </property>
  <property fmtid="{D5CDD505-2E9C-101B-9397-08002B2CF9AE}" pid="9" name="Mendeley Citation Style_1">
    <vt:lpwstr>http://www.zotero.org/styles/apa</vt:lpwstr>
  </property>
  <property fmtid="{D5CDD505-2E9C-101B-9397-08002B2CF9AE}" pid="10" name="Mendeley Document_1">
    <vt:lpwstr>True</vt:lpwstr>
  </property>
  <property fmtid="{D5CDD505-2E9C-101B-9397-08002B2CF9AE}" pid="11" name="Mendeley Recent Style Id 0_1">
    <vt:lpwstr>http://www.zotero.org/styles/american-medical-association</vt:lpwstr>
  </property>
  <property fmtid="{D5CDD505-2E9C-101B-9397-08002B2CF9AE}" pid="12" name="Mendeley Recent Style Id 1_1">
    <vt:lpwstr>http://www.zotero.org/styles/american-political-science-association</vt:lpwstr>
  </property>
  <property fmtid="{D5CDD505-2E9C-101B-9397-08002B2CF9AE}" pid="13" name="Mendeley Recent Style Id 2_1">
    <vt:lpwstr>http://www.zotero.org/styles/apa</vt:lpwstr>
  </property>
  <property fmtid="{D5CDD505-2E9C-101B-9397-08002B2CF9AE}" pid="14" name="Mendeley Recent Style Id 3_1">
    <vt:lpwstr>http://www.zotero.org/styles/american-sociological-association</vt:lpwstr>
  </property>
  <property fmtid="{D5CDD505-2E9C-101B-9397-08002B2CF9AE}" pid="15" name="Mendeley Recent Style Id 4_1">
    <vt:lpwstr>http://www.zotero.org/styles/chicago-author-date</vt:lpwstr>
  </property>
  <property fmtid="{D5CDD505-2E9C-101B-9397-08002B2CF9AE}" pid="16" name="Mendeley Recent Style Id 5_1">
    <vt:lpwstr>http://www.zotero.org/styles/harvard-cite-them-right</vt:lpwstr>
  </property>
  <property fmtid="{D5CDD505-2E9C-101B-9397-08002B2CF9AE}" pid="17" name="Mendeley Recent Style Id 6_1">
    <vt:lpwstr>http://www.zotero.org/styles/ieee</vt:lpwstr>
  </property>
  <property fmtid="{D5CDD505-2E9C-101B-9397-08002B2CF9AE}" pid="18" name="Mendeley Recent Style Id 7_1">
    <vt:lpwstr>http://www.zotero.org/styles/modern-humanities-research-association</vt:lpwstr>
  </property>
  <property fmtid="{D5CDD505-2E9C-101B-9397-08002B2CF9AE}" pid="19" name="Mendeley Recent Style Id 8_1">
    <vt:lpwstr>http://www.zotero.org/styles/modern-language-association</vt:lpwstr>
  </property>
  <property fmtid="{D5CDD505-2E9C-101B-9397-08002B2CF9AE}" pid="20" name="Mendeley Recent Style Id 9_1">
    <vt:lpwstr>http://www.zotero.org/styles/nature</vt:lpwstr>
  </property>
  <property fmtid="{D5CDD505-2E9C-101B-9397-08002B2CF9AE}" pid="21" name="Mendeley Recent Style Name 0_1">
    <vt:lpwstr>American Medical Association 11th edition</vt:lpwstr>
  </property>
  <property fmtid="{D5CDD505-2E9C-101B-9397-08002B2CF9AE}" pid="22" name="Mendeley Recent Style Name 1_1">
    <vt:lpwstr>American Political Science Association</vt:lpwstr>
  </property>
  <property fmtid="{D5CDD505-2E9C-101B-9397-08002B2CF9AE}" pid="23" name="Mendeley Recent Style Name 2_1">
    <vt:lpwstr>American Psychological Association 7th edition</vt:lpwstr>
  </property>
  <property fmtid="{D5CDD505-2E9C-101B-9397-08002B2CF9AE}" pid="24" name="Mendeley Recent Style Name 3_1">
    <vt:lpwstr>American Sociological Association 6th edition</vt:lpwstr>
  </property>
  <property fmtid="{D5CDD505-2E9C-101B-9397-08002B2CF9AE}" pid="25" name="Mendeley Recent Style Name 4_1">
    <vt:lpwstr>Chicago Manual of Style 17th edition (author-date)</vt:lpwstr>
  </property>
  <property fmtid="{D5CDD505-2E9C-101B-9397-08002B2CF9AE}" pid="26" name="Mendeley Recent Style Name 5_1">
    <vt:lpwstr>Cite Them Right 12th edition - Harvard</vt:lpwstr>
  </property>
  <property fmtid="{D5CDD505-2E9C-101B-9397-08002B2CF9AE}" pid="27" name="Mendeley Recent Style Name 6_1">
    <vt:lpwstr>IEEE</vt:lpwstr>
  </property>
  <property fmtid="{D5CDD505-2E9C-101B-9397-08002B2CF9AE}" pid="28" name="Mendeley Recent Style Name 7_1">
    <vt:lpwstr>Modern Humanities Research Association 3rd edition (note with bibliography)</vt:lpwstr>
  </property>
  <property fmtid="{D5CDD505-2E9C-101B-9397-08002B2CF9AE}" pid="29" name="Mendeley Recent Style Name 8_1">
    <vt:lpwstr>Modern Language Association 9th edition</vt:lpwstr>
  </property>
  <property fmtid="{D5CDD505-2E9C-101B-9397-08002B2CF9AE}" pid="30" name="Mendeley Recent Style Name 9_1">
    <vt:lpwstr>Nature</vt:lpwstr>
  </property>
  <property fmtid="{D5CDD505-2E9C-101B-9397-08002B2CF9AE}" pid="31" name="Mendeley Unique User Id_1">
    <vt:lpwstr>8d6dc6ff-7017-33c7-9e07-9a2cefe0164c</vt:lpwstr>
  </property>
  <property fmtid="{D5CDD505-2E9C-101B-9397-08002B2CF9AE}" pid="32" name="Producer">
    <vt:lpwstr>Adobe PDF Library 15.0</vt:lpwstr>
  </property>
  <property fmtid="{D5CDD505-2E9C-101B-9397-08002B2CF9AE}" pid="33" name="ScaleCrop">
    <vt:bool>false</vt:bool>
  </property>
  <property fmtid="{D5CDD505-2E9C-101B-9397-08002B2CF9AE}" pid="34" name="ShareDoc">
    <vt:bool>false</vt:bool>
  </property>
</Properties>
</file>