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C1FA4" w14:textId="77777777" w:rsidR="00643890" w:rsidRDefault="00643890" w:rsidP="00D42F53">
      <w:pPr>
        <w:jc w:val="center"/>
        <w:rPr>
          <w:rFonts w:ascii="Times New Roman" w:hAnsi="Times New Roman" w:cs="Times New Roman"/>
          <w:b/>
          <w:bCs/>
          <w:sz w:val="28"/>
          <w:szCs w:val="28"/>
        </w:rPr>
      </w:pPr>
      <w:r w:rsidRPr="00643890">
        <w:rPr>
          <w:rFonts w:ascii="Times New Roman" w:hAnsi="Times New Roman" w:cs="Times New Roman"/>
          <w:b/>
          <w:bCs/>
          <w:sz w:val="28"/>
          <w:szCs w:val="28"/>
        </w:rPr>
        <w:t>UNBANKED WOMEN: ECONOMIC EMPOWERMENT USING HALAQOH MODEL IN SHARIA MICRO FINANCIAL INSTITUTIONS IN INDONESIA</w:t>
      </w:r>
    </w:p>
    <w:p w14:paraId="12B4111E" w14:textId="463E8EBE" w:rsidR="00643890" w:rsidRPr="00643890" w:rsidRDefault="00643890" w:rsidP="00D42F53">
      <w:pPr>
        <w:spacing w:after="0" w:line="240" w:lineRule="auto"/>
        <w:jc w:val="center"/>
        <w:rPr>
          <w:rFonts w:ascii="Times New Roman" w:hAnsi="Times New Roman" w:cs="Times New Roman"/>
          <w:b/>
          <w:bCs/>
          <w:sz w:val="24"/>
          <w:szCs w:val="24"/>
          <w:vertAlign w:val="superscript"/>
        </w:rPr>
      </w:pPr>
      <w:r w:rsidRPr="00643890">
        <w:rPr>
          <w:rFonts w:ascii="Times New Roman" w:hAnsi="Times New Roman" w:cs="Times New Roman"/>
          <w:b/>
          <w:bCs/>
          <w:sz w:val="24"/>
          <w:szCs w:val="24"/>
        </w:rPr>
        <w:t>Rozalinda</w:t>
      </w:r>
      <w:proofErr w:type="gramStart"/>
      <w:r>
        <w:rPr>
          <w:rFonts w:ascii="Times New Roman" w:hAnsi="Times New Roman" w:cs="Times New Roman"/>
          <w:b/>
          <w:bCs/>
          <w:sz w:val="24"/>
          <w:szCs w:val="24"/>
          <w:vertAlign w:val="superscript"/>
        </w:rPr>
        <w:t>1,*</w:t>
      </w:r>
      <w:proofErr w:type="gramEnd"/>
      <w:r w:rsidRPr="00643890">
        <w:rPr>
          <w:rFonts w:ascii="Times New Roman" w:hAnsi="Times New Roman" w:cs="Times New Roman"/>
          <w:b/>
          <w:bCs/>
          <w:sz w:val="24"/>
          <w:szCs w:val="24"/>
        </w:rPr>
        <w:t>,  Nurhasnah</w:t>
      </w:r>
      <w:r>
        <w:rPr>
          <w:rFonts w:ascii="Times New Roman" w:hAnsi="Times New Roman" w:cs="Times New Roman"/>
          <w:b/>
          <w:bCs/>
          <w:sz w:val="24"/>
          <w:szCs w:val="24"/>
          <w:vertAlign w:val="superscript"/>
        </w:rPr>
        <w:t>2</w:t>
      </w:r>
      <w:r w:rsidRPr="00643890">
        <w:rPr>
          <w:rFonts w:ascii="Times New Roman" w:hAnsi="Times New Roman" w:cs="Times New Roman"/>
          <w:b/>
          <w:bCs/>
          <w:sz w:val="24"/>
          <w:szCs w:val="24"/>
        </w:rPr>
        <w:t xml:space="preserve">, </w:t>
      </w:r>
      <w:proofErr w:type="spellStart"/>
      <w:r w:rsidRPr="00643890">
        <w:rPr>
          <w:rFonts w:ascii="Times New Roman" w:hAnsi="Times New Roman" w:cs="Times New Roman"/>
          <w:b/>
          <w:bCs/>
          <w:sz w:val="24"/>
          <w:szCs w:val="24"/>
        </w:rPr>
        <w:t>Rizda</w:t>
      </w:r>
      <w:proofErr w:type="spellEnd"/>
      <w:r w:rsidRPr="00643890">
        <w:rPr>
          <w:rFonts w:ascii="Times New Roman" w:hAnsi="Times New Roman" w:cs="Times New Roman"/>
          <w:b/>
          <w:bCs/>
          <w:sz w:val="24"/>
          <w:szCs w:val="24"/>
        </w:rPr>
        <w:t xml:space="preserve"> Octaviani</w:t>
      </w:r>
      <w:r>
        <w:rPr>
          <w:rFonts w:ascii="Times New Roman" w:hAnsi="Times New Roman" w:cs="Times New Roman"/>
          <w:b/>
          <w:bCs/>
          <w:sz w:val="24"/>
          <w:szCs w:val="24"/>
          <w:vertAlign w:val="superscript"/>
        </w:rPr>
        <w:t>3</w:t>
      </w:r>
    </w:p>
    <w:p w14:paraId="3BAF8A94" w14:textId="7353CB8C" w:rsidR="00643890" w:rsidRDefault="00D42F53" w:rsidP="00D42F53">
      <w:pPr>
        <w:spacing w:after="0" w:line="240" w:lineRule="auto"/>
        <w:jc w:val="center"/>
        <w:rPr>
          <w:rFonts w:ascii="Times New Roman" w:hAnsi="Times New Roman" w:cs="Times New Roman"/>
          <w:sz w:val="24"/>
          <w:szCs w:val="24"/>
        </w:rPr>
      </w:pPr>
      <w:r w:rsidRPr="00B91E92">
        <w:rPr>
          <w:rFonts w:ascii="Times New Roman" w:hAnsi="Times New Roman" w:cs="Times New Roman"/>
          <w:sz w:val="24"/>
          <w:szCs w:val="24"/>
          <w:vertAlign w:val="superscript"/>
        </w:rPr>
        <w:t>1</w:t>
      </w:r>
      <w:r w:rsidR="00643890" w:rsidRPr="00643890">
        <w:t xml:space="preserve"> </w:t>
      </w:r>
      <w:r w:rsidR="00643890" w:rsidRPr="00643890">
        <w:rPr>
          <w:rFonts w:ascii="Times New Roman" w:hAnsi="Times New Roman" w:cs="Times New Roman"/>
          <w:sz w:val="24"/>
          <w:szCs w:val="24"/>
        </w:rPr>
        <w:t xml:space="preserve">Faculty of Islamic Economics and Business, State University of Imam </w:t>
      </w:r>
      <w:proofErr w:type="spellStart"/>
      <w:r w:rsidR="00643890" w:rsidRPr="00643890">
        <w:rPr>
          <w:rFonts w:ascii="Times New Roman" w:hAnsi="Times New Roman" w:cs="Times New Roman"/>
          <w:sz w:val="24"/>
          <w:szCs w:val="24"/>
        </w:rPr>
        <w:t>Bonjol</w:t>
      </w:r>
      <w:proofErr w:type="spellEnd"/>
      <w:r w:rsidR="00643890" w:rsidRPr="00643890">
        <w:rPr>
          <w:rFonts w:ascii="Times New Roman" w:hAnsi="Times New Roman" w:cs="Times New Roman"/>
          <w:sz w:val="24"/>
          <w:szCs w:val="24"/>
        </w:rPr>
        <w:t xml:space="preserve"> Padang, Indonesia</w:t>
      </w:r>
      <w:r w:rsidR="00643890">
        <w:rPr>
          <w:rFonts w:ascii="Times New Roman" w:hAnsi="Times New Roman" w:cs="Times New Roman"/>
          <w:sz w:val="24"/>
          <w:szCs w:val="24"/>
        </w:rPr>
        <w:t xml:space="preserve">, </w:t>
      </w:r>
      <w:hyperlink r:id="rId8" w:history="1">
        <w:r w:rsidR="00643890" w:rsidRPr="004E16EB">
          <w:rPr>
            <w:rStyle w:val="Hyperlink"/>
            <w:rFonts w:eastAsia="Calibri"/>
            <w:bCs/>
          </w:rPr>
          <w:t>rozalinda@uinib.ac.id</w:t>
        </w:r>
      </w:hyperlink>
    </w:p>
    <w:p w14:paraId="23C8E6D2" w14:textId="60C75B7B" w:rsidR="0068137C" w:rsidRPr="00B91E92" w:rsidRDefault="0068137C" w:rsidP="00D42F53">
      <w:pPr>
        <w:spacing w:after="0" w:line="240" w:lineRule="auto"/>
        <w:jc w:val="center"/>
        <w:rPr>
          <w:rFonts w:ascii="Times New Roman" w:hAnsi="Times New Roman" w:cs="Times New Roman"/>
          <w:sz w:val="24"/>
          <w:szCs w:val="24"/>
        </w:rPr>
      </w:pPr>
      <w:r w:rsidRPr="00B91E92">
        <w:rPr>
          <w:rFonts w:ascii="Times New Roman" w:hAnsi="Times New Roman" w:cs="Times New Roman"/>
          <w:sz w:val="24"/>
          <w:szCs w:val="24"/>
          <w:vertAlign w:val="superscript"/>
        </w:rPr>
        <w:t>2</w:t>
      </w:r>
      <w:r w:rsidR="00643890" w:rsidRPr="004E16EB">
        <w:rPr>
          <w:rFonts w:ascii="Times New Roman" w:hAnsi="Times New Roman"/>
          <w:sz w:val="24"/>
          <w:szCs w:val="24"/>
        </w:rPr>
        <w:t>Sharia</w:t>
      </w:r>
      <w:r w:rsidR="00643890" w:rsidRPr="00643890">
        <w:rPr>
          <w:rFonts w:ascii="Times New Roman" w:hAnsi="Times New Roman" w:cs="Times New Roman"/>
          <w:sz w:val="24"/>
          <w:szCs w:val="24"/>
        </w:rPr>
        <w:t xml:space="preserve"> Faculty of the State Islamic University Imam </w:t>
      </w:r>
      <w:proofErr w:type="spellStart"/>
      <w:r w:rsidR="00643890" w:rsidRPr="00643890">
        <w:rPr>
          <w:rFonts w:ascii="Times New Roman" w:hAnsi="Times New Roman" w:cs="Times New Roman"/>
          <w:sz w:val="24"/>
          <w:szCs w:val="24"/>
        </w:rPr>
        <w:t>Bonjol</w:t>
      </w:r>
      <w:proofErr w:type="spellEnd"/>
      <w:r w:rsidR="00643890" w:rsidRPr="00643890">
        <w:rPr>
          <w:rFonts w:ascii="Times New Roman" w:hAnsi="Times New Roman" w:cs="Times New Roman"/>
          <w:sz w:val="24"/>
          <w:szCs w:val="24"/>
        </w:rPr>
        <w:t xml:space="preserve"> Padang</w:t>
      </w:r>
      <w:r w:rsidR="00643890">
        <w:rPr>
          <w:rFonts w:ascii="Times New Roman" w:hAnsi="Times New Roman" w:cs="Times New Roman"/>
          <w:sz w:val="24"/>
          <w:szCs w:val="24"/>
        </w:rPr>
        <w:t>, Indonesia</w:t>
      </w:r>
    </w:p>
    <w:p w14:paraId="6CC9FD7F" w14:textId="11B8ABEF" w:rsidR="00D42F53" w:rsidRDefault="00D42F53" w:rsidP="00D42F53">
      <w:pPr>
        <w:spacing w:after="0" w:line="240" w:lineRule="auto"/>
        <w:jc w:val="center"/>
        <w:rPr>
          <w:rFonts w:ascii="Times New Roman" w:hAnsi="Times New Roman" w:cs="Times New Roman"/>
          <w:sz w:val="24"/>
          <w:szCs w:val="24"/>
        </w:rPr>
      </w:pPr>
      <w:r w:rsidRPr="00B91E92">
        <w:rPr>
          <w:rFonts w:ascii="Times New Roman" w:hAnsi="Times New Roman" w:cs="Times New Roman"/>
          <w:sz w:val="24"/>
          <w:szCs w:val="24"/>
          <w:vertAlign w:val="superscript"/>
        </w:rPr>
        <w:t>3</w:t>
      </w:r>
      <w:r w:rsidR="00643890">
        <w:rPr>
          <w:rFonts w:ascii="Times New Roman" w:hAnsi="Times New Roman"/>
          <w:sz w:val="24"/>
          <w:szCs w:val="24"/>
        </w:rPr>
        <w:t>S</w:t>
      </w:r>
      <w:r w:rsidR="00643890" w:rsidRPr="009858D2">
        <w:rPr>
          <w:rFonts w:ascii="Times New Roman" w:hAnsi="Times New Roman"/>
          <w:sz w:val="24"/>
          <w:szCs w:val="24"/>
        </w:rPr>
        <w:t xml:space="preserve">haria </w:t>
      </w:r>
      <w:r w:rsidR="00A37C76">
        <w:rPr>
          <w:rFonts w:ascii="Times New Roman" w:hAnsi="Times New Roman"/>
          <w:sz w:val="24"/>
          <w:szCs w:val="24"/>
        </w:rPr>
        <w:t>Economics C</w:t>
      </w:r>
      <w:r w:rsidR="00643890" w:rsidRPr="009858D2">
        <w:rPr>
          <w:rFonts w:ascii="Times New Roman" w:hAnsi="Times New Roman"/>
          <w:sz w:val="24"/>
          <w:szCs w:val="24"/>
        </w:rPr>
        <w:t>ollege</w:t>
      </w:r>
      <w:r w:rsidR="00643890">
        <w:rPr>
          <w:rFonts w:ascii="Times New Roman" w:hAnsi="Times New Roman"/>
          <w:sz w:val="24"/>
          <w:szCs w:val="24"/>
          <w:lang w:val="id-ID"/>
        </w:rPr>
        <w:t xml:space="preserve"> Manna Wa Salwa, Padang Panjang, West Sumatra, </w:t>
      </w:r>
      <w:r w:rsidR="00643890" w:rsidRPr="004E16EB">
        <w:rPr>
          <w:rFonts w:ascii="Times New Roman" w:hAnsi="Times New Roman"/>
          <w:sz w:val="24"/>
          <w:szCs w:val="24"/>
        </w:rPr>
        <w:t>Indonesia</w:t>
      </w:r>
    </w:p>
    <w:p w14:paraId="61243CBF" w14:textId="5B0D556C" w:rsidR="00D42F53" w:rsidRDefault="00D42F53" w:rsidP="00D42F53">
      <w:pPr>
        <w:jc w:val="center"/>
        <w:rPr>
          <w:rFonts w:ascii="Times New Roman" w:hAnsi="Times New Roman" w:cs="Times New Roman"/>
          <w:sz w:val="20"/>
          <w:szCs w:val="20"/>
        </w:rPr>
      </w:pPr>
    </w:p>
    <w:p w14:paraId="299304F9" w14:textId="77777777" w:rsidR="00643890" w:rsidRPr="00B91E92" w:rsidRDefault="00643890" w:rsidP="00D42F53">
      <w:pPr>
        <w:jc w:val="center"/>
        <w:rPr>
          <w:rFonts w:ascii="Times New Roman" w:hAnsi="Times New Roman" w:cs="Times New Roman"/>
          <w:sz w:val="24"/>
          <w:szCs w:val="24"/>
        </w:rPr>
      </w:pPr>
    </w:p>
    <w:p w14:paraId="587EE5E2" w14:textId="068F869E" w:rsidR="00CC5B43" w:rsidRPr="00B91E92" w:rsidRDefault="00CC5B43" w:rsidP="00CC5B43">
      <w:pPr>
        <w:jc w:val="center"/>
        <w:rPr>
          <w:rFonts w:ascii="Times New Roman" w:hAnsi="Times New Roman" w:cs="Times New Roman"/>
          <w:b/>
          <w:bCs/>
          <w:i/>
          <w:iCs/>
          <w:sz w:val="24"/>
          <w:szCs w:val="24"/>
        </w:rPr>
      </w:pPr>
      <w:r w:rsidRPr="00B91E92">
        <w:rPr>
          <w:rFonts w:ascii="Times New Roman" w:hAnsi="Times New Roman" w:cs="Times New Roman"/>
          <w:b/>
          <w:bCs/>
          <w:i/>
          <w:iCs/>
          <w:sz w:val="24"/>
          <w:szCs w:val="24"/>
        </w:rPr>
        <w:t>Abstract</w:t>
      </w:r>
      <w:r w:rsidR="0068137C" w:rsidRPr="00B91E92">
        <w:rPr>
          <w:rFonts w:ascii="Times New Roman" w:hAnsi="Times New Roman" w:cs="Times New Roman"/>
          <w:b/>
          <w:bCs/>
          <w:i/>
          <w:iCs/>
          <w:sz w:val="24"/>
          <w:szCs w:val="24"/>
        </w:rPr>
        <w:t xml:space="preserve"> </w:t>
      </w:r>
    </w:p>
    <w:p w14:paraId="2A7D4F77" w14:textId="77777777" w:rsidR="00A37C76" w:rsidRDefault="00643890" w:rsidP="00643890">
      <w:pPr>
        <w:ind w:firstLine="720"/>
        <w:jc w:val="both"/>
        <w:rPr>
          <w:rFonts w:ascii="Times New Roman" w:hAnsi="Times New Roman" w:cs="Times New Roman"/>
          <w:sz w:val="24"/>
          <w:szCs w:val="24"/>
        </w:rPr>
      </w:pPr>
      <w:r w:rsidRPr="00643890">
        <w:rPr>
          <w:rFonts w:ascii="Times New Roman" w:hAnsi="Times New Roman" w:cs="Times New Roman"/>
          <w:sz w:val="24"/>
          <w:szCs w:val="24"/>
        </w:rPr>
        <w:t>Empowering women with micro and small businesses requires support from Islamic Microfinance Institutions. Women cannot access financing from banks because they are considered unbanked or do not meet bank requirements. Therefore, this study aimed to elaborate on the empowerment model implemented by the Micro Waqf Bank (MWB) for poor</w:t>
      </w:r>
      <w:r w:rsidR="00A37C76">
        <w:rPr>
          <w:rFonts w:ascii="Times New Roman" w:hAnsi="Times New Roman" w:cs="Times New Roman"/>
          <w:sz w:val="24"/>
          <w:szCs w:val="24"/>
        </w:rPr>
        <w:t>,</w:t>
      </w:r>
      <w:r w:rsidRPr="00643890">
        <w:rPr>
          <w:rFonts w:ascii="Times New Roman" w:hAnsi="Times New Roman" w:cs="Times New Roman"/>
          <w:sz w:val="24"/>
          <w:szCs w:val="24"/>
        </w:rPr>
        <w:t xml:space="preserve"> productive women around Islamic boarding schools. It used a qualitative approach on MWB in West Sumatra, Yogyakarta, a</w:t>
      </w:r>
      <w:r w:rsidR="00A37C76">
        <w:rPr>
          <w:rFonts w:ascii="Times New Roman" w:hAnsi="Times New Roman" w:cs="Times New Roman"/>
          <w:sz w:val="24"/>
          <w:szCs w:val="24"/>
        </w:rPr>
        <w:t>nd</w:t>
      </w:r>
      <w:r w:rsidRPr="00643890">
        <w:rPr>
          <w:rFonts w:ascii="Times New Roman" w:hAnsi="Times New Roman" w:cs="Times New Roman"/>
          <w:sz w:val="24"/>
          <w:szCs w:val="24"/>
        </w:rPr>
        <w:t xml:space="preserve"> Central and East Java, Indonesia. Data were collected through interviews, observation, questionnaires, and documentation. The data sources comprised WMB leaders, assistants, and customers. All data were reviewed and </w:t>
      </w:r>
      <w:proofErr w:type="spellStart"/>
      <w:r w:rsidRPr="00643890">
        <w:rPr>
          <w:rFonts w:ascii="Times New Roman" w:hAnsi="Times New Roman" w:cs="Times New Roman"/>
          <w:sz w:val="24"/>
          <w:szCs w:val="24"/>
        </w:rPr>
        <w:t>analyzed</w:t>
      </w:r>
      <w:proofErr w:type="spellEnd"/>
      <w:r w:rsidRPr="00643890">
        <w:rPr>
          <w:rFonts w:ascii="Times New Roman" w:hAnsi="Times New Roman" w:cs="Times New Roman"/>
          <w:sz w:val="24"/>
          <w:szCs w:val="24"/>
        </w:rPr>
        <w:t xml:space="preserve"> qualitatively and descriptively. The results showed that WMB implements empowerment by providing training, financing, and assistance to productive potential poor women living around Islamic boarding schools. Women have been economically empowered through the Compulsory Group Training (CGT), financing, and assistance. All empowerment processes were carried out in the form of </w:t>
      </w:r>
      <w:proofErr w:type="spellStart"/>
      <w:r w:rsidRPr="00643890">
        <w:rPr>
          <w:rFonts w:ascii="Times New Roman" w:hAnsi="Times New Roman" w:cs="Times New Roman"/>
          <w:sz w:val="24"/>
          <w:szCs w:val="24"/>
        </w:rPr>
        <w:t>halaqoh</w:t>
      </w:r>
      <w:proofErr w:type="spellEnd"/>
      <w:r w:rsidRPr="00643890">
        <w:rPr>
          <w:rFonts w:ascii="Times New Roman" w:hAnsi="Times New Roman" w:cs="Times New Roman"/>
          <w:sz w:val="24"/>
          <w:szCs w:val="24"/>
        </w:rPr>
        <w:t>. The customer and the companion sat cross-legged, facing each other to receive training and mentoring materials from the facilitator.</w:t>
      </w:r>
    </w:p>
    <w:p w14:paraId="1A0EFA7A" w14:textId="23AC77D1" w:rsidR="00643890" w:rsidRDefault="00643890" w:rsidP="00643890">
      <w:pPr>
        <w:ind w:firstLine="720"/>
        <w:jc w:val="both"/>
        <w:rPr>
          <w:rFonts w:ascii="Times New Roman" w:hAnsi="Times New Roman" w:cs="Times New Roman"/>
          <w:sz w:val="24"/>
          <w:szCs w:val="24"/>
        </w:rPr>
      </w:pPr>
      <w:r w:rsidRPr="00643890">
        <w:rPr>
          <w:rFonts w:ascii="Times New Roman" w:hAnsi="Times New Roman" w:cs="Times New Roman"/>
          <w:sz w:val="24"/>
          <w:szCs w:val="24"/>
        </w:rPr>
        <w:t xml:space="preserve">Additionally, assistance was provided after disbursing financing with the Weekly </w:t>
      </w:r>
      <w:proofErr w:type="spellStart"/>
      <w:r w:rsidRPr="00643890">
        <w:rPr>
          <w:rFonts w:ascii="Times New Roman" w:hAnsi="Times New Roman" w:cs="Times New Roman"/>
          <w:sz w:val="24"/>
          <w:szCs w:val="24"/>
        </w:rPr>
        <w:t>Halaqoh</w:t>
      </w:r>
      <w:proofErr w:type="spellEnd"/>
      <w:r w:rsidRPr="00643890">
        <w:rPr>
          <w:rFonts w:ascii="Times New Roman" w:hAnsi="Times New Roman" w:cs="Times New Roman"/>
          <w:sz w:val="24"/>
          <w:szCs w:val="24"/>
        </w:rPr>
        <w:t xml:space="preserve"> (WH) model. The study has implications for the government's ability to use MWB as a basis for the economic empowerment of unbanked women. Consequently, they can actively participate in economic activities and improve the welfare of their families. The results of this study can serve as inspiration for women micro and small entrepreneurs to continue fighting against marginalization in the financial aspect</w:t>
      </w:r>
      <w:r>
        <w:rPr>
          <w:rFonts w:ascii="Times New Roman" w:hAnsi="Times New Roman" w:cs="Times New Roman"/>
          <w:sz w:val="24"/>
          <w:szCs w:val="24"/>
        </w:rPr>
        <w:t>.</w:t>
      </w:r>
    </w:p>
    <w:p w14:paraId="47289DD4" w14:textId="245E4719" w:rsidR="00CC5B43" w:rsidRPr="00B91E92" w:rsidRDefault="00CC5B43" w:rsidP="00643890">
      <w:pPr>
        <w:rPr>
          <w:rFonts w:ascii="Times New Roman" w:hAnsi="Times New Roman" w:cs="Times New Roman"/>
          <w:sz w:val="24"/>
          <w:szCs w:val="24"/>
        </w:rPr>
      </w:pPr>
      <w:r w:rsidRPr="00B91E92">
        <w:rPr>
          <w:rFonts w:ascii="Times New Roman" w:hAnsi="Times New Roman" w:cs="Times New Roman"/>
          <w:b/>
          <w:bCs/>
          <w:sz w:val="24"/>
          <w:szCs w:val="24"/>
        </w:rPr>
        <w:t>Keywords:</w:t>
      </w:r>
      <w:r w:rsidRPr="00B91E92">
        <w:rPr>
          <w:rFonts w:ascii="Times New Roman" w:hAnsi="Times New Roman" w:cs="Times New Roman"/>
          <w:sz w:val="24"/>
          <w:szCs w:val="24"/>
        </w:rPr>
        <w:t xml:space="preserve"> </w:t>
      </w:r>
      <w:r w:rsidR="00643890" w:rsidRPr="00643890">
        <w:rPr>
          <w:rFonts w:ascii="Times New Roman" w:hAnsi="Times New Roman" w:cs="Times New Roman"/>
          <w:sz w:val="24"/>
          <w:szCs w:val="24"/>
        </w:rPr>
        <w:t>Economic Empowerment</w:t>
      </w:r>
      <w:r w:rsidR="00643890">
        <w:rPr>
          <w:rFonts w:ascii="Times New Roman" w:hAnsi="Times New Roman" w:cs="Times New Roman"/>
          <w:sz w:val="24"/>
          <w:szCs w:val="24"/>
        </w:rPr>
        <w:t xml:space="preserve">, </w:t>
      </w:r>
      <w:proofErr w:type="spellStart"/>
      <w:r w:rsidR="00643890" w:rsidRPr="00643890">
        <w:rPr>
          <w:rFonts w:ascii="Times New Roman" w:hAnsi="Times New Roman" w:cs="Times New Roman"/>
          <w:sz w:val="24"/>
          <w:szCs w:val="24"/>
        </w:rPr>
        <w:t>Halaqoh</w:t>
      </w:r>
      <w:proofErr w:type="spellEnd"/>
      <w:r w:rsidR="00643890">
        <w:rPr>
          <w:rFonts w:ascii="Times New Roman" w:hAnsi="Times New Roman" w:cs="Times New Roman"/>
          <w:sz w:val="24"/>
          <w:szCs w:val="24"/>
        </w:rPr>
        <w:t xml:space="preserve">, </w:t>
      </w:r>
      <w:r w:rsidR="00643890" w:rsidRPr="00643890">
        <w:rPr>
          <w:rFonts w:ascii="Times New Roman" w:hAnsi="Times New Roman" w:cs="Times New Roman"/>
          <w:sz w:val="24"/>
          <w:szCs w:val="24"/>
        </w:rPr>
        <w:t>Micro Waqf Bank</w:t>
      </w:r>
      <w:r w:rsidR="00643890">
        <w:rPr>
          <w:rFonts w:ascii="Times New Roman" w:hAnsi="Times New Roman" w:cs="Times New Roman"/>
          <w:sz w:val="24"/>
          <w:szCs w:val="24"/>
        </w:rPr>
        <w:t>,</w:t>
      </w:r>
      <w:r w:rsidR="00643890" w:rsidRPr="00643890">
        <w:rPr>
          <w:rFonts w:ascii="Times New Roman" w:hAnsi="Times New Roman" w:cs="Times New Roman"/>
          <w:sz w:val="24"/>
          <w:szCs w:val="24"/>
        </w:rPr>
        <w:t xml:space="preserve"> Unbanked</w:t>
      </w:r>
      <w:r w:rsidR="00643890">
        <w:rPr>
          <w:rFonts w:ascii="Times New Roman" w:hAnsi="Times New Roman" w:cs="Times New Roman"/>
          <w:sz w:val="24"/>
          <w:szCs w:val="24"/>
        </w:rPr>
        <w:t>,</w:t>
      </w:r>
      <w:r w:rsidR="00A37C76">
        <w:rPr>
          <w:rFonts w:ascii="Times New Roman" w:hAnsi="Times New Roman" w:cs="Times New Roman"/>
          <w:sz w:val="24"/>
          <w:szCs w:val="24"/>
        </w:rPr>
        <w:t xml:space="preserve"> </w:t>
      </w:r>
      <w:r w:rsidR="00643890" w:rsidRPr="00643890">
        <w:rPr>
          <w:rFonts w:ascii="Times New Roman" w:hAnsi="Times New Roman" w:cs="Times New Roman"/>
          <w:sz w:val="24"/>
          <w:szCs w:val="24"/>
        </w:rPr>
        <w:t>Women,</w:t>
      </w:r>
    </w:p>
    <w:p w14:paraId="153C0179" w14:textId="230A9DCD" w:rsidR="00CC5B43" w:rsidRPr="00B91E92" w:rsidRDefault="00CC5B43" w:rsidP="008A01A1">
      <w:pPr>
        <w:rPr>
          <w:rFonts w:ascii="Times New Roman" w:hAnsi="Times New Roman" w:cs="Times New Roman"/>
          <w:sz w:val="24"/>
          <w:szCs w:val="24"/>
        </w:rPr>
      </w:pPr>
    </w:p>
    <w:p w14:paraId="4107DB27" w14:textId="1C46DCB3" w:rsidR="00CC5B43" w:rsidRDefault="00CC5B43" w:rsidP="004B5F79">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Introduction</w:t>
      </w:r>
    </w:p>
    <w:p w14:paraId="45243EAC" w14:textId="3A1BD570" w:rsidR="00384CB1" w:rsidRPr="00384CB1" w:rsidRDefault="00384CB1" w:rsidP="00384CB1">
      <w:pPr>
        <w:spacing w:after="120" w:line="240" w:lineRule="auto"/>
        <w:ind w:firstLine="720"/>
        <w:jc w:val="both"/>
        <w:rPr>
          <w:rFonts w:ascii="Times New Roman" w:hAnsi="Times New Roman"/>
          <w:sz w:val="24"/>
          <w:szCs w:val="24"/>
        </w:rPr>
      </w:pPr>
      <w:r w:rsidRPr="00384CB1">
        <w:rPr>
          <w:rFonts w:ascii="Times New Roman" w:hAnsi="Times New Roman"/>
          <w:sz w:val="24"/>
          <w:szCs w:val="24"/>
        </w:rPr>
        <w:t xml:space="preserve">Women's empowerment is an important issue in economic and social development, especially in developing countries such as Indonesia </w:t>
      </w:r>
      <w:r w:rsidRPr="00384CB1">
        <w:rPr>
          <w:rFonts w:ascii="Times New Roman" w:hAnsi="Times New Roman"/>
          <w:sz w:val="24"/>
          <w:szCs w:val="24"/>
        </w:rPr>
        <w:fldChar w:fldCharType="begin" w:fldLock="1"/>
      </w:r>
      <w:r w:rsidRPr="00384CB1">
        <w:rPr>
          <w:rFonts w:ascii="Times New Roman" w:hAnsi="Times New Roman"/>
          <w:sz w:val="24"/>
          <w:szCs w:val="24"/>
        </w:rPr>
        <w:instrText>ADDIN CSL_CITATION {"citationItems":[{"id":"ITEM-1","itemData":{"DOI":"10.22584/NR47.2018.007","ISSN":"1929-6657","abstract":"The Northern Review 47 (2018): 135–166This article compares three environmental assessment (EA) cases in Nunatsiavut, Nunavut, and the Northwest Territories (NWT) to better understand how resource decision-making processes in northern Indigenous mixed economies are gendered. Advances in Indigenous jurisprudence and Indigenous peoples’ assertions of their rights to lands and territories have influenced new cooperative resource management institutions and associated environmental assessment frameworks. Though previous research has pointed to the systemic ways in which EAs undermine self-determination, there has been little attention to how gender influences EA processes and outcomes. This article contributes to emerging scholarship on gender and EAs through a thematic analysis of the environmental assessments for the Voisey’s Bay Mine and Mill in Nunatsiavut (1997); the Meadowbank Mine in Nunavut (2004–2006); and the Mackenzie Gas Project (2003–2009). The cases examined reflected a spectrum in the extent to which gender is accounted for and attended to in EA processes. Notwithstanding their differences, Indigenous women’s interventions in each case challenged the narrowly scoped treatment of gender in EA processes by describing their broad concerns with development. Furthermore, in each case, EA processes emphasized participation in employment rather than community well-being, and inadequately addressed women’s traditional harvesting activities. We argue that in failing to account for the totality of northern livelihoods, the EA process privileges resource extraction, re-inscribes gender hierarchies, and undermines Indigenous mixed economies. We conclude by offering several criteria for the successful inclusion of gender issues in the scope of EAs and reflecting briefly on new developments in the legislative framework for EAs and Indigenous governance initiatives that may support more fulsome inclusion of gender issues.","author":[{"dropping-particle":"","family":"Dalseg","given":"Sheena Kennedy","non-dropping-particle":"","parse-names":false,"suffix":""},{"dropping-particle":"","family":"Kuokkanen","given":"Rauna","non-dropping-particle":"","parse-names":false,"suffix":""},{"dropping-particle":"","family":"Mills","given":"Suzanne","non-dropping-particle":"","parse-names":false,"suffix":""},{"dropping-particle":"","family":"Simmons","given":"Deborah","non-dropping-particle":"","parse-names":false,"suffix":""}],"container-title":"Northern Review","id":"ITEM-1","issue":"47","issued":{"date-parts":[["2018","8"]]},"page":"135–166-135–166","publisher":"Yukon College","title":"Gendered Environmental Assessments in the Canadian North: Marginalization of Indigenous Women and Traditional Economies","type":"article-journal","volume":"47"},"uris":["http://www.mendeley.com/documents/?uuid=b597c5d4-12a7-30fd-b1b2-a0eb249316d6","http://www.mendeley.com/documents/?uuid=5a2b06e8-8c81-4d1d-9889-869ab95a7437"]}],"mendeley":{"formattedCitation":"(Dalseg et al., 2018)","plainTextFormattedCitation":"(Dalseg et al., 2018)","previouslyFormattedCitation":"(Dalseg et al., 2018)"},"properties":{"noteIndex":0},"schema":"https://github.com/citation-style-language/schema/raw/master/csl-citation.json"}</w:instrText>
      </w:r>
      <w:r w:rsidRPr="00384CB1">
        <w:rPr>
          <w:rFonts w:ascii="Times New Roman" w:hAnsi="Times New Roman"/>
          <w:sz w:val="24"/>
          <w:szCs w:val="24"/>
        </w:rPr>
        <w:fldChar w:fldCharType="separate"/>
      </w:r>
      <w:r w:rsidRPr="00384CB1">
        <w:rPr>
          <w:rFonts w:ascii="Times New Roman" w:hAnsi="Times New Roman"/>
          <w:sz w:val="24"/>
          <w:szCs w:val="24"/>
        </w:rPr>
        <w:t>(Dalseg et al., 2018).</w:t>
      </w:r>
      <w:r w:rsidRPr="00384CB1">
        <w:rPr>
          <w:rFonts w:ascii="Times New Roman" w:hAnsi="Times New Roman"/>
          <w:sz w:val="24"/>
          <w:szCs w:val="24"/>
        </w:rPr>
        <w:fldChar w:fldCharType="end"/>
      </w:r>
      <w:r w:rsidRPr="00384CB1">
        <w:rPr>
          <w:rFonts w:ascii="Times New Roman" w:hAnsi="Times New Roman"/>
          <w:sz w:val="24"/>
          <w:szCs w:val="24"/>
        </w:rPr>
        <w:t xml:space="preserve"> Despite progress in financial inclusion, women still face significant access gaps compared to men. According to a survey conducted by SOFIA, only 42% of women in Indonesia use banking services, much lower than men </w:t>
      </w:r>
      <w:r w:rsidRPr="00384CB1">
        <w:rPr>
          <w:rFonts w:ascii="Times New Roman" w:hAnsi="Times New Roman"/>
          <w:sz w:val="24"/>
          <w:szCs w:val="24"/>
        </w:rPr>
        <w:fldChar w:fldCharType="begin" w:fldLock="1"/>
      </w:r>
      <w:r w:rsidRPr="00384CB1">
        <w:rPr>
          <w:rFonts w:ascii="Times New Roman" w:hAnsi="Times New Roman"/>
          <w:sz w:val="24"/>
          <w:szCs w:val="24"/>
        </w:rPr>
        <w:instrText>ADDIN CSL_CITATION {"citationItems":[{"id":"ITEM-1","itemData":{"author":[{"dropping-particle":"","family":"Sofia","given":"","non-dropping-particle":"","parse-names":false,"suffix":""}],"id":"ITEM-1","issued":{"date-parts":[["2017"]]},"number-of-pages":"iv","title":"Survey on Financial Inclusion and Access (SOFIA) Implemented by Focus Note on Gender","type":"report"},"uris":["http://www.mendeley.com/documents/?uuid=db407830-3090-4401-8cb2-2de326e2e2e8","http://www.mendeley.com/documents/?uuid=571db54f-b260-4d24-9fa5-e80da29379e9"]}],"mendeley":{"formattedCitation":"(Sofia, 2017)","plainTextFormattedCitation":"(Sofia, 2017)","previouslyFormattedCitation":"(Sofia, 2017)"},"properties":{"noteIndex":0},"schema":"https://github.com/citation-style-language/schema/raw/master/csl-citation.json"}</w:instrText>
      </w:r>
      <w:r w:rsidRPr="00384CB1">
        <w:rPr>
          <w:rFonts w:ascii="Times New Roman" w:hAnsi="Times New Roman"/>
          <w:sz w:val="24"/>
          <w:szCs w:val="24"/>
        </w:rPr>
        <w:fldChar w:fldCharType="separate"/>
      </w:r>
      <w:r w:rsidRPr="00384CB1">
        <w:rPr>
          <w:rFonts w:ascii="Times New Roman" w:hAnsi="Times New Roman"/>
          <w:sz w:val="24"/>
          <w:szCs w:val="24"/>
        </w:rPr>
        <w:t>(Sofia, 2017).</w:t>
      </w:r>
      <w:r w:rsidRPr="00384CB1">
        <w:rPr>
          <w:rFonts w:ascii="Times New Roman" w:hAnsi="Times New Roman"/>
          <w:sz w:val="24"/>
          <w:szCs w:val="24"/>
        </w:rPr>
        <w:fldChar w:fldCharType="end"/>
      </w:r>
      <w:r w:rsidRPr="00384CB1">
        <w:rPr>
          <w:rFonts w:ascii="Times New Roman" w:hAnsi="Times New Roman"/>
          <w:sz w:val="24"/>
          <w:szCs w:val="24"/>
        </w:rPr>
        <w:t xml:space="preserve"> In this context, Islamic microfinance institutions, especially Micro Waqf Bank (MWB), have emerged as innovative solutions to empower unbanked women. Through the </w:t>
      </w:r>
      <w:proofErr w:type="spellStart"/>
      <w:r w:rsidRPr="00384CB1">
        <w:rPr>
          <w:rFonts w:ascii="Times New Roman" w:hAnsi="Times New Roman"/>
          <w:sz w:val="24"/>
          <w:szCs w:val="24"/>
        </w:rPr>
        <w:t>Halaqoh</w:t>
      </w:r>
      <w:proofErr w:type="spellEnd"/>
      <w:r w:rsidRPr="00384CB1">
        <w:rPr>
          <w:rFonts w:ascii="Times New Roman" w:hAnsi="Times New Roman"/>
          <w:sz w:val="24"/>
          <w:szCs w:val="24"/>
        </w:rPr>
        <w:t xml:space="preserve"> model, MWB </w:t>
      </w:r>
      <w:r w:rsidR="00A37C76">
        <w:rPr>
          <w:rFonts w:ascii="Times New Roman" w:hAnsi="Times New Roman"/>
          <w:sz w:val="24"/>
          <w:szCs w:val="24"/>
        </w:rPr>
        <w:t>provides access to not only</w:t>
      </w:r>
      <w:r w:rsidRPr="00384CB1">
        <w:rPr>
          <w:rFonts w:ascii="Times New Roman" w:hAnsi="Times New Roman"/>
          <w:sz w:val="24"/>
          <w:szCs w:val="24"/>
        </w:rPr>
        <w:t xml:space="preserve"> finance</w:t>
      </w:r>
      <w:r w:rsidR="00A37C76">
        <w:rPr>
          <w:rFonts w:ascii="Times New Roman" w:hAnsi="Times New Roman"/>
          <w:sz w:val="24"/>
          <w:szCs w:val="24"/>
        </w:rPr>
        <w:t xml:space="preserve"> but also </w:t>
      </w:r>
      <w:r w:rsidR="00A37C76">
        <w:rPr>
          <w:rFonts w:ascii="Times New Roman" w:hAnsi="Times New Roman"/>
          <w:sz w:val="24"/>
          <w:szCs w:val="24"/>
        </w:rPr>
        <w:lastRenderedPageBreak/>
        <w:t>training and mentoring, which are</w:t>
      </w:r>
      <w:r w:rsidRPr="00384CB1">
        <w:rPr>
          <w:rFonts w:ascii="Times New Roman" w:hAnsi="Times New Roman"/>
          <w:sz w:val="24"/>
          <w:szCs w:val="24"/>
        </w:rPr>
        <w:t xml:space="preserve"> needed to improve the skills and capacity of women entrepreneurs </w:t>
      </w:r>
      <w:r w:rsidRPr="00384CB1">
        <w:rPr>
          <w:rFonts w:ascii="Times New Roman" w:hAnsi="Times New Roman"/>
          <w:sz w:val="24"/>
          <w:szCs w:val="24"/>
        </w:rPr>
        <w:fldChar w:fldCharType="begin" w:fldLock="1"/>
      </w:r>
      <w:r w:rsidRPr="00384CB1">
        <w:rPr>
          <w:rFonts w:ascii="Times New Roman" w:hAnsi="Times New Roman"/>
          <w:sz w:val="24"/>
          <w:szCs w:val="24"/>
        </w:rPr>
        <w:instrText>ADDIN CSL_CITATION {"citationItems":[{"id":"ITEM-1","itemData":{"author":[{"dropping-particle":"","family":"Ade Soekadis","given":"","non-dropping-particle":"","parse-names":false,"suffix":""}],"id":"ITEM-1","issued":{"date-parts":[["2021"]]},"number-of-pages":"1-69","publisher-place":"Jakarta","title":"EMPOWERING INDONESIAN WOMEN’S ECONOMY THROUGH DIGITAL FINANCIAL INCLUSION Lessons from MFS and SWEET Programs for Women Micro-Entrepreneurs in East Java","type":"report"},"uris":["http://www.mendeley.com/documents/?uuid=bdcd47ca-2a47-457c-82a3-65e05fb91c26","http://www.mendeley.com/documents/?uuid=3a17d7ad-47bf-4106-b073-07368269309a"]}],"mendeley":{"formattedCitation":"(Ade Soekadis, 2021)","plainTextFormattedCitation":"(Ade Soekadis, 2021)","previouslyFormattedCitation":"(Ade Soekadis, 2021)"},"properties":{"noteIndex":0},"schema":"https://github.com/citation-style-language/schema/raw/master/csl-citation.json"}</w:instrText>
      </w:r>
      <w:r w:rsidRPr="00384CB1">
        <w:rPr>
          <w:rFonts w:ascii="Times New Roman" w:hAnsi="Times New Roman"/>
          <w:sz w:val="24"/>
          <w:szCs w:val="24"/>
        </w:rPr>
        <w:fldChar w:fldCharType="separate"/>
      </w:r>
      <w:r w:rsidRPr="00384CB1">
        <w:rPr>
          <w:rFonts w:ascii="Times New Roman" w:hAnsi="Times New Roman"/>
          <w:sz w:val="24"/>
          <w:szCs w:val="24"/>
        </w:rPr>
        <w:t>(Ade Soekadis, 2021).</w:t>
      </w:r>
      <w:r w:rsidRPr="00384CB1">
        <w:rPr>
          <w:rFonts w:ascii="Times New Roman" w:hAnsi="Times New Roman"/>
          <w:sz w:val="24"/>
          <w:szCs w:val="24"/>
        </w:rPr>
        <w:fldChar w:fldCharType="end"/>
      </w:r>
    </w:p>
    <w:p w14:paraId="11162BB0" w14:textId="52EC5A4E" w:rsidR="008D7351" w:rsidRPr="00384CB1" w:rsidRDefault="00384CB1" w:rsidP="00384CB1">
      <w:pPr>
        <w:spacing w:after="120" w:line="240" w:lineRule="auto"/>
        <w:ind w:firstLine="720"/>
        <w:jc w:val="both"/>
        <w:rPr>
          <w:rFonts w:ascii="Times New Roman" w:hAnsi="Times New Roman"/>
          <w:sz w:val="24"/>
          <w:szCs w:val="24"/>
        </w:rPr>
      </w:pPr>
      <w:r w:rsidRPr="00384CB1">
        <w:rPr>
          <w:rFonts w:ascii="Times New Roman" w:hAnsi="Times New Roman"/>
          <w:sz w:val="24"/>
          <w:szCs w:val="24"/>
        </w:rPr>
        <w:t xml:space="preserve">This research focuses on understanding how MWB applies the </w:t>
      </w:r>
      <w:proofErr w:type="spellStart"/>
      <w:r w:rsidRPr="00384CB1">
        <w:rPr>
          <w:rFonts w:ascii="Times New Roman" w:hAnsi="Times New Roman"/>
          <w:sz w:val="24"/>
          <w:szCs w:val="24"/>
        </w:rPr>
        <w:t>Halaqoh</w:t>
      </w:r>
      <w:proofErr w:type="spellEnd"/>
      <w:r w:rsidRPr="00384CB1">
        <w:rPr>
          <w:rFonts w:ascii="Times New Roman" w:hAnsi="Times New Roman"/>
          <w:sz w:val="24"/>
          <w:szCs w:val="24"/>
        </w:rPr>
        <w:t xml:space="preserve"> model as a method of women's empowerment </w:t>
      </w:r>
      <w:r w:rsidRPr="00384CB1">
        <w:rPr>
          <w:rFonts w:ascii="Times New Roman" w:hAnsi="Times New Roman"/>
          <w:sz w:val="24"/>
          <w:szCs w:val="24"/>
        </w:rPr>
        <w:fldChar w:fldCharType="begin" w:fldLock="1"/>
      </w:r>
      <w:r w:rsidRPr="00384CB1">
        <w:rPr>
          <w:rFonts w:ascii="Times New Roman" w:hAnsi="Times New Roman"/>
          <w:sz w:val="24"/>
          <w:szCs w:val="24"/>
        </w:rPr>
        <w:instrText>ADDIN CSL_CITATION {"citationItems":[{"id":"ITEM-1","itemData":{"DOI":"10.15294/EDAJ.V10I2.44483","ISSN":"2252-6560","abstract":"Current financial inclusion studies generally use partial indicators from access and use dimensions and are still limited in using multi-dimensional indicators. This study investigates the nexus between financial inclusion, poverty, and inequality by looking at empirical evidence from 33 provinces in Indonesia during 2009 - 2019. The Financial Inclusion Index (FII) for each province is constructed following Wang &amp;amp; Guan (2017) approach, which is more objective in weight assignment and avoids correlations between dimensions, namely access dimension, and usage dimension. The results show that financial inclusion has a significant effect on reducing poverty in Indonesia. There is evidence that FII supports the existence of an inverted U-curve relationship between financial inclusion and inequality. If we dispart the FII, the result shows that the only access dimension has a significant effect on reducing poverty levels in Indonesia and supports an inverted U-curve relationship with inequality. To make financial inclusion a tool for combat poverty and inequality, Indonesia needs to provide broad and greater financial access, engage unbanked people to make an account, and use financial services, especially for poor people. Alongside that, Indonesia also needs to make usage dimension has an impact on financial inclusion. Financial institutions need to design the right products so that they can provide based on people's needs.","author":[{"dropping-particle":"","family":"Fitriatinnisa","given":"Dipta","non-dropping-particle":"","parse-names":false,"suffix":""},{"dropping-particle":"","family":"Khoirunurrofik","given":"Khoirunurrofik","non-dropping-particle":"","parse-names":false,"suffix":""}],"container-title":"Economics Development Analysis Journal","id":"ITEM-1","issue":"2","issued":{"date-parts":[["2021","6"]]},"page":"205-220","title":"Financial Inclusion, Poverty, Inequality: Empirical Evidence from Provincial in  Indonesia","type":"article-journal","volume":"10"},"uris":["http://www.mendeley.com/documents/?uuid=fdd3f064-5bfd-3c8c-a055-8cd59792c709","http://www.mendeley.com/documents/?uuid=ce4b2b78-c070-4f00-a43a-e03a5cd354a2"]}],"mendeley":{"formattedCitation":"(Fitriatinnisa &amp; Khoirunurrofik, 2021)","manualFormatting":"(Fitriatinnisa &amp; Khoirunurrofik, 2021","plainTextFormattedCitation":"(Fitriatinnisa &amp; Khoirunurrofik, 2021)","previouslyFormattedCitation":"(Fitriatinnisa &amp; Khoirunurrofik, 2021)"},"properties":{"noteIndex":0},"schema":"https://github.com/citation-style-language/schema/raw/master/csl-citation.json"}</w:instrText>
      </w:r>
      <w:r w:rsidRPr="00384CB1">
        <w:rPr>
          <w:rFonts w:ascii="Times New Roman" w:hAnsi="Times New Roman"/>
          <w:sz w:val="24"/>
          <w:szCs w:val="24"/>
        </w:rPr>
        <w:fldChar w:fldCharType="separate"/>
      </w:r>
      <w:r w:rsidRPr="00384CB1">
        <w:rPr>
          <w:rFonts w:ascii="Times New Roman" w:hAnsi="Times New Roman"/>
          <w:sz w:val="24"/>
          <w:szCs w:val="24"/>
        </w:rPr>
        <w:t>(Fitriatinnisa &amp; Khoirunurrofik, 2021</w:t>
      </w:r>
      <w:r w:rsidRPr="00384CB1">
        <w:rPr>
          <w:rFonts w:ascii="Times New Roman" w:hAnsi="Times New Roman"/>
          <w:sz w:val="24"/>
          <w:szCs w:val="24"/>
        </w:rPr>
        <w:fldChar w:fldCharType="end"/>
      </w:r>
      <w:r w:rsidRPr="00384CB1">
        <w:rPr>
          <w:rFonts w:ascii="Times New Roman" w:hAnsi="Times New Roman"/>
          <w:sz w:val="24"/>
          <w:szCs w:val="24"/>
        </w:rPr>
        <w:fldChar w:fldCharType="begin" w:fldLock="1"/>
      </w:r>
      <w:r w:rsidRPr="00384CB1">
        <w:rPr>
          <w:rFonts w:ascii="Times New Roman" w:hAnsi="Times New Roman"/>
          <w:sz w:val="24"/>
          <w:szCs w:val="24"/>
        </w:rPr>
        <w:instrText>ADDIN CSL_CITATION {"citationItems":[{"id":"ITEM-1","itemData":{"author":[{"dropping-particle":"","family":"IFC","given":"","non-dropping-particle":"","parse-names":false,"suffix":""}],"id":"ITEM-1","issued":{"date-parts":[["2021"]]},"number-of-pages":"54","publisher-place":"Jakarta","title":"Mobile Banking in Indonesia Assessing the MArket PotentiAl for Mobile technology to extend bAnking to the UnbAnked And UnderbAnked","type":"report"},"uris":["http://www.mendeley.com/documents/?uuid=11d2d1f4-ae4d-3198-9f99-769bfdd968ec","http://www.mendeley.com/documents/?uuid=b20136e2-e202-44ac-9420-e3d76a2fc506"]}],"mendeley":{"formattedCitation":"(IFC, 2021)","manualFormatting":"; IFC, 2021)","plainTextFormattedCitation":"(IFC, 2021)","previouslyFormattedCitation":"(IFC, 2021)"},"properties":{"noteIndex":0},"schema":"https://github.com/citation-style-language/schema/raw/master/csl-citation.json"}</w:instrText>
      </w:r>
      <w:r w:rsidRPr="00384CB1">
        <w:rPr>
          <w:rFonts w:ascii="Times New Roman" w:hAnsi="Times New Roman"/>
          <w:sz w:val="24"/>
          <w:szCs w:val="24"/>
        </w:rPr>
        <w:fldChar w:fldCharType="separate"/>
      </w:r>
      <w:r w:rsidRPr="00384CB1">
        <w:rPr>
          <w:rFonts w:ascii="Times New Roman" w:hAnsi="Times New Roman"/>
          <w:sz w:val="24"/>
          <w:szCs w:val="24"/>
        </w:rPr>
        <w:t>; IFC, 2021).</w:t>
      </w:r>
      <w:r w:rsidRPr="00384CB1">
        <w:rPr>
          <w:rFonts w:ascii="Times New Roman" w:hAnsi="Times New Roman"/>
          <w:sz w:val="24"/>
          <w:szCs w:val="24"/>
        </w:rPr>
        <w:fldChar w:fldCharType="end"/>
      </w:r>
      <w:r w:rsidRPr="00384CB1">
        <w:rPr>
          <w:rFonts w:ascii="Times New Roman" w:hAnsi="Times New Roman"/>
          <w:sz w:val="24"/>
          <w:szCs w:val="24"/>
        </w:rPr>
        <w:t xml:space="preserve"> What is already known is that </w:t>
      </w:r>
      <w:proofErr w:type="spellStart"/>
      <w:r w:rsidRPr="00384CB1">
        <w:rPr>
          <w:rFonts w:ascii="Times New Roman" w:hAnsi="Times New Roman"/>
          <w:sz w:val="24"/>
          <w:szCs w:val="24"/>
        </w:rPr>
        <w:t>Halaqoh</w:t>
      </w:r>
      <w:proofErr w:type="spellEnd"/>
      <w:r w:rsidRPr="00384CB1">
        <w:rPr>
          <w:rFonts w:ascii="Times New Roman" w:hAnsi="Times New Roman"/>
          <w:sz w:val="24"/>
          <w:szCs w:val="24"/>
        </w:rPr>
        <w:t xml:space="preserve"> functions as an interactive learning space where participants can share experiences and knowledge in a supportive atmosphere. However, much remains unknown, especially regarding the long-term impact of this program on the economic well-being of women and their families, as well as how MWB manages the risks associated with</w:t>
      </w:r>
      <w:r w:rsidR="00A37C76">
        <w:rPr>
          <w:rFonts w:ascii="Times New Roman" w:hAnsi="Times New Roman"/>
          <w:sz w:val="24"/>
          <w:szCs w:val="24"/>
        </w:rPr>
        <w:t xml:space="preserve"> it</w:t>
      </w:r>
      <w:r w:rsidRPr="00384CB1">
        <w:rPr>
          <w:rFonts w:ascii="Times New Roman" w:hAnsi="Times New Roman"/>
          <w:sz w:val="24"/>
          <w:szCs w:val="24"/>
        </w:rPr>
        <w:t xml:space="preserve"> </w:t>
      </w:r>
      <w:r w:rsidRPr="00384CB1">
        <w:rPr>
          <w:rFonts w:ascii="Times New Roman" w:hAnsi="Times New Roman"/>
          <w:sz w:val="24"/>
          <w:szCs w:val="24"/>
        </w:rPr>
        <w:fldChar w:fldCharType="begin" w:fldLock="1"/>
      </w:r>
      <w:r w:rsidRPr="00384CB1">
        <w:rPr>
          <w:rFonts w:ascii="Times New Roman" w:hAnsi="Times New Roman"/>
          <w:sz w:val="24"/>
          <w:szCs w:val="24"/>
        </w:rPr>
        <w:instrText>ADDIN CSL_CITATION {"citationItems":[{"id":"ITEM-1","itemData":{"DOI":"10.1016/J.HELIYON.2019.E02301","ISSN":"2405-8440","abstract":"This paper investigates the determining factors of non-performing financing in Islamic microfinance institutions (MFIs) in Indonesia. Using logistic regression, the study sample comprises data from 140 clients; 90 with a good financing status and 50 with a poor financing status. The results show that age, gender, occupation, and type of contract influence the non-performance of clients of Islamic MFIs in Indonesia. Probit regression confirmed the results.","author":[{"dropping-particle":"","family":"Fianto","given":"Bayu Arie","non-dropping-particle":"","parse-names":false,"suffix":""},{"dropping-particle":"","family":"Maulida","given":"Hayu","non-dropping-particle":"","parse-names":false,"suffix":""},{"dropping-particle":"","family":"Laila","given":"Nisful","non-dropping-particle":"","parse-names":false,"suffix":""}],"container-title":"Heliyon","id":"ITEM-1","issue":"8","issued":{"date-parts":[["2019","8"]]},"page":"e02301","publisher":"Elsevier","title":"Determining factors of non-performing financing in Islamic microfinance institutions","type":"article-journal","volume":"5"},"uris":["http://www.mendeley.com/documents/?uuid=9df02d98-19d0-3730-b546-914616f7ab4f","http://www.mendeley.com/documents/?uuid=0b9d9ce7-c858-42ae-aa32-13ed9b2ec6af","http://www.mendeley.com/documents/?uuid=e5b9ae00-766e-4714-b014-20c9488fca9f"]},{"id":"ITEM-2","itemData":{"DOI":"10.22515/SHIRKAH.V4I2.269","ISSN":"2503-4243","abstract":"The launch of the  Bank Wakaf Mikro  (Micro Wakaf Bank/BWM) at the  pesantren  by the Financial Services Authority (OJK) has received a positive response to realizing economic opportunities in the  pesantren . This study aims to examine the role of  pesantren  in empowering creative economics through the BWM program. This study was conducted by doing in-depth observations and interviews. The researchers gathered data using purposive sampling and snowball sampling techniques. The research findings illustrate the presence of BWM at the  pesantren  Buntet, Cirebon, West Java, Indonesia has provided a new forum, both for the leaders of the  pesantren  and the community around the  pesantren  to carry out their economic potential. Communities surrounding the  pesantren  argue that BWM has been able to overcome the difficulties in accessing financing needs on a micro-scale. However, the BWM needs to increase the amount of funding and products to follow customers' needs in order to create more promising business variations.     Keywords: pesantren, OJK, micro bank, Buntet, Cirebon","author":[{"dropping-particle":"","family":"Umar","given":"Abu","non-dropping-particle":"","parse-names":false,"suffix":""},{"dropping-particle":"","family":"Ahmad","given":"Faruq","non-dropping-particle":"","parse-names":false,"suffix":""},{"dropping-particle":"","family":"Fischer","given":"Johan","non-dropping-particle":"","parse-names":false,"suffix":""},{"dropping-particle":"","family":"Zulkhibri","given":"Muhamed","non-dropping-particle":"","parse-names":false,"suffix":""},{"dropping-particle":"","family":"Hassan","given":"M Kabir","non-dropping-particle":"","parse-names":false,"suffix":""},{"dropping-particle":"","family":"Asy'arie","given":"Musa","non-dropping-particle":"","parse-names":false,"suffix":""},{"dropping-particle":"","family":"Hidayah","given":"Nunung Nurul","non-dropping-particle":"","parse-names":false,"suffix":""},{"dropping-particle":"","family":"Kayadibi","given":"Saim","non-dropping-particle":"","parse-names":false,"suffix":""},{"dropping-particle":"","family":"Ghazanfar","given":"Shaikh M","non-dropping-particle":"","parse-names":false,"suffix":""}],"container-title":"Shirkah: Journal of Economics and Business","id":"ITEM-2","issue":"2","issued":{"date-parts":[["2019","12"]]},"page":"2503-4243","publisher":"IAIN Surakarta","title":"Bank Wakaf Mikro and Creative Economics in Pesantren Buntet","type":"article-journal","volume":"4"},"uris":["http://www.mendeley.com/documents/?uuid=526c41b4-92dc-32f6-9422-a626fd96fc76","http://www.mendeley.com/documents/?uuid=dad29b48-e90d-41c9-b0f2-c46e27362c2a","http://www.mendeley.com/documents/?uuid=3b3aa4d6-5912-4a3f-a762-aab2c63eb4b8"]},{"id":"ITEM-3","itemData":{"abstract":"Waqf plays a very important economic and social role in Islamic history. Waqf functions as a source of funding for religious facilities, education, social and public services. Much of the development of the Islamic economic sector or Islamic banking is linked to waqf, not least in 2017 The government together with the OJK initiated the existence of a Micro Waqf Bank in an effort to address the problem of poverty, in collaboration with pesantren-based institutions in Indonesia. This study uses normative juridical research methods using secondary data using qualitative descriptive analysis. The results of this study indicate that the term micro waqf bank was chosen because the government expects that the core of the funds distributed to the public is maintained essentially without reducing its benefits, besides being named the Micro Waqf Bank because the BWM operation is located in a boarding school environment. During its development, the BWM uses the term micro waqf bank in naming its institution but from the legal basis and the form of the legal entity it is very far from naming it. The legal entity of this BWM is a Cooperative, while the BWM business license is a sharia microfinance institution so that its supervision is in under the Financial Services Authority (OJK).","author":[{"dropping-particle":"","family":"Sulistiani, Siska Lis, Muhammad Yunus","given":"Eva Misfah Bayuni","non-dropping-particle":"","parse-names":false,"suffix":""}],"container-title":"Jurnal Bimas Islam","id":"ITEM-3","issue":"1","issued":{"date-parts":[["2019"]]},"page":"1-26","title":"The Role and Legality of Micro Waqf Bank in Pesantren Based Poverty Alleviation in Indonesia","type":"article-journal","volume":"12"},"uris":["http://www.mendeley.com/documents/?uuid=71ca0303-2d2c-435f-8440-bcb36326e407","http://www.mendeley.com/documents/?uuid=87424e65-664a-4611-be6e-7dfcbc4504d9","http://www.mendeley.com/documents/?uuid=0d873a1b-3339-4a99-a8b6-d38a2864e27c"]}],"mendeley":{"formattedCitation":"(Fianto et al., 2019; Sulistiani, Siska Lis, Muhammad Yunus, 2019; Umar et al., 2019)","plainTextFormattedCitation":"(Fianto et al., 2019; Sulistiani, Siska Lis, Muhammad Yunus, 2019; Umar et al., 2019)","previouslyFormattedCitation":"(Fianto et al., 2019; Sulistiani, Siska Lis, Muhammad Yunus, 2019; Umar et al., 2019)"},"properties":{"noteIndex":0},"schema":"https://github.com/citation-style-language/schema/raw/master/csl-citation.json"}</w:instrText>
      </w:r>
      <w:r w:rsidRPr="00384CB1">
        <w:rPr>
          <w:rFonts w:ascii="Times New Roman" w:hAnsi="Times New Roman"/>
          <w:sz w:val="24"/>
          <w:szCs w:val="24"/>
        </w:rPr>
        <w:fldChar w:fldCharType="separate"/>
      </w:r>
      <w:r w:rsidRPr="00384CB1">
        <w:rPr>
          <w:rFonts w:ascii="Times New Roman" w:hAnsi="Times New Roman"/>
          <w:sz w:val="24"/>
          <w:szCs w:val="24"/>
        </w:rPr>
        <w:t>(</w:t>
      </w:r>
      <w:proofErr w:type="spellStart"/>
      <w:r w:rsidRPr="00384CB1">
        <w:rPr>
          <w:rFonts w:ascii="Times New Roman" w:hAnsi="Times New Roman"/>
          <w:sz w:val="24"/>
          <w:szCs w:val="24"/>
        </w:rPr>
        <w:t>Fianto</w:t>
      </w:r>
      <w:proofErr w:type="spellEnd"/>
      <w:r w:rsidRPr="00384CB1">
        <w:rPr>
          <w:rFonts w:ascii="Times New Roman" w:hAnsi="Times New Roman"/>
          <w:sz w:val="24"/>
          <w:szCs w:val="24"/>
        </w:rPr>
        <w:t xml:space="preserve"> et al., 2019; Sulistiani, Siska Lis, Muhammad Yunus, 2019; Umar et al., 2019).</w:t>
      </w:r>
      <w:r w:rsidRPr="00384CB1">
        <w:rPr>
          <w:rFonts w:ascii="Times New Roman" w:hAnsi="Times New Roman"/>
          <w:sz w:val="24"/>
          <w:szCs w:val="24"/>
        </w:rPr>
        <w:fldChar w:fldCharType="end"/>
      </w:r>
      <w:r w:rsidRPr="00384CB1">
        <w:rPr>
          <w:rFonts w:ascii="Times New Roman" w:hAnsi="Times New Roman"/>
          <w:sz w:val="24"/>
          <w:szCs w:val="24"/>
        </w:rPr>
        <w:t xml:space="preserve"> Through a qualitative approach involving in-depth interviews, observations, and documentation analysis, this study aims to elaborate </w:t>
      </w:r>
      <w:r w:rsidR="00A37C76">
        <w:rPr>
          <w:rFonts w:ascii="Times New Roman" w:hAnsi="Times New Roman"/>
          <w:sz w:val="24"/>
          <w:szCs w:val="24"/>
        </w:rPr>
        <w:t xml:space="preserve">on </w:t>
      </w:r>
      <w:r w:rsidRPr="00384CB1">
        <w:rPr>
          <w:rFonts w:ascii="Times New Roman" w:hAnsi="Times New Roman"/>
          <w:sz w:val="24"/>
          <w:szCs w:val="24"/>
        </w:rPr>
        <w:t xml:space="preserve">the empowerment model applied by </w:t>
      </w:r>
      <w:r w:rsidRPr="00384CB1">
        <w:rPr>
          <w:rFonts w:ascii="Times New Roman" w:hAnsi="Times New Roman"/>
          <w:sz w:val="24"/>
          <w:szCs w:val="24"/>
        </w:rPr>
        <w:fldChar w:fldCharType="begin" w:fldLock="1"/>
      </w:r>
      <w:r w:rsidRPr="00384CB1">
        <w:rPr>
          <w:rFonts w:ascii="Times New Roman" w:hAnsi="Times New Roman"/>
          <w:sz w:val="24"/>
          <w:szCs w:val="24"/>
        </w:rPr>
        <w:instrText>ADDIN CSL_CITATION {"citationItems":[{"id":"ITEM-1","itemData":{"DOI":"10.31603/variajusticia.v16i1.3205","ISSN":"1907-3216","abstract":"The presence of types of financial institutions in Indonesia makes it easy for people to choose which financial services they need. Micro Waqf Bank is one of the Microfinance Institutions that applies sharia principles that are currently growing and developing. However, there are legal issues related to arrangements for organizing a Micro Waqf Bank with a cooperative legal entity, namely, there are two overlapping regulations, namely the Microfinance Institution legislation, and Cooperative regulations. The purpose of this study is necessary to find out whether the legal consequences arising in the process of establishment, implementation, or if there are problems encountered by Mikro Waqf Banks as a Sharia Microfinance Institution incorporated as a cooperative. This study uses a normative legal research method with a statutory approach and conceptual approach. This study shows that the dualism of Micro Waqf Bank arrangements gives rise to contradictions in the arrangements for the establishment, guidance, and supervision. The existence of this dualism of regulation also gives rise to legal consequences in the establishment of a Micro Waqf Bank incorporated as a cooperative. The legal consequences are related to the broader aspects of business activities based on MFI regulations compared to cooperative regulations. Legal consequences related to capital aspects that require Micro Waqf Banks have a certain amount of capital by MFI regulations. Then from the aspect of coaching and supervision in which there are an examination and evaluation, there is also a dualism which in the regulation of the function of the cooperative is carried out by the Ministry of Cooperatives but the existence of the MFI regulation of the fostering and supervision function is under the authority of the Financial Services Authority.","author":[{"dropping-particle":"","family":"Paramita","given":"","non-dropping-particle":"","parse-names":false,"suffix":""},{"dropping-particle":"","family":"Prananingtyas","given":"Hari Sutra Disemadi","non-dropping-particle":"","parse-names":false,"suffix":""}],"container-title":"Varia Justicia","id":"ITEM-1","issue":"1","issued":{"date-parts":[["2020","4"]]},"page":"1-14","publisher":"Universitas Muhammadiyah Magelang","title":"Legal Consequences of Dualism Regulations on Micro Waqf Bank as a Sharia Microfinance Institutions in Indonesia","type":"article-journal","volume":"16"},"uris":["http://www.mendeley.com/documents/?uuid=c298e79a-aa7e-3e93-81d3-a24989badb84","http://www.mendeley.com/documents/?uuid=7447f037-ef20-4f81-a34d-d40a10b2e5d0","http://www.mendeley.com/documents/?uuid=ebdee2f7-802e-44e9-8ef2-7cb067667281"]},{"id":"ITEM-2","itemData":{"DOI":"10.48047/rigeo.11.04.24","ISSN":"2146-0353","abstract":"Micro Waqf Bank (BWM) is an Islamic microfinance institution which aims to empower the poor and whose development strategies in Indonesia are examined in this study. To keep empowering the poor, BWM should survive and sustain. This study discovers the main strategies for developing BWM in Indonesia, so that it will survive and sustain. This study employed SWOT analysis which resulted in SWOT matrix and several alternative strategies (SO, ST, WO, and WT strategies). This study also applied ANP to determine the main strategies for developing BWM. Data were obtained from observation, interviews, and literature review. Interviews were conducted with practitioners, experts, regulators, and academics. Among the six alternative strategies for developing BWM in Indonesia, the most crucial is dissemination and education on BWM to the general public. This study is limited to BWM and does not include cash waqf. Nowadays, BWM is the microfinance institution Financial Services Authority (OJK) promotes and becomes the most important instrument in the financial institution sector. Therefore, BWM deserves a closer empirical study. Besides, the bank has the potential to create jobs in the future. The combinations of alternative strategies aide the regulators and managers to decide the best strategies and influential factors for developing BWM in Indonesia.","author":[{"dropping-particle":"","family":"Hasiba","given":"Fatin Fadhillah","non-dropping-particle":"","parse-names":false,"suffix":""},{"dropping-particle":"","family":"Mahmudah","given":"Siti Nur","non-dropping-particle":"","parse-names":false,"suffix":""},{"dropping-particle":"","family":"Puji Sucia Sukmaningrum, Shochrul Rohmatul Ajija","given":"M Bastomi Fahri Zusak","non-dropping-particle":"","parse-names":false,"suffix":""}],"container-title":"rigeo.org","id":"ITEM-2","issue":"4","issued":{"date-parts":[["2021"]]},"page":"2021","title":"The Strategies for Developing Micro Waqf Bank in Indonesia","type":"article-journal","volume":"11"},"uris":["http://www.mendeley.com/documents/?uuid=b8a1f9d2-97f7-3473-a22b-e1a8de5f7800","http://www.mendeley.com/documents/?uuid=36c5e4c3-782f-40d8-a50b-2e619dad5c30","http://www.mendeley.com/documents/?uuid=caadee5a-1067-4f6d-80f1-852430535ac8"]}],"mendeley":{"formattedCitation":"(Hasiba et al., 2021; Paramita &amp; Prananingtyas, 2020)","plainTextFormattedCitation":"(Hasiba et al., 2021; Paramita &amp; Prananingtyas, 2020)","previouslyFormattedCitation":"(Hasiba et al., 2021; Paramita &amp; Prananingtyas, 2020)"},"properties":{"noteIndex":0},"schema":"https://github.com/citation-style-language/schema/raw/master/csl-citation.json"}</w:instrText>
      </w:r>
      <w:r w:rsidRPr="00384CB1">
        <w:rPr>
          <w:rFonts w:ascii="Times New Roman" w:hAnsi="Times New Roman"/>
          <w:sz w:val="24"/>
          <w:szCs w:val="24"/>
        </w:rPr>
        <w:fldChar w:fldCharType="separate"/>
      </w:r>
      <w:r w:rsidRPr="00384CB1">
        <w:rPr>
          <w:rFonts w:ascii="Times New Roman" w:hAnsi="Times New Roman"/>
          <w:sz w:val="24"/>
          <w:szCs w:val="24"/>
        </w:rPr>
        <w:t xml:space="preserve">(Hasiba et al., 2021; </w:t>
      </w:r>
      <w:r w:rsidR="00A37C76">
        <w:rPr>
          <w:rFonts w:ascii="Times New Roman" w:hAnsi="Times New Roman"/>
          <w:sz w:val="24"/>
          <w:szCs w:val="24"/>
        </w:rPr>
        <w:t xml:space="preserve">and </w:t>
      </w:r>
      <w:r w:rsidRPr="00384CB1">
        <w:rPr>
          <w:rFonts w:ascii="Times New Roman" w:hAnsi="Times New Roman"/>
          <w:sz w:val="24"/>
          <w:szCs w:val="24"/>
        </w:rPr>
        <w:t xml:space="preserve">Paramita </w:t>
      </w:r>
      <w:proofErr w:type="spellStart"/>
      <w:r w:rsidRPr="00384CB1">
        <w:rPr>
          <w:rFonts w:ascii="Times New Roman" w:hAnsi="Times New Roman"/>
          <w:sz w:val="24"/>
          <w:szCs w:val="24"/>
        </w:rPr>
        <w:t>Prananingtyas</w:t>
      </w:r>
      <w:proofErr w:type="spellEnd"/>
      <w:r w:rsidRPr="00384CB1">
        <w:rPr>
          <w:rFonts w:ascii="Times New Roman" w:hAnsi="Times New Roman"/>
          <w:sz w:val="24"/>
          <w:szCs w:val="24"/>
        </w:rPr>
        <w:t>, 2020).</w:t>
      </w:r>
      <w:r w:rsidRPr="00384CB1">
        <w:rPr>
          <w:rFonts w:ascii="Times New Roman" w:hAnsi="Times New Roman"/>
          <w:sz w:val="24"/>
          <w:szCs w:val="24"/>
        </w:rPr>
        <w:fldChar w:fldCharType="end"/>
      </w:r>
      <w:r w:rsidRPr="00384CB1">
        <w:rPr>
          <w:rFonts w:ascii="Times New Roman" w:hAnsi="Times New Roman"/>
          <w:sz w:val="24"/>
          <w:szCs w:val="24"/>
        </w:rPr>
        <w:t xml:space="preserve"> This study also aims to provide insight into the ways and reasons behind the success of this model in empowering marginalized women, as well as its implications for government policies and related institutions in supporting women's economic empowerment in Indonesia. Thus, the results of this study are expected to make a significant contribution to the literature on women's empowerment and financial access in the sharia context.</w:t>
      </w:r>
    </w:p>
    <w:p w14:paraId="0E0C39A9" w14:textId="5E845FA7" w:rsidR="00CC5B43" w:rsidRPr="00B91E92" w:rsidRDefault="00CC5B43" w:rsidP="004B5F79">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 xml:space="preserve">Research </w:t>
      </w:r>
      <w:r w:rsidR="000050EB" w:rsidRPr="00B91E92">
        <w:rPr>
          <w:rFonts w:ascii="Times New Roman" w:hAnsi="Times New Roman" w:cs="Times New Roman"/>
          <w:b/>
          <w:bCs/>
          <w:sz w:val="24"/>
          <w:szCs w:val="24"/>
        </w:rPr>
        <w:t>Method</w:t>
      </w:r>
    </w:p>
    <w:p w14:paraId="529E9927" w14:textId="77777777" w:rsidR="00384CB1" w:rsidRPr="004E16EB" w:rsidRDefault="00384CB1" w:rsidP="00384CB1">
      <w:pPr>
        <w:spacing w:after="120" w:line="240" w:lineRule="auto"/>
        <w:ind w:firstLine="720"/>
        <w:jc w:val="both"/>
        <w:rPr>
          <w:rFonts w:ascii="Times New Roman" w:hAnsi="Times New Roman" w:cs="Times New Roman"/>
          <w:sz w:val="24"/>
          <w:szCs w:val="24"/>
        </w:rPr>
      </w:pPr>
      <w:r w:rsidRPr="004E16EB">
        <w:rPr>
          <w:rFonts w:ascii="Times New Roman" w:hAnsi="Times New Roman"/>
          <w:sz w:val="24"/>
          <w:szCs w:val="24"/>
        </w:rPr>
        <w:t>This study was conducted at MWB in the Provinces of Yogyakarta, West Sumatra, as well as Central and East Java, Indonesia, as shown in Table 1.</w:t>
      </w:r>
    </w:p>
    <w:p w14:paraId="29663E78" w14:textId="77777777" w:rsidR="00384CB1" w:rsidRPr="004E16EB" w:rsidRDefault="00384CB1" w:rsidP="00384CB1">
      <w:pPr>
        <w:spacing w:after="0" w:line="240" w:lineRule="auto"/>
        <w:jc w:val="both"/>
        <w:rPr>
          <w:rFonts w:ascii="Times New Roman" w:hAnsi="Times New Roman" w:cs="Times New Roman"/>
          <w:sz w:val="24"/>
          <w:szCs w:val="24"/>
        </w:rPr>
      </w:pPr>
      <w:r w:rsidRPr="004E16EB">
        <w:rPr>
          <w:rFonts w:ascii="Times New Roman" w:hAnsi="Times New Roman" w:cs="Times New Roman"/>
          <w:sz w:val="24"/>
          <w:szCs w:val="24"/>
        </w:rPr>
        <w:t>Table 1. Study Location</w:t>
      </w:r>
    </w:p>
    <w:tbl>
      <w:tblPr>
        <w:tblStyle w:val="TableGrid"/>
        <w:tblW w:w="0" w:type="auto"/>
        <w:tblLook w:val="04A0" w:firstRow="1" w:lastRow="0" w:firstColumn="1" w:lastColumn="0" w:noHBand="0" w:noVBand="1"/>
      </w:tblPr>
      <w:tblGrid>
        <w:gridCol w:w="1715"/>
        <w:gridCol w:w="7311"/>
      </w:tblGrid>
      <w:tr w:rsidR="00384CB1" w:rsidRPr="004E16EB" w14:paraId="33507786" w14:textId="77777777" w:rsidTr="0097302F">
        <w:tc>
          <w:tcPr>
            <w:tcW w:w="1728" w:type="dxa"/>
            <w:tcBorders>
              <w:top w:val="single" w:sz="4" w:space="0" w:color="auto"/>
              <w:left w:val="nil"/>
              <w:bottom w:val="single" w:sz="4" w:space="0" w:color="auto"/>
              <w:right w:val="nil"/>
            </w:tcBorders>
          </w:tcPr>
          <w:p w14:paraId="52773824" w14:textId="77777777" w:rsidR="00384CB1" w:rsidRPr="004E16EB" w:rsidRDefault="00384CB1" w:rsidP="0097302F">
            <w:pPr>
              <w:jc w:val="both"/>
              <w:rPr>
                <w:rFonts w:ascii="Times New Roman" w:hAnsi="Times New Roman" w:cs="Times New Roman"/>
                <w:sz w:val="24"/>
                <w:szCs w:val="24"/>
              </w:rPr>
            </w:pPr>
            <w:r w:rsidRPr="004E16EB">
              <w:rPr>
                <w:rFonts w:ascii="Times New Roman" w:hAnsi="Times New Roman" w:cs="Times New Roman"/>
                <w:sz w:val="24"/>
                <w:szCs w:val="24"/>
              </w:rPr>
              <w:t>Province</w:t>
            </w:r>
          </w:p>
        </w:tc>
        <w:tc>
          <w:tcPr>
            <w:tcW w:w="7514" w:type="dxa"/>
            <w:tcBorders>
              <w:top w:val="single" w:sz="4" w:space="0" w:color="auto"/>
              <w:left w:val="nil"/>
              <w:bottom w:val="single" w:sz="4" w:space="0" w:color="auto"/>
              <w:right w:val="nil"/>
            </w:tcBorders>
          </w:tcPr>
          <w:p w14:paraId="42B19FE9" w14:textId="77777777" w:rsidR="00384CB1" w:rsidRPr="004E16EB" w:rsidRDefault="00384CB1" w:rsidP="0097302F">
            <w:pPr>
              <w:jc w:val="center"/>
              <w:rPr>
                <w:rFonts w:ascii="Times New Roman" w:hAnsi="Times New Roman" w:cs="Times New Roman"/>
                <w:sz w:val="24"/>
                <w:szCs w:val="24"/>
              </w:rPr>
            </w:pPr>
            <w:r w:rsidRPr="004E16EB">
              <w:rPr>
                <w:rFonts w:ascii="Times New Roman" w:hAnsi="Times New Roman" w:cs="Times New Roman"/>
                <w:sz w:val="24"/>
                <w:szCs w:val="24"/>
              </w:rPr>
              <w:t xml:space="preserve">SMI MWB </w:t>
            </w:r>
          </w:p>
        </w:tc>
      </w:tr>
      <w:tr w:rsidR="00384CB1" w:rsidRPr="004E16EB" w14:paraId="7D4E05D4" w14:textId="77777777" w:rsidTr="0097302F">
        <w:tc>
          <w:tcPr>
            <w:tcW w:w="1728" w:type="dxa"/>
            <w:tcBorders>
              <w:top w:val="single" w:sz="4" w:space="0" w:color="auto"/>
              <w:left w:val="nil"/>
              <w:bottom w:val="nil"/>
              <w:right w:val="nil"/>
            </w:tcBorders>
          </w:tcPr>
          <w:p w14:paraId="31062D44" w14:textId="77777777" w:rsidR="00384CB1" w:rsidRPr="004E16EB" w:rsidRDefault="00384CB1" w:rsidP="0097302F">
            <w:pPr>
              <w:jc w:val="both"/>
              <w:rPr>
                <w:rFonts w:ascii="Times New Roman" w:hAnsi="Times New Roman" w:cs="Times New Roman"/>
                <w:sz w:val="24"/>
                <w:szCs w:val="24"/>
              </w:rPr>
            </w:pPr>
            <w:r w:rsidRPr="004E16EB">
              <w:rPr>
                <w:rFonts w:ascii="Times New Roman" w:hAnsi="Times New Roman" w:cs="Times New Roman"/>
                <w:sz w:val="24"/>
                <w:szCs w:val="24"/>
              </w:rPr>
              <w:t>West Sumatra</w:t>
            </w:r>
          </w:p>
        </w:tc>
        <w:tc>
          <w:tcPr>
            <w:tcW w:w="7514" w:type="dxa"/>
            <w:tcBorders>
              <w:top w:val="single" w:sz="4" w:space="0" w:color="auto"/>
              <w:left w:val="nil"/>
              <w:bottom w:val="nil"/>
              <w:right w:val="nil"/>
            </w:tcBorders>
          </w:tcPr>
          <w:p w14:paraId="55035E85" w14:textId="77777777" w:rsidR="00384CB1" w:rsidRPr="004E16EB" w:rsidRDefault="00384CB1" w:rsidP="00384CB1">
            <w:pPr>
              <w:pStyle w:val="ListParagraph"/>
              <w:numPr>
                <w:ilvl w:val="0"/>
                <w:numId w:val="8"/>
              </w:numPr>
              <w:ind w:left="252"/>
              <w:jc w:val="both"/>
              <w:rPr>
                <w:rFonts w:ascii="Times New Roman" w:hAnsi="Times New Roman" w:cs="Times New Roman"/>
              </w:rPr>
            </w:pPr>
            <w:r w:rsidRPr="004E16EB">
              <w:rPr>
                <w:rFonts w:ascii="Times New Roman" w:hAnsi="Times New Roman" w:cs="Times New Roman"/>
              </w:rPr>
              <w:t xml:space="preserve">SMI MWB Al </w:t>
            </w:r>
            <w:proofErr w:type="spellStart"/>
            <w:r w:rsidRPr="004E16EB">
              <w:rPr>
                <w:rFonts w:ascii="Times New Roman" w:hAnsi="Times New Roman" w:cs="Times New Roman"/>
              </w:rPr>
              <w:t>Kausar</w:t>
            </w:r>
            <w:proofErr w:type="spellEnd"/>
            <w:r w:rsidRPr="004E16EB">
              <w:rPr>
                <w:rFonts w:ascii="Times New Roman" w:hAnsi="Times New Roman" w:cs="Times New Roman"/>
              </w:rPr>
              <w:t xml:space="preserve"> Sari </w:t>
            </w:r>
            <w:proofErr w:type="spellStart"/>
            <w:r w:rsidRPr="004E16EB">
              <w:rPr>
                <w:rFonts w:ascii="Times New Roman" w:hAnsi="Times New Roman" w:cs="Times New Roman"/>
              </w:rPr>
              <w:t>Lamak</w:t>
            </w:r>
            <w:proofErr w:type="spellEnd"/>
            <w:r w:rsidRPr="004E16EB">
              <w:rPr>
                <w:rFonts w:ascii="Times New Roman" w:hAnsi="Times New Roman" w:cs="Times New Roman"/>
              </w:rPr>
              <w:t xml:space="preserve"> </w:t>
            </w:r>
            <w:proofErr w:type="spellStart"/>
            <w:r w:rsidRPr="004E16EB">
              <w:rPr>
                <w:rFonts w:ascii="Times New Roman" w:hAnsi="Times New Roman" w:cs="Times New Roman"/>
              </w:rPr>
              <w:t>Kec</w:t>
            </w:r>
            <w:proofErr w:type="spellEnd"/>
            <w:r w:rsidRPr="004E16EB">
              <w:rPr>
                <w:rFonts w:ascii="Times New Roman" w:hAnsi="Times New Roman" w:cs="Times New Roman"/>
              </w:rPr>
              <w:t xml:space="preserve">. </w:t>
            </w:r>
            <w:proofErr w:type="spellStart"/>
            <w:r w:rsidRPr="004E16EB">
              <w:rPr>
                <w:rFonts w:ascii="Times New Roman" w:hAnsi="Times New Roman" w:cs="Times New Roman"/>
              </w:rPr>
              <w:t>Harau</w:t>
            </w:r>
            <w:proofErr w:type="spellEnd"/>
            <w:r w:rsidRPr="004E16EB">
              <w:rPr>
                <w:rFonts w:ascii="Times New Roman" w:hAnsi="Times New Roman" w:cs="Times New Roman"/>
              </w:rPr>
              <w:t xml:space="preserve">, Lima </w:t>
            </w:r>
            <w:proofErr w:type="spellStart"/>
            <w:r w:rsidRPr="004E16EB">
              <w:rPr>
                <w:rFonts w:ascii="Times New Roman" w:hAnsi="Times New Roman" w:cs="Times New Roman"/>
              </w:rPr>
              <w:t>Puluh</w:t>
            </w:r>
            <w:proofErr w:type="spellEnd"/>
            <w:r w:rsidRPr="004E16EB">
              <w:rPr>
                <w:rFonts w:ascii="Times New Roman" w:hAnsi="Times New Roman" w:cs="Times New Roman"/>
              </w:rPr>
              <w:t xml:space="preserve"> Kota, West Sumatra</w:t>
            </w:r>
          </w:p>
        </w:tc>
      </w:tr>
      <w:tr w:rsidR="00384CB1" w:rsidRPr="004E16EB" w14:paraId="67F2E232" w14:textId="77777777" w:rsidTr="0097302F">
        <w:tc>
          <w:tcPr>
            <w:tcW w:w="1728" w:type="dxa"/>
            <w:vMerge w:val="restart"/>
            <w:tcBorders>
              <w:top w:val="nil"/>
              <w:left w:val="nil"/>
              <w:bottom w:val="nil"/>
              <w:right w:val="nil"/>
            </w:tcBorders>
          </w:tcPr>
          <w:p w14:paraId="35429D56" w14:textId="77777777" w:rsidR="00384CB1" w:rsidRPr="004E16EB" w:rsidRDefault="00384CB1" w:rsidP="0097302F">
            <w:pPr>
              <w:jc w:val="both"/>
              <w:rPr>
                <w:rFonts w:ascii="Times New Roman" w:hAnsi="Times New Roman" w:cs="Times New Roman"/>
                <w:sz w:val="24"/>
                <w:szCs w:val="24"/>
              </w:rPr>
            </w:pPr>
            <w:r w:rsidRPr="004E16EB">
              <w:rPr>
                <w:rFonts w:ascii="Times New Roman" w:hAnsi="Times New Roman" w:cs="Times New Roman"/>
                <w:sz w:val="24"/>
                <w:szCs w:val="24"/>
              </w:rPr>
              <w:t>Yogyakarta</w:t>
            </w:r>
          </w:p>
        </w:tc>
        <w:tc>
          <w:tcPr>
            <w:tcW w:w="7514" w:type="dxa"/>
            <w:tcBorders>
              <w:top w:val="nil"/>
              <w:left w:val="nil"/>
              <w:bottom w:val="nil"/>
              <w:right w:val="nil"/>
            </w:tcBorders>
          </w:tcPr>
          <w:p w14:paraId="579AC7E1" w14:textId="77777777" w:rsidR="00384CB1" w:rsidRPr="004E16EB" w:rsidRDefault="00384CB1" w:rsidP="00384CB1">
            <w:pPr>
              <w:pStyle w:val="ListParagraph"/>
              <w:numPr>
                <w:ilvl w:val="0"/>
                <w:numId w:val="8"/>
              </w:numPr>
              <w:ind w:left="252"/>
              <w:jc w:val="both"/>
              <w:rPr>
                <w:rFonts w:ascii="Times New Roman" w:hAnsi="Times New Roman" w:cs="Times New Roman"/>
              </w:rPr>
            </w:pPr>
            <w:r w:rsidRPr="004E16EB">
              <w:rPr>
                <w:rFonts w:ascii="Times New Roman" w:hAnsi="Times New Roman" w:cs="Times New Roman"/>
              </w:rPr>
              <w:t xml:space="preserve">SMI MWB Usaha </w:t>
            </w:r>
            <w:proofErr w:type="spellStart"/>
            <w:r w:rsidRPr="004E16EB">
              <w:rPr>
                <w:rFonts w:ascii="Times New Roman" w:hAnsi="Times New Roman" w:cs="Times New Roman"/>
              </w:rPr>
              <w:t>Mandiri</w:t>
            </w:r>
            <w:proofErr w:type="spellEnd"/>
            <w:r w:rsidRPr="004E16EB">
              <w:rPr>
                <w:rFonts w:ascii="Times New Roman" w:hAnsi="Times New Roman" w:cs="Times New Roman"/>
              </w:rPr>
              <w:t xml:space="preserve"> Sakinah, </w:t>
            </w:r>
            <w:proofErr w:type="spellStart"/>
            <w:r w:rsidRPr="004E16EB">
              <w:rPr>
                <w:rFonts w:ascii="Times New Roman" w:hAnsi="Times New Roman" w:cs="Times New Roman"/>
              </w:rPr>
              <w:t>Aisyiyah</w:t>
            </w:r>
            <w:proofErr w:type="spellEnd"/>
            <w:r w:rsidRPr="004E16EB">
              <w:rPr>
                <w:rFonts w:ascii="Times New Roman" w:hAnsi="Times New Roman" w:cs="Times New Roman"/>
              </w:rPr>
              <w:t xml:space="preserve"> University (UNISA) Yogyakarta</w:t>
            </w:r>
          </w:p>
        </w:tc>
      </w:tr>
      <w:tr w:rsidR="00384CB1" w:rsidRPr="004E16EB" w14:paraId="4F96A9B3" w14:textId="77777777" w:rsidTr="0097302F">
        <w:tc>
          <w:tcPr>
            <w:tcW w:w="1728" w:type="dxa"/>
            <w:vMerge/>
            <w:tcBorders>
              <w:top w:val="nil"/>
              <w:left w:val="nil"/>
              <w:bottom w:val="nil"/>
              <w:right w:val="nil"/>
            </w:tcBorders>
          </w:tcPr>
          <w:p w14:paraId="6BDC81BC" w14:textId="77777777" w:rsidR="00384CB1" w:rsidRPr="004E16EB" w:rsidRDefault="00384CB1" w:rsidP="0097302F">
            <w:pPr>
              <w:jc w:val="both"/>
              <w:rPr>
                <w:rFonts w:ascii="Times New Roman" w:hAnsi="Times New Roman" w:cs="Times New Roman"/>
                <w:sz w:val="24"/>
                <w:szCs w:val="24"/>
              </w:rPr>
            </w:pPr>
          </w:p>
        </w:tc>
        <w:tc>
          <w:tcPr>
            <w:tcW w:w="7514" w:type="dxa"/>
            <w:tcBorders>
              <w:top w:val="nil"/>
              <w:left w:val="nil"/>
              <w:bottom w:val="nil"/>
              <w:right w:val="nil"/>
            </w:tcBorders>
          </w:tcPr>
          <w:p w14:paraId="056A06E1" w14:textId="77777777" w:rsidR="00384CB1" w:rsidRPr="004E16EB" w:rsidRDefault="00384CB1" w:rsidP="00384CB1">
            <w:pPr>
              <w:pStyle w:val="ListParagraph"/>
              <w:numPr>
                <w:ilvl w:val="0"/>
                <w:numId w:val="8"/>
              </w:numPr>
              <w:ind w:left="252"/>
              <w:jc w:val="both"/>
              <w:rPr>
                <w:rFonts w:ascii="Times New Roman" w:hAnsi="Times New Roman" w:cs="Times New Roman"/>
              </w:rPr>
            </w:pPr>
            <w:r w:rsidRPr="004E16EB">
              <w:rPr>
                <w:rFonts w:ascii="Times New Roman" w:hAnsi="Times New Roman" w:cs="Times New Roman"/>
              </w:rPr>
              <w:t xml:space="preserve">SMI MWB </w:t>
            </w:r>
            <w:proofErr w:type="spellStart"/>
            <w:r w:rsidRPr="004E16EB">
              <w:rPr>
                <w:rFonts w:ascii="Times New Roman" w:hAnsi="Times New Roman" w:cs="Times New Roman"/>
              </w:rPr>
              <w:t>Almuna</w:t>
            </w:r>
            <w:proofErr w:type="spellEnd"/>
            <w:r w:rsidRPr="004E16EB">
              <w:rPr>
                <w:rFonts w:ascii="Times New Roman" w:hAnsi="Times New Roman" w:cs="Times New Roman"/>
              </w:rPr>
              <w:t xml:space="preserve"> </w:t>
            </w:r>
            <w:proofErr w:type="spellStart"/>
            <w:r w:rsidRPr="004E16EB">
              <w:rPr>
                <w:rFonts w:ascii="Times New Roman" w:hAnsi="Times New Roman" w:cs="Times New Roman"/>
              </w:rPr>
              <w:t>Berkah</w:t>
            </w:r>
            <w:proofErr w:type="spellEnd"/>
            <w:r w:rsidRPr="004E16EB">
              <w:rPr>
                <w:rFonts w:ascii="Times New Roman" w:hAnsi="Times New Roman" w:cs="Times New Roman"/>
              </w:rPr>
              <w:t xml:space="preserve"> </w:t>
            </w:r>
            <w:proofErr w:type="spellStart"/>
            <w:r w:rsidRPr="004E16EB">
              <w:rPr>
                <w:rFonts w:ascii="Times New Roman" w:hAnsi="Times New Roman" w:cs="Times New Roman"/>
              </w:rPr>
              <w:t>Mandiri</w:t>
            </w:r>
            <w:proofErr w:type="spellEnd"/>
            <w:r w:rsidRPr="004E16EB">
              <w:rPr>
                <w:rFonts w:ascii="Times New Roman" w:hAnsi="Times New Roman" w:cs="Times New Roman"/>
              </w:rPr>
              <w:t xml:space="preserve">, Al </w:t>
            </w:r>
            <w:proofErr w:type="spellStart"/>
            <w:r w:rsidRPr="004E16EB">
              <w:rPr>
                <w:rFonts w:ascii="Times New Roman" w:hAnsi="Times New Roman" w:cs="Times New Roman"/>
              </w:rPr>
              <w:t>Munawwir</w:t>
            </w:r>
            <w:proofErr w:type="spellEnd"/>
            <w:r w:rsidRPr="004E16EB">
              <w:rPr>
                <w:rFonts w:ascii="Times New Roman" w:hAnsi="Times New Roman" w:cs="Times New Roman"/>
              </w:rPr>
              <w:t xml:space="preserve"> boarding school, </w:t>
            </w:r>
            <w:proofErr w:type="spellStart"/>
            <w:r w:rsidRPr="004E16EB">
              <w:rPr>
                <w:rFonts w:ascii="Times New Roman" w:hAnsi="Times New Roman" w:cs="Times New Roman"/>
              </w:rPr>
              <w:t>Krapyak</w:t>
            </w:r>
            <w:proofErr w:type="spellEnd"/>
            <w:r w:rsidRPr="004E16EB">
              <w:rPr>
                <w:rFonts w:ascii="Times New Roman" w:hAnsi="Times New Roman" w:cs="Times New Roman"/>
              </w:rPr>
              <w:t xml:space="preserve"> Yogyakarta</w:t>
            </w:r>
          </w:p>
        </w:tc>
      </w:tr>
      <w:tr w:rsidR="00384CB1" w:rsidRPr="004E16EB" w14:paraId="3DBB1E49" w14:textId="77777777" w:rsidTr="0097302F">
        <w:tc>
          <w:tcPr>
            <w:tcW w:w="1728" w:type="dxa"/>
            <w:vMerge/>
            <w:tcBorders>
              <w:top w:val="nil"/>
              <w:left w:val="nil"/>
              <w:bottom w:val="nil"/>
              <w:right w:val="nil"/>
            </w:tcBorders>
          </w:tcPr>
          <w:p w14:paraId="61F90833" w14:textId="77777777" w:rsidR="00384CB1" w:rsidRPr="004E16EB" w:rsidRDefault="00384CB1" w:rsidP="0097302F">
            <w:pPr>
              <w:jc w:val="both"/>
              <w:rPr>
                <w:rFonts w:ascii="Times New Roman" w:hAnsi="Times New Roman" w:cs="Times New Roman"/>
                <w:sz w:val="24"/>
                <w:szCs w:val="24"/>
              </w:rPr>
            </w:pPr>
          </w:p>
        </w:tc>
        <w:tc>
          <w:tcPr>
            <w:tcW w:w="7514" w:type="dxa"/>
            <w:tcBorders>
              <w:top w:val="nil"/>
              <w:left w:val="nil"/>
              <w:bottom w:val="nil"/>
              <w:right w:val="nil"/>
            </w:tcBorders>
          </w:tcPr>
          <w:p w14:paraId="29BC7401" w14:textId="77777777" w:rsidR="00384CB1" w:rsidRPr="004E16EB" w:rsidRDefault="00384CB1" w:rsidP="00384CB1">
            <w:pPr>
              <w:pStyle w:val="ListParagraph"/>
              <w:numPr>
                <w:ilvl w:val="0"/>
                <w:numId w:val="8"/>
              </w:numPr>
              <w:ind w:left="252"/>
              <w:jc w:val="both"/>
              <w:rPr>
                <w:rFonts w:ascii="Times New Roman" w:hAnsi="Times New Roman" w:cs="Times New Roman"/>
              </w:rPr>
            </w:pPr>
            <w:r w:rsidRPr="004E16EB">
              <w:rPr>
                <w:rFonts w:ascii="Times New Roman" w:hAnsi="Times New Roman" w:cs="Times New Roman"/>
              </w:rPr>
              <w:t xml:space="preserve">SMI MWB Al </w:t>
            </w:r>
            <w:proofErr w:type="spellStart"/>
            <w:r w:rsidRPr="004E16EB">
              <w:rPr>
                <w:rFonts w:ascii="Times New Roman" w:hAnsi="Times New Roman" w:cs="Times New Roman"/>
              </w:rPr>
              <w:t>Manshur</w:t>
            </w:r>
            <w:proofErr w:type="spellEnd"/>
            <w:r w:rsidRPr="004E16EB">
              <w:rPr>
                <w:rFonts w:ascii="Times New Roman" w:hAnsi="Times New Roman" w:cs="Times New Roman"/>
              </w:rPr>
              <w:t xml:space="preserve"> </w:t>
            </w:r>
            <w:proofErr w:type="spellStart"/>
            <w:r w:rsidRPr="004E16EB">
              <w:rPr>
                <w:rFonts w:ascii="Times New Roman" w:hAnsi="Times New Roman" w:cs="Times New Roman"/>
              </w:rPr>
              <w:t>Barokahing</w:t>
            </w:r>
            <w:proofErr w:type="spellEnd"/>
            <w:r w:rsidRPr="004E16EB">
              <w:rPr>
                <w:rFonts w:ascii="Times New Roman" w:hAnsi="Times New Roman" w:cs="Times New Roman"/>
              </w:rPr>
              <w:t xml:space="preserve"> </w:t>
            </w:r>
            <w:proofErr w:type="spellStart"/>
            <w:r w:rsidRPr="004E16EB">
              <w:rPr>
                <w:rFonts w:ascii="Times New Roman" w:hAnsi="Times New Roman" w:cs="Times New Roman"/>
              </w:rPr>
              <w:t>Gusti</w:t>
            </w:r>
            <w:proofErr w:type="spellEnd"/>
            <w:r w:rsidRPr="004E16EB">
              <w:rPr>
                <w:rFonts w:ascii="Times New Roman" w:hAnsi="Times New Roman" w:cs="Times New Roman"/>
              </w:rPr>
              <w:t xml:space="preserve">, </w:t>
            </w:r>
            <w:proofErr w:type="spellStart"/>
            <w:r w:rsidRPr="004E16EB">
              <w:rPr>
                <w:rFonts w:ascii="Times New Roman" w:hAnsi="Times New Roman" w:cs="Times New Roman"/>
              </w:rPr>
              <w:t>Klaten</w:t>
            </w:r>
            <w:proofErr w:type="spellEnd"/>
            <w:r w:rsidRPr="004E16EB">
              <w:rPr>
                <w:rFonts w:ascii="Times New Roman" w:hAnsi="Times New Roman" w:cs="Times New Roman"/>
              </w:rPr>
              <w:t xml:space="preserve"> Regency, Yogyakarta</w:t>
            </w:r>
          </w:p>
        </w:tc>
      </w:tr>
      <w:tr w:rsidR="00384CB1" w:rsidRPr="004E16EB" w14:paraId="016CD09A" w14:textId="77777777" w:rsidTr="0097302F">
        <w:tc>
          <w:tcPr>
            <w:tcW w:w="1728" w:type="dxa"/>
            <w:vMerge/>
            <w:tcBorders>
              <w:top w:val="nil"/>
              <w:left w:val="nil"/>
              <w:bottom w:val="nil"/>
              <w:right w:val="nil"/>
            </w:tcBorders>
          </w:tcPr>
          <w:p w14:paraId="4E859AC7" w14:textId="77777777" w:rsidR="00384CB1" w:rsidRPr="004E16EB" w:rsidRDefault="00384CB1" w:rsidP="0097302F">
            <w:pPr>
              <w:jc w:val="both"/>
              <w:rPr>
                <w:rFonts w:ascii="Times New Roman" w:hAnsi="Times New Roman" w:cs="Times New Roman"/>
                <w:sz w:val="24"/>
                <w:szCs w:val="24"/>
              </w:rPr>
            </w:pPr>
          </w:p>
        </w:tc>
        <w:tc>
          <w:tcPr>
            <w:tcW w:w="7514" w:type="dxa"/>
            <w:tcBorders>
              <w:top w:val="nil"/>
              <w:left w:val="nil"/>
              <w:bottom w:val="nil"/>
              <w:right w:val="nil"/>
            </w:tcBorders>
          </w:tcPr>
          <w:p w14:paraId="768FB056" w14:textId="77777777" w:rsidR="00384CB1" w:rsidRPr="004E16EB" w:rsidRDefault="00384CB1" w:rsidP="00384CB1">
            <w:pPr>
              <w:pStyle w:val="ListParagraph"/>
              <w:numPr>
                <w:ilvl w:val="0"/>
                <w:numId w:val="8"/>
              </w:numPr>
              <w:ind w:left="252"/>
              <w:jc w:val="both"/>
              <w:rPr>
                <w:rFonts w:ascii="Times New Roman" w:hAnsi="Times New Roman" w:cs="Times New Roman"/>
              </w:rPr>
            </w:pPr>
            <w:r w:rsidRPr="004E16EB">
              <w:rPr>
                <w:rFonts w:ascii="Times New Roman" w:hAnsi="Times New Roman" w:cs="Times New Roman"/>
              </w:rPr>
              <w:t xml:space="preserve">SMI Sharia Waqf Bank </w:t>
            </w:r>
            <w:proofErr w:type="spellStart"/>
            <w:r w:rsidRPr="004E16EB">
              <w:rPr>
                <w:rFonts w:ascii="Times New Roman" w:hAnsi="Times New Roman" w:cs="Times New Roman"/>
              </w:rPr>
              <w:t>Alpansa</w:t>
            </w:r>
            <w:proofErr w:type="spellEnd"/>
            <w:r w:rsidRPr="004E16EB">
              <w:rPr>
                <w:rFonts w:ascii="Times New Roman" w:hAnsi="Times New Roman" w:cs="Times New Roman"/>
              </w:rPr>
              <w:t xml:space="preserve">, </w:t>
            </w:r>
            <w:proofErr w:type="spellStart"/>
            <w:r w:rsidRPr="004E16EB">
              <w:rPr>
                <w:rFonts w:ascii="Times New Roman" w:hAnsi="Times New Roman" w:cs="Times New Roman"/>
              </w:rPr>
              <w:t>Klaten</w:t>
            </w:r>
            <w:proofErr w:type="spellEnd"/>
            <w:r w:rsidRPr="004E16EB">
              <w:rPr>
                <w:rFonts w:ascii="Times New Roman" w:hAnsi="Times New Roman" w:cs="Times New Roman"/>
              </w:rPr>
              <w:t xml:space="preserve"> Regency, Yogyakarta</w:t>
            </w:r>
          </w:p>
        </w:tc>
      </w:tr>
      <w:tr w:rsidR="00384CB1" w:rsidRPr="004E16EB" w14:paraId="7266FA79" w14:textId="77777777" w:rsidTr="0097302F">
        <w:tc>
          <w:tcPr>
            <w:tcW w:w="1728" w:type="dxa"/>
            <w:vMerge w:val="restart"/>
            <w:tcBorders>
              <w:top w:val="nil"/>
              <w:left w:val="nil"/>
              <w:bottom w:val="single" w:sz="4" w:space="0" w:color="auto"/>
              <w:right w:val="nil"/>
            </w:tcBorders>
          </w:tcPr>
          <w:p w14:paraId="468B5313" w14:textId="77777777" w:rsidR="00384CB1" w:rsidRPr="004E16EB" w:rsidRDefault="00384CB1" w:rsidP="0097302F">
            <w:pPr>
              <w:jc w:val="both"/>
              <w:rPr>
                <w:rFonts w:ascii="Times New Roman" w:hAnsi="Times New Roman" w:cs="Times New Roman"/>
                <w:sz w:val="24"/>
                <w:szCs w:val="24"/>
              </w:rPr>
            </w:pPr>
            <w:r w:rsidRPr="004E16EB">
              <w:rPr>
                <w:rFonts w:ascii="Times New Roman" w:hAnsi="Times New Roman" w:cs="Times New Roman"/>
                <w:sz w:val="24"/>
                <w:szCs w:val="24"/>
              </w:rPr>
              <w:t>East Java</w:t>
            </w:r>
          </w:p>
        </w:tc>
        <w:tc>
          <w:tcPr>
            <w:tcW w:w="7514" w:type="dxa"/>
            <w:tcBorders>
              <w:top w:val="nil"/>
              <w:left w:val="nil"/>
              <w:bottom w:val="nil"/>
              <w:right w:val="nil"/>
            </w:tcBorders>
          </w:tcPr>
          <w:p w14:paraId="69FEE368" w14:textId="77777777" w:rsidR="00384CB1" w:rsidRPr="004E16EB" w:rsidRDefault="00384CB1" w:rsidP="00384CB1">
            <w:pPr>
              <w:pStyle w:val="ListParagraph"/>
              <w:numPr>
                <w:ilvl w:val="0"/>
                <w:numId w:val="8"/>
              </w:numPr>
              <w:ind w:left="252"/>
              <w:jc w:val="both"/>
              <w:rPr>
                <w:rFonts w:ascii="Times New Roman" w:hAnsi="Times New Roman" w:cs="Times New Roman"/>
              </w:rPr>
            </w:pPr>
            <w:r w:rsidRPr="004E16EB">
              <w:rPr>
                <w:rFonts w:ascii="Times New Roman" w:hAnsi="Times New Roman" w:cs="Times New Roman"/>
              </w:rPr>
              <w:t xml:space="preserve">SMI MWB </w:t>
            </w:r>
            <w:proofErr w:type="spellStart"/>
            <w:r w:rsidRPr="004E16EB">
              <w:rPr>
                <w:rFonts w:ascii="Times New Roman" w:hAnsi="Times New Roman" w:cs="Times New Roman"/>
              </w:rPr>
              <w:t>Alfitrah</w:t>
            </w:r>
            <w:proofErr w:type="spellEnd"/>
            <w:r w:rsidRPr="004E16EB">
              <w:rPr>
                <w:rFonts w:ascii="Times New Roman" w:hAnsi="Times New Roman" w:cs="Times New Roman"/>
              </w:rPr>
              <w:t xml:space="preserve"> </w:t>
            </w:r>
            <w:proofErr w:type="spellStart"/>
            <w:r w:rsidRPr="004E16EB">
              <w:rPr>
                <w:rFonts w:ascii="Times New Roman" w:hAnsi="Times New Roman" w:cs="Times New Roman"/>
              </w:rPr>
              <w:t>Wafa</w:t>
            </w:r>
            <w:proofErr w:type="spellEnd"/>
            <w:r w:rsidRPr="004E16EB">
              <w:rPr>
                <w:rFonts w:ascii="Times New Roman" w:hAnsi="Times New Roman" w:cs="Times New Roman"/>
              </w:rPr>
              <w:t xml:space="preserve"> </w:t>
            </w:r>
            <w:proofErr w:type="spellStart"/>
            <w:r w:rsidRPr="004E16EB">
              <w:rPr>
                <w:rFonts w:ascii="Times New Roman" w:hAnsi="Times New Roman" w:cs="Times New Roman"/>
              </w:rPr>
              <w:t>Mandiri</w:t>
            </w:r>
            <w:proofErr w:type="spellEnd"/>
            <w:r w:rsidRPr="004E16EB">
              <w:rPr>
                <w:rFonts w:ascii="Times New Roman" w:hAnsi="Times New Roman" w:cs="Times New Roman"/>
              </w:rPr>
              <w:t>, As-Salafi Al-</w:t>
            </w:r>
            <w:proofErr w:type="spellStart"/>
            <w:r w:rsidRPr="004E16EB">
              <w:rPr>
                <w:rFonts w:ascii="Times New Roman" w:hAnsi="Times New Roman" w:cs="Times New Roman"/>
              </w:rPr>
              <w:t>Fithrah</w:t>
            </w:r>
            <w:proofErr w:type="spellEnd"/>
            <w:r w:rsidRPr="004E16EB">
              <w:rPr>
                <w:rFonts w:ascii="Times New Roman" w:hAnsi="Times New Roman" w:cs="Times New Roman"/>
              </w:rPr>
              <w:t xml:space="preserve"> Boarding School, </w:t>
            </w:r>
            <w:proofErr w:type="spellStart"/>
            <w:r w:rsidRPr="004E16EB">
              <w:rPr>
                <w:rFonts w:ascii="Times New Roman" w:hAnsi="Times New Roman" w:cs="Times New Roman"/>
              </w:rPr>
              <w:t>Kewall</w:t>
            </w:r>
            <w:proofErr w:type="spellEnd"/>
            <w:r w:rsidRPr="004E16EB">
              <w:rPr>
                <w:rFonts w:ascii="Times New Roman" w:hAnsi="Times New Roman" w:cs="Times New Roman"/>
              </w:rPr>
              <w:t xml:space="preserve"> Surabaya, East Java</w:t>
            </w:r>
          </w:p>
        </w:tc>
      </w:tr>
      <w:tr w:rsidR="00384CB1" w:rsidRPr="004E16EB" w14:paraId="696ADA62" w14:textId="77777777" w:rsidTr="0097302F">
        <w:tc>
          <w:tcPr>
            <w:tcW w:w="1728" w:type="dxa"/>
            <w:vMerge/>
            <w:tcBorders>
              <w:top w:val="nil"/>
              <w:left w:val="nil"/>
              <w:bottom w:val="nil"/>
              <w:right w:val="nil"/>
            </w:tcBorders>
          </w:tcPr>
          <w:p w14:paraId="73A3F129" w14:textId="77777777" w:rsidR="00384CB1" w:rsidRPr="004E16EB" w:rsidRDefault="00384CB1" w:rsidP="0097302F">
            <w:pPr>
              <w:jc w:val="both"/>
              <w:rPr>
                <w:rFonts w:ascii="Times New Roman" w:hAnsi="Times New Roman" w:cs="Times New Roman"/>
                <w:sz w:val="24"/>
                <w:szCs w:val="24"/>
              </w:rPr>
            </w:pPr>
          </w:p>
        </w:tc>
        <w:tc>
          <w:tcPr>
            <w:tcW w:w="7514" w:type="dxa"/>
            <w:tcBorders>
              <w:top w:val="nil"/>
              <w:left w:val="nil"/>
              <w:bottom w:val="nil"/>
              <w:right w:val="nil"/>
            </w:tcBorders>
          </w:tcPr>
          <w:p w14:paraId="73679FD0" w14:textId="77777777" w:rsidR="00384CB1" w:rsidRPr="004E16EB" w:rsidRDefault="00384CB1" w:rsidP="00384CB1">
            <w:pPr>
              <w:pStyle w:val="ListParagraph"/>
              <w:numPr>
                <w:ilvl w:val="0"/>
                <w:numId w:val="8"/>
              </w:numPr>
              <w:ind w:left="252"/>
              <w:jc w:val="both"/>
              <w:rPr>
                <w:rFonts w:ascii="Times New Roman" w:hAnsi="Times New Roman" w:cs="Times New Roman"/>
              </w:rPr>
            </w:pPr>
            <w:r w:rsidRPr="004E16EB">
              <w:rPr>
                <w:rFonts w:ascii="Times New Roman" w:hAnsi="Times New Roman" w:cs="Times New Roman"/>
              </w:rPr>
              <w:t xml:space="preserve">SMI MWB at </w:t>
            </w:r>
            <w:proofErr w:type="spellStart"/>
            <w:r w:rsidRPr="004E16EB">
              <w:rPr>
                <w:rFonts w:ascii="Times New Roman" w:hAnsi="Times New Roman" w:cs="Times New Roman"/>
              </w:rPr>
              <w:t>Mambaul</w:t>
            </w:r>
            <w:proofErr w:type="spellEnd"/>
            <w:r w:rsidRPr="004E16EB">
              <w:rPr>
                <w:rFonts w:ascii="Times New Roman" w:hAnsi="Times New Roman" w:cs="Times New Roman"/>
              </w:rPr>
              <w:t xml:space="preserve"> </w:t>
            </w:r>
            <w:proofErr w:type="spellStart"/>
            <w:r w:rsidRPr="004E16EB">
              <w:rPr>
                <w:rFonts w:ascii="Times New Roman" w:hAnsi="Times New Roman" w:cs="Times New Roman"/>
              </w:rPr>
              <w:t>Maarif</w:t>
            </w:r>
            <w:proofErr w:type="spellEnd"/>
            <w:r w:rsidRPr="004E16EB">
              <w:rPr>
                <w:rFonts w:ascii="Times New Roman" w:hAnsi="Times New Roman" w:cs="Times New Roman"/>
              </w:rPr>
              <w:t xml:space="preserve"> Boarding School, </w:t>
            </w:r>
            <w:proofErr w:type="spellStart"/>
            <w:r w:rsidRPr="004E16EB">
              <w:rPr>
                <w:rFonts w:ascii="Times New Roman" w:hAnsi="Times New Roman" w:cs="Times New Roman"/>
              </w:rPr>
              <w:t>Denanyar</w:t>
            </w:r>
            <w:proofErr w:type="spellEnd"/>
            <w:r w:rsidRPr="004E16EB">
              <w:rPr>
                <w:rFonts w:ascii="Times New Roman" w:hAnsi="Times New Roman" w:cs="Times New Roman"/>
              </w:rPr>
              <w:t xml:space="preserve">, </w:t>
            </w:r>
            <w:proofErr w:type="spellStart"/>
            <w:r w:rsidRPr="004E16EB">
              <w:rPr>
                <w:rFonts w:ascii="Times New Roman" w:hAnsi="Times New Roman" w:cs="Times New Roman"/>
              </w:rPr>
              <w:t>Jombang</w:t>
            </w:r>
            <w:proofErr w:type="spellEnd"/>
            <w:r w:rsidRPr="004E16EB">
              <w:rPr>
                <w:rFonts w:ascii="Times New Roman" w:hAnsi="Times New Roman" w:cs="Times New Roman"/>
              </w:rPr>
              <w:t xml:space="preserve"> Regency, East Java</w:t>
            </w:r>
          </w:p>
        </w:tc>
      </w:tr>
      <w:tr w:rsidR="00384CB1" w:rsidRPr="004E16EB" w14:paraId="588A382A" w14:textId="77777777" w:rsidTr="0097302F">
        <w:tc>
          <w:tcPr>
            <w:tcW w:w="1728" w:type="dxa"/>
            <w:vMerge w:val="restart"/>
            <w:tcBorders>
              <w:top w:val="nil"/>
              <w:left w:val="nil"/>
              <w:bottom w:val="single" w:sz="4" w:space="0" w:color="auto"/>
              <w:right w:val="nil"/>
            </w:tcBorders>
          </w:tcPr>
          <w:p w14:paraId="4348CA20" w14:textId="77777777" w:rsidR="00384CB1" w:rsidRPr="004E16EB" w:rsidRDefault="00384CB1" w:rsidP="0097302F">
            <w:pPr>
              <w:jc w:val="both"/>
              <w:rPr>
                <w:rFonts w:ascii="Times New Roman" w:hAnsi="Times New Roman" w:cs="Times New Roman"/>
                <w:sz w:val="24"/>
                <w:szCs w:val="24"/>
              </w:rPr>
            </w:pPr>
            <w:r w:rsidRPr="004E16EB">
              <w:rPr>
                <w:rFonts w:ascii="Times New Roman" w:hAnsi="Times New Roman" w:cs="Times New Roman"/>
                <w:sz w:val="24"/>
                <w:szCs w:val="24"/>
              </w:rPr>
              <w:t>Central Java</w:t>
            </w:r>
          </w:p>
        </w:tc>
        <w:tc>
          <w:tcPr>
            <w:tcW w:w="7514" w:type="dxa"/>
            <w:tcBorders>
              <w:top w:val="nil"/>
              <w:left w:val="nil"/>
              <w:bottom w:val="nil"/>
              <w:right w:val="nil"/>
            </w:tcBorders>
          </w:tcPr>
          <w:p w14:paraId="5A7F1660" w14:textId="77777777" w:rsidR="00384CB1" w:rsidRPr="004E16EB" w:rsidRDefault="00384CB1" w:rsidP="00384CB1">
            <w:pPr>
              <w:pStyle w:val="ListParagraph"/>
              <w:numPr>
                <w:ilvl w:val="0"/>
                <w:numId w:val="8"/>
              </w:numPr>
              <w:ind w:left="252"/>
              <w:jc w:val="both"/>
              <w:rPr>
                <w:rFonts w:ascii="Times New Roman" w:hAnsi="Times New Roman" w:cs="Times New Roman"/>
              </w:rPr>
            </w:pPr>
            <w:r w:rsidRPr="004E16EB">
              <w:rPr>
                <w:rFonts w:ascii="Times New Roman" w:hAnsi="Times New Roman" w:cs="Times New Roman"/>
              </w:rPr>
              <w:t xml:space="preserve">SMI MWB at </w:t>
            </w:r>
            <w:proofErr w:type="spellStart"/>
            <w:r w:rsidRPr="004E16EB">
              <w:rPr>
                <w:rFonts w:ascii="Times New Roman" w:hAnsi="Times New Roman" w:cs="Times New Roman"/>
              </w:rPr>
              <w:t>Bahrul</w:t>
            </w:r>
            <w:proofErr w:type="spellEnd"/>
            <w:r w:rsidRPr="004E16EB">
              <w:rPr>
                <w:rFonts w:ascii="Times New Roman" w:hAnsi="Times New Roman" w:cs="Times New Roman"/>
              </w:rPr>
              <w:t xml:space="preserve"> </w:t>
            </w:r>
            <w:proofErr w:type="spellStart"/>
            <w:r w:rsidRPr="004E16EB">
              <w:rPr>
                <w:rFonts w:ascii="Times New Roman" w:hAnsi="Times New Roman" w:cs="Times New Roman"/>
              </w:rPr>
              <w:t>Ulum</w:t>
            </w:r>
            <w:proofErr w:type="spellEnd"/>
            <w:r w:rsidRPr="004E16EB">
              <w:rPr>
                <w:rFonts w:ascii="Times New Roman" w:hAnsi="Times New Roman" w:cs="Times New Roman"/>
              </w:rPr>
              <w:t xml:space="preserve"> Islamic Boarding School, </w:t>
            </w:r>
            <w:proofErr w:type="spellStart"/>
            <w:r w:rsidRPr="004E16EB">
              <w:rPr>
                <w:rFonts w:ascii="Times New Roman" w:hAnsi="Times New Roman" w:cs="Times New Roman"/>
              </w:rPr>
              <w:t>Tambak</w:t>
            </w:r>
            <w:proofErr w:type="spellEnd"/>
            <w:r w:rsidRPr="004E16EB">
              <w:rPr>
                <w:rFonts w:ascii="Times New Roman" w:hAnsi="Times New Roman" w:cs="Times New Roman"/>
              </w:rPr>
              <w:t xml:space="preserve"> </w:t>
            </w:r>
            <w:proofErr w:type="spellStart"/>
            <w:r w:rsidRPr="004E16EB">
              <w:rPr>
                <w:rFonts w:ascii="Times New Roman" w:hAnsi="Times New Roman" w:cs="Times New Roman"/>
              </w:rPr>
              <w:t>Beras</w:t>
            </w:r>
            <w:proofErr w:type="spellEnd"/>
          </w:p>
        </w:tc>
      </w:tr>
      <w:tr w:rsidR="00384CB1" w:rsidRPr="004E16EB" w14:paraId="1771B248" w14:textId="77777777" w:rsidTr="0097302F">
        <w:tc>
          <w:tcPr>
            <w:tcW w:w="1728" w:type="dxa"/>
            <w:vMerge/>
            <w:tcBorders>
              <w:top w:val="nil"/>
              <w:left w:val="nil"/>
              <w:bottom w:val="single" w:sz="4" w:space="0" w:color="auto"/>
              <w:right w:val="nil"/>
            </w:tcBorders>
          </w:tcPr>
          <w:p w14:paraId="4999948D" w14:textId="77777777" w:rsidR="00384CB1" w:rsidRPr="004E16EB" w:rsidRDefault="00384CB1" w:rsidP="0097302F">
            <w:pPr>
              <w:jc w:val="both"/>
              <w:rPr>
                <w:rFonts w:ascii="Times New Roman" w:hAnsi="Times New Roman" w:cs="Times New Roman"/>
                <w:sz w:val="24"/>
                <w:szCs w:val="24"/>
              </w:rPr>
            </w:pPr>
          </w:p>
        </w:tc>
        <w:tc>
          <w:tcPr>
            <w:tcW w:w="7514" w:type="dxa"/>
            <w:tcBorders>
              <w:top w:val="nil"/>
              <w:left w:val="nil"/>
              <w:bottom w:val="single" w:sz="4" w:space="0" w:color="auto"/>
              <w:right w:val="nil"/>
            </w:tcBorders>
          </w:tcPr>
          <w:p w14:paraId="23E4B147" w14:textId="77777777" w:rsidR="00384CB1" w:rsidRPr="004E16EB" w:rsidRDefault="00384CB1" w:rsidP="00384CB1">
            <w:pPr>
              <w:pStyle w:val="ListParagraph"/>
              <w:numPr>
                <w:ilvl w:val="0"/>
                <w:numId w:val="8"/>
              </w:numPr>
              <w:ind w:left="252"/>
              <w:jc w:val="both"/>
              <w:rPr>
                <w:rFonts w:ascii="Times New Roman" w:hAnsi="Times New Roman" w:cs="Times New Roman"/>
              </w:rPr>
            </w:pPr>
            <w:r w:rsidRPr="004E16EB">
              <w:rPr>
                <w:rFonts w:ascii="Times New Roman" w:hAnsi="Times New Roman" w:cs="Times New Roman"/>
              </w:rPr>
              <w:t xml:space="preserve">SMI MWB at </w:t>
            </w:r>
            <w:proofErr w:type="spellStart"/>
            <w:r w:rsidRPr="004E16EB">
              <w:rPr>
                <w:rFonts w:ascii="Times New Roman" w:hAnsi="Times New Roman" w:cs="Times New Roman"/>
              </w:rPr>
              <w:t>Tebuireng</w:t>
            </w:r>
            <w:proofErr w:type="spellEnd"/>
            <w:r w:rsidRPr="004E16EB">
              <w:rPr>
                <w:rFonts w:ascii="Times New Roman" w:hAnsi="Times New Roman" w:cs="Times New Roman"/>
              </w:rPr>
              <w:t xml:space="preserve"> Boarding School, Central Java</w:t>
            </w:r>
          </w:p>
        </w:tc>
      </w:tr>
    </w:tbl>
    <w:p w14:paraId="7FD1448D" w14:textId="77777777" w:rsidR="00384CB1" w:rsidRPr="004E16EB" w:rsidRDefault="00384CB1" w:rsidP="00384CB1">
      <w:pPr>
        <w:spacing w:after="0" w:line="240" w:lineRule="auto"/>
        <w:ind w:firstLine="720"/>
        <w:jc w:val="both"/>
        <w:rPr>
          <w:rFonts w:ascii="Times New Roman" w:hAnsi="Times New Roman" w:cs="Times New Roman"/>
          <w:sz w:val="24"/>
          <w:szCs w:val="24"/>
        </w:rPr>
      </w:pPr>
    </w:p>
    <w:p w14:paraId="1A3FD19B" w14:textId="5A35FCB9" w:rsidR="00384CB1" w:rsidRPr="004E16EB" w:rsidRDefault="00384CB1" w:rsidP="00384CB1">
      <w:pPr>
        <w:pStyle w:val="ListParagraph"/>
        <w:ind w:left="0" w:firstLine="720"/>
        <w:jc w:val="both"/>
        <w:rPr>
          <w:rFonts w:ascii="Times New Roman" w:hAnsi="Times New Roman" w:cs="Times New Roman"/>
          <w:lang w:val="id-ID"/>
        </w:rPr>
      </w:pPr>
      <w:r w:rsidRPr="004E16EB">
        <w:rPr>
          <w:rFonts w:ascii="Times New Roman" w:hAnsi="Times New Roman"/>
          <w:lang w:val="id-ID"/>
        </w:rPr>
        <w:t xml:space="preserve">During this study, MWBs were already established in </w:t>
      </w:r>
      <w:r w:rsidRPr="004E16EB">
        <w:rPr>
          <w:rFonts w:ascii="Times New Roman" w:hAnsi="Times New Roman"/>
        </w:rPr>
        <w:t xml:space="preserve">forty-three </w:t>
      </w:r>
      <w:r w:rsidRPr="004E16EB">
        <w:rPr>
          <w:rFonts w:ascii="Times New Roman" w:hAnsi="Times New Roman"/>
          <w:lang w:val="id-ID"/>
        </w:rPr>
        <w:t xml:space="preserve">Islamic boarding schools, </w:t>
      </w:r>
      <w:r w:rsidRPr="004E16EB">
        <w:rPr>
          <w:rFonts w:ascii="Times New Roman" w:hAnsi="Times New Roman"/>
        </w:rPr>
        <w:t xml:space="preserve">thirty-four </w:t>
      </w:r>
      <w:r w:rsidRPr="004E16EB">
        <w:rPr>
          <w:rFonts w:ascii="Times New Roman" w:hAnsi="Times New Roman"/>
          <w:lang w:val="id-ID"/>
        </w:rPr>
        <w:t xml:space="preserve">of which were spread across </w:t>
      </w:r>
      <w:r w:rsidRPr="004E16EB">
        <w:rPr>
          <w:rFonts w:ascii="Times New Roman" w:hAnsi="Times New Roman"/>
        </w:rPr>
        <w:t>Java Island</w:t>
      </w:r>
      <w:r w:rsidRPr="004E16EB">
        <w:rPr>
          <w:rFonts w:ascii="Times New Roman" w:hAnsi="Times New Roman"/>
          <w:lang w:val="id-ID"/>
        </w:rPr>
        <w:t xml:space="preserve">, seven </w:t>
      </w:r>
      <w:proofErr w:type="spellStart"/>
      <w:r w:rsidRPr="004E16EB">
        <w:rPr>
          <w:rFonts w:ascii="Times New Roman" w:hAnsi="Times New Roman"/>
        </w:rPr>
        <w:t>i</w:t>
      </w:r>
      <w:proofErr w:type="spellEnd"/>
      <w:r w:rsidRPr="004E16EB">
        <w:rPr>
          <w:rFonts w:ascii="Times New Roman" w:hAnsi="Times New Roman"/>
          <w:lang w:val="id-ID"/>
        </w:rPr>
        <w:t xml:space="preserve">n Sumatra, one in Kalimantan, one in Sulawesi, and one in Papua </w:t>
      </w:r>
      <w:r w:rsidRPr="004E16EB">
        <w:rPr>
          <w:rFonts w:ascii="Times New Roman" w:hAnsi="Times New Roman" w:cs="Times New Roman"/>
          <w:lang w:val="id-ID"/>
        </w:rPr>
        <w:fldChar w:fldCharType="begin" w:fldLock="1"/>
      </w:r>
      <w:r>
        <w:rPr>
          <w:rFonts w:ascii="Times New Roman" w:hAnsi="Times New Roman" w:cs="Times New Roman"/>
          <w:lang w:val="id-ID"/>
        </w:rPr>
        <w:instrText>ADDIN CSL_CITATION {"citationItems":[{"id":"ITEM-1","itemData":{"author":[{"dropping-particle":"","family":"BWM","given":"","non-dropping-particle":"","parse-names":false,"suffix":""}],"container-title":"http://www.lkmsbwm.id/","id":"ITEM-1","issued":{"date-parts":[["2019"]]},"page":"1","title":"LKMS-BWM","type":"webpage"},"uris":["http://www.mendeley.com/documents/?uuid=e99a964b-d87d-3aff-a414-914192f9cd5f","http://www.mendeley.com/documents/?uuid=ce5dd753-da86-4cca-be17-1e90c6bd4fe2"]}],"mendeley":{"formattedCitation":"(BWM, 2019)","plainTextFormattedCitation":"(BWM, 2019)","previouslyFormattedCitation":"(BWM, 2019)"},"properties":{"noteIndex":0},"schema":"https://github.com/citation-style-language/schema/raw/master/csl-citation.json"}</w:instrText>
      </w:r>
      <w:r w:rsidRPr="004E16EB">
        <w:rPr>
          <w:rFonts w:ascii="Times New Roman" w:hAnsi="Times New Roman" w:cs="Times New Roman"/>
          <w:lang w:val="id-ID"/>
        </w:rPr>
        <w:fldChar w:fldCharType="separate"/>
      </w:r>
      <w:r w:rsidRPr="00573487">
        <w:rPr>
          <w:rFonts w:ascii="Times New Roman" w:hAnsi="Times New Roman" w:cs="Times New Roman"/>
          <w:noProof/>
          <w:lang w:val="id-ID"/>
        </w:rPr>
        <w:t>(BWM, 2019)</w:t>
      </w:r>
      <w:r w:rsidRPr="004E16EB">
        <w:rPr>
          <w:rFonts w:ascii="Times New Roman" w:hAnsi="Times New Roman" w:cs="Times New Roman"/>
          <w:lang w:val="id-ID"/>
        </w:rPr>
        <w:fldChar w:fldCharType="end"/>
      </w:r>
      <w:r w:rsidRPr="004E16EB">
        <w:rPr>
          <w:rFonts w:ascii="Times New Roman" w:hAnsi="Times New Roman" w:cs="Times New Roman"/>
          <w:lang w:val="id-ID"/>
        </w:rPr>
        <w:t xml:space="preserve">. </w:t>
      </w:r>
      <w:r w:rsidRPr="004E16EB">
        <w:rPr>
          <w:rFonts w:ascii="Times New Roman" w:hAnsi="Times New Roman" w:cs="Times New Roman"/>
        </w:rPr>
        <w:t xml:space="preserve">Furthermore, </w:t>
      </w:r>
      <w:r w:rsidRPr="004E16EB">
        <w:rPr>
          <w:rFonts w:ascii="Times New Roman" w:hAnsi="Times New Roman"/>
          <w:lang w:val="id-ID"/>
        </w:rPr>
        <w:t xml:space="preserve">Java Island was designated as the study location because </w:t>
      </w:r>
      <w:r w:rsidRPr="004E16EB">
        <w:rPr>
          <w:rFonts w:ascii="Times New Roman" w:hAnsi="Times New Roman"/>
        </w:rPr>
        <w:t>it has</w:t>
      </w:r>
      <w:r w:rsidRPr="004E16EB">
        <w:rPr>
          <w:rFonts w:ascii="Times New Roman" w:hAnsi="Times New Roman"/>
          <w:lang w:val="id-ID"/>
        </w:rPr>
        <w:t xml:space="preserve"> the </w:t>
      </w:r>
      <w:r w:rsidR="00A37C76">
        <w:rPr>
          <w:rFonts w:ascii="Times New Roman" w:hAnsi="Times New Roman"/>
          <w:lang w:val="id-ID"/>
        </w:rPr>
        <w:t>most significan</w:t>
      </w:r>
      <w:r w:rsidRPr="004E16EB">
        <w:rPr>
          <w:rFonts w:ascii="Times New Roman" w:hAnsi="Times New Roman"/>
          <w:lang w:val="id-ID"/>
        </w:rPr>
        <w:t>t number of MWB, followed by Sumatra</w:t>
      </w:r>
      <w:r w:rsidRPr="004E16EB">
        <w:rPr>
          <w:rFonts w:ascii="Times New Roman" w:hAnsi="Times New Roman" w:cs="Times New Roman"/>
          <w:lang w:val="id-ID"/>
        </w:rPr>
        <w:t>.</w:t>
      </w:r>
    </w:p>
    <w:p w14:paraId="1D58EEDE" w14:textId="625DCFF3" w:rsidR="00384CB1" w:rsidRPr="004E16EB" w:rsidRDefault="00384CB1" w:rsidP="00384CB1">
      <w:pPr>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This qualitative descriptive study </w:t>
      </w:r>
      <w:proofErr w:type="spellStart"/>
      <w:r w:rsidRPr="004E16EB">
        <w:rPr>
          <w:rFonts w:ascii="Times New Roman" w:hAnsi="Times New Roman"/>
          <w:sz w:val="24"/>
          <w:szCs w:val="24"/>
        </w:rPr>
        <w:t>analyzed</w:t>
      </w:r>
      <w:proofErr w:type="spellEnd"/>
      <w:r w:rsidRPr="004E16EB">
        <w:rPr>
          <w:rFonts w:ascii="Times New Roman" w:hAnsi="Times New Roman"/>
          <w:sz w:val="24"/>
          <w:szCs w:val="24"/>
        </w:rPr>
        <w:t xml:space="preserve"> data holistically to provide information </w:t>
      </w:r>
      <w:r w:rsidRPr="004E16EB">
        <w:rPr>
          <w:rFonts w:ascii="Times New Roman" w:eastAsia="Calibri" w:hAnsi="Times New Roman" w:cs="Times New Roman"/>
          <w:sz w:val="24"/>
          <w:szCs w:val="24"/>
        </w:rPr>
        <w:fldChar w:fldCharType="begin" w:fldLock="1"/>
      </w:r>
      <w:r>
        <w:rPr>
          <w:rFonts w:ascii="Times New Roman" w:eastAsia="Calibri" w:hAnsi="Times New Roman" w:cs="Times New Roman"/>
          <w:sz w:val="24"/>
          <w:szCs w:val="24"/>
        </w:rPr>
        <w:instrText>ADDIN CSL_CITATION {"citationItems":[{"id":"ITEM-1","itemData":{"DOI":"10.1177/160940690400300101","ISSN":"1609-4069","abstract":"The past decade has witnessed remarkable evolution within qualitative healthresearch as scholars have moved beyond initial adherence to the specific methods of phenomenology, grounded theory, and ethnography to develop methods more responsive to theexperience-based questions of interest to a practice-based discipline. Interpretive description (Thorne, Reimer Kirkham, &amp; MacDonald-Emes, 1997) is an inductive analytic approachesdesigned to create ways of understanding clinical phenomena that yield applications implications. In this article, we further develop our understanding of this methodologicalalternative by elaborating on the objective and mechanisms of its analytic processes and by expanding our consideration of its interpretive products.","author":[{"dropping-particle":"","family":"Thorne","given":"Sally","non-dropping-particle":"","parse-names":false,"suffix":""},{"dropping-particle":"","family":"Kirkham","given":"Sheryl Reimer","non-dropping-particle":"","parse-names":false,"suffix":""},{"dropping-particle":"","family":"O'Flynn-Magee","given":"Katherine","non-dropping-particle":"","parse-names":false,"suffix":""}],"container-title":"International Journal of Qualitative Methods","id":"ITEM-1","issue":"1","issued":{"date-parts":[["2017"]]},"page":"1-11","title":"The Analytic Challenge in Interpretive Description","type":"article-journal","volume":"3"},"uris":["http://www.mendeley.com/documents/?uuid=7a363a32-f4fb-44e3-96e4-7cbbdbd2233f","http://www.mendeley.com/documents/?uuid=3728de14-599a-40d6-bbd4-5f203793fa7f","http://www.mendeley.com/documents/?uuid=9cf1d800-976a-49d8-a1a3-c0c5bab85a7f"]}],"mendeley":{"formattedCitation":"(Thorne et al., 2017)","plainTextFormattedCitation":"(Thorne et al., 2017)","previouslyFormattedCitation":"(Thorne et al., 2017)"},"properties":{"noteIndex":0},"schema":"https://github.com/citation-style-language/schema/raw/master/csl-citation.json"}</w:instrText>
      </w:r>
      <w:r w:rsidRPr="004E16EB">
        <w:rPr>
          <w:rFonts w:ascii="Times New Roman" w:eastAsia="Calibri" w:hAnsi="Times New Roman" w:cs="Times New Roman"/>
          <w:sz w:val="24"/>
          <w:szCs w:val="24"/>
        </w:rPr>
        <w:fldChar w:fldCharType="separate"/>
      </w:r>
      <w:r w:rsidRPr="004E16EB">
        <w:rPr>
          <w:rFonts w:ascii="Times New Roman" w:eastAsia="Calibri" w:hAnsi="Times New Roman" w:cs="Times New Roman"/>
          <w:noProof/>
          <w:sz w:val="24"/>
          <w:szCs w:val="24"/>
        </w:rPr>
        <w:t>(Thorne et al., 2017)</w:t>
      </w:r>
      <w:r w:rsidRPr="004E16EB">
        <w:rPr>
          <w:rFonts w:ascii="Times New Roman" w:eastAsia="Calibri" w:hAnsi="Times New Roman" w:cs="Times New Roman"/>
          <w:sz w:val="24"/>
          <w:szCs w:val="24"/>
        </w:rPr>
        <w:fldChar w:fldCharType="end"/>
      </w:r>
      <w:r w:rsidRPr="004E16EB">
        <w:rPr>
          <w:rFonts w:ascii="Times New Roman" w:eastAsia="Calibri" w:hAnsi="Times New Roman" w:cs="Times New Roman"/>
          <w:sz w:val="24"/>
          <w:szCs w:val="24"/>
        </w:rPr>
        <w:t xml:space="preserve"> </w:t>
      </w:r>
      <w:r w:rsidRPr="004E16EB">
        <w:rPr>
          <w:rFonts w:ascii="Times New Roman" w:hAnsi="Times New Roman"/>
          <w:sz w:val="24"/>
          <w:szCs w:val="24"/>
        </w:rPr>
        <w:t xml:space="preserve">about the model of women's economic empowerment. </w:t>
      </w:r>
      <w:r w:rsidRPr="004E16EB">
        <w:rPr>
          <w:rFonts w:ascii="Times New Roman" w:eastAsia="Calibri" w:hAnsi="Times New Roman"/>
          <w:sz w:val="24"/>
          <w:szCs w:val="24"/>
          <w:lang w:val="id-ID"/>
        </w:rPr>
        <w:t>A descriptive qualitative approach was used in the framework of elaborating a</w:t>
      </w:r>
      <w:r w:rsidR="00A37C76">
        <w:rPr>
          <w:rFonts w:ascii="Times New Roman" w:eastAsia="Calibri" w:hAnsi="Times New Roman"/>
          <w:sz w:val="24"/>
          <w:szCs w:val="24"/>
          <w:lang w:val="id-ID"/>
        </w:rPr>
        <w:t>n in-depth model of women's economic empowerment at MWB toward productive poor women around Islamic boarding schools</w:t>
      </w:r>
      <w:r w:rsidRPr="004E16EB">
        <w:rPr>
          <w:rFonts w:ascii="Times New Roman" w:eastAsia="Times New Roman" w:hAnsi="Times New Roman" w:cs="Times New Roman"/>
          <w:sz w:val="24"/>
          <w:szCs w:val="24"/>
          <w:lang w:val="id-ID" w:eastAsia="id-ID"/>
        </w:rPr>
        <w:t xml:space="preserve">. </w:t>
      </w:r>
      <w:r w:rsidRPr="004E16EB">
        <w:rPr>
          <w:rFonts w:ascii="Times New Roman" w:hAnsi="Times New Roman"/>
          <w:sz w:val="24"/>
          <w:szCs w:val="24"/>
        </w:rPr>
        <w:t xml:space="preserve">Data were obtained from MWB customers, leaders, and assistants. Informants comprised parties directly involved with an important role in the empowerment. They </w:t>
      </w:r>
      <w:r w:rsidRPr="004E16EB">
        <w:rPr>
          <w:rFonts w:ascii="Times New Roman" w:hAnsi="Times New Roman"/>
          <w:sz w:val="24"/>
          <w:szCs w:val="24"/>
        </w:rPr>
        <w:lastRenderedPageBreak/>
        <w:t>understand MWB operations that contribute to women's economic empowerment. The empowerment model w</w:t>
      </w:r>
      <w:r w:rsidR="00A37C76">
        <w:rPr>
          <w:rFonts w:ascii="Times New Roman" w:hAnsi="Times New Roman"/>
          <w:sz w:val="24"/>
          <w:szCs w:val="24"/>
        </w:rPr>
        <w:t>as</w:t>
      </w:r>
      <w:r w:rsidRPr="004E16EB">
        <w:rPr>
          <w:rFonts w:ascii="Times New Roman" w:hAnsi="Times New Roman"/>
          <w:sz w:val="24"/>
          <w:szCs w:val="24"/>
        </w:rPr>
        <w:t xml:space="preserve"> obtained through interviews and observations. This study conducted observations on the mandatory group training and customer assistance processes during the WH meeting. Interviews were conducted with MWB leaders, assistants, and customers on the empowerment model </w:t>
      </w:r>
      <w:r w:rsidR="00A37C76">
        <w:rPr>
          <w:rFonts w:ascii="Times New Roman" w:hAnsi="Times New Roman"/>
          <w:sz w:val="24"/>
          <w:szCs w:val="24"/>
        </w:rPr>
        <w:t xml:space="preserve">that was </w:t>
      </w:r>
      <w:r w:rsidRPr="004E16EB">
        <w:rPr>
          <w:rFonts w:ascii="Times New Roman" w:hAnsi="Times New Roman"/>
          <w:sz w:val="24"/>
          <w:szCs w:val="24"/>
        </w:rPr>
        <w:t>carried out. Structured interviews were conducted naturally to build a friendly atmosphere for informants</w:t>
      </w:r>
      <w:r w:rsidRPr="004E16EB">
        <w:rPr>
          <w:rFonts w:ascii="Times New Roman" w:hAnsi="Times New Roman" w:cs="Times New Roman"/>
          <w:sz w:val="24"/>
          <w:szCs w:val="24"/>
        </w:rPr>
        <w:t xml:space="preserve">. </w:t>
      </w:r>
    </w:p>
    <w:p w14:paraId="77D08007" w14:textId="77777777" w:rsidR="00384CB1" w:rsidRPr="004E16EB" w:rsidRDefault="00384CB1" w:rsidP="00384CB1">
      <w:pPr>
        <w:pStyle w:val="ListParagraph"/>
        <w:ind w:left="0" w:firstLine="720"/>
        <w:jc w:val="both"/>
        <w:rPr>
          <w:rFonts w:ascii="Times New Roman" w:hAnsi="Times New Roman" w:cs="Times New Roman"/>
        </w:rPr>
      </w:pPr>
    </w:p>
    <w:p w14:paraId="14CC9464" w14:textId="77777777" w:rsidR="00384CB1" w:rsidRPr="004E16EB" w:rsidRDefault="00384CB1" w:rsidP="00384CB1">
      <w:pPr>
        <w:pStyle w:val="BodyText"/>
        <w:numPr>
          <w:ilvl w:val="1"/>
          <w:numId w:val="7"/>
        </w:numPr>
        <w:ind w:left="360" w:right="138"/>
        <w:jc w:val="both"/>
        <w:rPr>
          <w:b/>
        </w:rPr>
      </w:pPr>
      <w:r w:rsidRPr="004E16EB">
        <w:rPr>
          <w:b/>
        </w:rPr>
        <w:t>Socio-Demography</w:t>
      </w:r>
    </w:p>
    <w:p w14:paraId="07657FF2" w14:textId="77777777" w:rsidR="00384CB1" w:rsidRPr="004E16EB" w:rsidRDefault="00384CB1" w:rsidP="00384CB1">
      <w:pPr>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This study involved 95 women aged 30-39 (40%) and 40-49 (39%) to participate in in-depth interviews. Based on education level, 57% of respondents were Senior High School graduates, while only nine graduated from higher education. Most respondents (53%) have been in this business for 1-5 years, and only 6% for more than 15 years. Additionally, 27 respondents (29%) have an income of less than 1.9 million rupiahs, and 17 earn more than 4 million rupiahs, as shown in Table 1</w:t>
      </w:r>
      <w:r w:rsidRPr="004E16EB">
        <w:rPr>
          <w:rFonts w:ascii="Times New Roman" w:hAnsi="Times New Roman" w:cs="Times New Roman"/>
          <w:sz w:val="24"/>
          <w:szCs w:val="24"/>
        </w:rPr>
        <w:t>.</w:t>
      </w:r>
    </w:p>
    <w:p w14:paraId="5BEA228E" w14:textId="77777777" w:rsidR="00384CB1" w:rsidRPr="004E16EB" w:rsidRDefault="00384CB1" w:rsidP="00384CB1">
      <w:pPr>
        <w:pStyle w:val="BodyText"/>
        <w:ind w:right="138"/>
        <w:jc w:val="both"/>
        <w:rPr>
          <w:spacing w:val="-5"/>
          <w:w w:val="104"/>
        </w:rPr>
      </w:pPr>
      <w:r w:rsidRPr="004E16EB">
        <w:rPr>
          <w:spacing w:val="-5"/>
          <w:w w:val="104"/>
        </w:rPr>
        <w:t xml:space="preserve">Table 1. Respondents’ </w:t>
      </w:r>
      <w:proofErr w:type="spellStart"/>
      <w:r w:rsidRPr="004E16EB">
        <w:rPr>
          <w:spacing w:val="-5"/>
          <w:w w:val="104"/>
        </w:rPr>
        <w:t>Sociodemography</w:t>
      </w:r>
      <w:proofErr w:type="spellEnd"/>
    </w:p>
    <w:tbl>
      <w:tblPr>
        <w:tblW w:w="9829" w:type="dxa"/>
        <w:tblInd w:w="93" w:type="dxa"/>
        <w:tblLook w:val="04A0" w:firstRow="1" w:lastRow="0" w:firstColumn="1" w:lastColumn="0" w:noHBand="0" w:noVBand="1"/>
      </w:tblPr>
      <w:tblGrid>
        <w:gridCol w:w="1230"/>
        <w:gridCol w:w="616"/>
        <w:gridCol w:w="583"/>
        <w:gridCol w:w="1271"/>
        <w:gridCol w:w="656"/>
        <w:gridCol w:w="583"/>
        <w:gridCol w:w="1192"/>
        <w:gridCol w:w="656"/>
        <w:gridCol w:w="580"/>
        <w:gridCol w:w="1445"/>
        <w:gridCol w:w="656"/>
        <w:gridCol w:w="648"/>
      </w:tblGrid>
      <w:tr w:rsidR="00384CB1" w:rsidRPr="004E16EB" w14:paraId="07FD3042" w14:textId="77777777" w:rsidTr="0097302F">
        <w:trPr>
          <w:trHeight w:val="300"/>
        </w:trPr>
        <w:tc>
          <w:tcPr>
            <w:tcW w:w="2408" w:type="dxa"/>
            <w:gridSpan w:val="3"/>
            <w:tcBorders>
              <w:top w:val="single" w:sz="4" w:space="0" w:color="auto"/>
              <w:bottom w:val="single" w:sz="4" w:space="0" w:color="auto"/>
            </w:tcBorders>
            <w:shd w:val="clear" w:color="auto" w:fill="auto"/>
            <w:noWrap/>
            <w:vAlign w:val="center"/>
          </w:tcPr>
          <w:p w14:paraId="403C91E7" w14:textId="77777777" w:rsidR="00384CB1" w:rsidRPr="004E16EB" w:rsidRDefault="00384CB1" w:rsidP="0097302F">
            <w:pPr>
              <w:spacing w:after="0" w:line="240" w:lineRule="auto"/>
              <w:jc w:val="center"/>
              <w:rPr>
                <w:rFonts w:ascii="Times New Roman" w:eastAsia="Times New Roman" w:hAnsi="Times New Roman" w:cs="Times New Roman"/>
                <w:color w:val="000000"/>
              </w:rPr>
            </w:pPr>
            <w:r w:rsidRPr="004E16EB">
              <w:rPr>
                <w:rFonts w:ascii="Times New Roman" w:eastAsia="Times New Roman" w:hAnsi="Times New Roman" w:cs="Times New Roman"/>
                <w:color w:val="000000"/>
              </w:rPr>
              <w:t>Education</w:t>
            </w:r>
          </w:p>
        </w:tc>
        <w:tc>
          <w:tcPr>
            <w:tcW w:w="2510" w:type="dxa"/>
            <w:gridSpan w:val="3"/>
            <w:tcBorders>
              <w:top w:val="single" w:sz="4" w:space="0" w:color="auto"/>
              <w:left w:val="nil"/>
              <w:bottom w:val="single" w:sz="4" w:space="0" w:color="auto"/>
            </w:tcBorders>
            <w:shd w:val="clear" w:color="auto" w:fill="auto"/>
            <w:noWrap/>
            <w:vAlign w:val="center"/>
          </w:tcPr>
          <w:p w14:paraId="6EB62F78" w14:textId="77777777" w:rsidR="00384CB1" w:rsidRPr="004E16EB" w:rsidRDefault="00384CB1" w:rsidP="0097302F">
            <w:pPr>
              <w:spacing w:after="0" w:line="240" w:lineRule="auto"/>
              <w:jc w:val="center"/>
              <w:rPr>
                <w:rFonts w:ascii="Times New Roman" w:eastAsia="Times New Roman" w:hAnsi="Times New Roman" w:cs="Times New Roman"/>
                <w:color w:val="000000"/>
              </w:rPr>
            </w:pPr>
            <w:r w:rsidRPr="004E16EB">
              <w:rPr>
                <w:rFonts w:ascii="Times New Roman" w:eastAsia="Times New Roman" w:hAnsi="Times New Roman" w:cs="Times New Roman"/>
                <w:color w:val="000000"/>
              </w:rPr>
              <w:t>Age</w:t>
            </w:r>
          </w:p>
        </w:tc>
        <w:tc>
          <w:tcPr>
            <w:tcW w:w="2272" w:type="dxa"/>
            <w:gridSpan w:val="3"/>
            <w:tcBorders>
              <w:top w:val="single" w:sz="4" w:space="0" w:color="auto"/>
              <w:left w:val="nil"/>
              <w:bottom w:val="single" w:sz="4" w:space="0" w:color="auto"/>
            </w:tcBorders>
            <w:shd w:val="clear" w:color="auto" w:fill="auto"/>
            <w:noWrap/>
            <w:vAlign w:val="center"/>
          </w:tcPr>
          <w:p w14:paraId="5E4805A7" w14:textId="77777777" w:rsidR="00384CB1" w:rsidRPr="004E16EB" w:rsidRDefault="00384CB1" w:rsidP="0097302F">
            <w:pPr>
              <w:spacing w:after="0" w:line="240" w:lineRule="auto"/>
              <w:jc w:val="center"/>
              <w:rPr>
                <w:rFonts w:ascii="Times New Roman" w:eastAsia="Times New Roman" w:hAnsi="Times New Roman" w:cs="Times New Roman"/>
                <w:color w:val="000000"/>
              </w:rPr>
            </w:pPr>
            <w:r w:rsidRPr="004E16EB">
              <w:rPr>
                <w:rFonts w:ascii="Times New Roman" w:eastAsia="Times New Roman" w:hAnsi="Times New Roman" w:cs="Times New Roman"/>
                <w:color w:val="000000"/>
              </w:rPr>
              <w:t>Business length</w:t>
            </w:r>
          </w:p>
        </w:tc>
        <w:tc>
          <w:tcPr>
            <w:tcW w:w="2639" w:type="dxa"/>
            <w:gridSpan w:val="3"/>
            <w:tcBorders>
              <w:top w:val="single" w:sz="4" w:space="0" w:color="auto"/>
              <w:left w:val="nil"/>
              <w:bottom w:val="single" w:sz="4" w:space="0" w:color="auto"/>
            </w:tcBorders>
            <w:shd w:val="clear" w:color="auto" w:fill="auto"/>
            <w:noWrap/>
            <w:vAlign w:val="center"/>
          </w:tcPr>
          <w:p w14:paraId="0C0DC9A3" w14:textId="77777777" w:rsidR="00384CB1" w:rsidRPr="004E16EB" w:rsidRDefault="00384CB1" w:rsidP="0097302F">
            <w:pPr>
              <w:spacing w:after="0" w:line="240" w:lineRule="auto"/>
              <w:jc w:val="center"/>
              <w:rPr>
                <w:rFonts w:ascii="Times New Roman" w:eastAsia="Times New Roman" w:hAnsi="Times New Roman" w:cs="Times New Roman"/>
                <w:color w:val="000000"/>
                <w:sz w:val="18"/>
                <w:szCs w:val="18"/>
              </w:rPr>
            </w:pPr>
            <w:r w:rsidRPr="004E16EB">
              <w:rPr>
                <w:rFonts w:ascii="Times New Roman" w:eastAsia="Times New Roman" w:hAnsi="Times New Roman"/>
                <w:color w:val="000000"/>
                <w:sz w:val="18"/>
                <w:szCs w:val="18"/>
              </w:rPr>
              <w:t>Income After Obtaining Financing</w:t>
            </w:r>
          </w:p>
        </w:tc>
      </w:tr>
      <w:tr w:rsidR="00384CB1" w:rsidRPr="004E16EB" w14:paraId="05CE1043" w14:textId="77777777" w:rsidTr="0097302F">
        <w:trPr>
          <w:trHeight w:val="300"/>
        </w:trPr>
        <w:tc>
          <w:tcPr>
            <w:tcW w:w="1209" w:type="dxa"/>
            <w:tcBorders>
              <w:top w:val="single" w:sz="4" w:space="0" w:color="auto"/>
              <w:bottom w:val="single" w:sz="4" w:space="0" w:color="auto"/>
            </w:tcBorders>
            <w:shd w:val="clear" w:color="auto" w:fill="auto"/>
            <w:noWrap/>
            <w:vAlign w:val="center"/>
          </w:tcPr>
          <w:p w14:paraId="173116BE" w14:textId="77777777" w:rsidR="00384CB1" w:rsidRPr="004E16EB" w:rsidRDefault="00384CB1" w:rsidP="0097302F">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Education</w:t>
            </w:r>
          </w:p>
        </w:tc>
        <w:tc>
          <w:tcPr>
            <w:tcW w:w="616" w:type="dxa"/>
            <w:tcBorders>
              <w:top w:val="single" w:sz="4" w:space="0" w:color="auto"/>
              <w:bottom w:val="single" w:sz="4" w:space="0" w:color="auto"/>
            </w:tcBorders>
            <w:shd w:val="clear" w:color="auto" w:fill="auto"/>
            <w:noWrap/>
            <w:vAlign w:val="center"/>
          </w:tcPr>
          <w:p w14:paraId="5142246E" w14:textId="77777777" w:rsidR="00384CB1" w:rsidRPr="004E16EB" w:rsidRDefault="00384CB1" w:rsidP="0097302F">
            <w:pPr>
              <w:spacing w:after="0" w:line="240" w:lineRule="auto"/>
              <w:ind w:left="-65"/>
              <w:rPr>
                <w:rFonts w:ascii="Times New Roman" w:eastAsia="Times New Roman" w:hAnsi="Times New Roman" w:cs="Times New Roman"/>
                <w:color w:val="000000"/>
              </w:rPr>
            </w:pPr>
            <w:r w:rsidRPr="004E16EB">
              <w:rPr>
                <w:rFonts w:ascii="Times New Roman" w:eastAsia="Times New Roman" w:hAnsi="Times New Roman" w:cs="Times New Roman"/>
                <w:color w:val="000000"/>
              </w:rPr>
              <w:t>Total</w:t>
            </w:r>
          </w:p>
        </w:tc>
        <w:tc>
          <w:tcPr>
            <w:tcW w:w="583" w:type="dxa"/>
            <w:tcBorders>
              <w:top w:val="single" w:sz="4" w:space="0" w:color="auto"/>
              <w:bottom w:val="single" w:sz="4" w:space="0" w:color="auto"/>
            </w:tcBorders>
            <w:shd w:val="clear" w:color="auto" w:fill="auto"/>
            <w:noWrap/>
            <w:vAlign w:val="center"/>
          </w:tcPr>
          <w:p w14:paraId="717C6CA5" w14:textId="77777777" w:rsidR="00384CB1" w:rsidRPr="004E16EB" w:rsidRDefault="00384CB1" w:rsidP="0097302F">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w:t>
            </w:r>
          </w:p>
        </w:tc>
        <w:tc>
          <w:tcPr>
            <w:tcW w:w="1271" w:type="dxa"/>
            <w:tcBorders>
              <w:top w:val="single" w:sz="4" w:space="0" w:color="auto"/>
              <w:bottom w:val="single" w:sz="4" w:space="0" w:color="auto"/>
            </w:tcBorders>
            <w:shd w:val="clear" w:color="auto" w:fill="auto"/>
            <w:noWrap/>
            <w:vAlign w:val="center"/>
          </w:tcPr>
          <w:p w14:paraId="4D60EA3B" w14:textId="77777777" w:rsidR="00384CB1" w:rsidRPr="004E16EB" w:rsidRDefault="00384CB1" w:rsidP="0097302F">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Age</w:t>
            </w:r>
          </w:p>
        </w:tc>
        <w:tc>
          <w:tcPr>
            <w:tcW w:w="656" w:type="dxa"/>
            <w:tcBorders>
              <w:top w:val="single" w:sz="4" w:space="0" w:color="auto"/>
              <w:bottom w:val="single" w:sz="4" w:space="0" w:color="auto"/>
            </w:tcBorders>
            <w:shd w:val="clear" w:color="auto" w:fill="auto"/>
            <w:noWrap/>
            <w:vAlign w:val="center"/>
          </w:tcPr>
          <w:p w14:paraId="1A06AFAE" w14:textId="77777777" w:rsidR="00384CB1" w:rsidRPr="004E16EB" w:rsidRDefault="00384CB1" w:rsidP="0097302F">
            <w:pPr>
              <w:spacing w:after="0" w:line="240" w:lineRule="auto"/>
              <w:ind w:left="-25"/>
              <w:rPr>
                <w:rFonts w:ascii="Times New Roman" w:eastAsia="Times New Roman" w:hAnsi="Times New Roman" w:cs="Times New Roman"/>
                <w:color w:val="000000"/>
              </w:rPr>
            </w:pPr>
            <w:r w:rsidRPr="004E16EB">
              <w:rPr>
                <w:rFonts w:ascii="Times New Roman" w:eastAsia="Times New Roman" w:hAnsi="Times New Roman" w:cs="Times New Roman"/>
                <w:color w:val="000000"/>
              </w:rPr>
              <w:t>Total</w:t>
            </w:r>
          </w:p>
        </w:tc>
        <w:tc>
          <w:tcPr>
            <w:tcW w:w="583" w:type="dxa"/>
            <w:tcBorders>
              <w:top w:val="single" w:sz="4" w:space="0" w:color="auto"/>
              <w:bottom w:val="single" w:sz="4" w:space="0" w:color="auto"/>
            </w:tcBorders>
            <w:shd w:val="clear" w:color="auto" w:fill="auto"/>
            <w:noWrap/>
            <w:vAlign w:val="center"/>
          </w:tcPr>
          <w:p w14:paraId="0D8E5C50" w14:textId="77777777" w:rsidR="00384CB1" w:rsidRPr="004E16EB" w:rsidRDefault="00384CB1" w:rsidP="0097302F">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w:t>
            </w:r>
          </w:p>
        </w:tc>
        <w:tc>
          <w:tcPr>
            <w:tcW w:w="1192" w:type="dxa"/>
            <w:tcBorders>
              <w:top w:val="single" w:sz="4" w:space="0" w:color="auto"/>
              <w:bottom w:val="single" w:sz="4" w:space="0" w:color="auto"/>
            </w:tcBorders>
            <w:shd w:val="clear" w:color="auto" w:fill="auto"/>
            <w:noWrap/>
            <w:vAlign w:val="center"/>
          </w:tcPr>
          <w:p w14:paraId="29782216" w14:textId="77777777" w:rsidR="00384CB1" w:rsidRPr="004E16EB" w:rsidRDefault="00384CB1" w:rsidP="0097302F">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Business length</w:t>
            </w:r>
          </w:p>
        </w:tc>
        <w:tc>
          <w:tcPr>
            <w:tcW w:w="500" w:type="dxa"/>
            <w:tcBorders>
              <w:top w:val="single" w:sz="4" w:space="0" w:color="auto"/>
              <w:bottom w:val="single" w:sz="4" w:space="0" w:color="auto"/>
            </w:tcBorders>
            <w:shd w:val="clear" w:color="auto" w:fill="auto"/>
            <w:noWrap/>
            <w:vAlign w:val="center"/>
          </w:tcPr>
          <w:p w14:paraId="00C0623D" w14:textId="77777777" w:rsidR="00384CB1" w:rsidRPr="004E16EB" w:rsidRDefault="00384CB1" w:rsidP="0097302F">
            <w:pPr>
              <w:spacing w:after="0" w:line="240" w:lineRule="auto"/>
              <w:ind w:left="-25"/>
              <w:rPr>
                <w:rFonts w:ascii="Times New Roman" w:eastAsia="Times New Roman" w:hAnsi="Times New Roman" w:cs="Times New Roman"/>
                <w:color w:val="000000"/>
              </w:rPr>
            </w:pPr>
            <w:r w:rsidRPr="004E16EB">
              <w:rPr>
                <w:rFonts w:ascii="Times New Roman" w:eastAsia="Times New Roman" w:hAnsi="Times New Roman" w:cs="Times New Roman"/>
                <w:color w:val="000000"/>
              </w:rPr>
              <w:t>Total</w:t>
            </w:r>
          </w:p>
        </w:tc>
        <w:tc>
          <w:tcPr>
            <w:tcW w:w="580" w:type="dxa"/>
            <w:tcBorders>
              <w:top w:val="single" w:sz="4" w:space="0" w:color="auto"/>
              <w:bottom w:val="single" w:sz="4" w:space="0" w:color="auto"/>
            </w:tcBorders>
            <w:shd w:val="clear" w:color="auto" w:fill="auto"/>
            <w:noWrap/>
            <w:vAlign w:val="center"/>
          </w:tcPr>
          <w:p w14:paraId="6F857322" w14:textId="77777777" w:rsidR="00384CB1" w:rsidRPr="004E16EB" w:rsidRDefault="00384CB1" w:rsidP="0097302F">
            <w:pPr>
              <w:spacing w:after="0" w:line="240" w:lineRule="auto"/>
              <w:ind w:left="-26"/>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w:t>
            </w:r>
          </w:p>
        </w:tc>
        <w:tc>
          <w:tcPr>
            <w:tcW w:w="1445" w:type="dxa"/>
            <w:tcBorders>
              <w:top w:val="single" w:sz="4" w:space="0" w:color="auto"/>
              <w:bottom w:val="single" w:sz="4" w:space="0" w:color="auto"/>
            </w:tcBorders>
            <w:shd w:val="clear" w:color="auto" w:fill="auto"/>
            <w:noWrap/>
            <w:vAlign w:val="center"/>
          </w:tcPr>
          <w:p w14:paraId="6D9EC94D" w14:textId="77777777" w:rsidR="00384CB1" w:rsidRPr="004E16EB" w:rsidRDefault="00384CB1" w:rsidP="0097302F">
            <w:pPr>
              <w:spacing w:after="0" w:line="240" w:lineRule="auto"/>
              <w:ind w:left="-28"/>
              <w:rPr>
                <w:rFonts w:ascii="Times New Roman" w:eastAsia="Times New Roman" w:hAnsi="Times New Roman" w:cs="Times New Roman"/>
                <w:color w:val="000000"/>
              </w:rPr>
            </w:pPr>
            <w:r w:rsidRPr="004E16EB">
              <w:rPr>
                <w:rFonts w:ascii="Times New Roman" w:eastAsia="Times New Roman" w:hAnsi="Times New Roman" w:cs="Times New Roman"/>
                <w:color w:val="000000"/>
              </w:rPr>
              <w:t>Income</w:t>
            </w:r>
          </w:p>
        </w:tc>
        <w:tc>
          <w:tcPr>
            <w:tcW w:w="546" w:type="dxa"/>
            <w:tcBorders>
              <w:top w:val="single" w:sz="4" w:space="0" w:color="auto"/>
              <w:bottom w:val="single" w:sz="4" w:space="0" w:color="auto"/>
            </w:tcBorders>
            <w:shd w:val="clear" w:color="auto" w:fill="auto"/>
            <w:noWrap/>
            <w:vAlign w:val="center"/>
          </w:tcPr>
          <w:p w14:paraId="7F9D6E34" w14:textId="77777777" w:rsidR="00384CB1" w:rsidRPr="004E16EB" w:rsidRDefault="00384CB1" w:rsidP="0097302F">
            <w:pPr>
              <w:spacing w:after="0" w:line="240" w:lineRule="auto"/>
              <w:ind w:left="-25"/>
              <w:rPr>
                <w:rFonts w:ascii="Times New Roman" w:eastAsia="Times New Roman" w:hAnsi="Times New Roman" w:cs="Times New Roman"/>
                <w:color w:val="000000"/>
              </w:rPr>
            </w:pPr>
            <w:r w:rsidRPr="004E16EB">
              <w:rPr>
                <w:rFonts w:ascii="Times New Roman" w:eastAsia="Times New Roman" w:hAnsi="Times New Roman" w:cs="Times New Roman"/>
                <w:color w:val="000000"/>
              </w:rPr>
              <w:t>Total</w:t>
            </w:r>
          </w:p>
        </w:tc>
        <w:tc>
          <w:tcPr>
            <w:tcW w:w="648" w:type="dxa"/>
            <w:tcBorders>
              <w:top w:val="single" w:sz="4" w:space="0" w:color="auto"/>
              <w:bottom w:val="single" w:sz="4" w:space="0" w:color="auto"/>
            </w:tcBorders>
            <w:shd w:val="clear" w:color="auto" w:fill="auto"/>
            <w:noWrap/>
            <w:vAlign w:val="center"/>
          </w:tcPr>
          <w:p w14:paraId="5599BBFF" w14:textId="77777777" w:rsidR="00384CB1" w:rsidRPr="004E16EB" w:rsidRDefault="00384CB1" w:rsidP="0097302F">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w:t>
            </w:r>
          </w:p>
        </w:tc>
      </w:tr>
      <w:tr w:rsidR="00384CB1" w:rsidRPr="004E16EB" w14:paraId="701E510A" w14:textId="77777777" w:rsidTr="0097302F">
        <w:trPr>
          <w:trHeight w:val="300"/>
        </w:trPr>
        <w:tc>
          <w:tcPr>
            <w:tcW w:w="1209" w:type="dxa"/>
            <w:tcBorders>
              <w:top w:val="single" w:sz="4" w:space="0" w:color="auto"/>
              <w:bottom w:val="single" w:sz="4" w:space="0" w:color="auto"/>
            </w:tcBorders>
            <w:shd w:val="clear" w:color="auto" w:fill="auto"/>
            <w:noWrap/>
            <w:vAlign w:val="center"/>
          </w:tcPr>
          <w:p w14:paraId="4D52A006" w14:textId="77777777" w:rsidR="00384CB1" w:rsidRPr="004E16EB" w:rsidRDefault="00384CB1" w:rsidP="0097302F">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Higher Education</w:t>
            </w:r>
          </w:p>
        </w:tc>
        <w:tc>
          <w:tcPr>
            <w:tcW w:w="616" w:type="dxa"/>
            <w:tcBorders>
              <w:top w:val="single" w:sz="4" w:space="0" w:color="auto"/>
              <w:bottom w:val="single" w:sz="4" w:space="0" w:color="auto"/>
            </w:tcBorders>
            <w:shd w:val="clear" w:color="auto" w:fill="auto"/>
            <w:noWrap/>
            <w:vAlign w:val="center"/>
          </w:tcPr>
          <w:p w14:paraId="75D1DD2B" w14:textId="77777777" w:rsidR="00384CB1" w:rsidRPr="004E16EB" w:rsidRDefault="00384CB1" w:rsidP="0097302F">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9</w:t>
            </w:r>
          </w:p>
        </w:tc>
        <w:tc>
          <w:tcPr>
            <w:tcW w:w="583" w:type="dxa"/>
            <w:tcBorders>
              <w:top w:val="single" w:sz="4" w:space="0" w:color="auto"/>
              <w:bottom w:val="single" w:sz="4" w:space="0" w:color="auto"/>
            </w:tcBorders>
            <w:shd w:val="clear" w:color="auto" w:fill="auto"/>
            <w:noWrap/>
            <w:vAlign w:val="center"/>
          </w:tcPr>
          <w:p w14:paraId="0F1EB668" w14:textId="77777777" w:rsidR="00384CB1" w:rsidRPr="004E16EB" w:rsidRDefault="00384CB1" w:rsidP="0097302F">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9%</w:t>
            </w:r>
          </w:p>
        </w:tc>
        <w:tc>
          <w:tcPr>
            <w:tcW w:w="1271" w:type="dxa"/>
            <w:tcBorders>
              <w:top w:val="single" w:sz="4" w:space="0" w:color="auto"/>
              <w:bottom w:val="single" w:sz="4" w:space="0" w:color="auto"/>
            </w:tcBorders>
            <w:shd w:val="clear" w:color="auto" w:fill="auto"/>
            <w:noWrap/>
            <w:vAlign w:val="center"/>
          </w:tcPr>
          <w:p w14:paraId="284869F5" w14:textId="77777777" w:rsidR="00384CB1" w:rsidRPr="004E16EB" w:rsidRDefault="00384CB1" w:rsidP="0097302F">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&gt;50 years</w:t>
            </w:r>
          </w:p>
        </w:tc>
        <w:tc>
          <w:tcPr>
            <w:tcW w:w="656" w:type="dxa"/>
            <w:tcBorders>
              <w:top w:val="single" w:sz="4" w:space="0" w:color="auto"/>
              <w:bottom w:val="single" w:sz="4" w:space="0" w:color="auto"/>
            </w:tcBorders>
            <w:shd w:val="clear" w:color="auto" w:fill="auto"/>
            <w:noWrap/>
            <w:vAlign w:val="center"/>
          </w:tcPr>
          <w:p w14:paraId="7D159BFD" w14:textId="77777777" w:rsidR="00384CB1" w:rsidRPr="004E16EB" w:rsidRDefault="00384CB1" w:rsidP="0097302F">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13</w:t>
            </w:r>
          </w:p>
        </w:tc>
        <w:tc>
          <w:tcPr>
            <w:tcW w:w="583" w:type="dxa"/>
            <w:tcBorders>
              <w:top w:val="single" w:sz="4" w:space="0" w:color="auto"/>
              <w:bottom w:val="single" w:sz="4" w:space="0" w:color="auto"/>
            </w:tcBorders>
            <w:shd w:val="clear" w:color="auto" w:fill="auto"/>
            <w:noWrap/>
            <w:vAlign w:val="center"/>
          </w:tcPr>
          <w:p w14:paraId="410E3DC2" w14:textId="77777777" w:rsidR="00384CB1" w:rsidRPr="004E16EB" w:rsidRDefault="00384CB1" w:rsidP="0097302F">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14%</w:t>
            </w:r>
          </w:p>
        </w:tc>
        <w:tc>
          <w:tcPr>
            <w:tcW w:w="1192" w:type="dxa"/>
            <w:tcBorders>
              <w:top w:val="single" w:sz="4" w:space="0" w:color="auto"/>
              <w:bottom w:val="single" w:sz="4" w:space="0" w:color="auto"/>
            </w:tcBorders>
            <w:shd w:val="clear" w:color="auto" w:fill="auto"/>
            <w:noWrap/>
            <w:vAlign w:val="center"/>
          </w:tcPr>
          <w:p w14:paraId="5A641743" w14:textId="77777777" w:rsidR="00384CB1" w:rsidRPr="004E16EB" w:rsidRDefault="00384CB1" w:rsidP="0097302F">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1-5 years</w:t>
            </w:r>
          </w:p>
        </w:tc>
        <w:tc>
          <w:tcPr>
            <w:tcW w:w="500" w:type="dxa"/>
            <w:tcBorders>
              <w:top w:val="single" w:sz="4" w:space="0" w:color="auto"/>
              <w:bottom w:val="single" w:sz="4" w:space="0" w:color="auto"/>
            </w:tcBorders>
            <w:shd w:val="clear" w:color="auto" w:fill="auto"/>
            <w:noWrap/>
            <w:vAlign w:val="center"/>
          </w:tcPr>
          <w:p w14:paraId="4CDD52BC" w14:textId="77777777" w:rsidR="00384CB1" w:rsidRPr="004E16EB" w:rsidRDefault="00384CB1" w:rsidP="0097302F">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50</w:t>
            </w:r>
          </w:p>
        </w:tc>
        <w:tc>
          <w:tcPr>
            <w:tcW w:w="580" w:type="dxa"/>
            <w:tcBorders>
              <w:top w:val="single" w:sz="4" w:space="0" w:color="auto"/>
              <w:bottom w:val="single" w:sz="4" w:space="0" w:color="auto"/>
            </w:tcBorders>
            <w:shd w:val="clear" w:color="auto" w:fill="auto"/>
            <w:noWrap/>
            <w:vAlign w:val="center"/>
          </w:tcPr>
          <w:p w14:paraId="61BBD7A1" w14:textId="77777777" w:rsidR="00384CB1" w:rsidRPr="004E16EB" w:rsidRDefault="00384CB1" w:rsidP="0097302F">
            <w:pPr>
              <w:spacing w:after="0" w:line="240" w:lineRule="auto"/>
              <w:ind w:left="-26"/>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53%</w:t>
            </w:r>
          </w:p>
        </w:tc>
        <w:tc>
          <w:tcPr>
            <w:tcW w:w="1445" w:type="dxa"/>
            <w:tcBorders>
              <w:top w:val="single" w:sz="4" w:space="0" w:color="auto"/>
              <w:bottom w:val="single" w:sz="4" w:space="0" w:color="auto"/>
            </w:tcBorders>
            <w:shd w:val="clear" w:color="auto" w:fill="auto"/>
            <w:noWrap/>
            <w:vAlign w:val="center"/>
          </w:tcPr>
          <w:p w14:paraId="7E4C1373" w14:textId="77777777" w:rsidR="00384CB1" w:rsidRPr="004E16EB" w:rsidRDefault="00384CB1" w:rsidP="0097302F">
            <w:pPr>
              <w:spacing w:line="240" w:lineRule="auto"/>
              <w:rPr>
                <w:rFonts w:cs="Calibri"/>
                <w:color w:val="000000"/>
                <w:sz w:val="20"/>
                <w:szCs w:val="20"/>
              </w:rPr>
            </w:pPr>
            <w:r w:rsidRPr="004E16EB">
              <w:rPr>
                <w:rFonts w:cs="Calibri"/>
                <w:color w:val="000000"/>
                <w:sz w:val="20"/>
                <w:szCs w:val="20"/>
              </w:rPr>
              <w:t>&lt;1.9 million rupiahs</w:t>
            </w:r>
          </w:p>
        </w:tc>
        <w:tc>
          <w:tcPr>
            <w:tcW w:w="546" w:type="dxa"/>
            <w:tcBorders>
              <w:top w:val="single" w:sz="4" w:space="0" w:color="auto"/>
              <w:bottom w:val="single" w:sz="4" w:space="0" w:color="auto"/>
            </w:tcBorders>
            <w:shd w:val="clear" w:color="auto" w:fill="auto"/>
            <w:noWrap/>
            <w:vAlign w:val="center"/>
          </w:tcPr>
          <w:p w14:paraId="47932C6C" w14:textId="77777777" w:rsidR="00384CB1" w:rsidRPr="004E16EB" w:rsidRDefault="00384CB1" w:rsidP="0097302F">
            <w:pPr>
              <w:spacing w:line="240" w:lineRule="auto"/>
              <w:jc w:val="right"/>
              <w:rPr>
                <w:rFonts w:cs="Calibri"/>
                <w:color w:val="000000"/>
                <w:sz w:val="20"/>
                <w:szCs w:val="20"/>
              </w:rPr>
            </w:pPr>
            <w:r w:rsidRPr="004E16EB">
              <w:rPr>
                <w:rFonts w:cs="Calibri"/>
                <w:color w:val="000000"/>
                <w:sz w:val="20"/>
                <w:szCs w:val="20"/>
              </w:rPr>
              <w:t>27</w:t>
            </w:r>
          </w:p>
        </w:tc>
        <w:tc>
          <w:tcPr>
            <w:tcW w:w="648" w:type="dxa"/>
            <w:tcBorders>
              <w:top w:val="single" w:sz="4" w:space="0" w:color="auto"/>
              <w:bottom w:val="single" w:sz="4" w:space="0" w:color="auto"/>
            </w:tcBorders>
            <w:shd w:val="clear" w:color="auto" w:fill="auto"/>
            <w:noWrap/>
            <w:vAlign w:val="center"/>
          </w:tcPr>
          <w:p w14:paraId="741BF8A2" w14:textId="77777777" w:rsidR="00384CB1" w:rsidRPr="004E16EB" w:rsidRDefault="00384CB1" w:rsidP="0097302F">
            <w:pPr>
              <w:spacing w:line="240" w:lineRule="auto"/>
              <w:jc w:val="right"/>
              <w:rPr>
                <w:rFonts w:cs="Calibri"/>
                <w:color w:val="000000"/>
                <w:sz w:val="20"/>
                <w:szCs w:val="20"/>
              </w:rPr>
            </w:pPr>
            <w:r w:rsidRPr="004E16EB">
              <w:rPr>
                <w:rFonts w:cs="Calibri"/>
                <w:color w:val="000000"/>
                <w:sz w:val="20"/>
                <w:szCs w:val="20"/>
              </w:rPr>
              <w:t>29%</w:t>
            </w:r>
          </w:p>
        </w:tc>
      </w:tr>
      <w:tr w:rsidR="00384CB1" w:rsidRPr="004E16EB" w14:paraId="2FC92372" w14:textId="77777777" w:rsidTr="0097302F">
        <w:trPr>
          <w:trHeight w:val="300"/>
        </w:trPr>
        <w:tc>
          <w:tcPr>
            <w:tcW w:w="1209" w:type="dxa"/>
            <w:tcBorders>
              <w:top w:val="single" w:sz="4" w:space="0" w:color="auto"/>
              <w:bottom w:val="single" w:sz="4" w:space="0" w:color="auto"/>
            </w:tcBorders>
            <w:shd w:val="clear" w:color="auto" w:fill="auto"/>
            <w:noWrap/>
            <w:vAlign w:val="center"/>
          </w:tcPr>
          <w:p w14:paraId="5617E5F1" w14:textId="77777777" w:rsidR="00384CB1" w:rsidRPr="004E16EB" w:rsidRDefault="00384CB1" w:rsidP="0097302F">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Senior High School</w:t>
            </w:r>
          </w:p>
        </w:tc>
        <w:tc>
          <w:tcPr>
            <w:tcW w:w="616" w:type="dxa"/>
            <w:tcBorders>
              <w:top w:val="single" w:sz="4" w:space="0" w:color="auto"/>
              <w:bottom w:val="single" w:sz="4" w:space="0" w:color="auto"/>
            </w:tcBorders>
            <w:shd w:val="clear" w:color="auto" w:fill="auto"/>
            <w:noWrap/>
            <w:vAlign w:val="center"/>
          </w:tcPr>
          <w:p w14:paraId="6DDD2B62" w14:textId="77777777" w:rsidR="00384CB1" w:rsidRPr="004E16EB" w:rsidRDefault="00384CB1" w:rsidP="0097302F">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54</w:t>
            </w:r>
          </w:p>
        </w:tc>
        <w:tc>
          <w:tcPr>
            <w:tcW w:w="583" w:type="dxa"/>
            <w:tcBorders>
              <w:top w:val="single" w:sz="4" w:space="0" w:color="auto"/>
              <w:bottom w:val="single" w:sz="4" w:space="0" w:color="auto"/>
            </w:tcBorders>
            <w:shd w:val="clear" w:color="auto" w:fill="auto"/>
            <w:noWrap/>
            <w:vAlign w:val="center"/>
          </w:tcPr>
          <w:p w14:paraId="58D650D3" w14:textId="77777777" w:rsidR="00384CB1" w:rsidRPr="004E16EB" w:rsidRDefault="00384CB1" w:rsidP="0097302F">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57%</w:t>
            </w:r>
          </w:p>
        </w:tc>
        <w:tc>
          <w:tcPr>
            <w:tcW w:w="1271" w:type="dxa"/>
            <w:tcBorders>
              <w:top w:val="single" w:sz="4" w:space="0" w:color="auto"/>
              <w:bottom w:val="single" w:sz="4" w:space="0" w:color="auto"/>
            </w:tcBorders>
            <w:shd w:val="clear" w:color="auto" w:fill="auto"/>
            <w:noWrap/>
            <w:vAlign w:val="center"/>
          </w:tcPr>
          <w:p w14:paraId="30E7A32B" w14:textId="77777777" w:rsidR="00384CB1" w:rsidRPr="004E16EB" w:rsidRDefault="00384CB1" w:rsidP="0097302F">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40-49 years</w:t>
            </w:r>
          </w:p>
        </w:tc>
        <w:tc>
          <w:tcPr>
            <w:tcW w:w="656" w:type="dxa"/>
            <w:tcBorders>
              <w:top w:val="single" w:sz="4" w:space="0" w:color="auto"/>
              <w:bottom w:val="single" w:sz="4" w:space="0" w:color="auto"/>
            </w:tcBorders>
            <w:shd w:val="clear" w:color="auto" w:fill="auto"/>
            <w:noWrap/>
            <w:vAlign w:val="center"/>
          </w:tcPr>
          <w:p w14:paraId="416B6D68" w14:textId="77777777" w:rsidR="00384CB1" w:rsidRPr="004E16EB" w:rsidRDefault="00384CB1" w:rsidP="0097302F">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37</w:t>
            </w:r>
          </w:p>
        </w:tc>
        <w:tc>
          <w:tcPr>
            <w:tcW w:w="583" w:type="dxa"/>
            <w:tcBorders>
              <w:top w:val="single" w:sz="4" w:space="0" w:color="auto"/>
              <w:bottom w:val="single" w:sz="4" w:space="0" w:color="auto"/>
            </w:tcBorders>
            <w:shd w:val="clear" w:color="auto" w:fill="auto"/>
            <w:noWrap/>
            <w:vAlign w:val="center"/>
          </w:tcPr>
          <w:p w14:paraId="5150FEE1" w14:textId="77777777" w:rsidR="00384CB1" w:rsidRPr="004E16EB" w:rsidRDefault="00384CB1" w:rsidP="0097302F">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39%</w:t>
            </w:r>
          </w:p>
        </w:tc>
        <w:tc>
          <w:tcPr>
            <w:tcW w:w="1192" w:type="dxa"/>
            <w:tcBorders>
              <w:top w:val="single" w:sz="4" w:space="0" w:color="auto"/>
              <w:bottom w:val="single" w:sz="4" w:space="0" w:color="auto"/>
            </w:tcBorders>
            <w:shd w:val="clear" w:color="auto" w:fill="auto"/>
            <w:noWrap/>
            <w:vAlign w:val="center"/>
          </w:tcPr>
          <w:p w14:paraId="2B4EDE3F" w14:textId="77777777" w:rsidR="00384CB1" w:rsidRPr="004E16EB" w:rsidRDefault="00384CB1" w:rsidP="0097302F">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6-10 years</w:t>
            </w:r>
          </w:p>
        </w:tc>
        <w:tc>
          <w:tcPr>
            <w:tcW w:w="500" w:type="dxa"/>
            <w:tcBorders>
              <w:top w:val="single" w:sz="4" w:space="0" w:color="auto"/>
              <w:bottom w:val="single" w:sz="4" w:space="0" w:color="auto"/>
            </w:tcBorders>
            <w:shd w:val="clear" w:color="auto" w:fill="auto"/>
            <w:noWrap/>
            <w:vAlign w:val="center"/>
          </w:tcPr>
          <w:p w14:paraId="0BB0EEEE" w14:textId="77777777" w:rsidR="00384CB1" w:rsidRPr="004E16EB" w:rsidRDefault="00384CB1" w:rsidP="0097302F">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28</w:t>
            </w:r>
          </w:p>
        </w:tc>
        <w:tc>
          <w:tcPr>
            <w:tcW w:w="580" w:type="dxa"/>
            <w:tcBorders>
              <w:top w:val="single" w:sz="4" w:space="0" w:color="auto"/>
              <w:bottom w:val="single" w:sz="4" w:space="0" w:color="auto"/>
            </w:tcBorders>
            <w:shd w:val="clear" w:color="auto" w:fill="auto"/>
            <w:noWrap/>
            <w:vAlign w:val="center"/>
          </w:tcPr>
          <w:p w14:paraId="1DCAE459" w14:textId="77777777" w:rsidR="00384CB1" w:rsidRPr="004E16EB" w:rsidRDefault="00384CB1" w:rsidP="0097302F">
            <w:pPr>
              <w:spacing w:after="0" w:line="240" w:lineRule="auto"/>
              <w:ind w:left="-26"/>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29%</w:t>
            </w:r>
          </w:p>
        </w:tc>
        <w:tc>
          <w:tcPr>
            <w:tcW w:w="1445" w:type="dxa"/>
            <w:tcBorders>
              <w:top w:val="single" w:sz="4" w:space="0" w:color="auto"/>
              <w:bottom w:val="single" w:sz="4" w:space="0" w:color="auto"/>
            </w:tcBorders>
            <w:shd w:val="clear" w:color="auto" w:fill="auto"/>
            <w:noWrap/>
            <w:vAlign w:val="center"/>
          </w:tcPr>
          <w:p w14:paraId="0BA6F38A" w14:textId="77777777" w:rsidR="00384CB1" w:rsidRPr="004E16EB" w:rsidRDefault="00384CB1" w:rsidP="0097302F">
            <w:pPr>
              <w:spacing w:line="240" w:lineRule="auto"/>
              <w:rPr>
                <w:rFonts w:cs="Calibri"/>
                <w:color w:val="000000"/>
                <w:sz w:val="20"/>
                <w:szCs w:val="20"/>
              </w:rPr>
            </w:pPr>
            <w:r w:rsidRPr="004E16EB">
              <w:rPr>
                <w:rFonts w:cs="Calibri"/>
                <w:color w:val="000000"/>
                <w:sz w:val="20"/>
                <w:szCs w:val="20"/>
              </w:rPr>
              <w:t>2 -2.9 million rupiahs</w:t>
            </w:r>
          </w:p>
        </w:tc>
        <w:tc>
          <w:tcPr>
            <w:tcW w:w="546" w:type="dxa"/>
            <w:tcBorders>
              <w:top w:val="single" w:sz="4" w:space="0" w:color="auto"/>
              <w:bottom w:val="single" w:sz="4" w:space="0" w:color="auto"/>
            </w:tcBorders>
            <w:shd w:val="clear" w:color="auto" w:fill="auto"/>
            <w:noWrap/>
            <w:vAlign w:val="center"/>
          </w:tcPr>
          <w:p w14:paraId="1ED9BA5E" w14:textId="77777777" w:rsidR="00384CB1" w:rsidRPr="004E16EB" w:rsidRDefault="00384CB1" w:rsidP="0097302F">
            <w:pPr>
              <w:spacing w:line="240" w:lineRule="auto"/>
              <w:jc w:val="right"/>
              <w:rPr>
                <w:rFonts w:cs="Calibri"/>
                <w:color w:val="000000"/>
                <w:sz w:val="20"/>
                <w:szCs w:val="20"/>
              </w:rPr>
            </w:pPr>
            <w:r w:rsidRPr="004E16EB">
              <w:rPr>
                <w:rFonts w:cs="Calibri"/>
                <w:color w:val="000000"/>
                <w:sz w:val="20"/>
                <w:szCs w:val="20"/>
              </w:rPr>
              <w:t>21</w:t>
            </w:r>
          </w:p>
        </w:tc>
        <w:tc>
          <w:tcPr>
            <w:tcW w:w="648" w:type="dxa"/>
            <w:tcBorders>
              <w:top w:val="single" w:sz="4" w:space="0" w:color="auto"/>
              <w:bottom w:val="single" w:sz="4" w:space="0" w:color="auto"/>
            </w:tcBorders>
            <w:shd w:val="clear" w:color="auto" w:fill="auto"/>
            <w:noWrap/>
            <w:vAlign w:val="center"/>
          </w:tcPr>
          <w:p w14:paraId="21CF7BB2" w14:textId="77777777" w:rsidR="00384CB1" w:rsidRPr="004E16EB" w:rsidRDefault="00384CB1" w:rsidP="0097302F">
            <w:pPr>
              <w:spacing w:line="240" w:lineRule="auto"/>
              <w:jc w:val="right"/>
              <w:rPr>
                <w:rFonts w:cs="Calibri"/>
                <w:color w:val="000000"/>
                <w:sz w:val="20"/>
                <w:szCs w:val="20"/>
              </w:rPr>
            </w:pPr>
            <w:r w:rsidRPr="004E16EB">
              <w:rPr>
                <w:rFonts w:cs="Calibri"/>
                <w:color w:val="000000"/>
                <w:sz w:val="20"/>
                <w:szCs w:val="20"/>
              </w:rPr>
              <w:t>23%</w:t>
            </w:r>
          </w:p>
        </w:tc>
      </w:tr>
      <w:tr w:rsidR="00384CB1" w:rsidRPr="004E16EB" w14:paraId="01584847" w14:textId="77777777" w:rsidTr="0097302F">
        <w:trPr>
          <w:trHeight w:val="300"/>
        </w:trPr>
        <w:tc>
          <w:tcPr>
            <w:tcW w:w="1209" w:type="dxa"/>
            <w:tcBorders>
              <w:top w:val="single" w:sz="4" w:space="0" w:color="auto"/>
              <w:bottom w:val="single" w:sz="4" w:space="0" w:color="auto"/>
            </w:tcBorders>
            <w:shd w:val="clear" w:color="auto" w:fill="auto"/>
            <w:noWrap/>
            <w:vAlign w:val="center"/>
          </w:tcPr>
          <w:p w14:paraId="5261A6B4" w14:textId="77777777" w:rsidR="00384CB1" w:rsidRPr="004E16EB" w:rsidRDefault="00384CB1" w:rsidP="0097302F">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Junior High School</w:t>
            </w:r>
          </w:p>
        </w:tc>
        <w:tc>
          <w:tcPr>
            <w:tcW w:w="616" w:type="dxa"/>
            <w:tcBorders>
              <w:top w:val="single" w:sz="4" w:space="0" w:color="auto"/>
              <w:bottom w:val="single" w:sz="4" w:space="0" w:color="auto"/>
            </w:tcBorders>
            <w:shd w:val="clear" w:color="auto" w:fill="auto"/>
            <w:noWrap/>
            <w:vAlign w:val="center"/>
          </w:tcPr>
          <w:p w14:paraId="07451C83" w14:textId="77777777" w:rsidR="00384CB1" w:rsidRPr="004E16EB" w:rsidRDefault="00384CB1" w:rsidP="0097302F">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19</w:t>
            </w:r>
          </w:p>
        </w:tc>
        <w:tc>
          <w:tcPr>
            <w:tcW w:w="583" w:type="dxa"/>
            <w:tcBorders>
              <w:top w:val="single" w:sz="4" w:space="0" w:color="auto"/>
              <w:bottom w:val="single" w:sz="4" w:space="0" w:color="auto"/>
            </w:tcBorders>
            <w:shd w:val="clear" w:color="auto" w:fill="auto"/>
            <w:noWrap/>
            <w:vAlign w:val="center"/>
          </w:tcPr>
          <w:p w14:paraId="01638E42" w14:textId="77777777" w:rsidR="00384CB1" w:rsidRPr="004E16EB" w:rsidRDefault="00384CB1" w:rsidP="0097302F">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20%</w:t>
            </w:r>
          </w:p>
        </w:tc>
        <w:tc>
          <w:tcPr>
            <w:tcW w:w="1271" w:type="dxa"/>
            <w:tcBorders>
              <w:top w:val="single" w:sz="4" w:space="0" w:color="auto"/>
              <w:bottom w:val="single" w:sz="4" w:space="0" w:color="auto"/>
            </w:tcBorders>
            <w:shd w:val="clear" w:color="auto" w:fill="auto"/>
            <w:noWrap/>
            <w:vAlign w:val="center"/>
          </w:tcPr>
          <w:p w14:paraId="63552416" w14:textId="77777777" w:rsidR="00384CB1" w:rsidRPr="004E16EB" w:rsidRDefault="00384CB1" w:rsidP="0097302F">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30-39 years</w:t>
            </w:r>
          </w:p>
        </w:tc>
        <w:tc>
          <w:tcPr>
            <w:tcW w:w="656" w:type="dxa"/>
            <w:tcBorders>
              <w:top w:val="single" w:sz="4" w:space="0" w:color="auto"/>
              <w:bottom w:val="single" w:sz="4" w:space="0" w:color="auto"/>
            </w:tcBorders>
            <w:shd w:val="clear" w:color="auto" w:fill="auto"/>
            <w:noWrap/>
            <w:vAlign w:val="center"/>
          </w:tcPr>
          <w:p w14:paraId="54563CFA" w14:textId="77777777" w:rsidR="00384CB1" w:rsidRPr="004E16EB" w:rsidRDefault="00384CB1" w:rsidP="0097302F">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38</w:t>
            </w:r>
          </w:p>
        </w:tc>
        <w:tc>
          <w:tcPr>
            <w:tcW w:w="583" w:type="dxa"/>
            <w:tcBorders>
              <w:top w:val="single" w:sz="4" w:space="0" w:color="auto"/>
              <w:bottom w:val="single" w:sz="4" w:space="0" w:color="auto"/>
            </w:tcBorders>
            <w:shd w:val="clear" w:color="auto" w:fill="auto"/>
            <w:noWrap/>
            <w:vAlign w:val="center"/>
          </w:tcPr>
          <w:p w14:paraId="0B6E3816" w14:textId="77777777" w:rsidR="00384CB1" w:rsidRPr="004E16EB" w:rsidRDefault="00384CB1" w:rsidP="0097302F">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40%</w:t>
            </w:r>
          </w:p>
        </w:tc>
        <w:tc>
          <w:tcPr>
            <w:tcW w:w="1192" w:type="dxa"/>
            <w:tcBorders>
              <w:top w:val="single" w:sz="4" w:space="0" w:color="auto"/>
              <w:bottom w:val="single" w:sz="4" w:space="0" w:color="auto"/>
            </w:tcBorders>
            <w:shd w:val="clear" w:color="auto" w:fill="auto"/>
            <w:noWrap/>
            <w:vAlign w:val="center"/>
          </w:tcPr>
          <w:p w14:paraId="1E6A61BC" w14:textId="77777777" w:rsidR="00384CB1" w:rsidRPr="004E16EB" w:rsidRDefault="00384CB1" w:rsidP="0097302F">
            <w:pPr>
              <w:spacing w:after="0" w:line="240" w:lineRule="auto"/>
              <w:ind w:left="-57"/>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11-15 years</w:t>
            </w:r>
          </w:p>
        </w:tc>
        <w:tc>
          <w:tcPr>
            <w:tcW w:w="500" w:type="dxa"/>
            <w:tcBorders>
              <w:top w:val="single" w:sz="4" w:space="0" w:color="auto"/>
              <w:bottom w:val="single" w:sz="4" w:space="0" w:color="auto"/>
            </w:tcBorders>
            <w:shd w:val="clear" w:color="auto" w:fill="auto"/>
            <w:noWrap/>
            <w:vAlign w:val="center"/>
          </w:tcPr>
          <w:p w14:paraId="7234368C" w14:textId="77777777" w:rsidR="00384CB1" w:rsidRPr="004E16EB" w:rsidRDefault="00384CB1" w:rsidP="0097302F">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11</w:t>
            </w:r>
          </w:p>
        </w:tc>
        <w:tc>
          <w:tcPr>
            <w:tcW w:w="580" w:type="dxa"/>
            <w:tcBorders>
              <w:top w:val="single" w:sz="4" w:space="0" w:color="auto"/>
              <w:bottom w:val="single" w:sz="4" w:space="0" w:color="auto"/>
            </w:tcBorders>
            <w:shd w:val="clear" w:color="auto" w:fill="auto"/>
            <w:noWrap/>
            <w:vAlign w:val="center"/>
          </w:tcPr>
          <w:p w14:paraId="581D7D1D" w14:textId="77777777" w:rsidR="00384CB1" w:rsidRPr="004E16EB" w:rsidRDefault="00384CB1" w:rsidP="0097302F">
            <w:pPr>
              <w:spacing w:after="0" w:line="240" w:lineRule="auto"/>
              <w:ind w:left="-26"/>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12%</w:t>
            </w:r>
          </w:p>
        </w:tc>
        <w:tc>
          <w:tcPr>
            <w:tcW w:w="1445" w:type="dxa"/>
            <w:tcBorders>
              <w:top w:val="single" w:sz="4" w:space="0" w:color="auto"/>
              <w:bottom w:val="single" w:sz="4" w:space="0" w:color="auto"/>
            </w:tcBorders>
            <w:shd w:val="clear" w:color="auto" w:fill="auto"/>
            <w:noWrap/>
            <w:vAlign w:val="center"/>
          </w:tcPr>
          <w:p w14:paraId="7E559CDF" w14:textId="77777777" w:rsidR="00384CB1" w:rsidRPr="004E16EB" w:rsidRDefault="00384CB1" w:rsidP="0097302F">
            <w:pPr>
              <w:spacing w:line="240" w:lineRule="auto"/>
              <w:rPr>
                <w:rFonts w:cs="Calibri"/>
                <w:color w:val="000000"/>
                <w:sz w:val="20"/>
                <w:szCs w:val="20"/>
              </w:rPr>
            </w:pPr>
            <w:r w:rsidRPr="004E16EB">
              <w:rPr>
                <w:rFonts w:cs="Calibri"/>
                <w:color w:val="000000"/>
                <w:sz w:val="20"/>
                <w:szCs w:val="20"/>
              </w:rPr>
              <w:t>3 -3.9 million rupiahs</w:t>
            </w:r>
          </w:p>
        </w:tc>
        <w:tc>
          <w:tcPr>
            <w:tcW w:w="546" w:type="dxa"/>
            <w:tcBorders>
              <w:top w:val="single" w:sz="4" w:space="0" w:color="auto"/>
              <w:bottom w:val="single" w:sz="4" w:space="0" w:color="auto"/>
            </w:tcBorders>
            <w:shd w:val="clear" w:color="auto" w:fill="auto"/>
            <w:noWrap/>
            <w:vAlign w:val="center"/>
          </w:tcPr>
          <w:p w14:paraId="357000F6" w14:textId="77777777" w:rsidR="00384CB1" w:rsidRPr="004E16EB" w:rsidRDefault="00384CB1" w:rsidP="0097302F">
            <w:pPr>
              <w:spacing w:line="240" w:lineRule="auto"/>
              <w:jc w:val="right"/>
              <w:rPr>
                <w:rFonts w:cs="Calibri"/>
                <w:color w:val="000000"/>
                <w:sz w:val="20"/>
                <w:szCs w:val="20"/>
              </w:rPr>
            </w:pPr>
            <w:r w:rsidRPr="004E16EB">
              <w:rPr>
                <w:rFonts w:cs="Calibri"/>
                <w:color w:val="000000"/>
                <w:sz w:val="20"/>
                <w:szCs w:val="20"/>
              </w:rPr>
              <w:t>30</w:t>
            </w:r>
          </w:p>
        </w:tc>
        <w:tc>
          <w:tcPr>
            <w:tcW w:w="648" w:type="dxa"/>
            <w:tcBorders>
              <w:top w:val="single" w:sz="4" w:space="0" w:color="auto"/>
              <w:bottom w:val="single" w:sz="4" w:space="0" w:color="auto"/>
            </w:tcBorders>
            <w:shd w:val="clear" w:color="auto" w:fill="auto"/>
            <w:noWrap/>
            <w:vAlign w:val="center"/>
          </w:tcPr>
          <w:p w14:paraId="24E1B137" w14:textId="77777777" w:rsidR="00384CB1" w:rsidRPr="004E16EB" w:rsidRDefault="00384CB1" w:rsidP="0097302F">
            <w:pPr>
              <w:spacing w:line="240" w:lineRule="auto"/>
              <w:jc w:val="right"/>
              <w:rPr>
                <w:rFonts w:cs="Calibri"/>
                <w:color w:val="000000"/>
                <w:sz w:val="20"/>
                <w:szCs w:val="20"/>
              </w:rPr>
            </w:pPr>
            <w:r w:rsidRPr="004E16EB">
              <w:rPr>
                <w:rFonts w:cs="Calibri"/>
                <w:color w:val="000000"/>
                <w:sz w:val="20"/>
                <w:szCs w:val="20"/>
              </w:rPr>
              <w:t>32%</w:t>
            </w:r>
          </w:p>
        </w:tc>
      </w:tr>
      <w:tr w:rsidR="00384CB1" w:rsidRPr="004E16EB" w14:paraId="3F720D8B" w14:textId="77777777" w:rsidTr="0097302F">
        <w:trPr>
          <w:trHeight w:val="300"/>
        </w:trPr>
        <w:tc>
          <w:tcPr>
            <w:tcW w:w="1209" w:type="dxa"/>
            <w:tcBorders>
              <w:top w:val="single" w:sz="4" w:space="0" w:color="auto"/>
              <w:bottom w:val="single" w:sz="4" w:space="0" w:color="auto"/>
            </w:tcBorders>
            <w:shd w:val="clear" w:color="auto" w:fill="auto"/>
            <w:noWrap/>
            <w:vAlign w:val="center"/>
          </w:tcPr>
          <w:p w14:paraId="32D96F3C" w14:textId="77777777" w:rsidR="00384CB1" w:rsidRPr="004E16EB" w:rsidRDefault="00384CB1" w:rsidP="0097302F">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Elementary School</w:t>
            </w:r>
          </w:p>
        </w:tc>
        <w:tc>
          <w:tcPr>
            <w:tcW w:w="616" w:type="dxa"/>
            <w:tcBorders>
              <w:top w:val="single" w:sz="4" w:space="0" w:color="auto"/>
              <w:bottom w:val="single" w:sz="4" w:space="0" w:color="auto"/>
            </w:tcBorders>
            <w:shd w:val="clear" w:color="auto" w:fill="auto"/>
            <w:noWrap/>
            <w:vAlign w:val="center"/>
          </w:tcPr>
          <w:p w14:paraId="5A8D276A" w14:textId="77777777" w:rsidR="00384CB1" w:rsidRPr="004E16EB" w:rsidRDefault="00384CB1" w:rsidP="0097302F">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13</w:t>
            </w:r>
          </w:p>
        </w:tc>
        <w:tc>
          <w:tcPr>
            <w:tcW w:w="583" w:type="dxa"/>
            <w:tcBorders>
              <w:top w:val="single" w:sz="4" w:space="0" w:color="auto"/>
              <w:bottom w:val="single" w:sz="4" w:space="0" w:color="auto"/>
            </w:tcBorders>
            <w:shd w:val="clear" w:color="auto" w:fill="auto"/>
            <w:noWrap/>
            <w:vAlign w:val="center"/>
          </w:tcPr>
          <w:p w14:paraId="742DF1F2" w14:textId="77777777" w:rsidR="00384CB1" w:rsidRPr="004E16EB" w:rsidRDefault="00384CB1" w:rsidP="0097302F">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14%</w:t>
            </w:r>
          </w:p>
        </w:tc>
        <w:tc>
          <w:tcPr>
            <w:tcW w:w="1271" w:type="dxa"/>
            <w:tcBorders>
              <w:top w:val="single" w:sz="4" w:space="0" w:color="auto"/>
              <w:bottom w:val="single" w:sz="4" w:space="0" w:color="auto"/>
            </w:tcBorders>
            <w:shd w:val="clear" w:color="auto" w:fill="auto"/>
            <w:noWrap/>
            <w:vAlign w:val="center"/>
          </w:tcPr>
          <w:p w14:paraId="21A7D0BE" w14:textId="77777777" w:rsidR="00384CB1" w:rsidRPr="004E16EB" w:rsidRDefault="00384CB1" w:rsidP="0097302F">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29 years</w:t>
            </w:r>
          </w:p>
        </w:tc>
        <w:tc>
          <w:tcPr>
            <w:tcW w:w="656" w:type="dxa"/>
            <w:tcBorders>
              <w:top w:val="single" w:sz="4" w:space="0" w:color="auto"/>
              <w:bottom w:val="single" w:sz="4" w:space="0" w:color="auto"/>
            </w:tcBorders>
            <w:shd w:val="clear" w:color="auto" w:fill="auto"/>
            <w:noWrap/>
            <w:vAlign w:val="center"/>
          </w:tcPr>
          <w:p w14:paraId="3DFFDE5E" w14:textId="77777777" w:rsidR="00384CB1" w:rsidRPr="004E16EB" w:rsidRDefault="00384CB1" w:rsidP="0097302F">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7</w:t>
            </w:r>
          </w:p>
        </w:tc>
        <w:tc>
          <w:tcPr>
            <w:tcW w:w="583" w:type="dxa"/>
            <w:tcBorders>
              <w:top w:val="single" w:sz="4" w:space="0" w:color="auto"/>
              <w:bottom w:val="single" w:sz="4" w:space="0" w:color="auto"/>
            </w:tcBorders>
            <w:shd w:val="clear" w:color="auto" w:fill="auto"/>
            <w:noWrap/>
            <w:vAlign w:val="center"/>
          </w:tcPr>
          <w:p w14:paraId="1C0291B8" w14:textId="77777777" w:rsidR="00384CB1" w:rsidRPr="004E16EB" w:rsidRDefault="00384CB1" w:rsidP="0097302F">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7%</w:t>
            </w:r>
          </w:p>
        </w:tc>
        <w:tc>
          <w:tcPr>
            <w:tcW w:w="1192" w:type="dxa"/>
            <w:tcBorders>
              <w:top w:val="single" w:sz="4" w:space="0" w:color="auto"/>
              <w:bottom w:val="single" w:sz="4" w:space="0" w:color="auto"/>
            </w:tcBorders>
            <w:shd w:val="clear" w:color="auto" w:fill="auto"/>
            <w:noWrap/>
            <w:vAlign w:val="center"/>
          </w:tcPr>
          <w:p w14:paraId="299D03F5" w14:textId="77777777" w:rsidR="00384CB1" w:rsidRPr="004E16EB" w:rsidRDefault="00384CB1" w:rsidP="0097302F">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&gt;15 years</w:t>
            </w:r>
          </w:p>
        </w:tc>
        <w:tc>
          <w:tcPr>
            <w:tcW w:w="500" w:type="dxa"/>
            <w:tcBorders>
              <w:top w:val="single" w:sz="4" w:space="0" w:color="auto"/>
              <w:bottom w:val="single" w:sz="4" w:space="0" w:color="auto"/>
            </w:tcBorders>
            <w:shd w:val="clear" w:color="auto" w:fill="auto"/>
            <w:noWrap/>
            <w:vAlign w:val="center"/>
          </w:tcPr>
          <w:p w14:paraId="07AD85C1" w14:textId="77777777" w:rsidR="00384CB1" w:rsidRPr="004E16EB" w:rsidRDefault="00384CB1" w:rsidP="0097302F">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6</w:t>
            </w:r>
          </w:p>
        </w:tc>
        <w:tc>
          <w:tcPr>
            <w:tcW w:w="580" w:type="dxa"/>
            <w:tcBorders>
              <w:top w:val="single" w:sz="4" w:space="0" w:color="auto"/>
              <w:bottom w:val="single" w:sz="4" w:space="0" w:color="auto"/>
            </w:tcBorders>
            <w:shd w:val="clear" w:color="auto" w:fill="auto"/>
            <w:noWrap/>
            <w:vAlign w:val="center"/>
          </w:tcPr>
          <w:p w14:paraId="26F0F5FC" w14:textId="77777777" w:rsidR="00384CB1" w:rsidRPr="004E16EB" w:rsidRDefault="00384CB1" w:rsidP="0097302F">
            <w:pPr>
              <w:spacing w:after="0" w:line="240" w:lineRule="auto"/>
              <w:ind w:left="-26"/>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6%</w:t>
            </w:r>
          </w:p>
        </w:tc>
        <w:tc>
          <w:tcPr>
            <w:tcW w:w="1445" w:type="dxa"/>
            <w:tcBorders>
              <w:top w:val="single" w:sz="4" w:space="0" w:color="auto"/>
              <w:bottom w:val="single" w:sz="4" w:space="0" w:color="auto"/>
            </w:tcBorders>
            <w:shd w:val="clear" w:color="auto" w:fill="auto"/>
            <w:noWrap/>
            <w:vAlign w:val="center"/>
          </w:tcPr>
          <w:p w14:paraId="05199938" w14:textId="77777777" w:rsidR="00384CB1" w:rsidRPr="004E16EB" w:rsidRDefault="00384CB1" w:rsidP="0097302F">
            <w:pPr>
              <w:spacing w:line="240" w:lineRule="auto"/>
              <w:rPr>
                <w:rFonts w:cs="Calibri"/>
                <w:color w:val="000000"/>
                <w:sz w:val="20"/>
                <w:szCs w:val="20"/>
              </w:rPr>
            </w:pPr>
            <w:r w:rsidRPr="004E16EB">
              <w:rPr>
                <w:rFonts w:cs="Calibri"/>
                <w:color w:val="000000"/>
                <w:sz w:val="20"/>
                <w:szCs w:val="20"/>
              </w:rPr>
              <w:t>&gt;4 million rupiahs</w:t>
            </w:r>
          </w:p>
        </w:tc>
        <w:tc>
          <w:tcPr>
            <w:tcW w:w="546" w:type="dxa"/>
            <w:tcBorders>
              <w:top w:val="single" w:sz="4" w:space="0" w:color="auto"/>
              <w:bottom w:val="single" w:sz="4" w:space="0" w:color="auto"/>
            </w:tcBorders>
            <w:shd w:val="clear" w:color="auto" w:fill="auto"/>
            <w:noWrap/>
            <w:vAlign w:val="center"/>
          </w:tcPr>
          <w:p w14:paraId="4217B68F" w14:textId="77777777" w:rsidR="00384CB1" w:rsidRPr="004E16EB" w:rsidRDefault="00384CB1" w:rsidP="0097302F">
            <w:pPr>
              <w:spacing w:line="240" w:lineRule="auto"/>
              <w:jc w:val="right"/>
              <w:rPr>
                <w:rFonts w:cs="Calibri"/>
                <w:color w:val="000000"/>
                <w:sz w:val="20"/>
                <w:szCs w:val="20"/>
              </w:rPr>
            </w:pPr>
            <w:r w:rsidRPr="004E16EB">
              <w:rPr>
                <w:rFonts w:cs="Calibri"/>
                <w:color w:val="000000"/>
                <w:sz w:val="20"/>
                <w:szCs w:val="20"/>
              </w:rPr>
              <w:t>17</w:t>
            </w:r>
          </w:p>
        </w:tc>
        <w:tc>
          <w:tcPr>
            <w:tcW w:w="648" w:type="dxa"/>
            <w:tcBorders>
              <w:top w:val="single" w:sz="4" w:space="0" w:color="auto"/>
              <w:bottom w:val="single" w:sz="4" w:space="0" w:color="auto"/>
            </w:tcBorders>
            <w:shd w:val="clear" w:color="auto" w:fill="auto"/>
            <w:noWrap/>
            <w:vAlign w:val="center"/>
          </w:tcPr>
          <w:p w14:paraId="22C37527" w14:textId="77777777" w:rsidR="00384CB1" w:rsidRPr="004E16EB" w:rsidRDefault="00384CB1" w:rsidP="0097302F">
            <w:pPr>
              <w:spacing w:line="240" w:lineRule="auto"/>
              <w:jc w:val="right"/>
              <w:rPr>
                <w:rFonts w:cs="Calibri"/>
                <w:color w:val="000000"/>
                <w:sz w:val="20"/>
                <w:szCs w:val="20"/>
              </w:rPr>
            </w:pPr>
            <w:r w:rsidRPr="004E16EB">
              <w:rPr>
                <w:rFonts w:cs="Calibri"/>
                <w:color w:val="000000"/>
                <w:sz w:val="20"/>
                <w:szCs w:val="20"/>
              </w:rPr>
              <w:t>17%</w:t>
            </w:r>
          </w:p>
        </w:tc>
      </w:tr>
      <w:tr w:rsidR="00384CB1" w:rsidRPr="004E16EB" w14:paraId="74A700B7" w14:textId="77777777" w:rsidTr="0097302F">
        <w:trPr>
          <w:trHeight w:val="300"/>
        </w:trPr>
        <w:tc>
          <w:tcPr>
            <w:tcW w:w="1209" w:type="dxa"/>
            <w:tcBorders>
              <w:top w:val="single" w:sz="4" w:space="0" w:color="auto"/>
            </w:tcBorders>
            <w:shd w:val="clear" w:color="auto" w:fill="auto"/>
            <w:noWrap/>
            <w:vAlign w:val="center"/>
          </w:tcPr>
          <w:p w14:paraId="157E6610" w14:textId="77777777" w:rsidR="00384CB1" w:rsidRPr="004E16EB" w:rsidRDefault="00384CB1" w:rsidP="0097302F">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616" w:type="dxa"/>
            <w:tcBorders>
              <w:top w:val="single" w:sz="4" w:space="0" w:color="auto"/>
            </w:tcBorders>
            <w:shd w:val="clear" w:color="auto" w:fill="auto"/>
            <w:noWrap/>
            <w:vAlign w:val="center"/>
          </w:tcPr>
          <w:p w14:paraId="2D1E421D" w14:textId="77777777" w:rsidR="00384CB1" w:rsidRPr="004E16EB" w:rsidRDefault="00384CB1" w:rsidP="0097302F">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95</w:t>
            </w:r>
          </w:p>
        </w:tc>
        <w:tc>
          <w:tcPr>
            <w:tcW w:w="583" w:type="dxa"/>
            <w:tcBorders>
              <w:top w:val="single" w:sz="4" w:space="0" w:color="auto"/>
            </w:tcBorders>
            <w:shd w:val="clear" w:color="auto" w:fill="auto"/>
            <w:noWrap/>
            <w:vAlign w:val="center"/>
          </w:tcPr>
          <w:p w14:paraId="7CDB2541" w14:textId="77777777" w:rsidR="00384CB1" w:rsidRPr="004E16EB" w:rsidRDefault="00384CB1" w:rsidP="0097302F">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1271" w:type="dxa"/>
            <w:tcBorders>
              <w:top w:val="single" w:sz="4" w:space="0" w:color="auto"/>
            </w:tcBorders>
            <w:shd w:val="clear" w:color="auto" w:fill="auto"/>
            <w:noWrap/>
            <w:vAlign w:val="center"/>
          </w:tcPr>
          <w:p w14:paraId="7E311CD4" w14:textId="77777777" w:rsidR="00384CB1" w:rsidRPr="004E16EB" w:rsidRDefault="00384CB1" w:rsidP="0097302F">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656" w:type="dxa"/>
            <w:tcBorders>
              <w:top w:val="single" w:sz="4" w:space="0" w:color="auto"/>
            </w:tcBorders>
            <w:shd w:val="clear" w:color="auto" w:fill="auto"/>
            <w:noWrap/>
            <w:vAlign w:val="center"/>
          </w:tcPr>
          <w:p w14:paraId="3D2BF8B6" w14:textId="77777777" w:rsidR="00384CB1" w:rsidRPr="004E16EB" w:rsidRDefault="00384CB1" w:rsidP="0097302F">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95</w:t>
            </w:r>
          </w:p>
        </w:tc>
        <w:tc>
          <w:tcPr>
            <w:tcW w:w="583" w:type="dxa"/>
            <w:tcBorders>
              <w:top w:val="single" w:sz="4" w:space="0" w:color="auto"/>
            </w:tcBorders>
            <w:shd w:val="clear" w:color="auto" w:fill="auto"/>
            <w:noWrap/>
            <w:vAlign w:val="center"/>
          </w:tcPr>
          <w:p w14:paraId="5AF13628" w14:textId="77777777" w:rsidR="00384CB1" w:rsidRPr="004E16EB" w:rsidRDefault="00384CB1" w:rsidP="0097302F">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1192" w:type="dxa"/>
            <w:tcBorders>
              <w:top w:val="single" w:sz="4" w:space="0" w:color="auto"/>
            </w:tcBorders>
            <w:shd w:val="clear" w:color="auto" w:fill="auto"/>
            <w:noWrap/>
            <w:vAlign w:val="center"/>
          </w:tcPr>
          <w:p w14:paraId="72B786C7" w14:textId="77777777" w:rsidR="00384CB1" w:rsidRPr="004E16EB" w:rsidRDefault="00384CB1" w:rsidP="0097302F">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500" w:type="dxa"/>
            <w:tcBorders>
              <w:top w:val="single" w:sz="4" w:space="0" w:color="auto"/>
            </w:tcBorders>
            <w:shd w:val="clear" w:color="auto" w:fill="auto"/>
            <w:noWrap/>
            <w:vAlign w:val="center"/>
          </w:tcPr>
          <w:p w14:paraId="05BA6FDD" w14:textId="77777777" w:rsidR="00384CB1" w:rsidRPr="004E16EB" w:rsidRDefault="00384CB1" w:rsidP="0097302F">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95</w:t>
            </w:r>
          </w:p>
        </w:tc>
        <w:tc>
          <w:tcPr>
            <w:tcW w:w="580" w:type="dxa"/>
            <w:tcBorders>
              <w:top w:val="single" w:sz="4" w:space="0" w:color="auto"/>
            </w:tcBorders>
            <w:shd w:val="clear" w:color="auto" w:fill="auto"/>
            <w:noWrap/>
            <w:vAlign w:val="center"/>
          </w:tcPr>
          <w:p w14:paraId="5C623698" w14:textId="77777777" w:rsidR="00384CB1" w:rsidRPr="004E16EB" w:rsidRDefault="00384CB1" w:rsidP="0097302F">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1445" w:type="dxa"/>
            <w:tcBorders>
              <w:top w:val="single" w:sz="4" w:space="0" w:color="auto"/>
            </w:tcBorders>
            <w:shd w:val="clear" w:color="auto" w:fill="auto"/>
            <w:noWrap/>
            <w:vAlign w:val="center"/>
          </w:tcPr>
          <w:p w14:paraId="3ED53FBC" w14:textId="77777777" w:rsidR="00384CB1" w:rsidRPr="004E16EB" w:rsidRDefault="00384CB1" w:rsidP="0097302F">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546" w:type="dxa"/>
            <w:tcBorders>
              <w:top w:val="single" w:sz="4" w:space="0" w:color="auto"/>
            </w:tcBorders>
            <w:shd w:val="clear" w:color="auto" w:fill="auto"/>
            <w:noWrap/>
            <w:vAlign w:val="center"/>
          </w:tcPr>
          <w:p w14:paraId="15FAD2F6" w14:textId="77777777" w:rsidR="00384CB1" w:rsidRPr="004E16EB" w:rsidRDefault="00384CB1" w:rsidP="0097302F">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95</w:t>
            </w:r>
          </w:p>
        </w:tc>
        <w:tc>
          <w:tcPr>
            <w:tcW w:w="648" w:type="dxa"/>
            <w:tcBorders>
              <w:top w:val="single" w:sz="4" w:space="0" w:color="auto"/>
            </w:tcBorders>
            <w:shd w:val="clear" w:color="auto" w:fill="auto"/>
            <w:noWrap/>
            <w:vAlign w:val="center"/>
          </w:tcPr>
          <w:p w14:paraId="527BDBAB" w14:textId="77777777" w:rsidR="00384CB1" w:rsidRPr="004E16EB" w:rsidRDefault="00384CB1" w:rsidP="0097302F">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r>
    </w:tbl>
    <w:p w14:paraId="45D36544" w14:textId="77777777" w:rsidR="00384CB1" w:rsidRPr="004E16EB" w:rsidRDefault="00384CB1" w:rsidP="00384CB1">
      <w:pPr>
        <w:pStyle w:val="BodyText"/>
        <w:ind w:right="138"/>
        <w:jc w:val="both"/>
        <w:rPr>
          <w:spacing w:val="-5"/>
          <w:w w:val="104"/>
        </w:rPr>
      </w:pPr>
    </w:p>
    <w:p w14:paraId="59E0B40C" w14:textId="77777777" w:rsidR="00384CB1" w:rsidRPr="004E16EB" w:rsidRDefault="00384CB1" w:rsidP="00384CB1">
      <w:pPr>
        <w:pStyle w:val="ListParagraph"/>
        <w:numPr>
          <w:ilvl w:val="1"/>
          <w:numId w:val="7"/>
        </w:numPr>
        <w:ind w:left="360"/>
        <w:rPr>
          <w:rFonts w:ascii="Times New Roman" w:hAnsi="Times New Roman" w:cs="Times New Roman"/>
          <w:b/>
        </w:rPr>
      </w:pPr>
      <w:r w:rsidRPr="004E16EB">
        <w:rPr>
          <w:rFonts w:ascii="Times New Roman" w:hAnsi="Times New Roman" w:cs="Times New Roman"/>
          <w:b/>
        </w:rPr>
        <w:t xml:space="preserve"> Data Analysis Procedure </w:t>
      </w:r>
    </w:p>
    <w:p w14:paraId="1C68221A" w14:textId="11546484" w:rsidR="00384CB1" w:rsidRPr="004E16EB" w:rsidRDefault="00384CB1" w:rsidP="00384CB1">
      <w:pPr>
        <w:spacing w:line="240" w:lineRule="auto"/>
        <w:ind w:firstLine="720"/>
        <w:jc w:val="both"/>
        <w:rPr>
          <w:rFonts w:ascii="Times New Roman" w:hAnsi="Times New Roman" w:cs="Times New Roman"/>
          <w:sz w:val="24"/>
          <w:szCs w:val="24"/>
        </w:rPr>
      </w:pPr>
      <w:r w:rsidRPr="004E16EB">
        <w:rPr>
          <w:rFonts w:ascii="Times New Roman" w:hAnsi="Times New Roman"/>
          <w:sz w:val="24"/>
          <w:szCs w:val="24"/>
        </w:rPr>
        <w:t>This study used qualitative analysis with a thematic approach</w:t>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through data collection, reduction, interpretation, and display. During data collection, all information was recorded and transcribed. The reduction involves identifying and sorting the raw data before summarizing, coding, and categorizing them based on study questions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{"citationItems":[{"id":"ITEM-1","itemData":{"DOI":"10.1002/0470013192.BSA514","author":[{"dropping-particle":"","family":"Patton","given":"Michael Quinn","non-dropping-particle":"","parse-names":false,"suffix":""}],"container-title":"Encyclopedia of Statistics in Behavioral Science","id":"ITEM-1","issued":{"date-parts":[["2005","10"]]},"publisher":"John Wiley &amp; Sons, Ltd","publisher-place":"Chichester, UK","title":"Qualitative Research","type":"article-journal"},"uris":["http://www.mendeley.com/documents/?uuid=c84e8ddb-91f4-382f-a2d6-80dcbbfa7bce","http://www.mendeley.com/documents/?uuid=df611ba0-51f7-42d8-87fc-d9883ab1815a"]}],"mendeley":{"formattedCitation":"(Patton, 2005)","plainTextFormattedCitation":"(Patton, 2005)","previouslyFormattedCitation":"(Patton, 2005)"},"properties":{"noteIndex":0},"schema":"https://github.com/citation-style-language/schema/raw/master/csl-citation.json"}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(Patton, 2005)</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According to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{"citationItems":[{"id":"ITEM-1","itemData":{"ISSN":"2339-2649","abstract":"Qualitative research is exploratory as its purpose is to discover new ideas and insights or even generate new theories. It focuses on understanding the particular and the distinctive and does not necessarily seek to generalize findings to other contexts. Researcher do not define specific research questions at the outset of the study, as doing so would likely impose their own framework on the research context. Collecting, analyzing and interpreting data are done largely simultaneously, with researcher constantly moving back and forth until new information does not add to their understanding of a topic, a point called data saturation. In fact data analysis steers data collection. Five stages of doing qualitative research; a) Choosing research sites and sample populations; b) Obtaining and encoding quailtative data (taking field notes); c) Preparing for and under taking focused interviews; d) Developing and maintaining field relations; and e) Organizing and analyzing the qualitative data gathered.","author":[{"dropping-particle":"","family":"Malik","given":"Ranbir Singh","non-dropping-particle":"","parse-names":false,"suffix":""}],"container-title":"Jurnal Edubio Tropika","id":"ITEM-1","issue":"2","issued":{"date-parts":[["2013"]]},"title":"QUALITATIVE RESEARCH METHODOLOGY IN EDUCATION","type":"article-journal","volume":"1"},"uris":["http://www.mendeley.com/documents/?uuid=89922c4f-8570-3688-be84-e5f11ce03406","http://www.mendeley.com/documents/?uuid=450b6ca3-345c-4e13-8d47-107bae0806cb"]}],"mendeley":{"formattedCitation":"(Malik, 2013)","plainTextFormattedCitation":"(Malik, 2013)","previouslyFormattedCitation":"(Malik, 2013)"},"properties":{"noteIndex":0},"schema":"https://github.com/citation-style-language/schema/raw/master/csl-citation.json"}</w:instrText>
      </w:r>
      <w:r w:rsidRPr="004E16EB">
        <w:rPr>
          <w:rFonts w:ascii="Times New Roman" w:hAnsi="Times New Roman" w:cs="Times New Roman"/>
          <w:sz w:val="24"/>
          <w:szCs w:val="24"/>
        </w:rPr>
        <w:fldChar w:fldCharType="separate"/>
      </w:r>
      <w:r w:rsidRPr="00573487">
        <w:rPr>
          <w:rFonts w:ascii="Times New Roman" w:hAnsi="Times New Roman" w:cs="Times New Roman"/>
          <w:noProof/>
          <w:sz w:val="24"/>
          <w:szCs w:val="24"/>
        </w:rPr>
        <w:t>(Malik, 2013)</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thematic analysis reduces grouped data into more meaningful ones to obtain important themes by underlining, italicizing, or coding. An interpretation was performed based on the data category to get important patterns repeatedly appearing from the actual data. Therefore, thematic analysis requires more involvement and interpretation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{"citationItems":[{"id":"ITEM-1","itemData":{"ISBN":"0939704986","author":[{"dropping-particle":"","family":"Macqueen","given":"Kathleen M","non-dropping-particle":"","parse-names":false,"suffix":""},{"dropping-particle":"","family":"Guest","given":"Greg","non-dropping-particle":"","parse-names":false,"suffix":""},{"dropping-particle":"","family":"Namey","given":"Emily","non-dropping-particle":"","parse-names":false,"suffix":""}],"id":"ITEM-1","issued":{"date-parts":[["2005"]]},"title":"Qualitative Research Methods: A DATA COLLECTOR'S FIELD GUIDE NATASHA MACK • CYNTHIA WOODSONG","type":"article-journal"},"uris":["http://www.mendeley.com/documents/?uuid=a8daff28-2f63-36e3-8f19-dc85ad7eed59","http://www.mendeley.com/documents/?uuid=6af7d8ba-42c5-470d-b74c-69d71aca1286"]}],"mendeley":{"formattedCitation":"(Macqueen et al., 2005)","plainTextFormattedCitation":"(Macqueen et al., 2005)","previouslyFormattedCitation":"(Macqueen et al., 2005)"},"properties":{"noteIndex":0},"schema":"https://github.com/citation-style-language/schema/raw/master/csl-citation.json"}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(Macqueen et al., 2005)</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p>
    <w:p w14:paraId="61F10EF1" w14:textId="77777777" w:rsidR="00384CB1" w:rsidRPr="004E16EB" w:rsidRDefault="00384CB1" w:rsidP="00384CB1">
      <w:pPr>
        <w:pStyle w:val="ListParagraph"/>
        <w:numPr>
          <w:ilvl w:val="1"/>
          <w:numId w:val="7"/>
        </w:numPr>
        <w:ind w:left="360"/>
      </w:pPr>
      <w:r w:rsidRPr="004E16EB">
        <w:rPr>
          <w:rFonts w:ascii="Times New Roman" w:hAnsi="Times New Roman"/>
          <w:b/>
        </w:rPr>
        <w:t>Credibility and Transferability</w:t>
      </w:r>
    </w:p>
    <w:p w14:paraId="77D72909" w14:textId="24430C0B" w:rsidR="00384CB1" w:rsidRPr="004E16EB" w:rsidRDefault="00384CB1" w:rsidP="00384CB1">
      <w:pPr>
        <w:spacing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The findings' credibility, trustworthiness, transferability, and generalizability are </w:t>
      </w:r>
      <w:r w:rsidR="00A37C76">
        <w:rPr>
          <w:rFonts w:ascii="Times New Roman" w:hAnsi="Times New Roman"/>
          <w:sz w:val="24"/>
          <w:szCs w:val="24"/>
        </w:rPr>
        <w:t>signific</w:t>
      </w:r>
      <w:r w:rsidRPr="004E16EB">
        <w:rPr>
          <w:rFonts w:ascii="Times New Roman" w:hAnsi="Times New Roman"/>
          <w:sz w:val="24"/>
          <w:szCs w:val="24"/>
        </w:rPr>
        <w:t>ant in qualitative studies. To ensure credibility, this study recorded respondents’ explanation</w:t>
      </w:r>
      <w:r w:rsidR="00A37C76">
        <w:rPr>
          <w:rFonts w:ascii="Times New Roman" w:hAnsi="Times New Roman"/>
          <w:sz w:val="24"/>
          <w:szCs w:val="24"/>
        </w:rPr>
        <w:t>s</w:t>
      </w:r>
      <w:r w:rsidRPr="004E16EB">
        <w:rPr>
          <w:rFonts w:ascii="Times New Roman" w:hAnsi="Times New Roman"/>
          <w:sz w:val="24"/>
          <w:szCs w:val="24"/>
        </w:rPr>
        <w:t xml:space="preserve"> and reflected on the problem examined. Furthermore, the transferability of the results was ensured by presenting and expanding the existing data. The aim was to use the data applicable to the empowerment carried out by MWB for unbanked women. In-depth interviews with participants were also used to ensure the data’s validity and integrity. Written responses were read to interviewees to ensure the accuracy and confirmation of existing responses</w:t>
      </w:r>
      <w:r w:rsidRPr="004E16EB">
        <w:rPr>
          <w:rFonts w:ascii="Times New Roman" w:hAnsi="Times New Roman" w:cs="Times New Roman"/>
          <w:sz w:val="24"/>
          <w:szCs w:val="24"/>
        </w:rPr>
        <w:t>.</w:t>
      </w:r>
    </w:p>
    <w:p w14:paraId="6D7117A3" w14:textId="77777777" w:rsidR="002103D5" w:rsidRPr="00B91E92" w:rsidRDefault="002103D5" w:rsidP="002103D5">
      <w:pPr>
        <w:ind w:firstLine="720"/>
        <w:rPr>
          <w:rFonts w:ascii="Times New Roman" w:hAnsi="Times New Roman" w:cs="Times New Roman"/>
          <w:sz w:val="24"/>
          <w:szCs w:val="24"/>
        </w:rPr>
      </w:pPr>
    </w:p>
    <w:p w14:paraId="6259B698" w14:textId="32AB4C26" w:rsidR="00CC5B43" w:rsidRPr="00B91E92" w:rsidRDefault="00CC5B43" w:rsidP="004B5F79">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lastRenderedPageBreak/>
        <w:t>Results and Discussion</w:t>
      </w:r>
    </w:p>
    <w:p w14:paraId="5A67F63B" w14:textId="77777777" w:rsidR="00384CB1" w:rsidRPr="004E16EB" w:rsidRDefault="00384CB1" w:rsidP="00384CB1">
      <w:pPr>
        <w:pStyle w:val="ListParagraph"/>
        <w:widowControl w:val="0"/>
        <w:numPr>
          <w:ilvl w:val="1"/>
          <w:numId w:val="7"/>
        </w:numPr>
        <w:ind w:left="360"/>
        <w:jc w:val="both"/>
        <w:rPr>
          <w:rFonts w:ascii="Times New Roman" w:hAnsi="Times New Roman" w:cs="Times New Roman"/>
          <w:b/>
        </w:rPr>
      </w:pPr>
      <w:r w:rsidRPr="004E16EB">
        <w:rPr>
          <w:rFonts w:ascii="Times New Roman" w:hAnsi="Times New Roman"/>
          <w:b/>
        </w:rPr>
        <w:t>Stages of Women's Economic Empowerment in Sharia Microfinance Institutions Micro Waqf Banks (SMI MWB)</w:t>
      </w:r>
    </w:p>
    <w:p w14:paraId="615E1305" w14:textId="7D0BB4A0" w:rsidR="00384CB1" w:rsidRPr="004E16EB" w:rsidRDefault="00384CB1" w:rsidP="00384CB1">
      <w:pPr>
        <w:widowControl w:val="0"/>
        <w:spacing w:after="0" w:line="240" w:lineRule="auto"/>
        <w:ind w:firstLine="720"/>
        <w:jc w:val="both"/>
        <w:rPr>
          <w:rFonts w:ascii="Times New Roman" w:hAnsi="Times New Roman"/>
          <w:sz w:val="24"/>
          <w:szCs w:val="24"/>
        </w:rPr>
      </w:pPr>
      <w:r w:rsidRPr="004E16EB">
        <w:rPr>
          <w:rFonts w:ascii="Times New Roman" w:hAnsi="Times New Roman"/>
          <w:b/>
          <w:bCs/>
          <w:i/>
          <w:iCs/>
          <w:sz w:val="24"/>
          <w:szCs w:val="24"/>
        </w:rPr>
        <w:t>First</w:t>
      </w:r>
      <w:r w:rsidRPr="004E16EB">
        <w:rPr>
          <w:rFonts w:ascii="Times New Roman" w:hAnsi="Times New Roman"/>
          <w:b/>
          <w:bCs/>
          <w:sz w:val="24"/>
          <w:szCs w:val="24"/>
        </w:rPr>
        <w:t xml:space="preserve">, the identification of prospective customers </w:t>
      </w:r>
      <w:r w:rsidRPr="004E16EB">
        <w:rPr>
          <w:rFonts w:ascii="Times New Roman" w:hAnsi="Times New Roman"/>
          <w:sz w:val="24"/>
          <w:szCs w:val="24"/>
        </w:rPr>
        <w:t xml:space="preserve">was conducted to determine the suitability of program target criteria, such as distance of residence, type, and place of business. </w:t>
      </w:r>
      <w:r w:rsidRPr="004E16EB">
        <w:rPr>
          <w:rFonts w:ascii="Times New Roman" w:hAnsi="Times New Roman"/>
          <w:b/>
          <w:bCs/>
          <w:i/>
          <w:iCs/>
          <w:sz w:val="24"/>
          <w:szCs w:val="24"/>
        </w:rPr>
        <w:t>Second</w:t>
      </w:r>
      <w:r w:rsidRPr="004E16EB">
        <w:rPr>
          <w:rFonts w:ascii="Times New Roman" w:hAnsi="Times New Roman"/>
          <w:b/>
          <w:bCs/>
          <w:sz w:val="24"/>
          <w:szCs w:val="24"/>
        </w:rPr>
        <w:t xml:space="preserve">, the socialization of MWB to the community </w:t>
      </w:r>
      <w:r w:rsidRPr="004E16EB">
        <w:rPr>
          <w:rFonts w:ascii="Times New Roman" w:hAnsi="Times New Roman"/>
          <w:sz w:val="24"/>
          <w:szCs w:val="24"/>
        </w:rPr>
        <w:t>was carried out</w:t>
      </w:r>
      <w:r w:rsidRPr="004E16EB">
        <w:rPr>
          <w:rFonts w:ascii="Times New Roman" w:hAnsi="Times New Roman"/>
          <w:b/>
          <w:bCs/>
          <w:sz w:val="24"/>
          <w:szCs w:val="24"/>
        </w:rPr>
        <w:t xml:space="preserve"> </w:t>
      </w:r>
      <w:r w:rsidRPr="004E16EB">
        <w:rPr>
          <w:rFonts w:ascii="Times New Roman" w:hAnsi="Times New Roman"/>
          <w:sz w:val="24"/>
          <w:szCs w:val="24"/>
        </w:rPr>
        <w:t xml:space="preserve">through recitation mothers, social gatherings, and Family Welfare Empowerment (FEW). The socialization aimed to disseminate information regarding the conception, stages of formation, participation requirements, and CBGIBSI activities. </w:t>
      </w:r>
      <w:r w:rsidRPr="004E16EB">
        <w:rPr>
          <w:rFonts w:ascii="Times New Roman" w:hAnsi="Times New Roman"/>
          <w:b/>
          <w:bCs/>
          <w:i/>
          <w:iCs/>
          <w:sz w:val="24"/>
          <w:szCs w:val="24"/>
        </w:rPr>
        <w:t>The third</w:t>
      </w:r>
      <w:r w:rsidRPr="004E16EB">
        <w:rPr>
          <w:rFonts w:ascii="Times New Roman" w:hAnsi="Times New Roman"/>
          <w:b/>
          <w:bCs/>
          <w:sz w:val="24"/>
          <w:szCs w:val="24"/>
        </w:rPr>
        <w:t xml:space="preserve"> process was a survey </w:t>
      </w:r>
      <w:r w:rsidRPr="004E16EB">
        <w:rPr>
          <w:rFonts w:ascii="Times New Roman" w:hAnsi="Times New Roman"/>
          <w:sz w:val="24"/>
          <w:szCs w:val="24"/>
        </w:rPr>
        <w:t>of prospective customers.</w:t>
      </w:r>
      <w:r w:rsidRPr="004E16EB">
        <w:rPr>
          <w:rFonts w:ascii="Times New Roman" w:hAnsi="Times New Roman"/>
          <w:i/>
          <w:iCs/>
          <w:sz w:val="24"/>
          <w:szCs w:val="24"/>
        </w:rPr>
        <w:t xml:space="preserve"> </w:t>
      </w:r>
      <w:r w:rsidRPr="004E16EB">
        <w:rPr>
          <w:rFonts w:ascii="Times New Roman" w:hAnsi="Times New Roman"/>
          <w:b/>
          <w:bCs/>
          <w:i/>
          <w:iCs/>
          <w:sz w:val="24"/>
          <w:szCs w:val="24"/>
        </w:rPr>
        <w:t xml:space="preserve">Fourth, a </w:t>
      </w:r>
      <w:r w:rsidRPr="004E16EB">
        <w:rPr>
          <w:rFonts w:ascii="Times New Roman" w:hAnsi="Times New Roman"/>
          <w:b/>
          <w:bCs/>
          <w:sz w:val="24"/>
          <w:szCs w:val="24"/>
        </w:rPr>
        <w:t xml:space="preserve">test </w:t>
      </w:r>
      <w:r w:rsidRPr="004E16EB">
        <w:rPr>
          <w:rFonts w:ascii="Times New Roman" w:hAnsi="Times New Roman"/>
          <w:sz w:val="24"/>
          <w:szCs w:val="24"/>
        </w:rPr>
        <w:t xml:space="preserve">was performed on the feasibility of prospective customers. Referring to the interviews with </w:t>
      </w:r>
      <w:proofErr w:type="spellStart"/>
      <w:r w:rsidRPr="004E16EB">
        <w:rPr>
          <w:rFonts w:ascii="Times New Roman" w:hAnsi="Times New Roman"/>
          <w:sz w:val="24"/>
          <w:szCs w:val="24"/>
        </w:rPr>
        <w:t>Dafril</w:t>
      </w:r>
      <w:proofErr w:type="spellEnd"/>
      <w:r w:rsidRPr="004E16EB">
        <w:rPr>
          <w:rFonts w:ascii="Times New Roman" w:hAnsi="Times New Roman"/>
          <w:sz w:val="24"/>
          <w:szCs w:val="24"/>
        </w:rPr>
        <w:t xml:space="preserve"> (2019) and </w:t>
      </w:r>
      <w:proofErr w:type="spellStart"/>
      <w:r w:rsidRPr="004E16EB">
        <w:rPr>
          <w:rFonts w:ascii="Times New Roman" w:hAnsi="Times New Roman"/>
          <w:sz w:val="24"/>
          <w:szCs w:val="24"/>
        </w:rPr>
        <w:t>Safitri</w:t>
      </w:r>
      <w:proofErr w:type="spellEnd"/>
      <w:r w:rsidRPr="004E16EB">
        <w:rPr>
          <w:rFonts w:ascii="Times New Roman" w:hAnsi="Times New Roman"/>
          <w:sz w:val="24"/>
          <w:szCs w:val="24"/>
        </w:rPr>
        <w:t xml:space="preserve"> (2019), Supervisor of MWB </w:t>
      </w:r>
      <w:proofErr w:type="spellStart"/>
      <w:r w:rsidRPr="004E16EB">
        <w:rPr>
          <w:rFonts w:ascii="Times New Roman" w:hAnsi="Times New Roman"/>
          <w:sz w:val="24"/>
          <w:szCs w:val="24"/>
        </w:rPr>
        <w:t>AlKautsar</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Payakumbuh</w:t>
      </w:r>
      <w:proofErr w:type="spellEnd"/>
      <w:r w:rsidRPr="004E16EB">
        <w:rPr>
          <w:rFonts w:ascii="Times New Roman" w:hAnsi="Times New Roman"/>
          <w:sz w:val="24"/>
          <w:szCs w:val="24"/>
        </w:rPr>
        <w:t xml:space="preserve"> and MWB UNISA Yogyakarta, the feasibility test clarifies the correctness of data on </w:t>
      </w:r>
      <w:r w:rsidR="00A37C76">
        <w:rPr>
          <w:rFonts w:ascii="Times New Roman" w:hAnsi="Times New Roman"/>
          <w:sz w:val="24"/>
          <w:szCs w:val="24"/>
        </w:rPr>
        <w:t>low-income</w:t>
      </w:r>
      <w:r w:rsidRPr="004E16EB">
        <w:rPr>
          <w:rFonts w:ascii="Times New Roman" w:hAnsi="Times New Roman"/>
          <w:sz w:val="24"/>
          <w:szCs w:val="24"/>
        </w:rPr>
        <w:t xml:space="preserve"> families from identification activities and helps select prospective participants. The feasibility test involved a direct visit to the residence to see the house conditions and to obtain economic and business data.</w:t>
      </w:r>
    </w:p>
    <w:p w14:paraId="710C8719" w14:textId="12A74F0B" w:rsidR="00384CB1" w:rsidRPr="004E16EB" w:rsidRDefault="00384CB1" w:rsidP="00384CB1">
      <w:pPr>
        <w:widowControl w:val="0"/>
        <w:spacing w:after="0" w:line="240" w:lineRule="auto"/>
        <w:ind w:firstLine="720"/>
        <w:jc w:val="both"/>
        <w:rPr>
          <w:rFonts w:ascii="Times New Roman" w:hAnsi="Times New Roman" w:cs="Times New Roman"/>
          <w:sz w:val="24"/>
          <w:szCs w:val="24"/>
        </w:rPr>
      </w:pPr>
      <w:r w:rsidRPr="004E16EB">
        <w:rPr>
          <w:rFonts w:ascii="Times New Roman" w:hAnsi="Times New Roman"/>
          <w:b/>
          <w:bCs/>
          <w:i/>
          <w:iCs/>
          <w:sz w:val="24"/>
          <w:szCs w:val="24"/>
        </w:rPr>
        <w:t>Fifth,</w:t>
      </w:r>
      <w:r w:rsidRPr="004E16EB">
        <w:rPr>
          <w:rFonts w:ascii="Times New Roman" w:hAnsi="Times New Roman"/>
          <w:b/>
          <w:bCs/>
          <w:sz w:val="24"/>
          <w:szCs w:val="24"/>
        </w:rPr>
        <w:t xml:space="preserve"> Group Compulsory Pre-Training (GCP)</w:t>
      </w:r>
      <w:r w:rsidRPr="004E16EB">
        <w:rPr>
          <w:rFonts w:ascii="Times New Roman" w:hAnsi="Times New Roman"/>
          <w:sz w:val="24"/>
          <w:szCs w:val="24"/>
        </w:rPr>
        <w:t xml:space="preserve"> was performed before implementing CGT for prospective customers. </w:t>
      </w:r>
      <w:r w:rsidR="00A37C76">
        <w:rPr>
          <w:rFonts w:ascii="Times New Roman" w:hAnsi="Times New Roman"/>
          <w:sz w:val="24"/>
          <w:szCs w:val="24"/>
        </w:rPr>
        <w:t>Facilitators and prospective CBGIBSI members carried out the activitie</w:t>
      </w:r>
      <w:r w:rsidRPr="004E16EB">
        <w:rPr>
          <w:rFonts w:ascii="Times New Roman" w:hAnsi="Times New Roman"/>
          <w:sz w:val="24"/>
          <w:szCs w:val="24"/>
        </w:rPr>
        <w:t>s. The goal was to strengthen the group's determination and interest to participate in the MWB program, form a CBGIBSI, and introduce a financing distribution mechanism. This activity prepared the group to participate in the program implementation (BSM, 2017a). More details are shown in Figure 1.</w:t>
      </w:r>
    </w:p>
    <w:p w14:paraId="08A7B396" w14:textId="77777777" w:rsidR="00384CB1" w:rsidRPr="004E16EB" w:rsidRDefault="00384CB1" w:rsidP="00384CB1">
      <w:pPr>
        <w:pStyle w:val="ListParagraph"/>
        <w:widowControl w:val="0"/>
        <w:spacing w:before="120"/>
        <w:jc w:val="both"/>
        <w:rPr>
          <w:rFonts w:ascii="Times New Roman" w:hAnsi="Times New Roman" w:cs="Times New Roman"/>
        </w:rPr>
      </w:pPr>
      <w:r w:rsidRPr="004E16EB">
        <w:rPr>
          <w:rFonts w:ascii="Times New Roman" w:hAnsi="Times New Roman" w:cs="Times New Roman"/>
        </w:rPr>
        <w:t xml:space="preserve">Figure 1. </w:t>
      </w:r>
      <w:r w:rsidRPr="004E16EB">
        <w:rPr>
          <w:rFonts w:ascii="Times New Roman" w:hAnsi="Times New Roman"/>
        </w:rPr>
        <w:t>Stages of Women's Empowerment in MWB</w:t>
      </w:r>
    </w:p>
    <w:p w14:paraId="24A12B61" w14:textId="77777777" w:rsidR="00384CB1" w:rsidRPr="004E16EB" w:rsidRDefault="00384CB1" w:rsidP="00384CB1">
      <w:pPr>
        <w:pStyle w:val="ListParagraph"/>
        <w:widowControl w:val="0"/>
        <w:jc w:val="both"/>
        <w:rPr>
          <w:rFonts w:ascii="Times New Roman" w:hAnsi="Times New Roman" w:cs="Times New Roman"/>
        </w:rPr>
      </w:pPr>
    </w:p>
    <w:p w14:paraId="5609F051" w14:textId="77777777" w:rsidR="00384CB1" w:rsidRPr="004E16EB" w:rsidRDefault="00384CB1" w:rsidP="00384CB1">
      <w:pPr>
        <w:widowControl w:val="0"/>
        <w:spacing w:after="0" w:line="240" w:lineRule="auto"/>
        <w:jc w:val="both"/>
        <w:rPr>
          <w:rFonts w:ascii="Times New Roman" w:hAnsi="Times New Roman" w:cs="Times New Roman"/>
          <w:sz w:val="24"/>
          <w:szCs w:val="24"/>
        </w:rPr>
      </w:pPr>
      <w:r w:rsidRPr="004E16EB">
        <w:rPr>
          <w:rFonts w:ascii="Times New Roman" w:hAnsi="Times New Roman" w:cs="Times New Roman"/>
          <w:noProof/>
          <w:sz w:val="24"/>
          <w:szCs w:val="24"/>
        </w:rPr>
        <w:drawing>
          <wp:inline distT="0" distB="0" distL="0" distR="0" wp14:anchorId="62DF4B9E" wp14:editId="2B64C7F6">
            <wp:extent cx="5731510" cy="2310765"/>
            <wp:effectExtent l="0" t="0" r="2540" b="0"/>
            <wp:docPr id="1043"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5"/>
                    <pic:cNvPicPr/>
                  </pic:nvPicPr>
                  <pic:blipFill>
                    <a:blip r:embed="rId9" cstate="print"/>
                    <a:srcRect/>
                    <a:stretch/>
                  </pic:blipFill>
                  <pic:spPr>
                    <a:xfrm>
                      <a:off x="0" y="0"/>
                      <a:ext cx="5731510" cy="2310765"/>
                    </a:xfrm>
                    <a:prstGeom prst="rect">
                      <a:avLst/>
                    </a:prstGeom>
                  </pic:spPr>
                </pic:pic>
              </a:graphicData>
            </a:graphic>
          </wp:inline>
        </w:drawing>
      </w:r>
    </w:p>
    <w:p w14:paraId="56554996" w14:textId="77777777" w:rsidR="00384CB1" w:rsidRPr="004E16EB" w:rsidRDefault="00384CB1" w:rsidP="00384CB1">
      <w:pPr>
        <w:pStyle w:val="ListParagraph"/>
        <w:widowControl w:val="0"/>
        <w:jc w:val="both"/>
        <w:rPr>
          <w:rFonts w:ascii="Times New Roman" w:hAnsi="Times New Roman" w:cs="Times New Roman"/>
        </w:rPr>
      </w:pPr>
    </w:p>
    <w:p w14:paraId="20F4EA7E" w14:textId="77777777" w:rsidR="00384CB1" w:rsidRPr="004E16EB" w:rsidRDefault="00384CB1" w:rsidP="00384CB1">
      <w:pPr>
        <w:widowControl w:val="0"/>
        <w:spacing w:after="0" w:line="240" w:lineRule="auto"/>
        <w:contextualSpacing/>
        <w:jc w:val="both"/>
        <w:rPr>
          <w:rFonts w:ascii="Times New Roman" w:hAnsi="Times New Roman" w:cs="Times New Roman"/>
          <w:sz w:val="24"/>
          <w:szCs w:val="24"/>
        </w:rPr>
      </w:pPr>
    </w:p>
    <w:p w14:paraId="6ED4A5EF" w14:textId="77777777" w:rsidR="00384CB1" w:rsidRPr="004E16EB" w:rsidRDefault="00384CB1" w:rsidP="00384CB1">
      <w:pPr>
        <w:pStyle w:val="ListParagraph"/>
        <w:widowControl w:val="0"/>
        <w:numPr>
          <w:ilvl w:val="1"/>
          <w:numId w:val="7"/>
        </w:numPr>
        <w:ind w:left="360"/>
        <w:jc w:val="both"/>
        <w:rPr>
          <w:rFonts w:ascii="Times New Roman" w:hAnsi="Times New Roman" w:cs="Times New Roman"/>
          <w:b/>
        </w:rPr>
      </w:pPr>
      <w:r w:rsidRPr="004E16EB">
        <w:rPr>
          <w:rFonts w:ascii="Times New Roman" w:hAnsi="Times New Roman" w:cs="Times New Roman"/>
          <w:b/>
        </w:rPr>
        <w:t xml:space="preserve"> </w:t>
      </w:r>
      <w:r w:rsidRPr="004E16EB">
        <w:rPr>
          <w:rFonts w:ascii="Times New Roman" w:hAnsi="Times New Roman"/>
          <w:b/>
        </w:rPr>
        <w:t>Women's Empowerment Model in Sharia Microfinance Institutions Micro Waqf Banks (SMI MWB)</w:t>
      </w:r>
    </w:p>
    <w:p w14:paraId="6EEEAA92" w14:textId="03B1D108" w:rsidR="00384CB1" w:rsidRPr="004E16EB" w:rsidRDefault="00384CB1" w:rsidP="00384CB1">
      <w:pPr>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Women are empowered through CGT, provision of financing, and customer assistance. </w:t>
      </w:r>
      <w:r w:rsidRPr="004E16EB">
        <w:rPr>
          <w:rFonts w:ascii="Times New Roman" w:hAnsi="Times New Roman"/>
          <w:b/>
          <w:i/>
          <w:sz w:val="24"/>
        </w:rPr>
        <w:t>First</w:t>
      </w:r>
      <w:r w:rsidRPr="004E16EB">
        <w:rPr>
          <w:rFonts w:ascii="Times New Roman" w:hAnsi="Times New Roman"/>
          <w:b/>
          <w:sz w:val="24"/>
        </w:rPr>
        <w:t>, CGT</w:t>
      </w:r>
      <w:r w:rsidRPr="004E16EB">
        <w:rPr>
          <w:rFonts w:ascii="Times New Roman" w:hAnsi="Times New Roman"/>
          <w:b/>
          <w:bCs/>
          <w:sz w:val="24"/>
          <w:szCs w:val="24"/>
        </w:rPr>
        <w:t xml:space="preserve"> </w:t>
      </w:r>
      <w:r w:rsidRPr="004E16EB">
        <w:rPr>
          <w:rFonts w:ascii="Times New Roman" w:hAnsi="Times New Roman"/>
          <w:sz w:val="24"/>
          <w:szCs w:val="24"/>
        </w:rPr>
        <w:t xml:space="preserve">is the initial phase of the empowerment program conducted by MWB for unbanked women. The management emphasizes the character of prospective customers, including discipline, trust, responsibility, and caring for others. CGT is held after a minimum of three groups of five members are formed. It is carried out for 1 hour on five consecutive days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{"citationItems":[{"id":"ITEM-1","itemData":{"author":[{"dropping-particle":"","family":"BSM","given":"LAZNAS","non-dropping-particle":"","parse-names":false,"suffix":""}],"id":"ITEM-1","issued":{"date-parts":[["2017"]]},"page":"8","publisher":"LAZNAS BSM","publisher-place":"Jakarta","title":"“SOP &amp; SOM Standar Operasional Prosedure Dan Management Untuk LKM Syariah-Bank Wakaf Mikro","type":"chapter"},"uris":["http://www.mendeley.com/documents/?uuid=94b5505c-1ca3-4d79-b81f-0f15564da175","http://www.mendeley.com/documents/?uuid=51694528-45ad-46b9-978a-96bef72fa688"]}],"mendeley":{"formattedCitation":"(BSM, 2017a)","plainTextFormattedCitation":"(BSM, 2017a)","previouslyFormattedCitation":"(BSM, 2017a)"},"properties":{"noteIndex":0},"schema":"https://github.com/citation-style-language/schema/raw/master/csl-citation.json"}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(BSM, 2017a)</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as shown in Table 1</w:t>
      </w:r>
      <w:r w:rsidRPr="004E16EB">
        <w:rPr>
          <w:rFonts w:ascii="Times New Roman" w:hAnsi="Times New Roman" w:cs="Times New Roman"/>
          <w:sz w:val="24"/>
          <w:szCs w:val="24"/>
        </w:rPr>
        <w:t xml:space="preserve">: </w:t>
      </w:r>
    </w:p>
    <w:p w14:paraId="5512A0D8" w14:textId="77777777" w:rsidR="00384CB1" w:rsidRPr="004E16EB" w:rsidRDefault="00384CB1" w:rsidP="00384CB1">
      <w:pPr>
        <w:spacing w:before="120" w:after="0" w:line="240" w:lineRule="auto"/>
        <w:ind w:firstLine="720"/>
        <w:jc w:val="both"/>
        <w:rPr>
          <w:rFonts w:ascii="Times New Roman" w:hAnsi="Times New Roman" w:cs="Times New Roman"/>
          <w:sz w:val="24"/>
          <w:szCs w:val="24"/>
        </w:rPr>
      </w:pPr>
      <w:r w:rsidRPr="004E16EB">
        <w:rPr>
          <w:rFonts w:ascii="Times New Roman" w:hAnsi="Times New Roman" w:cs="Times New Roman"/>
          <w:sz w:val="24"/>
          <w:szCs w:val="24"/>
        </w:rPr>
        <w:t xml:space="preserve">Table 1. </w:t>
      </w:r>
      <w:r w:rsidRPr="004E16EB">
        <w:rPr>
          <w:rFonts w:ascii="Times New Roman" w:hAnsi="Times New Roman"/>
          <w:sz w:val="24"/>
          <w:szCs w:val="24"/>
        </w:rPr>
        <w:t>CGT Materials</w:t>
      </w:r>
    </w:p>
    <w:tbl>
      <w:tblPr>
        <w:tblStyle w:val="TableGrid"/>
        <w:tblW w:w="0" w:type="auto"/>
        <w:tblLook w:val="04A0" w:firstRow="1" w:lastRow="0" w:firstColumn="1" w:lastColumn="0" w:noHBand="0" w:noVBand="1"/>
      </w:tblPr>
      <w:tblGrid>
        <w:gridCol w:w="1005"/>
        <w:gridCol w:w="8021"/>
      </w:tblGrid>
      <w:tr w:rsidR="00384CB1" w:rsidRPr="004E16EB" w14:paraId="07E93F38" w14:textId="77777777" w:rsidTr="0097302F">
        <w:tc>
          <w:tcPr>
            <w:tcW w:w="1008" w:type="dxa"/>
            <w:tcBorders>
              <w:top w:val="single" w:sz="4" w:space="0" w:color="auto"/>
              <w:left w:val="nil"/>
              <w:bottom w:val="single" w:sz="4" w:space="0" w:color="auto"/>
              <w:right w:val="nil"/>
            </w:tcBorders>
          </w:tcPr>
          <w:p w14:paraId="46B15769" w14:textId="77777777" w:rsidR="00384CB1" w:rsidRPr="004E16EB" w:rsidRDefault="00384CB1" w:rsidP="0097302F">
            <w:pPr>
              <w:jc w:val="both"/>
              <w:rPr>
                <w:rFonts w:ascii="Times New Roman" w:hAnsi="Times New Roman" w:cs="Times New Roman"/>
                <w:sz w:val="24"/>
                <w:szCs w:val="24"/>
              </w:rPr>
            </w:pPr>
            <w:r w:rsidRPr="004E16EB">
              <w:rPr>
                <w:rFonts w:ascii="Times New Roman" w:hAnsi="Times New Roman" w:cs="Times New Roman"/>
                <w:sz w:val="24"/>
                <w:szCs w:val="24"/>
              </w:rPr>
              <w:t>Day</w:t>
            </w:r>
          </w:p>
        </w:tc>
        <w:tc>
          <w:tcPr>
            <w:tcW w:w="8234" w:type="dxa"/>
            <w:tcBorders>
              <w:top w:val="single" w:sz="4" w:space="0" w:color="auto"/>
              <w:left w:val="nil"/>
              <w:bottom w:val="single" w:sz="4" w:space="0" w:color="auto"/>
              <w:right w:val="nil"/>
            </w:tcBorders>
          </w:tcPr>
          <w:p w14:paraId="1C7321ED" w14:textId="77777777" w:rsidR="00384CB1" w:rsidRPr="004E16EB" w:rsidRDefault="00384CB1" w:rsidP="0097302F">
            <w:pPr>
              <w:jc w:val="center"/>
              <w:rPr>
                <w:rFonts w:ascii="Times New Roman" w:hAnsi="Times New Roman" w:cs="Times New Roman"/>
                <w:sz w:val="24"/>
                <w:szCs w:val="24"/>
              </w:rPr>
            </w:pPr>
            <w:r w:rsidRPr="004E16EB">
              <w:rPr>
                <w:rFonts w:ascii="Times New Roman" w:hAnsi="Times New Roman" w:cs="Times New Roman"/>
                <w:sz w:val="24"/>
                <w:szCs w:val="24"/>
              </w:rPr>
              <w:t>Material</w:t>
            </w:r>
          </w:p>
        </w:tc>
      </w:tr>
      <w:tr w:rsidR="00384CB1" w:rsidRPr="004E16EB" w14:paraId="3C4B9744" w14:textId="77777777" w:rsidTr="0097302F">
        <w:tc>
          <w:tcPr>
            <w:tcW w:w="1008" w:type="dxa"/>
            <w:tcBorders>
              <w:top w:val="single" w:sz="4" w:space="0" w:color="auto"/>
              <w:left w:val="nil"/>
              <w:bottom w:val="single" w:sz="4" w:space="0" w:color="auto"/>
              <w:right w:val="nil"/>
            </w:tcBorders>
          </w:tcPr>
          <w:p w14:paraId="1A2AEAB6" w14:textId="77777777" w:rsidR="00384CB1" w:rsidRPr="004E16EB" w:rsidRDefault="00384CB1" w:rsidP="0097302F">
            <w:pPr>
              <w:jc w:val="both"/>
              <w:rPr>
                <w:rFonts w:ascii="Times New Roman" w:hAnsi="Times New Roman" w:cs="Times New Roman"/>
                <w:sz w:val="24"/>
                <w:szCs w:val="24"/>
              </w:rPr>
            </w:pPr>
            <w:r w:rsidRPr="004E16EB">
              <w:rPr>
                <w:rFonts w:ascii="Times New Roman" w:hAnsi="Times New Roman" w:cs="Times New Roman"/>
                <w:sz w:val="24"/>
                <w:szCs w:val="24"/>
              </w:rPr>
              <w:lastRenderedPageBreak/>
              <w:t>First</w:t>
            </w:r>
          </w:p>
        </w:tc>
        <w:tc>
          <w:tcPr>
            <w:tcW w:w="8234" w:type="dxa"/>
            <w:tcBorders>
              <w:top w:val="single" w:sz="4" w:space="0" w:color="auto"/>
              <w:left w:val="nil"/>
              <w:bottom w:val="single" w:sz="4" w:space="0" w:color="auto"/>
              <w:right w:val="nil"/>
            </w:tcBorders>
          </w:tcPr>
          <w:p w14:paraId="7B7B17C3" w14:textId="77777777" w:rsidR="00384CB1" w:rsidRPr="004E16EB" w:rsidRDefault="00384CB1" w:rsidP="0097302F">
            <w:pPr>
              <w:jc w:val="both"/>
              <w:rPr>
                <w:rFonts w:ascii="Times New Roman" w:hAnsi="Times New Roman" w:cs="Times New Roman"/>
                <w:sz w:val="24"/>
                <w:szCs w:val="24"/>
              </w:rPr>
            </w:pPr>
            <w:r w:rsidRPr="004E16EB">
              <w:rPr>
                <w:rFonts w:ascii="Times New Roman" w:hAnsi="Times New Roman"/>
                <w:sz w:val="24"/>
                <w:szCs w:val="24"/>
              </w:rPr>
              <w:t>1) Explanation of CGT, 2) Introduction to MWB. 3) Introduction and principles of CBGIBSI membership, Introduction of CGT participants, 4) The introduction of the pledge, 5) Motivational material</w:t>
            </w:r>
            <w:r w:rsidRPr="004E16EB">
              <w:rPr>
                <w:rFonts w:ascii="Times New Roman" w:hAnsi="Times New Roman" w:cs="Times New Roman"/>
                <w:sz w:val="24"/>
                <w:szCs w:val="24"/>
              </w:rPr>
              <w:t>.</w:t>
            </w:r>
          </w:p>
        </w:tc>
      </w:tr>
      <w:tr w:rsidR="00384CB1" w:rsidRPr="004E16EB" w14:paraId="02BF0452" w14:textId="77777777" w:rsidTr="0097302F">
        <w:tc>
          <w:tcPr>
            <w:tcW w:w="1008" w:type="dxa"/>
            <w:tcBorders>
              <w:top w:val="single" w:sz="4" w:space="0" w:color="auto"/>
              <w:left w:val="nil"/>
              <w:bottom w:val="single" w:sz="4" w:space="0" w:color="auto"/>
              <w:right w:val="nil"/>
            </w:tcBorders>
          </w:tcPr>
          <w:p w14:paraId="3AF6D642" w14:textId="77777777" w:rsidR="00384CB1" w:rsidRPr="004E16EB" w:rsidRDefault="00384CB1" w:rsidP="0097302F">
            <w:pPr>
              <w:jc w:val="both"/>
              <w:rPr>
                <w:rFonts w:ascii="Times New Roman" w:hAnsi="Times New Roman" w:cs="Times New Roman"/>
                <w:sz w:val="24"/>
                <w:szCs w:val="24"/>
              </w:rPr>
            </w:pPr>
            <w:r w:rsidRPr="004E16EB">
              <w:rPr>
                <w:rFonts w:ascii="Times New Roman" w:hAnsi="Times New Roman" w:cs="Times New Roman"/>
                <w:sz w:val="24"/>
                <w:szCs w:val="24"/>
              </w:rPr>
              <w:t>Second</w:t>
            </w:r>
          </w:p>
        </w:tc>
        <w:tc>
          <w:tcPr>
            <w:tcW w:w="8234" w:type="dxa"/>
            <w:tcBorders>
              <w:top w:val="single" w:sz="4" w:space="0" w:color="auto"/>
              <w:left w:val="nil"/>
              <w:bottom w:val="single" w:sz="4" w:space="0" w:color="auto"/>
              <w:right w:val="nil"/>
            </w:tcBorders>
          </w:tcPr>
          <w:p w14:paraId="2A86718D" w14:textId="77777777" w:rsidR="00384CB1" w:rsidRPr="004E16EB" w:rsidRDefault="00384CB1" w:rsidP="0097302F">
            <w:pPr>
              <w:jc w:val="both"/>
              <w:rPr>
                <w:rFonts w:ascii="Times New Roman" w:hAnsi="Times New Roman" w:cs="Times New Roman"/>
                <w:sz w:val="24"/>
                <w:szCs w:val="24"/>
              </w:rPr>
            </w:pPr>
            <w:r w:rsidRPr="004E16EB">
              <w:rPr>
                <w:rFonts w:ascii="Times New Roman" w:hAnsi="Times New Roman" w:cs="Times New Roman"/>
                <w:sz w:val="24"/>
                <w:szCs w:val="24"/>
              </w:rPr>
              <w:t xml:space="preserve">1) </w:t>
            </w:r>
            <w:r w:rsidRPr="004E16EB">
              <w:rPr>
                <w:rFonts w:ascii="Times New Roman" w:hAnsi="Times New Roman"/>
                <w:sz w:val="24"/>
                <w:szCs w:val="24"/>
              </w:rPr>
              <w:t>Reading of the pledge, 2) Capacity building materials, 6) Rights and obligations of members, 7) Election of the group leader and deputy leader, 8) Discussion of the responsibilities of the leader, secretary, and group members</w:t>
            </w:r>
            <w:r w:rsidRPr="004E16EB">
              <w:rPr>
                <w:rFonts w:ascii="Times New Roman" w:hAnsi="Times New Roman" w:cs="Times New Roman"/>
                <w:sz w:val="24"/>
                <w:szCs w:val="24"/>
              </w:rPr>
              <w:t>.</w:t>
            </w:r>
          </w:p>
        </w:tc>
      </w:tr>
      <w:tr w:rsidR="00384CB1" w:rsidRPr="004E16EB" w14:paraId="627D50C7" w14:textId="77777777" w:rsidTr="0097302F">
        <w:tc>
          <w:tcPr>
            <w:tcW w:w="1008" w:type="dxa"/>
            <w:tcBorders>
              <w:top w:val="single" w:sz="4" w:space="0" w:color="auto"/>
              <w:left w:val="nil"/>
              <w:bottom w:val="single" w:sz="4" w:space="0" w:color="auto"/>
              <w:right w:val="nil"/>
            </w:tcBorders>
          </w:tcPr>
          <w:p w14:paraId="751565F3" w14:textId="77777777" w:rsidR="00384CB1" w:rsidRPr="004E16EB" w:rsidRDefault="00384CB1" w:rsidP="0097302F">
            <w:pPr>
              <w:jc w:val="both"/>
              <w:rPr>
                <w:rFonts w:ascii="Times New Roman" w:hAnsi="Times New Roman" w:cs="Times New Roman"/>
                <w:sz w:val="24"/>
                <w:szCs w:val="24"/>
              </w:rPr>
            </w:pPr>
            <w:r w:rsidRPr="004E16EB">
              <w:rPr>
                <w:rFonts w:ascii="Times New Roman" w:hAnsi="Times New Roman" w:cs="Times New Roman"/>
                <w:sz w:val="24"/>
                <w:szCs w:val="24"/>
              </w:rPr>
              <w:t>Third</w:t>
            </w:r>
          </w:p>
        </w:tc>
        <w:tc>
          <w:tcPr>
            <w:tcW w:w="8234" w:type="dxa"/>
            <w:tcBorders>
              <w:top w:val="single" w:sz="4" w:space="0" w:color="auto"/>
              <w:left w:val="nil"/>
              <w:bottom w:val="single" w:sz="4" w:space="0" w:color="auto"/>
              <w:right w:val="nil"/>
            </w:tcBorders>
          </w:tcPr>
          <w:p w14:paraId="50F502E8" w14:textId="77777777" w:rsidR="00384CB1" w:rsidRPr="004E16EB" w:rsidRDefault="00384CB1" w:rsidP="0097302F">
            <w:pPr>
              <w:jc w:val="both"/>
              <w:rPr>
                <w:rFonts w:ascii="Times New Roman" w:hAnsi="Times New Roman" w:cs="Times New Roman"/>
                <w:sz w:val="24"/>
                <w:szCs w:val="24"/>
              </w:rPr>
            </w:pPr>
            <w:r w:rsidRPr="004E16EB">
              <w:rPr>
                <w:rFonts w:ascii="Times New Roman" w:hAnsi="Times New Roman" w:cs="Times New Roman"/>
                <w:sz w:val="24"/>
                <w:szCs w:val="24"/>
              </w:rPr>
              <w:t xml:space="preserve">1) </w:t>
            </w:r>
            <w:r w:rsidRPr="004E16EB">
              <w:rPr>
                <w:rFonts w:ascii="Times New Roman" w:hAnsi="Times New Roman"/>
                <w:sz w:val="24"/>
                <w:szCs w:val="24"/>
              </w:rPr>
              <w:t>Reading of the pledge, 2) Introduction of contracts and financing procedures as well as installment payments, 3) Stories and how to create a business profile</w:t>
            </w:r>
            <w:r w:rsidRPr="004E16EB">
              <w:rPr>
                <w:rFonts w:ascii="Times New Roman" w:hAnsi="Times New Roman" w:cs="Times New Roman"/>
                <w:sz w:val="24"/>
                <w:szCs w:val="24"/>
              </w:rPr>
              <w:t xml:space="preserve">. </w:t>
            </w:r>
          </w:p>
        </w:tc>
      </w:tr>
      <w:tr w:rsidR="00384CB1" w:rsidRPr="004E16EB" w14:paraId="01CE786A" w14:textId="77777777" w:rsidTr="0097302F">
        <w:tc>
          <w:tcPr>
            <w:tcW w:w="1008" w:type="dxa"/>
            <w:tcBorders>
              <w:top w:val="single" w:sz="4" w:space="0" w:color="auto"/>
              <w:left w:val="nil"/>
              <w:bottom w:val="single" w:sz="4" w:space="0" w:color="auto"/>
              <w:right w:val="nil"/>
            </w:tcBorders>
          </w:tcPr>
          <w:p w14:paraId="7C90BB9B" w14:textId="77777777" w:rsidR="00384CB1" w:rsidRPr="004E16EB" w:rsidRDefault="00384CB1" w:rsidP="0097302F">
            <w:pPr>
              <w:jc w:val="both"/>
              <w:rPr>
                <w:rFonts w:ascii="Times New Roman" w:hAnsi="Times New Roman" w:cs="Times New Roman"/>
                <w:sz w:val="24"/>
                <w:szCs w:val="24"/>
              </w:rPr>
            </w:pPr>
            <w:r w:rsidRPr="004E16EB">
              <w:rPr>
                <w:rFonts w:ascii="Times New Roman" w:hAnsi="Times New Roman" w:cs="Times New Roman"/>
                <w:sz w:val="24"/>
                <w:szCs w:val="24"/>
              </w:rPr>
              <w:t>Fourth</w:t>
            </w:r>
          </w:p>
        </w:tc>
        <w:tc>
          <w:tcPr>
            <w:tcW w:w="8234" w:type="dxa"/>
            <w:tcBorders>
              <w:top w:val="single" w:sz="4" w:space="0" w:color="auto"/>
              <w:left w:val="nil"/>
              <w:bottom w:val="single" w:sz="4" w:space="0" w:color="auto"/>
              <w:right w:val="nil"/>
            </w:tcBorders>
          </w:tcPr>
          <w:p w14:paraId="577A16ED" w14:textId="77777777" w:rsidR="00384CB1" w:rsidRPr="004E16EB" w:rsidRDefault="00384CB1" w:rsidP="0097302F">
            <w:pPr>
              <w:jc w:val="both"/>
              <w:rPr>
                <w:rFonts w:ascii="Times New Roman" w:hAnsi="Times New Roman" w:cs="Times New Roman"/>
                <w:sz w:val="24"/>
                <w:szCs w:val="24"/>
              </w:rPr>
            </w:pPr>
            <w:r w:rsidRPr="004E16EB">
              <w:rPr>
                <w:rFonts w:ascii="Times New Roman" w:hAnsi="Times New Roman" w:cs="Times New Roman"/>
                <w:sz w:val="24"/>
                <w:szCs w:val="24"/>
              </w:rPr>
              <w:t xml:space="preserve">1) </w:t>
            </w:r>
            <w:r w:rsidRPr="004E16EB">
              <w:rPr>
                <w:rFonts w:ascii="Times New Roman" w:hAnsi="Times New Roman"/>
                <w:sz w:val="24"/>
                <w:szCs w:val="24"/>
              </w:rPr>
              <w:t>Reading of the pledge, 2) Giving the name and number of CBGIBSI, 3) Election of leader and deputy leader, 4) Discussion of the responsibilities of the leader, deputy leader, and members, and 5) discussion about WH.</w:t>
            </w:r>
          </w:p>
        </w:tc>
      </w:tr>
      <w:tr w:rsidR="00384CB1" w:rsidRPr="004E16EB" w14:paraId="031FAB59" w14:textId="77777777" w:rsidTr="0097302F">
        <w:tc>
          <w:tcPr>
            <w:tcW w:w="1008" w:type="dxa"/>
            <w:tcBorders>
              <w:top w:val="single" w:sz="4" w:space="0" w:color="auto"/>
              <w:left w:val="nil"/>
              <w:bottom w:val="single" w:sz="4" w:space="0" w:color="auto"/>
              <w:right w:val="nil"/>
            </w:tcBorders>
          </w:tcPr>
          <w:p w14:paraId="68EE26B7" w14:textId="77777777" w:rsidR="00384CB1" w:rsidRPr="004E16EB" w:rsidRDefault="00384CB1" w:rsidP="0097302F">
            <w:pPr>
              <w:jc w:val="both"/>
              <w:rPr>
                <w:rFonts w:ascii="Times New Roman" w:hAnsi="Times New Roman" w:cs="Times New Roman"/>
                <w:sz w:val="24"/>
                <w:szCs w:val="24"/>
              </w:rPr>
            </w:pPr>
            <w:r w:rsidRPr="004E16EB">
              <w:rPr>
                <w:rFonts w:ascii="Times New Roman" w:hAnsi="Times New Roman" w:cs="Times New Roman"/>
                <w:sz w:val="24"/>
                <w:szCs w:val="24"/>
              </w:rPr>
              <w:t>Fifth</w:t>
            </w:r>
          </w:p>
        </w:tc>
        <w:tc>
          <w:tcPr>
            <w:tcW w:w="8234" w:type="dxa"/>
            <w:tcBorders>
              <w:top w:val="single" w:sz="4" w:space="0" w:color="auto"/>
              <w:left w:val="nil"/>
              <w:bottom w:val="single" w:sz="4" w:space="0" w:color="auto"/>
              <w:right w:val="nil"/>
            </w:tcBorders>
          </w:tcPr>
          <w:p w14:paraId="13501AC5" w14:textId="77777777" w:rsidR="00384CB1" w:rsidRPr="004E16EB" w:rsidRDefault="00384CB1" w:rsidP="0097302F">
            <w:pPr>
              <w:jc w:val="both"/>
              <w:rPr>
                <w:rFonts w:ascii="Times New Roman" w:hAnsi="Times New Roman" w:cs="Times New Roman"/>
                <w:sz w:val="24"/>
                <w:szCs w:val="24"/>
              </w:rPr>
            </w:pPr>
            <w:r w:rsidRPr="004E16EB">
              <w:rPr>
                <w:rFonts w:ascii="Times New Roman" w:hAnsi="Times New Roman" w:cs="Times New Roman"/>
                <w:sz w:val="24"/>
                <w:szCs w:val="24"/>
              </w:rPr>
              <w:t xml:space="preserve">1) </w:t>
            </w:r>
            <w:r w:rsidRPr="004E16EB">
              <w:rPr>
                <w:rFonts w:ascii="Times New Roman" w:hAnsi="Times New Roman"/>
                <w:sz w:val="24"/>
                <w:szCs w:val="24"/>
              </w:rPr>
              <w:t>Reading of the pledge, 2) Review of CGT materials, 3) CBGIBSI validation test.</w:t>
            </w:r>
          </w:p>
        </w:tc>
      </w:tr>
    </w:tbl>
    <w:p w14:paraId="70FD1626" w14:textId="0E1BB5E7" w:rsidR="00384CB1" w:rsidRPr="004E16EB" w:rsidRDefault="00384CB1" w:rsidP="00384CB1">
      <w:pPr>
        <w:spacing w:after="120" w:line="240" w:lineRule="auto"/>
        <w:ind w:firstLine="720"/>
        <w:jc w:val="both"/>
        <w:rPr>
          <w:rFonts w:ascii="Times New Roman" w:hAnsi="Times New Roman" w:cs="Times New Roman"/>
          <w:sz w:val="24"/>
          <w:szCs w:val="24"/>
        </w:rPr>
      </w:pPr>
      <w:r w:rsidRPr="004E16EB">
        <w:rPr>
          <w:rFonts w:ascii="Times New Roman" w:hAnsi="Times New Roman" w:cs="Times New Roman"/>
          <w:sz w:val="24"/>
          <w:szCs w:val="24"/>
        </w:rPr>
        <w:t xml:space="preserve">Source: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{"citationItems":[{"id":"ITEM-1","itemData":{"author":[{"dropping-particle":"","family":"BSM","given":"LAZNAS","non-dropping-particle":"","parse-names":false,"suffix":""}],"id":"ITEM-1","issued":{"date-parts":[["2017"]]},"publisher":"LAZNAS BSM","publisher-place":"Jakarta","title":"Manajemen Lembaga Keuangan Mikro Syariah","type":"chapter"},"uris":["http://www.mendeley.com/documents/?uuid=eeb4f070-fbd7-410f-b9f3-5b6d3b76da95","http://www.mendeley.com/documents/?uuid=17ef43c2-b56c-4f73-913c-9533b0e14bc6"]}],"mendeley":{"formattedCitation":"(BSM, 2017b)","plainTextFormattedCitation":"(BSM, 2017b)","previouslyFormattedCitation":"(BSM, 2017b)"},"properties":{"noteIndex":0},"schema":"https://github.com/citation-style-language/schema/raw/master/csl-citation.json"}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(BSM, 2017b)</w:t>
      </w:r>
      <w:r w:rsidRPr="004E16EB">
        <w:rPr>
          <w:rFonts w:ascii="Times New Roman" w:hAnsi="Times New Roman" w:cs="Times New Roman"/>
          <w:sz w:val="24"/>
          <w:szCs w:val="24"/>
        </w:rPr>
        <w:fldChar w:fldCharType="end"/>
      </w:r>
    </w:p>
    <w:p w14:paraId="38479F14" w14:textId="77777777" w:rsidR="00384CB1" w:rsidRPr="004E16EB" w:rsidRDefault="00384CB1" w:rsidP="00384CB1">
      <w:pPr>
        <w:widowControl w:val="0"/>
        <w:spacing w:after="0" w:line="240" w:lineRule="auto"/>
        <w:ind w:firstLine="450"/>
        <w:contextualSpacing/>
        <w:jc w:val="both"/>
        <w:rPr>
          <w:rFonts w:ascii="Times New Roman" w:hAnsi="Times New Roman"/>
          <w:sz w:val="24"/>
          <w:szCs w:val="24"/>
        </w:rPr>
      </w:pPr>
      <w:r w:rsidRPr="004E16EB">
        <w:rPr>
          <w:rFonts w:ascii="Times New Roman" w:hAnsi="Times New Roman"/>
          <w:sz w:val="24"/>
          <w:szCs w:val="24"/>
        </w:rPr>
        <w:t xml:space="preserve">The uniqueness of this training is the character testing of prospective customers. According to Sari (2019) and </w:t>
      </w:r>
      <w:proofErr w:type="spellStart"/>
      <w:r w:rsidRPr="004E16EB">
        <w:rPr>
          <w:rFonts w:ascii="Times New Roman" w:hAnsi="Times New Roman"/>
          <w:sz w:val="24"/>
          <w:szCs w:val="24"/>
        </w:rPr>
        <w:t>Dafril</w:t>
      </w:r>
      <w:proofErr w:type="spellEnd"/>
      <w:r w:rsidRPr="004E16EB">
        <w:rPr>
          <w:rFonts w:ascii="Times New Roman" w:hAnsi="Times New Roman"/>
          <w:sz w:val="24"/>
          <w:szCs w:val="24"/>
        </w:rPr>
        <w:t xml:space="preserve"> (2019), the participants of the Manager of MWB Al </w:t>
      </w:r>
      <w:proofErr w:type="spellStart"/>
      <w:r w:rsidRPr="004E16EB">
        <w:rPr>
          <w:rFonts w:ascii="Times New Roman" w:hAnsi="Times New Roman"/>
          <w:sz w:val="24"/>
          <w:szCs w:val="24"/>
        </w:rPr>
        <w:t>Kautsar</w:t>
      </w:r>
      <w:proofErr w:type="spellEnd"/>
      <w:r w:rsidRPr="004E16EB">
        <w:rPr>
          <w:rFonts w:ascii="Times New Roman" w:hAnsi="Times New Roman"/>
          <w:sz w:val="24"/>
          <w:szCs w:val="24"/>
        </w:rPr>
        <w:t xml:space="preserve"> Lima </w:t>
      </w:r>
      <w:proofErr w:type="spellStart"/>
      <w:r w:rsidRPr="004E16EB">
        <w:rPr>
          <w:rFonts w:ascii="Times New Roman" w:hAnsi="Times New Roman"/>
          <w:sz w:val="24"/>
          <w:szCs w:val="24"/>
        </w:rPr>
        <w:t>Puluh</w:t>
      </w:r>
      <w:proofErr w:type="spellEnd"/>
      <w:r w:rsidRPr="004E16EB">
        <w:rPr>
          <w:rFonts w:ascii="Times New Roman" w:hAnsi="Times New Roman"/>
          <w:sz w:val="24"/>
          <w:szCs w:val="24"/>
        </w:rPr>
        <w:t xml:space="preserve"> Kota of West Sumatra and MWB UNISA Yogyakarta collected small changes of IDR 2,000 on the first day. The supervisor recorded and entrusted the serial number to the participants sitting at the back. The following day, the supervisor asked for the money deposited to check the serial number. The participants were declared trustworthy when the serial number had not been changed, and vice versa. The supervisor emphasized the importance of trusting </w:t>
      </w:r>
      <w:proofErr w:type="spellStart"/>
      <w:r w:rsidRPr="004E16EB">
        <w:rPr>
          <w:rFonts w:ascii="Times New Roman" w:hAnsi="Times New Roman"/>
          <w:sz w:val="24"/>
          <w:szCs w:val="24"/>
        </w:rPr>
        <w:t>behavior</w:t>
      </w:r>
      <w:proofErr w:type="spellEnd"/>
      <w:r w:rsidRPr="004E16EB">
        <w:rPr>
          <w:rFonts w:ascii="Times New Roman" w:hAnsi="Times New Roman"/>
          <w:sz w:val="24"/>
          <w:szCs w:val="24"/>
        </w:rPr>
        <w:t>. After the meeting on the second day, the supervisor collected small changes of IDR 2,000 and recorded the serial number. The number was left to the participants sitting in the penultimate row and the front.</w:t>
      </w:r>
    </w:p>
    <w:p w14:paraId="2EAE82A1" w14:textId="1FE3406E" w:rsidR="00384CB1" w:rsidRPr="004E16EB" w:rsidRDefault="00384CB1" w:rsidP="00384CB1">
      <w:pPr>
        <w:widowControl w:val="0"/>
        <w:spacing w:after="0" w:line="240" w:lineRule="auto"/>
        <w:ind w:firstLine="450"/>
        <w:contextualSpacing/>
        <w:jc w:val="both"/>
        <w:rPr>
          <w:rFonts w:ascii="Times New Roman" w:hAnsi="Times New Roman" w:cs="Times New Roman"/>
          <w:sz w:val="24"/>
          <w:szCs w:val="24"/>
        </w:rPr>
      </w:pPr>
      <w:r w:rsidRPr="004E16EB">
        <w:rPr>
          <w:rFonts w:ascii="Times New Roman" w:hAnsi="Times New Roman"/>
          <w:sz w:val="24"/>
          <w:szCs w:val="24"/>
        </w:rPr>
        <w:t xml:space="preserve">All prospective customers were required to take the Group Validation Examination (GVE) conducted by the MWB supervisor on the fifth day. The prospective group members who understood the training material were declared to have passed and were confirmed as </w:t>
      </w:r>
      <w:r w:rsidR="00A37C76">
        <w:rPr>
          <w:rFonts w:ascii="Times New Roman" w:hAnsi="Times New Roman"/>
          <w:sz w:val="24"/>
          <w:szCs w:val="24"/>
        </w:rPr>
        <w:t>MWB customers</w:t>
      </w:r>
      <w:r w:rsidRPr="004E16EB">
        <w:rPr>
          <w:rFonts w:ascii="Times New Roman" w:hAnsi="Times New Roman"/>
          <w:sz w:val="24"/>
          <w:szCs w:val="24"/>
        </w:rPr>
        <w:t>, forming CBGIBSI</w:t>
      </w:r>
      <w:r w:rsidRPr="004E16EB">
        <w:rPr>
          <w:rFonts w:ascii="Times New Roman" w:hAnsi="Times New Roman" w:cs="Times New Roman"/>
          <w:sz w:val="24"/>
          <w:szCs w:val="24"/>
        </w:rPr>
        <w:t xml:space="preserve">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{"citationItems":[{"id":"ITEM-1","itemData":{"author":[{"dropping-particle":"","family":"BSM","given":"LAZNAS","non-dropping-particle":"","parse-names":false,"suffix":""}],"id":"ITEM-1","issued":{"date-parts":[["2017"]]},"publisher":"LAZNAS BSM","publisher-place":"Jakarta","title":"Manajemen Lembaga Keuangan Mikro Syariah","type":"chapter"},"uris":["http://www.mendeley.com/documents/?uuid=17ef43c2-b56c-4f73-913c-9533b0e14bc6","http://www.mendeley.com/documents/?uuid=eeb4f070-fbd7-410f-b9f3-5b6d3b76da95"]}],"mendeley":{"formattedCitation":"(BSM, 2017b)","plainTextFormattedCitation":"(BSM, 2017b)","previouslyFormattedCitation":"(BSM, 2017b)"},"properties":{"noteIndex":0},"schema":"https://github.com/citation-style-language/schema/raw/master/csl-citation.json"}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(BSM, 2017b)</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Prospective customers are declared to have passed based on the indicators of a) Discipline, b) Cohesiveness, c) Trust, d) Ability to answer at least 50% of the statements, e) Get family support</w:t>
      </w:r>
      <w:r w:rsidRPr="004E16EB">
        <w:rPr>
          <w:rFonts w:ascii="Times New Roman" w:hAnsi="Times New Roman"/>
          <w:sz w:val="24"/>
          <w:szCs w:val="24"/>
        </w:rPr>
        <w:t xml:space="preserve">. Based on an interview with </w:t>
      </w:r>
      <w:proofErr w:type="spellStart"/>
      <w:r w:rsidRPr="004E16EB">
        <w:rPr>
          <w:rFonts w:ascii="Times New Roman" w:hAnsi="Times New Roman"/>
          <w:sz w:val="24"/>
          <w:szCs w:val="24"/>
        </w:rPr>
        <w:t>Puguh</w:t>
      </w:r>
      <w:proofErr w:type="spellEnd"/>
      <w:r w:rsidRPr="004E16EB">
        <w:rPr>
          <w:rFonts w:ascii="Times New Roman" w:hAnsi="Times New Roman"/>
          <w:sz w:val="24"/>
          <w:szCs w:val="24"/>
        </w:rPr>
        <w:t xml:space="preserve">, Amalia (2019), Supervisor of MWB </w:t>
      </w:r>
      <w:proofErr w:type="spellStart"/>
      <w:r w:rsidRPr="004E16EB">
        <w:rPr>
          <w:rFonts w:ascii="Times New Roman" w:hAnsi="Times New Roman"/>
          <w:sz w:val="24"/>
          <w:szCs w:val="24"/>
        </w:rPr>
        <w:t>Alfitrah</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Wafa</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Mandiri</w:t>
      </w:r>
      <w:proofErr w:type="spellEnd"/>
      <w:r w:rsidRPr="004E16EB">
        <w:rPr>
          <w:rFonts w:ascii="Times New Roman" w:hAnsi="Times New Roman"/>
          <w:sz w:val="24"/>
          <w:szCs w:val="24"/>
        </w:rPr>
        <w:t xml:space="preserve"> As-Salafi Al-</w:t>
      </w:r>
      <w:proofErr w:type="spellStart"/>
      <w:r w:rsidRPr="004E16EB">
        <w:rPr>
          <w:rFonts w:ascii="Times New Roman" w:hAnsi="Times New Roman"/>
          <w:sz w:val="24"/>
          <w:szCs w:val="24"/>
        </w:rPr>
        <w:t>Fithrah</w:t>
      </w:r>
      <w:proofErr w:type="spellEnd"/>
      <w:r w:rsidRPr="004E16EB">
        <w:rPr>
          <w:rFonts w:ascii="Times New Roman" w:hAnsi="Times New Roman"/>
          <w:sz w:val="24"/>
          <w:szCs w:val="24"/>
        </w:rPr>
        <w:t xml:space="preserve"> Islamic Boarding School, </w:t>
      </w:r>
      <w:proofErr w:type="spellStart"/>
      <w:r w:rsidRPr="004E16EB">
        <w:rPr>
          <w:rFonts w:ascii="Times New Roman" w:hAnsi="Times New Roman"/>
          <w:sz w:val="24"/>
          <w:szCs w:val="24"/>
        </w:rPr>
        <w:t>Kewall</w:t>
      </w:r>
      <w:proofErr w:type="spellEnd"/>
      <w:r w:rsidRPr="004E16EB">
        <w:rPr>
          <w:rFonts w:ascii="Times New Roman" w:hAnsi="Times New Roman"/>
          <w:sz w:val="24"/>
          <w:szCs w:val="24"/>
        </w:rPr>
        <w:t xml:space="preserve"> Surabaya and MWB Tebu </w:t>
      </w:r>
      <w:proofErr w:type="spellStart"/>
      <w:r w:rsidRPr="004E16EB">
        <w:rPr>
          <w:rFonts w:ascii="Times New Roman" w:hAnsi="Times New Roman"/>
          <w:sz w:val="24"/>
          <w:szCs w:val="24"/>
        </w:rPr>
        <w:t>Ireng</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Jombang</w:t>
      </w:r>
      <w:proofErr w:type="spellEnd"/>
      <w:r w:rsidRPr="004E16EB">
        <w:rPr>
          <w:rFonts w:ascii="Times New Roman" w:hAnsi="Times New Roman"/>
          <w:sz w:val="24"/>
          <w:szCs w:val="24"/>
        </w:rPr>
        <w:t>, the participants were ranked in the order of the most in need of receiving the first financing. The members who obtain the disbursement of financing first sit at the back. The leader sitting in the front receives the latest financing according to the arrangement shown in Figure 2.</w:t>
      </w:r>
    </w:p>
    <w:p w14:paraId="77D63573" w14:textId="77777777" w:rsidR="00384CB1" w:rsidRPr="004E16EB" w:rsidRDefault="00384CB1" w:rsidP="00384CB1">
      <w:pPr>
        <w:widowControl w:val="0"/>
        <w:spacing w:after="0" w:line="240" w:lineRule="auto"/>
        <w:ind w:firstLine="450"/>
        <w:contextualSpacing/>
        <w:jc w:val="both"/>
        <w:rPr>
          <w:rFonts w:ascii="Times New Roman" w:hAnsi="Times New Roman" w:cs="Times New Roman"/>
          <w:sz w:val="24"/>
          <w:szCs w:val="24"/>
        </w:rPr>
      </w:pPr>
      <w:r w:rsidRPr="004E16EB">
        <w:rPr>
          <w:rFonts w:ascii="Times New Roman" w:hAnsi="Times New Roman" w:cs="Times New Roman"/>
          <w:sz w:val="24"/>
          <w:szCs w:val="24"/>
        </w:rPr>
        <w:t xml:space="preserve">Figure 2. </w:t>
      </w:r>
      <w:r w:rsidRPr="004E16EB">
        <w:rPr>
          <w:rFonts w:ascii="Times New Roman" w:hAnsi="Times New Roman"/>
          <w:sz w:val="24"/>
          <w:szCs w:val="24"/>
        </w:rPr>
        <w:t>Group Member Seating Order Model</w:t>
      </w:r>
    </w:p>
    <w:p w14:paraId="6FCD6A3F" w14:textId="77777777" w:rsidR="00384CB1" w:rsidRPr="004E16EB" w:rsidRDefault="00384CB1" w:rsidP="00384CB1">
      <w:pPr>
        <w:spacing w:after="0" w:line="240" w:lineRule="auto"/>
        <w:ind w:left="90"/>
        <w:contextualSpacing/>
        <w:jc w:val="center"/>
        <w:rPr>
          <w:rFonts w:ascii="Times New Roman" w:hAnsi="Times New Roman" w:cs="Times New Roman"/>
          <w:sz w:val="24"/>
          <w:szCs w:val="24"/>
        </w:rPr>
      </w:pPr>
    </w:p>
    <w:p w14:paraId="3671DB43" w14:textId="77777777" w:rsidR="00384CB1" w:rsidRPr="004E16EB" w:rsidRDefault="00384CB1" w:rsidP="00384CB1">
      <w:pPr>
        <w:spacing w:after="0" w:line="240" w:lineRule="auto"/>
        <w:ind w:left="90"/>
        <w:contextualSpacing/>
        <w:jc w:val="both"/>
        <w:rPr>
          <w:rFonts w:ascii="Times New Roman" w:hAnsi="Times New Roman" w:cs="Times New Roman"/>
          <w:sz w:val="24"/>
          <w:szCs w:val="24"/>
        </w:rPr>
      </w:pPr>
      <w:r w:rsidRPr="004E16EB">
        <w:rPr>
          <w:rFonts w:ascii="Times New Roman" w:hAnsi="Times New Roman" w:cs="Times New Roman"/>
          <w:noProof/>
          <w:sz w:val="24"/>
          <w:szCs w:val="24"/>
        </w:rPr>
        <w:lastRenderedPageBreak/>
        <w:drawing>
          <wp:inline distT="0" distB="0" distL="0" distR="0" wp14:anchorId="545800DB" wp14:editId="4F25BF41">
            <wp:extent cx="5610225" cy="2990850"/>
            <wp:effectExtent l="0" t="0" r="9525" b="0"/>
            <wp:docPr id="104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8"/>
                    <pic:cNvPicPr/>
                  </pic:nvPicPr>
                  <pic:blipFill>
                    <a:blip r:embed="rId10" cstate="print"/>
                    <a:srcRect/>
                    <a:stretch/>
                  </pic:blipFill>
                  <pic:spPr>
                    <a:xfrm>
                      <a:off x="0" y="0"/>
                      <a:ext cx="5610225" cy="2990850"/>
                    </a:xfrm>
                    <a:prstGeom prst="rect">
                      <a:avLst/>
                    </a:prstGeom>
                  </pic:spPr>
                </pic:pic>
              </a:graphicData>
            </a:graphic>
          </wp:inline>
        </w:drawing>
      </w:r>
    </w:p>
    <w:p w14:paraId="48F5743A" w14:textId="5D304163" w:rsidR="00384CB1" w:rsidRPr="004E16EB" w:rsidRDefault="00384CB1" w:rsidP="00384CB1">
      <w:pPr>
        <w:widowControl w:val="0"/>
        <w:spacing w:after="0" w:line="240" w:lineRule="auto"/>
        <w:ind w:firstLine="450"/>
        <w:contextualSpacing/>
        <w:jc w:val="both"/>
        <w:rPr>
          <w:rFonts w:ascii="Times New Roman" w:hAnsi="Times New Roman" w:cs="Times New Roman"/>
          <w:sz w:val="24"/>
          <w:szCs w:val="24"/>
        </w:rPr>
      </w:pPr>
      <w:r w:rsidRPr="004E16EB">
        <w:rPr>
          <w:rFonts w:ascii="Times New Roman" w:hAnsi="Times New Roman" w:cs="Times New Roman"/>
          <w:sz w:val="24"/>
          <w:szCs w:val="24"/>
        </w:rPr>
        <w:t xml:space="preserve">Source: </w:t>
      </w:r>
      <w:r w:rsidR="00A37C76">
        <w:rPr>
          <w:rFonts w:ascii="Times New Roman" w:hAnsi="Times New Roman"/>
          <w:sz w:val="24"/>
          <w:szCs w:val="24"/>
        </w:rPr>
        <w:t>T</w:t>
      </w:r>
      <w:r w:rsidRPr="004E16EB">
        <w:rPr>
          <w:rFonts w:ascii="Times New Roman" w:hAnsi="Times New Roman"/>
          <w:sz w:val="24"/>
          <w:szCs w:val="24"/>
        </w:rPr>
        <w:t>he Micro Waqf Bank</w:t>
      </w:r>
      <w:r w:rsidRPr="004E16EB">
        <w:rPr>
          <w:rFonts w:ascii="Times New Roman" w:hAnsi="Times New Roman" w:cs="Times New Roman"/>
          <w:sz w:val="24"/>
          <w:szCs w:val="24"/>
        </w:rPr>
        <w:t>, 2019</w:t>
      </w:r>
    </w:p>
    <w:p w14:paraId="0B78BB93" w14:textId="77777777" w:rsidR="00384CB1" w:rsidRPr="004E16EB" w:rsidRDefault="00384CB1" w:rsidP="00384CB1">
      <w:pPr>
        <w:widowControl w:val="0"/>
        <w:spacing w:after="0" w:line="240" w:lineRule="auto"/>
        <w:ind w:left="360" w:firstLine="450"/>
        <w:contextualSpacing/>
        <w:jc w:val="both"/>
        <w:rPr>
          <w:rFonts w:ascii="Times New Roman" w:hAnsi="Times New Roman" w:cs="Times New Roman"/>
          <w:sz w:val="24"/>
          <w:szCs w:val="24"/>
        </w:rPr>
      </w:pPr>
      <w:r w:rsidRPr="004E16EB">
        <w:rPr>
          <w:rFonts w:ascii="Times New Roman" w:hAnsi="Times New Roman"/>
          <w:b/>
          <w:bCs/>
          <w:sz w:val="24"/>
          <w:szCs w:val="24"/>
        </w:rPr>
        <w:t>The second step is the financing</w:t>
      </w:r>
      <w:r w:rsidRPr="004E16EB">
        <w:rPr>
          <w:rFonts w:ascii="Times New Roman" w:hAnsi="Times New Roman"/>
          <w:b/>
          <w:sz w:val="24"/>
        </w:rPr>
        <w:t xml:space="preserve"> disbursement</w:t>
      </w:r>
      <w:r w:rsidRPr="004E16EB">
        <w:rPr>
          <w:rFonts w:ascii="Times New Roman" w:hAnsi="Times New Roman"/>
          <w:sz w:val="24"/>
        </w:rPr>
        <w:t xml:space="preserve"> </w:t>
      </w:r>
      <w:r w:rsidRPr="004E16EB">
        <w:rPr>
          <w:rFonts w:ascii="Times New Roman" w:hAnsi="Times New Roman"/>
          <w:sz w:val="24"/>
          <w:szCs w:val="24"/>
        </w:rPr>
        <w:t xml:space="preserve">following the seating arrangement during GCT. As described by Sari and Umami (2019), Managers and Customers of MWB </w:t>
      </w:r>
      <w:proofErr w:type="spellStart"/>
      <w:r w:rsidRPr="004E16EB">
        <w:rPr>
          <w:rFonts w:ascii="Times New Roman" w:hAnsi="Times New Roman"/>
          <w:sz w:val="24"/>
          <w:szCs w:val="24"/>
        </w:rPr>
        <w:t>Mandiri</w:t>
      </w:r>
      <w:proofErr w:type="spellEnd"/>
      <w:r w:rsidRPr="004E16EB">
        <w:rPr>
          <w:rFonts w:ascii="Times New Roman" w:hAnsi="Times New Roman"/>
          <w:sz w:val="24"/>
          <w:szCs w:val="24"/>
        </w:rPr>
        <w:t xml:space="preserve"> Sakinah UNISA Yogyakarta and MWB </w:t>
      </w:r>
      <w:proofErr w:type="spellStart"/>
      <w:r w:rsidRPr="004E16EB">
        <w:rPr>
          <w:rFonts w:ascii="Times New Roman" w:hAnsi="Times New Roman"/>
          <w:sz w:val="24"/>
          <w:szCs w:val="24"/>
        </w:rPr>
        <w:t>Alpansa</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Klaten</w:t>
      </w:r>
      <w:proofErr w:type="spellEnd"/>
      <w:r w:rsidRPr="004E16EB">
        <w:rPr>
          <w:rFonts w:ascii="Times New Roman" w:hAnsi="Times New Roman"/>
          <w:sz w:val="24"/>
          <w:szCs w:val="24"/>
        </w:rPr>
        <w:t xml:space="preserve">, financing is disbursed in three stages using a 2-2-1 pattern. This pattern is a model that teaches the caring attitude of fellow members. The financing disbursement was sorted by the urgency level, where the members most in need received it first. It was disbursed to the participants sitting at the back with serial numbers 5 and 4 in the first week of WH. The participants with serial numbers 3 and 2 received the financing in the second stage. The funding was disbursed in the second week of WH. The group leader will obtain the last disbursement opportunity to sit in the front. The financing was disbursed in the third week of WH. </w:t>
      </w:r>
      <w:r w:rsidRPr="004E16EB">
        <w:rPr>
          <w:rFonts w:ascii="Times New Roman" w:hAnsi="Times New Roman"/>
          <w:b/>
          <w:sz w:val="24"/>
        </w:rPr>
        <w:t>Third, customers’ assistance</w:t>
      </w:r>
      <w:r w:rsidRPr="004E16EB">
        <w:rPr>
          <w:rFonts w:ascii="Times New Roman" w:hAnsi="Times New Roman"/>
          <w:b/>
          <w:bCs/>
          <w:sz w:val="24"/>
          <w:szCs w:val="24"/>
        </w:rPr>
        <w:t xml:space="preserve"> </w:t>
      </w:r>
      <w:r w:rsidRPr="004E16EB">
        <w:rPr>
          <w:rFonts w:ascii="Times New Roman" w:hAnsi="Times New Roman"/>
          <w:sz w:val="24"/>
          <w:szCs w:val="24"/>
        </w:rPr>
        <w:t>was provided after disbursing the financing during WH, as illustrated in Figure 3.</w:t>
      </w:r>
    </w:p>
    <w:p w14:paraId="31C0BC76" w14:textId="430F8D63" w:rsidR="00384CB1" w:rsidRPr="004E16EB" w:rsidRDefault="00384CB1" w:rsidP="00384CB1">
      <w:pPr>
        <w:widowControl w:val="0"/>
        <w:spacing w:before="120" w:after="0" w:line="240" w:lineRule="auto"/>
        <w:ind w:left="357" w:firstLine="448"/>
        <w:jc w:val="both"/>
        <w:rPr>
          <w:rFonts w:ascii="Times New Roman" w:hAnsi="Times New Roman" w:cs="Times New Roman"/>
          <w:sz w:val="24"/>
          <w:szCs w:val="24"/>
        </w:rPr>
      </w:pPr>
      <w:r>
        <w:rPr>
          <w:rFonts w:ascii="Times New Roman" w:hAnsi="Times New Roman" w:cs="Times New Roman"/>
          <w:sz w:val="24"/>
          <w:szCs w:val="24"/>
        </w:rPr>
        <w:br w:type="column"/>
      </w:r>
      <w:r w:rsidRPr="004E16EB">
        <w:rPr>
          <w:rFonts w:ascii="Times New Roman" w:hAnsi="Times New Roman" w:cs="Times New Roman"/>
          <w:sz w:val="24"/>
          <w:szCs w:val="24"/>
        </w:rPr>
        <w:lastRenderedPageBreak/>
        <w:t xml:space="preserve">Figure 3: </w:t>
      </w:r>
      <w:r w:rsidRPr="004E16EB">
        <w:rPr>
          <w:rFonts w:ascii="Times New Roman" w:hAnsi="Times New Roman"/>
          <w:sz w:val="24"/>
          <w:szCs w:val="24"/>
        </w:rPr>
        <w:t xml:space="preserve">Implementation of </w:t>
      </w:r>
      <w:proofErr w:type="spellStart"/>
      <w:r w:rsidRPr="004E16EB">
        <w:rPr>
          <w:rFonts w:ascii="Times New Roman" w:hAnsi="Times New Roman"/>
          <w:i/>
          <w:iCs/>
          <w:sz w:val="24"/>
          <w:szCs w:val="24"/>
        </w:rPr>
        <w:t>Halaqoh</w:t>
      </w:r>
      <w:proofErr w:type="spellEnd"/>
      <w:r w:rsidRPr="004E16EB">
        <w:rPr>
          <w:rFonts w:ascii="Times New Roman" w:hAnsi="Times New Roman"/>
          <w:i/>
          <w:iCs/>
          <w:sz w:val="24"/>
          <w:szCs w:val="24"/>
        </w:rPr>
        <w:t xml:space="preserve"> </w:t>
      </w:r>
      <w:r w:rsidRPr="004E16EB">
        <w:rPr>
          <w:rFonts w:ascii="Times New Roman" w:hAnsi="Times New Roman"/>
          <w:sz w:val="24"/>
          <w:szCs w:val="24"/>
        </w:rPr>
        <w:t>in MWB</w:t>
      </w:r>
    </w:p>
    <w:p w14:paraId="4A0ACE56" w14:textId="77777777" w:rsidR="00384CB1" w:rsidRPr="004E16EB" w:rsidRDefault="00384CB1" w:rsidP="00384CB1">
      <w:pPr>
        <w:widowControl w:val="0"/>
        <w:spacing w:after="0" w:line="240" w:lineRule="auto"/>
        <w:ind w:left="360" w:firstLine="66"/>
        <w:contextualSpacing/>
        <w:jc w:val="both"/>
        <w:rPr>
          <w:rFonts w:ascii="Times New Roman" w:hAnsi="Times New Roman" w:cs="Times New Roman"/>
          <w:sz w:val="24"/>
          <w:szCs w:val="24"/>
        </w:rPr>
      </w:pPr>
      <w:r w:rsidRPr="004E16EB">
        <w:rPr>
          <w:rFonts w:ascii="Times New Roman" w:hAnsi="Times New Roman" w:cs="Times New Roman"/>
          <w:sz w:val="24"/>
          <w:szCs w:val="24"/>
        </w:rPr>
        <w:t xml:space="preserve"> </w:t>
      </w:r>
      <w:r w:rsidRPr="004E16EB">
        <w:rPr>
          <w:rFonts w:ascii="Times New Roman" w:hAnsi="Times New Roman" w:cs="Times New Roman"/>
          <w:noProof/>
          <w:sz w:val="24"/>
          <w:szCs w:val="24"/>
        </w:rPr>
        <w:drawing>
          <wp:inline distT="0" distB="0" distL="0" distR="0" wp14:anchorId="7626F774" wp14:editId="4FF00AFC">
            <wp:extent cx="5505450" cy="3298825"/>
            <wp:effectExtent l="0" t="0" r="0" b="0"/>
            <wp:docPr id="1045"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7"/>
                    <pic:cNvPicPr/>
                  </pic:nvPicPr>
                  <pic:blipFill>
                    <a:blip r:embed="rId11" cstate="print"/>
                    <a:srcRect/>
                    <a:stretch/>
                  </pic:blipFill>
                  <pic:spPr>
                    <a:xfrm>
                      <a:off x="0" y="0"/>
                      <a:ext cx="5505450" cy="3298825"/>
                    </a:xfrm>
                    <a:prstGeom prst="rect">
                      <a:avLst/>
                    </a:prstGeom>
                  </pic:spPr>
                </pic:pic>
              </a:graphicData>
            </a:graphic>
          </wp:inline>
        </w:drawing>
      </w:r>
    </w:p>
    <w:p w14:paraId="1B9AA06C" w14:textId="77777777" w:rsidR="00384CB1" w:rsidRPr="004E16EB" w:rsidRDefault="00384CB1" w:rsidP="00384CB1">
      <w:pPr>
        <w:widowControl w:val="0"/>
        <w:spacing w:after="0" w:line="240" w:lineRule="auto"/>
        <w:ind w:left="360" w:firstLine="450"/>
        <w:contextualSpacing/>
        <w:jc w:val="both"/>
        <w:rPr>
          <w:rFonts w:ascii="Times New Roman" w:hAnsi="Times New Roman" w:cs="Times New Roman"/>
          <w:sz w:val="24"/>
          <w:szCs w:val="24"/>
        </w:rPr>
      </w:pPr>
    </w:p>
    <w:p w14:paraId="16090749" w14:textId="77777777" w:rsidR="00384CB1" w:rsidRPr="004E16EB" w:rsidRDefault="00384CB1" w:rsidP="00384CB1">
      <w:pPr>
        <w:pStyle w:val="ListParagraph"/>
        <w:widowControl w:val="0"/>
        <w:numPr>
          <w:ilvl w:val="1"/>
          <w:numId w:val="7"/>
        </w:numPr>
        <w:ind w:left="360"/>
        <w:jc w:val="both"/>
        <w:rPr>
          <w:rFonts w:ascii="Times New Roman" w:hAnsi="Times New Roman" w:cs="Times New Roman"/>
          <w:b/>
          <w:bCs/>
        </w:rPr>
      </w:pPr>
      <w:r w:rsidRPr="004E16EB">
        <w:rPr>
          <w:rFonts w:ascii="Times New Roman" w:hAnsi="Times New Roman" w:cs="Times New Roman"/>
          <w:b/>
          <w:bCs/>
          <w:iCs/>
        </w:rPr>
        <w:t xml:space="preserve"> </w:t>
      </w:r>
      <w:proofErr w:type="spellStart"/>
      <w:r w:rsidRPr="004E16EB">
        <w:rPr>
          <w:rFonts w:ascii="Times New Roman" w:hAnsi="Times New Roman"/>
          <w:b/>
          <w:bCs/>
          <w:i/>
          <w:iCs/>
        </w:rPr>
        <w:t>Halaqoh</w:t>
      </w:r>
      <w:proofErr w:type="spellEnd"/>
      <w:r w:rsidRPr="004E16EB">
        <w:rPr>
          <w:rFonts w:ascii="Times New Roman" w:hAnsi="Times New Roman"/>
          <w:b/>
          <w:bCs/>
          <w:i/>
          <w:iCs/>
        </w:rPr>
        <w:t xml:space="preserve"> </w:t>
      </w:r>
      <w:r w:rsidRPr="004E16EB">
        <w:rPr>
          <w:rFonts w:ascii="Times New Roman" w:hAnsi="Times New Roman"/>
          <w:b/>
          <w:bCs/>
        </w:rPr>
        <w:t>in SMI MWB</w:t>
      </w:r>
    </w:p>
    <w:p w14:paraId="3795E481" w14:textId="43F1DC4A" w:rsidR="00384CB1" w:rsidRDefault="00384CB1" w:rsidP="00384CB1">
      <w:pPr>
        <w:widowControl w:val="0"/>
        <w:spacing w:after="0" w:line="240" w:lineRule="auto"/>
        <w:ind w:firstLine="540"/>
        <w:contextualSpacing/>
        <w:jc w:val="both"/>
        <w:rPr>
          <w:rFonts w:ascii="Times New Roman" w:hAnsi="Times New Roman" w:cs="Times New Roman"/>
          <w:sz w:val="24"/>
          <w:szCs w:val="24"/>
        </w:rPr>
      </w:pPr>
      <w:r w:rsidRPr="004E16EB">
        <w:rPr>
          <w:rFonts w:ascii="Times New Roman" w:hAnsi="Times New Roman"/>
          <w:sz w:val="24"/>
          <w:szCs w:val="24"/>
        </w:rPr>
        <w:t xml:space="preserve">Each customer pays off the loan weekly at the WH meeting to qualify for further financing. The empowerment model applied to MWB in the form of WH is implemented at the home of the group leader or CBGIBSI. WH is a customer assistance activity where all participants and supervisors sit cross-legged on the floor. They comprise several CBGIBSI sitting in a row facing the supervisor. </w:t>
      </w:r>
      <w:proofErr w:type="spellStart"/>
      <w:r w:rsidRPr="004E16EB">
        <w:rPr>
          <w:rFonts w:ascii="Times New Roman" w:hAnsi="Times New Roman"/>
          <w:sz w:val="24"/>
          <w:szCs w:val="24"/>
        </w:rPr>
        <w:t>Puguh</w:t>
      </w:r>
      <w:proofErr w:type="spellEnd"/>
      <w:r w:rsidRPr="004E16EB">
        <w:rPr>
          <w:rFonts w:ascii="Times New Roman" w:hAnsi="Times New Roman"/>
          <w:sz w:val="24"/>
          <w:szCs w:val="24"/>
        </w:rPr>
        <w:t xml:space="preserve"> (2019), the manager of MWB Tebu </w:t>
      </w:r>
      <w:proofErr w:type="spellStart"/>
      <w:r w:rsidRPr="004E16EB">
        <w:rPr>
          <w:rFonts w:ascii="Times New Roman" w:hAnsi="Times New Roman"/>
          <w:sz w:val="24"/>
          <w:szCs w:val="24"/>
        </w:rPr>
        <w:t>Ireng</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Jombang</w:t>
      </w:r>
      <w:proofErr w:type="spellEnd"/>
      <w:r w:rsidRPr="004E16EB">
        <w:rPr>
          <w:rFonts w:ascii="Times New Roman" w:hAnsi="Times New Roman"/>
          <w:sz w:val="24"/>
          <w:szCs w:val="24"/>
        </w:rPr>
        <w:t>, East Java, stated that the</w:t>
      </w:r>
      <w:r w:rsidRPr="004E16EB">
        <w:rPr>
          <w:rFonts w:ascii="Times New Roman" w:hAnsi="Times New Roman"/>
          <w:i/>
          <w:iCs/>
          <w:sz w:val="24"/>
          <w:szCs w:val="24"/>
        </w:rPr>
        <w:t xml:space="preserve"> </w:t>
      </w:r>
      <w:proofErr w:type="spellStart"/>
      <w:r w:rsidRPr="004E16EB">
        <w:rPr>
          <w:rFonts w:ascii="Times New Roman" w:hAnsi="Times New Roman"/>
          <w:i/>
          <w:iCs/>
          <w:sz w:val="24"/>
          <w:szCs w:val="24"/>
        </w:rPr>
        <w:t>halaqoh</w:t>
      </w:r>
      <w:proofErr w:type="spellEnd"/>
      <w:r w:rsidRPr="004E16EB">
        <w:rPr>
          <w:rFonts w:ascii="Times New Roman" w:hAnsi="Times New Roman"/>
          <w:sz w:val="24"/>
          <w:szCs w:val="24"/>
        </w:rPr>
        <w:t xml:space="preserve"> model fosters the customers’ mental attitude.</w:t>
      </w:r>
      <w:r w:rsidRPr="004E16EB">
        <w:rPr>
          <w:rFonts w:ascii="Times New Roman" w:hAnsi="Times New Roman"/>
          <w:i/>
          <w:iCs/>
          <w:sz w:val="24"/>
          <w:szCs w:val="24"/>
        </w:rPr>
        <w:t xml:space="preserve"> </w:t>
      </w:r>
      <w:proofErr w:type="spellStart"/>
      <w:r w:rsidRPr="004E16EB">
        <w:rPr>
          <w:rFonts w:ascii="Times New Roman" w:hAnsi="Times New Roman"/>
          <w:i/>
          <w:iCs/>
          <w:sz w:val="24"/>
          <w:szCs w:val="24"/>
        </w:rPr>
        <w:t>Halaqoh</w:t>
      </w:r>
      <w:proofErr w:type="spellEnd"/>
      <w:r w:rsidRPr="004E16EB">
        <w:rPr>
          <w:rFonts w:ascii="Times New Roman" w:hAnsi="Times New Roman"/>
          <w:sz w:val="24"/>
          <w:szCs w:val="24"/>
        </w:rPr>
        <w:t xml:space="preserve"> activity is performed regularly once a week and should be followed by every customer. This activity builds attitudes, a sense of togetherness, commitment, and customer discipline. It also builds an attitude of solidarity, responsibility, and group cooperation through joint responsibility in paying loan </w:t>
      </w:r>
      <w:proofErr w:type="spellStart"/>
      <w:r w:rsidRPr="004E16EB">
        <w:rPr>
          <w:rFonts w:ascii="Times New Roman" w:hAnsi="Times New Roman"/>
          <w:sz w:val="24"/>
          <w:szCs w:val="24"/>
        </w:rPr>
        <w:t>installments</w:t>
      </w:r>
      <w:proofErr w:type="spellEnd"/>
      <w:r w:rsidRPr="004E16EB">
        <w:rPr>
          <w:rFonts w:ascii="Times New Roman" w:hAnsi="Times New Roman"/>
          <w:sz w:val="24"/>
          <w:szCs w:val="24"/>
        </w:rPr>
        <w:t xml:space="preserve">. </w:t>
      </w:r>
      <w:proofErr w:type="spellStart"/>
      <w:r w:rsidRPr="004E16EB">
        <w:rPr>
          <w:rFonts w:ascii="Times New Roman" w:hAnsi="Times New Roman"/>
          <w:i/>
          <w:iCs/>
          <w:sz w:val="24"/>
          <w:szCs w:val="24"/>
        </w:rPr>
        <w:t>Halaqoh</w:t>
      </w:r>
      <w:proofErr w:type="spellEnd"/>
      <w:r w:rsidRPr="004E16EB">
        <w:rPr>
          <w:rFonts w:ascii="Times New Roman" w:hAnsi="Times New Roman"/>
          <w:sz w:val="24"/>
          <w:szCs w:val="24"/>
        </w:rPr>
        <w:t xml:space="preserve"> is conducted for 1 hour accompanied by an MWB supervisor with an agenda, as described in Table 2.</w:t>
      </w:r>
    </w:p>
    <w:p w14:paraId="23916904" w14:textId="77777777" w:rsidR="00384CB1" w:rsidRDefault="00384CB1" w:rsidP="00384CB1">
      <w:pPr>
        <w:widowControl w:val="0"/>
        <w:spacing w:after="0" w:line="240" w:lineRule="auto"/>
        <w:ind w:firstLine="540"/>
        <w:contextualSpacing/>
        <w:jc w:val="both"/>
        <w:rPr>
          <w:rFonts w:ascii="Times New Roman" w:hAnsi="Times New Roman" w:cs="Times New Roman"/>
          <w:sz w:val="24"/>
          <w:szCs w:val="24"/>
        </w:rPr>
      </w:pPr>
    </w:p>
    <w:p w14:paraId="2479471B" w14:textId="0C6BEDE0" w:rsidR="00384CB1" w:rsidRPr="004E16EB" w:rsidRDefault="00384CB1" w:rsidP="00384CB1">
      <w:pPr>
        <w:widowControl w:val="0"/>
        <w:spacing w:after="0" w:line="240" w:lineRule="auto"/>
        <w:ind w:firstLine="540"/>
        <w:contextualSpacing/>
        <w:jc w:val="both"/>
        <w:rPr>
          <w:rFonts w:ascii="Times New Roman" w:hAnsi="Times New Roman" w:cs="Times New Roman"/>
          <w:sz w:val="24"/>
          <w:szCs w:val="24"/>
        </w:rPr>
      </w:pPr>
      <w:r w:rsidRPr="004E16EB">
        <w:rPr>
          <w:rFonts w:ascii="Times New Roman" w:hAnsi="Times New Roman" w:cs="Times New Roman"/>
          <w:sz w:val="24"/>
          <w:szCs w:val="24"/>
        </w:rPr>
        <w:t xml:space="preserve">Table 2. </w:t>
      </w:r>
      <w:proofErr w:type="spellStart"/>
      <w:r w:rsidRPr="004E16EB">
        <w:rPr>
          <w:rFonts w:ascii="Times New Roman" w:hAnsi="Times New Roman" w:cs="Times New Roman"/>
          <w:i/>
          <w:sz w:val="24"/>
          <w:szCs w:val="24"/>
        </w:rPr>
        <w:t>Halaqoh</w:t>
      </w:r>
      <w:proofErr w:type="spellEnd"/>
      <w:r w:rsidRPr="004E16EB">
        <w:rPr>
          <w:rFonts w:ascii="Times New Roman" w:hAnsi="Times New Roman" w:cs="Times New Roman"/>
          <w:sz w:val="24"/>
          <w:szCs w:val="24"/>
        </w:rPr>
        <w:t xml:space="preserve"> Agenda at MWB</w:t>
      </w:r>
    </w:p>
    <w:tbl>
      <w:tblPr>
        <w:tblStyle w:val="TableGrid"/>
        <w:tblW w:w="0" w:type="auto"/>
        <w:tblLook w:val="04A0" w:firstRow="1" w:lastRow="0" w:firstColumn="1" w:lastColumn="0" w:noHBand="0" w:noVBand="1"/>
      </w:tblPr>
      <w:tblGrid>
        <w:gridCol w:w="510"/>
        <w:gridCol w:w="7158"/>
      </w:tblGrid>
      <w:tr w:rsidR="00384CB1" w:rsidRPr="004E16EB" w14:paraId="0C4FE493" w14:textId="77777777" w:rsidTr="0097302F">
        <w:tc>
          <w:tcPr>
            <w:tcW w:w="510" w:type="dxa"/>
            <w:tcBorders>
              <w:top w:val="single" w:sz="4" w:space="0" w:color="auto"/>
              <w:left w:val="nil"/>
              <w:bottom w:val="single" w:sz="4" w:space="0" w:color="auto"/>
              <w:right w:val="nil"/>
            </w:tcBorders>
          </w:tcPr>
          <w:p w14:paraId="5BA995AC" w14:textId="77777777" w:rsidR="00384CB1" w:rsidRPr="004E16EB" w:rsidRDefault="00384CB1" w:rsidP="0097302F">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No</w:t>
            </w:r>
          </w:p>
        </w:tc>
        <w:tc>
          <w:tcPr>
            <w:tcW w:w="7158" w:type="dxa"/>
            <w:tcBorders>
              <w:top w:val="single" w:sz="4" w:space="0" w:color="auto"/>
              <w:left w:val="nil"/>
              <w:bottom w:val="single" w:sz="4" w:space="0" w:color="auto"/>
              <w:right w:val="nil"/>
            </w:tcBorders>
          </w:tcPr>
          <w:p w14:paraId="13DFD089" w14:textId="77777777" w:rsidR="00384CB1" w:rsidRPr="004E16EB" w:rsidRDefault="00384CB1" w:rsidP="0097302F">
            <w:pPr>
              <w:widowControl w:val="0"/>
              <w:contextualSpacing/>
              <w:jc w:val="center"/>
              <w:rPr>
                <w:rFonts w:ascii="Times New Roman" w:hAnsi="Times New Roman" w:cs="Times New Roman"/>
                <w:sz w:val="24"/>
                <w:szCs w:val="24"/>
              </w:rPr>
            </w:pPr>
            <w:r w:rsidRPr="004E16EB">
              <w:rPr>
                <w:rFonts w:ascii="Times New Roman" w:hAnsi="Times New Roman" w:cs="Times New Roman"/>
                <w:sz w:val="24"/>
                <w:szCs w:val="24"/>
              </w:rPr>
              <w:t>Material</w:t>
            </w:r>
          </w:p>
        </w:tc>
      </w:tr>
      <w:tr w:rsidR="00384CB1" w:rsidRPr="004E16EB" w14:paraId="3E345071" w14:textId="77777777" w:rsidTr="0097302F">
        <w:tc>
          <w:tcPr>
            <w:tcW w:w="510" w:type="dxa"/>
            <w:tcBorders>
              <w:top w:val="single" w:sz="4" w:space="0" w:color="auto"/>
              <w:left w:val="nil"/>
              <w:bottom w:val="nil"/>
              <w:right w:val="nil"/>
            </w:tcBorders>
          </w:tcPr>
          <w:p w14:paraId="700095D8" w14:textId="77777777" w:rsidR="00384CB1" w:rsidRPr="004E16EB" w:rsidRDefault="00384CB1" w:rsidP="0097302F">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1</w:t>
            </w:r>
          </w:p>
        </w:tc>
        <w:tc>
          <w:tcPr>
            <w:tcW w:w="7158" w:type="dxa"/>
            <w:tcBorders>
              <w:top w:val="single" w:sz="4" w:space="0" w:color="auto"/>
              <w:left w:val="nil"/>
              <w:bottom w:val="nil"/>
              <w:right w:val="nil"/>
            </w:tcBorders>
          </w:tcPr>
          <w:p w14:paraId="61817362" w14:textId="77777777" w:rsidR="00384CB1" w:rsidRPr="004E16EB" w:rsidRDefault="00384CB1" w:rsidP="0097302F">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Opening</w:t>
            </w:r>
          </w:p>
        </w:tc>
      </w:tr>
      <w:tr w:rsidR="00384CB1" w:rsidRPr="004E16EB" w14:paraId="052E15E3" w14:textId="77777777" w:rsidTr="0097302F">
        <w:tc>
          <w:tcPr>
            <w:tcW w:w="510" w:type="dxa"/>
            <w:tcBorders>
              <w:top w:val="nil"/>
              <w:left w:val="nil"/>
              <w:bottom w:val="nil"/>
              <w:right w:val="nil"/>
            </w:tcBorders>
          </w:tcPr>
          <w:p w14:paraId="77FED0B8" w14:textId="77777777" w:rsidR="00384CB1" w:rsidRPr="004E16EB" w:rsidRDefault="00384CB1" w:rsidP="0097302F">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2</w:t>
            </w:r>
          </w:p>
        </w:tc>
        <w:tc>
          <w:tcPr>
            <w:tcW w:w="7158" w:type="dxa"/>
            <w:tcBorders>
              <w:top w:val="nil"/>
              <w:left w:val="nil"/>
              <w:bottom w:val="nil"/>
              <w:right w:val="nil"/>
            </w:tcBorders>
          </w:tcPr>
          <w:p w14:paraId="059A229A" w14:textId="77777777" w:rsidR="00384CB1" w:rsidRPr="004E16EB" w:rsidRDefault="00384CB1" w:rsidP="0097302F">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Pledge reading</w:t>
            </w:r>
          </w:p>
        </w:tc>
      </w:tr>
      <w:tr w:rsidR="00384CB1" w:rsidRPr="004E16EB" w14:paraId="1A4C037C" w14:textId="77777777" w:rsidTr="0097302F">
        <w:tc>
          <w:tcPr>
            <w:tcW w:w="510" w:type="dxa"/>
            <w:tcBorders>
              <w:top w:val="nil"/>
              <w:left w:val="nil"/>
              <w:bottom w:val="nil"/>
              <w:right w:val="nil"/>
            </w:tcBorders>
          </w:tcPr>
          <w:p w14:paraId="540A51D2" w14:textId="77777777" w:rsidR="00384CB1" w:rsidRPr="004E16EB" w:rsidRDefault="00384CB1" w:rsidP="0097302F">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3</w:t>
            </w:r>
          </w:p>
        </w:tc>
        <w:tc>
          <w:tcPr>
            <w:tcW w:w="7158" w:type="dxa"/>
            <w:tcBorders>
              <w:top w:val="nil"/>
              <w:left w:val="nil"/>
              <w:bottom w:val="nil"/>
              <w:right w:val="nil"/>
            </w:tcBorders>
          </w:tcPr>
          <w:p w14:paraId="2AF1D383" w14:textId="77777777" w:rsidR="00384CB1" w:rsidRPr="004E16EB" w:rsidRDefault="00384CB1" w:rsidP="0097302F">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Member attendance report</w:t>
            </w:r>
          </w:p>
        </w:tc>
      </w:tr>
      <w:tr w:rsidR="00384CB1" w:rsidRPr="004E16EB" w14:paraId="0B1C7402" w14:textId="77777777" w:rsidTr="0097302F">
        <w:tc>
          <w:tcPr>
            <w:tcW w:w="510" w:type="dxa"/>
            <w:tcBorders>
              <w:top w:val="nil"/>
              <w:left w:val="nil"/>
              <w:bottom w:val="nil"/>
              <w:right w:val="nil"/>
            </w:tcBorders>
          </w:tcPr>
          <w:p w14:paraId="712E7D0B" w14:textId="77777777" w:rsidR="00384CB1" w:rsidRPr="004E16EB" w:rsidRDefault="00384CB1" w:rsidP="0097302F">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4</w:t>
            </w:r>
          </w:p>
        </w:tc>
        <w:tc>
          <w:tcPr>
            <w:tcW w:w="7158" w:type="dxa"/>
            <w:tcBorders>
              <w:top w:val="nil"/>
              <w:left w:val="nil"/>
              <w:bottom w:val="nil"/>
              <w:right w:val="nil"/>
            </w:tcBorders>
          </w:tcPr>
          <w:p w14:paraId="1F7FF666" w14:textId="77777777" w:rsidR="00384CB1" w:rsidRPr="004E16EB" w:rsidRDefault="00384CB1" w:rsidP="0097302F">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Disbursement of financing</w:t>
            </w:r>
          </w:p>
        </w:tc>
      </w:tr>
      <w:tr w:rsidR="00384CB1" w:rsidRPr="004E16EB" w14:paraId="13E7C533" w14:textId="77777777" w:rsidTr="0097302F">
        <w:tc>
          <w:tcPr>
            <w:tcW w:w="510" w:type="dxa"/>
            <w:tcBorders>
              <w:top w:val="nil"/>
              <w:left w:val="nil"/>
              <w:bottom w:val="nil"/>
              <w:right w:val="nil"/>
            </w:tcBorders>
          </w:tcPr>
          <w:p w14:paraId="5D9B391B" w14:textId="77777777" w:rsidR="00384CB1" w:rsidRPr="004E16EB" w:rsidRDefault="00384CB1" w:rsidP="0097302F">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5</w:t>
            </w:r>
          </w:p>
        </w:tc>
        <w:tc>
          <w:tcPr>
            <w:tcW w:w="7158" w:type="dxa"/>
            <w:tcBorders>
              <w:top w:val="nil"/>
              <w:left w:val="nil"/>
              <w:bottom w:val="nil"/>
              <w:right w:val="nil"/>
            </w:tcBorders>
          </w:tcPr>
          <w:p w14:paraId="26EAAC7B" w14:textId="77777777" w:rsidR="00384CB1" w:rsidRPr="004E16EB" w:rsidRDefault="00384CB1" w:rsidP="0097302F">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Customer Assistance</w:t>
            </w:r>
          </w:p>
        </w:tc>
      </w:tr>
      <w:tr w:rsidR="00384CB1" w:rsidRPr="004E16EB" w14:paraId="2B5D940B" w14:textId="77777777" w:rsidTr="0097302F">
        <w:tc>
          <w:tcPr>
            <w:tcW w:w="510" w:type="dxa"/>
            <w:tcBorders>
              <w:top w:val="nil"/>
              <w:left w:val="nil"/>
              <w:bottom w:val="nil"/>
              <w:right w:val="nil"/>
            </w:tcBorders>
          </w:tcPr>
          <w:p w14:paraId="3D84F930" w14:textId="77777777" w:rsidR="00384CB1" w:rsidRPr="004E16EB" w:rsidRDefault="00384CB1" w:rsidP="0097302F">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6</w:t>
            </w:r>
          </w:p>
        </w:tc>
        <w:tc>
          <w:tcPr>
            <w:tcW w:w="7158" w:type="dxa"/>
            <w:tcBorders>
              <w:top w:val="nil"/>
              <w:left w:val="nil"/>
              <w:bottom w:val="nil"/>
              <w:right w:val="nil"/>
            </w:tcBorders>
          </w:tcPr>
          <w:p w14:paraId="3158811A" w14:textId="77777777" w:rsidR="00384CB1" w:rsidRPr="004E16EB" w:rsidRDefault="00384CB1" w:rsidP="0097302F">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Installment payments</w:t>
            </w:r>
          </w:p>
        </w:tc>
      </w:tr>
      <w:tr w:rsidR="00384CB1" w:rsidRPr="004E16EB" w14:paraId="227ADAB9" w14:textId="77777777" w:rsidTr="0097302F">
        <w:tc>
          <w:tcPr>
            <w:tcW w:w="510" w:type="dxa"/>
            <w:tcBorders>
              <w:top w:val="nil"/>
              <w:left w:val="nil"/>
              <w:bottom w:val="single" w:sz="4" w:space="0" w:color="auto"/>
              <w:right w:val="nil"/>
            </w:tcBorders>
          </w:tcPr>
          <w:p w14:paraId="40053C6B" w14:textId="77777777" w:rsidR="00384CB1" w:rsidRPr="004E16EB" w:rsidRDefault="00384CB1" w:rsidP="0097302F">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7</w:t>
            </w:r>
          </w:p>
        </w:tc>
        <w:tc>
          <w:tcPr>
            <w:tcW w:w="7158" w:type="dxa"/>
            <w:tcBorders>
              <w:top w:val="nil"/>
              <w:left w:val="nil"/>
              <w:bottom w:val="single" w:sz="4" w:space="0" w:color="auto"/>
              <w:right w:val="nil"/>
            </w:tcBorders>
          </w:tcPr>
          <w:p w14:paraId="23EBA738" w14:textId="77777777" w:rsidR="00384CB1" w:rsidRPr="004E16EB" w:rsidRDefault="00384CB1" w:rsidP="0097302F">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Prayer and closing</w:t>
            </w:r>
          </w:p>
        </w:tc>
      </w:tr>
    </w:tbl>
    <w:p w14:paraId="5E25BAB4" w14:textId="6574255C" w:rsidR="00384CB1" w:rsidRDefault="00384CB1" w:rsidP="00384CB1">
      <w:pPr>
        <w:widowControl w:val="0"/>
        <w:spacing w:after="0" w:line="240" w:lineRule="auto"/>
        <w:ind w:firstLine="540"/>
        <w:contextualSpacing/>
        <w:jc w:val="both"/>
        <w:rPr>
          <w:rFonts w:ascii="Times New Roman" w:hAnsi="Times New Roman" w:cs="Times New Roman"/>
          <w:sz w:val="24"/>
          <w:szCs w:val="24"/>
        </w:rPr>
      </w:pPr>
      <w:r w:rsidRPr="004E16EB">
        <w:rPr>
          <w:rFonts w:ascii="Times New Roman" w:hAnsi="Times New Roman" w:cs="Times New Roman"/>
          <w:sz w:val="24"/>
          <w:szCs w:val="24"/>
        </w:rPr>
        <w:t xml:space="preserve">Source: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{"citationItems":[{"id":"ITEM-1","itemData":{"author":[{"dropping-particle":"","family":"BSM","given":"LAZNAS","non-dropping-particle":"","parse-names":false,"suffix":""}],"id":"ITEM-1","issued":{"date-parts":[["2017"]]},"page":"8","publisher":"LAZNAS BSM","publisher-place":"Jakarta","title":"“SOP &amp; SOM Standar Operasional Prosedure Dan Management Untuk LKM Syariah-Bank Wakaf Mikro","type":"chapter"},"uris":["http://www.mendeley.com/documents/?uuid=51694528-45ad-46b9-978a-96bef72fa688","http://www.mendeley.com/documents/?uuid=94b5505c-1ca3-4d79-b81f-0f15564da175"]}],"mendeley":{"formattedCitation":"(BSM, 2017a)","plainTextFormattedCitation":"(BSM, 2017a)","previouslyFormattedCitation":"(BSM, 2017a)"},"properties":{"noteIndex":0},"schema":"https://github.com/citation-style-language/schema/raw/master/csl-citation.json"}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(BSM, 2017a)</w:t>
      </w:r>
      <w:r w:rsidRPr="004E16EB">
        <w:rPr>
          <w:rFonts w:ascii="Times New Roman" w:hAnsi="Times New Roman" w:cs="Times New Roman"/>
          <w:sz w:val="24"/>
          <w:szCs w:val="24"/>
        </w:rPr>
        <w:fldChar w:fldCharType="end"/>
      </w:r>
    </w:p>
    <w:p w14:paraId="0BE2D0C0" w14:textId="77777777" w:rsidR="00384CB1" w:rsidRPr="004E16EB" w:rsidRDefault="00384CB1" w:rsidP="00384CB1">
      <w:pPr>
        <w:widowControl w:val="0"/>
        <w:spacing w:after="0" w:line="240" w:lineRule="auto"/>
        <w:ind w:firstLine="540"/>
        <w:contextualSpacing/>
        <w:jc w:val="both"/>
        <w:rPr>
          <w:rFonts w:ascii="Times New Roman" w:hAnsi="Times New Roman" w:cs="Times New Roman"/>
          <w:sz w:val="24"/>
          <w:szCs w:val="24"/>
        </w:rPr>
      </w:pPr>
    </w:p>
    <w:p w14:paraId="687880E0" w14:textId="40529321" w:rsidR="00384CB1" w:rsidRPr="004E16EB" w:rsidRDefault="00384CB1" w:rsidP="00384CB1">
      <w:pPr>
        <w:widowControl w:val="0"/>
        <w:spacing w:after="0" w:line="240" w:lineRule="auto"/>
        <w:ind w:firstLine="540"/>
        <w:contextualSpacing/>
        <w:jc w:val="both"/>
        <w:rPr>
          <w:rFonts w:ascii="Times New Roman" w:hAnsi="Times New Roman"/>
          <w:sz w:val="24"/>
          <w:szCs w:val="24"/>
        </w:rPr>
      </w:pPr>
      <w:r w:rsidRPr="004E16EB">
        <w:rPr>
          <w:rFonts w:ascii="Times New Roman" w:hAnsi="Times New Roman"/>
          <w:sz w:val="24"/>
          <w:szCs w:val="24"/>
        </w:rPr>
        <w:t xml:space="preserve">Assistance is provided directly by supervisors or external speakers </w:t>
      </w:r>
      <w:r w:rsidR="00A37C76">
        <w:rPr>
          <w:rFonts w:ascii="Times New Roman" w:hAnsi="Times New Roman"/>
          <w:sz w:val="24"/>
          <w:szCs w:val="24"/>
        </w:rPr>
        <w:t>through</w:t>
      </w:r>
      <w:r w:rsidRPr="004E16EB">
        <w:rPr>
          <w:rFonts w:ascii="Times New Roman" w:hAnsi="Times New Roman"/>
          <w:sz w:val="24"/>
          <w:szCs w:val="24"/>
        </w:rPr>
        <w:t xml:space="preserve"> HALMI Akbar (Great WH). This was acknowledged by </w:t>
      </w:r>
      <w:proofErr w:type="spellStart"/>
      <w:r w:rsidRPr="004E16EB">
        <w:rPr>
          <w:rFonts w:ascii="Times New Roman" w:hAnsi="Times New Roman"/>
          <w:sz w:val="24"/>
          <w:szCs w:val="24"/>
        </w:rPr>
        <w:t>Zuhri</w:t>
      </w:r>
      <w:proofErr w:type="spellEnd"/>
      <w:r w:rsidRPr="004E16EB">
        <w:rPr>
          <w:rFonts w:ascii="Times New Roman" w:hAnsi="Times New Roman"/>
          <w:sz w:val="24"/>
          <w:szCs w:val="24"/>
        </w:rPr>
        <w:t xml:space="preserve"> (2019), the supervisor of MWB </w:t>
      </w:r>
      <w:proofErr w:type="spellStart"/>
      <w:r w:rsidRPr="004E16EB">
        <w:rPr>
          <w:rFonts w:ascii="Times New Roman" w:hAnsi="Times New Roman"/>
          <w:sz w:val="24"/>
          <w:szCs w:val="24"/>
        </w:rPr>
        <w:t>Alpansa</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Klaten</w:t>
      </w:r>
      <w:proofErr w:type="spellEnd"/>
      <w:r w:rsidRPr="004E16EB">
        <w:rPr>
          <w:rFonts w:ascii="Times New Roman" w:hAnsi="Times New Roman"/>
          <w:sz w:val="24"/>
          <w:szCs w:val="24"/>
        </w:rPr>
        <w:t xml:space="preserve"> Yogyakarta. Customers’ assistance is carried out through</w:t>
      </w:r>
      <w:r w:rsidR="00A37C76">
        <w:rPr>
          <w:rFonts w:ascii="Times New Roman" w:hAnsi="Times New Roman"/>
          <w:sz w:val="24"/>
          <w:szCs w:val="24"/>
        </w:rPr>
        <w:t>, First,</w:t>
      </w:r>
      <w:r w:rsidRPr="004E16EB">
        <w:rPr>
          <w:rFonts w:ascii="Times New Roman" w:hAnsi="Times New Roman"/>
          <w:sz w:val="24"/>
          <w:szCs w:val="24"/>
        </w:rPr>
        <w:t xml:space="preserve"> religious spiritual guidance filled with studies by </w:t>
      </w:r>
      <w:proofErr w:type="spellStart"/>
      <w:r w:rsidRPr="004E16EB">
        <w:rPr>
          <w:rFonts w:ascii="Times New Roman" w:hAnsi="Times New Roman"/>
          <w:i/>
          <w:iCs/>
          <w:sz w:val="24"/>
          <w:szCs w:val="24"/>
        </w:rPr>
        <w:t>ustadz</w:t>
      </w:r>
      <w:proofErr w:type="spellEnd"/>
      <w:r w:rsidRPr="004E16EB">
        <w:rPr>
          <w:rFonts w:ascii="Times New Roman" w:hAnsi="Times New Roman"/>
          <w:i/>
          <w:iCs/>
          <w:sz w:val="24"/>
          <w:szCs w:val="24"/>
        </w:rPr>
        <w:t xml:space="preserve"> </w:t>
      </w:r>
      <w:r w:rsidRPr="004E16EB">
        <w:rPr>
          <w:rFonts w:ascii="Times New Roman" w:hAnsi="Times New Roman"/>
          <w:sz w:val="24"/>
          <w:szCs w:val="24"/>
        </w:rPr>
        <w:t xml:space="preserve">or </w:t>
      </w:r>
      <w:proofErr w:type="spellStart"/>
      <w:r w:rsidRPr="004E16EB">
        <w:rPr>
          <w:rFonts w:ascii="Times New Roman" w:hAnsi="Times New Roman"/>
          <w:i/>
          <w:iCs/>
          <w:sz w:val="24"/>
          <w:szCs w:val="24"/>
        </w:rPr>
        <w:t>ustazah</w:t>
      </w:r>
      <w:proofErr w:type="spellEnd"/>
      <w:r w:rsidRPr="004E16EB">
        <w:rPr>
          <w:rFonts w:ascii="Times New Roman" w:hAnsi="Times New Roman"/>
          <w:sz w:val="24"/>
          <w:szCs w:val="24"/>
        </w:rPr>
        <w:t xml:space="preserve"> from Islamic boarding schools. </w:t>
      </w:r>
      <w:r w:rsidRPr="004E16EB">
        <w:rPr>
          <w:rFonts w:ascii="Times New Roman" w:hAnsi="Times New Roman"/>
          <w:b/>
          <w:sz w:val="24"/>
        </w:rPr>
        <w:t>The second</w:t>
      </w:r>
      <w:r w:rsidRPr="004E16EB">
        <w:rPr>
          <w:rFonts w:ascii="Times New Roman" w:hAnsi="Times New Roman"/>
          <w:sz w:val="24"/>
          <w:szCs w:val="24"/>
        </w:rPr>
        <w:t xml:space="preserve"> </w:t>
      </w:r>
      <w:r w:rsidRPr="004E16EB">
        <w:rPr>
          <w:rFonts w:ascii="Times New Roman" w:hAnsi="Times New Roman"/>
          <w:sz w:val="24"/>
          <w:szCs w:val="24"/>
        </w:rPr>
        <w:lastRenderedPageBreak/>
        <w:t xml:space="preserve">stage is household financial management. SMI provides assistance and family development through financial management to create a </w:t>
      </w:r>
      <w:r w:rsidR="00A37C76">
        <w:rPr>
          <w:rFonts w:ascii="Times New Roman" w:hAnsi="Times New Roman"/>
          <w:i/>
          <w:sz w:val="24"/>
        </w:rPr>
        <w:t>S</w:t>
      </w:r>
      <w:r w:rsidRPr="004E16EB">
        <w:rPr>
          <w:rFonts w:ascii="Times New Roman" w:hAnsi="Times New Roman"/>
          <w:i/>
          <w:sz w:val="24"/>
        </w:rPr>
        <w:t>akinah</w:t>
      </w:r>
      <w:r w:rsidRPr="004E16EB">
        <w:rPr>
          <w:rFonts w:ascii="Times New Roman" w:hAnsi="Times New Roman"/>
          <w:sz w:val="24"/>
          <w:szCs w:val="24"/>
        </w:rPr>
        <w:t xml:space="preserve"> family. </w:t>
      </w:r>
      <w:r w:rsidRPr="004E16EB">
        <w:rPr>
          <w:rFonts w:ascii="Times New Roman" w:hAnsi="Times New Roman"/>
          <w:b/>
          <w:sz w:val="24"/>
        </w:rPr>
        <w:t>Third</w:t>
      </w:r>
      <w:r w:rsidRPr="004E16EB">
        <w:rPr>
          <w:rFonts w:ascii="Times New Roman" w:hAnsi="Times New Roman"/>
          <w:sz w:val="24"/>
          <w:szCs w:val="24"/>
        </w:rPr>
        <w:t xml:space="preserve">, customers’ business development assistance is provided through mentoring and entrepreneurship help. This includes marketing management, bookkeeping training, services, and business expansion through food product packaging training and product quality improvement. Furthermore, MWB </w:t>
      </w:r>
      <w:r w:rsidR="00A37C76">
        <w:rPr>
          <w:rFonts w:ascii="Times New Roman" w:hAnsi="Times New Roman"/>
          <w:sz w:val="24"/>
          <w:szCs w:val="24"/>
        </w:rPr>
        <w:t>helps customers market</w:t>
      </w:r>
      <w:r w:rsidRPr="004E16EB">
        <w:rPr>
          <w:rFonts w:ascii="Times New Roman" w:hAnsi="Times New Roman"/>
          <w:sz w:val="24"/>
          <w:szCs w:val="24"/>
        </w:rPr>
        <w:t xml:space="preserve"> their products online and guides them in creating online buying and selling accounts. It also helps customers sell products at certain events, as stated by </w:t>
      </w:r>
      <w:proofErr w:type="spellStart"/>
      <w:r w:rsidRPr="004E16EB">
        <w:rPr>
          <w:rFonts w:ascii="Times New Roman" w:hAnsi="Times New Roman"/>
          <w:sz w:val="24"/>
          <w:szCs w:val="24"/>
        </w:rPr>
        <w:t>Hayati</w:t>
      </w:r>
      <w:proofErr w:type="spellEnd"/>
      <w:r w:rsidRPr="004E16EB">
        <w:rPr>
          <w:rFonts w:ascii="Times New Roman" w:hAnsi="Times New Roman"/>
          <w:sz w:val="24"/>
          <w:szCs w:val="24"/>
        </w:rPr>
        <w:t xml:space="preserve"> (2019), the customer of MWB Al-</w:t>
      </w:r>
      <w:proofErr w:type="spellStart"/>
      <w:r w:rsidRPr="004E16EB">
        <w:rPr>
          <w:rFonts w:ascii="Times New Roman" w:hAnsi="Times New Roman"/>
          <w:sz w:val="24"/>
          <w:szCs w:val="24"/>
        </w:rPr>
        <w:t>Kausar</w:t>
      </w:r>
      <w:proofErr w:type="spellEnd"/>
      <w:r w:rsidRPr="004E16EB">
        <w:rPr>
          <w:rFonts w:ascii="Times New Roman" w:hAnsi="Times New Roman"/>
          <w:sz w:val="24"/>
          <w:szCs w:val="24"/>
        </w:rPr>
        <w:t xml:space="preserve"> Sari </w:t>
      </w:r>
      <w:proofErr w:type="spellStart"/>
      <w:r w:rsidRPr="004E16EB">
        <w:rPr>
          <w:rFonts w:ascii="Times New Roman" w:hAnsi="Times New Roman"/>
          <w:sz w:val="24"/>
          <w:szCs w:val="24"/>
        </w:rPr>
        <w:t>Lamak</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Harau</w:t>
      </w:r>
      <w:proofErr w:type="spellEnd"/>
      <w:r w:rsidRPr="004E16EB">
        <w:rPr>
          <w:rFonts w:ascii="Times New Roman" w:hAnsi="Times New Roman"/>
          <w:sz w:val="24"/>
          <w:szCs w:val="24"/>
        </w:rPr>
        <w:t xml:space="preserve"> Lima </w:t>
      </w:r>
      <w:proofErr w:type="spellStart"/>
      <w:r w:rsidRPr="004E16EB">
        <w:rPr>
          <w:rFonts w:ascii="Times New Roman" w:hAnsi="Times New Roman"/>
          <w:sz w:val="24"/>
          <w:szCs w:val="24"/>
        </w:rPr>
        <w:t>Puluh</w:t>
      </w:r>
      <w:proofErr w:type="spellEnd"/>
      <w:r w:rsidRPr="004E16EB">
        <w:rPr>
          <w:rFonts w:ascii="Times New Roman" w:hAnsi="Times New Roman"/>
          <w:sz w:val="24"/>
          <w:szCs w:val="24"/>
        </w:rPr>
        <w:t xml:space="preserve"> Kota Sub-district.</w:t>
      </w:r>
    </w:p>
    <w:p w14:paraId="71F50A62" w14:textId="4FAF0F25" w:rsidR="00384CB1" w:rsidRPr="004E16EB" w:rsidRDefault="00384CB1" w:rsidP="00384CB1">
      <w:pPr>
        <w:widowControl w:val="0"/>
        <w:spacing w:after="0" w:line="240" w:lineRule="auto"/>
        <w:ind w:firstLine="540"/>
        <w:contextualSpacing/>
        <w:jc w:val="both"/>
        <w:rPr>
          <w:rFonts w:ascii="Times New Roman" w:hAnsi="Times New Roman" w:cs="Times New Roman"/>
          <w:sz w:val="24"/>
          <w:szCs w:val="24"/>
        </w:rPr>
      </w:pPr>
      <w:r w:rsidRPr="004E16EB">
        <w:rPr>
          <w:rFonts w:ascii="Times New Roman" w:hAnsi="Times New Roman"/>
          <w:sz w:val="24"/>
          <w:szCs w:val="24"/>
        </w:rPr>
        <w:t xml:space="preserve">MWB uses group-based financing, where the group determines loan approval and guarantees the payment of each member's financing. This group-based pattern uses a joint responsibility financing system, as confirmed by Eni (2019), Chairman of MWB </w:t>
      </w:r>
      <w:proofErr w:type="spellStart"/>
      <w:r w:rsidRPr="004E16EB">
        <w:rPr>
          <w:rFonts w:ascii="Times New Roman" w:hAnsi="Times New Roman"/>
          <w:sz w:val="24"/>
          <w:szCs w:val="24"/>
        </w:rPr>
        <w:t>Almuna</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Krapyak</w:t>
      </w:r>
      <w:proofErr w:type="spellEnd"/>
      <w:r w:rsidRPr="004E16EB">
        <w:rPr>
          <w:rFonts w:ascii="Times New Roman" w:hAnsi="Times New Roman"/>
          <w:sz w:val="24"/>
          <w:szCs w:val="24"/>
        </w:rPr>
        <w:t xml:space="preserve"> Yogyakarta. The groups guaranteed MWB that they were responsible for members with arrears in paying </w:t>
      </w:r>
      <w:proofErr w:type="spellStart"/>
      <w:r w:rsidRPr="004E16EB">
        <w:rPr>
          <w:rFonts w:ascii="Times New Roman" w:hAnsi="Times New Roman"/>
          <w:sz w:val="24"/>
          <w:szCs w:val="24"/>
        </w:rPr>
        <w:t>installments</w:t>
      </w:r>
      <w:proofErr w:type="spellEnd"/>
      <w:r w:rsidRPr="004E16EB">
        <w:rPr>
          <w:rFonts w:ascii="Times New Roman" w:hAnsi="Times New Roman"/>
          <w:sz w:val="24"/>
          <w:szCs w:val="24"/>
        </w:rPr>
        <w:t>. Members help each other by donating and contributing to overcoming arrears. Therefore, they should have joint responsibility savings managed by the group leader. The saving</w:t>
      </w:r>
      <w:r w:rsidR="00A37C76">
        <w:rPr>
          <w:rFonts w:ascii="Times New Roman" w:hAnsi="Times New Roman"/>
          <w:sz w:val="24"/>
          <w:szCs w:val="24"/>
        </w:rPr>
        <w:t>s are guaranteed by a group</w:t>
      </w:r>
      <w:r w:rsidRPr="004E16EB">
        <w:rPr>
          <w:rFonts w:ascii="Times New Roman" w:hAnsi="Times New Roman"/>
          <w:sz w:val="24"/>
          <w:szCs w:val="24"/>
        </w:rPr>
        <w:t xml:space="preserve"> in case of arrears in </w:t>
      </w:r>
      <w:proofErr w:type="spellStart"/>
      <w:r w:rsidRPr="004E16EB">
        <w:rPr>
          <w:rFonts w:ascii="Times New Roman" w:hAnsi="Times New Roman"/>
          <w:sz w:val="24"/>
          <w:szCs w:val="24"/>
        </w:rPr>
        <w:t>installments</w:t>
      </w:r>
      <w:proofErr w:type="spellEnd"/>
      <w:r w:rsidRPr="004E16EB">
        <w:rPr>
          <w:rFonts w:ascii="Times New Roman" w:hAnsi="Times New Roman"/>
          <w:sz w:val="24"/>
          <w:szCs w:val="24"/>
        </w:rPr>
        <w:t xml:space="preserve"> from CBGIBSI members. The financing </w:t>
      </w:r>
      <w:proofErr w:type="spellStart"/>
      <w:r w:rsidRPr="004E16EB">
        <w:rPr>
          <w:rFonts w:ascii="Times New Roman" w:hAnsi="Times New Roman"/>
          <w:sz w:val="24"/>
          <w:szCs w:val="24"/>
        </w:rPr>
        <w:t>installments</w:t>
      </w:r>
      <w:proofErr w:type="spellEnd"/>
      <w:r w:rsidRPr="004E16EB">
        <w:rPr>
          <w:rFonts w:ascii="Times New Roman" w:hAnsi="Times New Roman"/>
          <w:sz w:val="24"/>
          <w:szCs w:val="24"/>
        </w:rPr>
        <w:t xml:space="preserve"> are taken from the group's joint responsibility savings to settle arrears. Members replace their arrears the following week at the </w:t>
      </w:r>
      <w:proofErr w:type="spellStart"/>
      <w:r w:rsidRPr="004E16EB">
        <w:rPr>
          <w:rFonts w:ascii="Times New Roman" w:hAnsi="Times New Roman"/>
          <w:i/>
          <w:iCs/>
          <w:sz w:val="24"/>
          <w:szCs w:val="24"/>
        </w:rPr>
        <w:t>halaqoh</w:t>
      </w:r>
      <w:proofErr w:type="spellEnd"/>
      <w:r w:rsidRPr="004E16EB">
        <w:rPr>
          <w:rFonts w:ascii="Times New Roman" w:hAnsi="Times New Roman"/>
          <w:i/>
          <w:iCs/>
          <w:sz w:val="24"/>
          <w:szCs w:val="24"/>
        </w:rPr>
        <w:t xml:space="preserve"> </w:t>
      </w:r>
      <w:r w:rsidRPr="004E16EB">
        <w:rPr>
          <w:rFonts w:ascii="Times New Roman" w:hAnsi="Times New Roman"/>
          <w:sz w:val="24"/>
          <w:szCs w:val="24"/>
        </w:rPr>
        <w:t>meeting with the group leader</w:t>
      </w:r>
      <w:r w:rsidRPr="004E16EB">
        <w:rPr>
          <w:rFonts w:ascii="Times New Roman" w:hAnsi="Times New Roman" w:cs="Times New Roman"/>
          <w:sz w:val="24"/>
          <w:szCs w:val="24"/>
        </w:rPr>
        <w:t>.</w:t>
      </w:r>
    </w:p>
    <w:p w14:paraId="609C38DA" w14:textId="77777777" w:rsidR="00384CB1" w:rsidRPr="004E16EB" w:rsidRDefault="00384CB1" w:rsidP="00384CB1">
      <w:pPr>
        <w:widowControl w:val="0"/>
        <w:spacing w:after="0" w:line="240" w:lineRule="auto"/>
        <w:ind w:firstLine="540"/>
        <w:contextualSpacing/>
        <w:jc w:val="both"/>
        <w:rPr>
          <w:rFonts w:ascii="Times New Roman" w:hAnsi="Times New Roman" w:cs="Times New Roman"/>
          <w:sz w:val="24"/>
          <w:szCs w:val="24"/>
        </w:rPr>
      </w:pPr>
    </w:p>
    <w:p w14:paraId="643DE8B9" w14:textId="77777777" w:rsidR="00384CB1" w:rsidRPr="004E16EB" w:rsidRDefault="00384CB1" w:rsidP="00384CB1">
      <w:pPr>
        <w:pStyle w:val="ListParagraph"/>
        <w:widowControl w:val="0"/>
        <w:numPr>
          <w:ilvl w:val="0"/>
          <w:numId w:val="7"/>
        </w:numPr>
        <w:jc w:val="both"/>
        <w:rPr>
          <w:rFonts w:ascii="Times New Roman" w:hAnsi="Times New Roman" w:cs="Times New Roman"/>
          <w:b/>
          <w:bCs/>
        </w:rPr>
      </w:pPr>
      <w:r w:rsidRPr="004E16EB">
        <w:rPr>
          <w:rFonts w:ascii="Times New Roman" w:hAnsi="Times New Roman" w:cs="Times New Roman"/>
          <w:b/>
          <w:bCs/>
        </w:rPr>
        <w:t>Discussion</w:t>
      </w:r>
    </w:p>
    <w:p w14:paraId="3615DFC4" w14:textId="77777777" w:rsidR="00384CB1" w:rsidRPr="004E16EB" w:rsidRDefault="00384CB1" w:rsidP="00384CB1">
      <w:pPr>
        <w:pStyle w:val="ListParagraph"/>
        <w:widowControl w:val="0"/>
        <w:numPr>
          <w:ilvl w:val="1"/>
          <w:numId w:val="9"/>
        </w:numPr>
        <w:ind w:left="426"/>
        <w:jc w:val="both"/>
        <w:rPr>
          <w:rFonts w:ascii="Times New Roman" w:hAnsi="Times New Roman" w:cs="Times New Roman"/>
        </w:rPr>
      </w:pPr>
      <w:r w:rsidRPr="004E16EB">
        <w:rPr>
          <w:rFonts w:ascii="Times New Roman" w:hAnsi="Times New Roman"/>
          <w:b/>
        </w:rPr>
        <w:t>Women's Economic Empowerment in Sharia Microfinance Institutions Micro Waqf Banks (SMI MWB)</w:t>
      </w:r>
    </w:p>
    <w:p w14:paraId="003644E3" w14:textId="25432F63" w:rsidR="00384CB1" w:rsidRPr="004E16EB" w:rsidRDefault="00384CB1" w:rsidP="00384CB1">
      <w:pPr>
        <w:widowControl w:val="0"/>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As SMI, MWB is a financial institution oriented towards improving the community welfare around Islamic boarding schools, specifically for poor</w:t>
      </w:r>
      <w:r w:rsidR="00A37C76">
        <w:rPr>
          <w:rFonts w:ascii="Times New Roman" w:hAnsi="Times New Roman"/>
          <w:sz w:val="24"/>
          <w:szCs w:val="24"/>
        </w:rPr>
        <w:t>,</w:t>
      </w:r>
      <w:r w:rsidRPr="004E16EB">
        <w:rPr>
          <w:rFonts w:ascii="Times New Roman" w:hAnsi="Times New Roman"/>
          <w:sz w:val="24"/>
          <w:szCs w:val="24"/>
        </w:rPr>
        <w:t xml:space="preserve"> productive women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{"citationItems":[{"id":"ITEM-1","itemData":{"DOI":"10.2991/ASSEHR.K.200225.001","abstract":"This research aims to study and improve the benefits of micro waqf banks as Islamic microfinance institutions that have only been pioneered since 2017 in Indonesia. The research method used was qualitative research using normative juridical through interview and literature study methods, and analyzed using descriptive analysis. The results of this study indicate that a micro waqf bank stands as a sharia cooperative, but from its naming aspect that uses the term 'waqf' does not make it a waqf institution. Micro waqf banks are institutions that represent financial institutions, the Indonesian government and Islamic boarding schools as the basis of Indonesian Muslims. The purpose of this micro waqf bank is to be able to reduce poverty by providing financing to the poor through routine assistance programs, allegedly the target of this program is the poor who cannot access formal financial institutions to help the capital aspects of community small businesses.","author":[{"dropping-particle":"","family":"Sulistiani","given":"Siska Lis","non-dropping-particle":"","parse-names":false,"suffix":""},{"dropping-particle":"","family":"Yunus","given":"Muhammad","non-dropping-particle":"","parse-names":false,"suffix":""},{"dropping-particle":"","family":"Bayuni","given":"Eva Misfah","non-dropping-particle":"","parse-names":false,"suffix":""}],"container-title":"Advances in Social Science, Education and Humanities Research","id":"ITEM-1","issued":{"date-parts":[["2020","3"]]},"page":"1-4","publisher":"Atlantis Press","title":"Micro Waqf Bank: New Sharia Financial Instruments in Indonesia","type":"article-journal","volume":"409"},"uris":["http://www.mendeley.com/documents/?uuid=b9c2a156-064a-3a4f-8bbf-e9b1fa24698b","http://www.mendeley.com/documents/?uuid=099ad4a4-2fd1-4d23-87b8-9e221dd0ada3"]}],"mendeley":{"formattedCitation":"(Sulistiani et al., 2020)","plainTextFormattedCitation":"(Sulistiani et al., 2020)","previouslyFormattedCitation":"(S. L. Sulistiani et al., 2020)"},"properties":{"noteIndex":0},"schema":"https://github.com/citation-style-language/schema/raw/master/csl-citation.json"}</w:instrText>
      </w:r>
      <w:r w:rsidRPr="004E16EB">
        <w:rPr>
          <w:rFonts w:ascii="Times New Roman" w:hAnsi="Times New Roman" w:cs="Times New Roman"/>
          <w:sz w:val="24"/>
          <w:szCs w:val="24"/>
        </w:rPr>
        <w:fldChar w:fldCharType="separate"/>
      </w:r>
      <w:r w:rsidRPr="00384CB1">
        <w:rPr>
          <w:rFonts w:ascii="Times New Roman" w:hAnsi="Times New Roman" w:cs="Times New Roman"/>
          <w:noProof/>
          <w:sz w:val="24"/>
          <w:szCs w:val="24"/>
        </w:rPr>
        <w:t>(Sulistiani et al., 2020)</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It provides financing and assistance to micro and small business women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{"citationItems":[{"id":"ITEM-1","itemData":{"DOI":"10.3390/ECONOMIES10070157","ISSN":"2227-7099","abstract":"This study examined the role of the Micro Waqf Bank in empowering women micro-entrepreneurs. This research used a mixed-method with an explanatory design. Quantitatively, this study examines the effect of the joint responsibility system, financing, and mentoring on the growth of the micro-enterprises business. The sample used was 200 women micro-entrepreneurs using a purposive sampling technique. Quantitative data analysis was performed using the Structural Equation Model based on Partial Least Squares (SEM PLS) technique. This research qualitatively analyzes how the Micro Waqf Bank has carried out its role in empowering women, including dealing with crises due to the COVID-19 pandemic. Thematic analysis was used as the qualitative data analysis technique. Informants in this study amounted to 6 informants from MWB Mawaridussalam consisting of Management, Mentors, and female micro-enterprises. The research results quantitatively indicate that there is a positive and significant impact on the joint responsibility system, financing, and mentoring on the development of micro-enterprise members. Mentoring is the most significant variable that impacts the growth of a micro-enterprise business. Qualitatively, the research results show the role of the Micro Waqf Bank in the economic empowerment of women micro-business entrepreneurs by specifically recommending reinforcement of the mentoring function.","author":[{"dropping-particle":"","family":"Soemitra","given":"Andri","non-dropping-particle":"","parse-names":false,"suffix":""},{"dropping-particle":"","family":"Kusmilawaty","given":"","non-dropping-particle":"","parse-names":false,"suffix":""},{"dropping-particle":"","family":"Rahma","given":"Tri Inda Fadhila","non-dropping-particle":"","parse-names":false,"suffix":""}],"container-title":"Economies 2022, Vol. 10, Page 157","id":"ITEM-1","issue":"7","issued":{"date-parts":[["2022","7"]]},"page":"157","publisher":"Multidisciplinary Digital Publishing Institute","title":"The Role of Micro Waqf Bank in Women&amp;rsquo;s Micro-Business Empowerment through Islamic Social Finance: Mixed-Method Evidence from Mawaridussalam Indonesia","type":"article-journal","volume":"10"},"uris":["http://www.mendeley.com/documents/?uuid=6c2bb3e5-4ee0-38b2-ba2d-4d06b58d5672","http://www.mendeley.com/documents/?uuid=63e925e4-5f32-42c5-8eb5-dd142f557929"]}],"mendeley":{"formattedCitation":"(Soemitra et al., 2022)","plainTextFormattedCitation":"(Soemitra et al., 2022)","previouslyFormattedCitation":"(Soemitra et al., 2022)"},"properties":{"noteIndex":0},"schema":"https://github.com/citation-style-language/schema/raw/master/csl-citation.json"}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(Soemitra et al., 2022)</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The SMI market segment is unbanked women or micro business actors with no access to financing from banks because they are considered unfit. This is because women are considered able to commit to discipline by attending regular WH meetings. They are also seen as more capable of managing family finances and business capital. Therefore, women could develop their businesses through the financial assistance of only IDR 1,000,000.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{"citationItems":[{"id":"ITEM-1","itemData":{"DOI":"10.1108/IJSE-02-2016-0070/FULL/HTML","ISSN":"03068293","abstract":"Purpose - The purpose of this paper is to examine the effects of microcredit on women's empowerment in rural Bangladesh using the latest primary data. Design/methodology/approach - Primary data have been collected by a household survey in the four districts of Bangladesh. Logistic regression is used to estimate the odd of improving women empowerment after participating in microfinance. Findings - The results show positive impacts of microfinance on most of the selected indicators for women's empowerment. Research limitations/implications - Lack of control groups and baseline data are the main limitation of this research. Future research can address this issue by selecting institutions with baseline data or control groups. Practical implications - The findings of the study can help policy makers to adopt appropriate policies that integrate empowerment in development projects with women. Social implications - The results of this research could encourage more women to participate in microfinance activities and development projects. Originality/value - This research provides the most updated data from a primary survey in Bangladesh. The authors also mitigate the possible selection biases by using a fixed-effects estimator.","author":[{"dropping-particle":"","family":"Rahman","given":"Mohammad Mafizur","non-dropping-particle":"","parse-names":false,"suffix":""},{"dropping-particle":"","family":"Khanam","given":"Rasheda","non-dropping-particle":"","parse-names":false,"suffix":""},{"dropping-particle":"","family":"Nghiem","given":"Son","non-dropping-particle":"","parse-names":false,"suffix":""}],"container-title":"International Journal of Social Economics","id":"ITEM-1","issue":"12","issued":{"date-parts":[["2017"]]},"page":"1745-1757","publisher":"Emerald Group Publishing Ltd.","title":"The effects of microfinance on women's empowerment: New evidence from Bangladesh","type":"article-journal","volume":"44"},"uris":["http://www.mendeley.com/documents/?uuid=227025a1-e285-34fb-a484-d6a3421a5ebb","http://www.mendeley.com/documents/?uuid=517b9124-6aa0-4c1a-baf1-45e4ebb50b85"]}],"mendeley":{"formattedCitation":"(Rahman et al., 2017)","plainTextFormattedCitation":"(Rahman et al., 2017)","previouslyFormattedCitation":"(Rahman et al., 2017)"},"properties":{"noteIndex":0},"schema":"https://github.com/citation-style-language/schema/raw/master/csl-citation.json"}</w:instrText>
      </w:r>
      <w:r w:rsidRPr="004E16EB">
        <w:rPr>
          <w:rFonts w:ascii="Times New Roman" w:hAnsi="Times New Roman" w:cs="Times New Roman"/>
          <w:sz w:val="24"/>
          <w:szCs w:val="24"/>
        </w:rPr>
        <w:fldChar w:fldCharType="separate"/>
      </w:r>
      <w:r w:rsidRPr="00573487">
        <w:rPr>
          <w:rFonts w:ascii="Times New Roman" w:hAnsi="Times New Roman" w:cs="Times New Roman"/>
          <w:noProof/>
          <w:sz w:val="24"/>
          <w:szCs w:val="24"/>
        </w:rPr>
        <w:t>(Rahman et al., 2017)</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00A37C76">
        <w:rPr>
          <w:rFonts w:ascii="Times New Roman" w:hAnsi="Times New Roman" w:cs="Times New Roman"/>
          <w:sz w:val="24"/>
          <w:szCs w:val="24"/>
        </w:rPr>
        <w:t>S</w:t>
      </w:r>
      <w:r w:rsidRPr="004E16EB">
        <w:rPr>
          <w:rFonts w:ascii="Times New Roman" w:hAnsi="Times New Roman" w:cs="Times New Roman"/>
          <w:sz w:val="24"/>
          <w:szCs w:val="24"/>
        </w:rPr>
        <w:t xml:space="preserve">tated that </w:t>
      </w:r>
      <w:r w:rsidRPr="004E16EB">
        <w:rPr>
          <w:rFonts w:ascii="Times New Roman" w:hAnsi="Times New Roman"/>
          <w:sz w:val="24"/>
          <w:szCs w:val="24"/>
        </w:rPr>
        <w:t xml:space="preserve">microfinance programs target women because they have more problems obtaining credit. They have limited </w:t>
      </w:r>
      <w:proofErr w:type="spellStart"/>
      <w:r w:rsidRPr="004E16EB">
        <w:rPr>
          <w:rFonts w:ascii="Times New Roman" w:hAnsi="Times New Roman"/>
          <w:sz w:val="24"/>
          <w:szCs w:val="24"/>
        </w:rPr>
        <w:t>labor</w:t>
      </w:r>
      <w:proofErr w:type="spellEnd"/>
      <w:r w:rsidRPr="004E16EB">
        <w:rPr>
          <w:rFonts w:ascii="Times New Roman" w:hAnsi="Times New Roman"/>
          <w:sz w:val="24"/>
          <w:szCs w:val="24"/>
        </w:rPr>
        <w:t xml:space="preserve"> market access and higher loan repayment rates than men</w:t>
      </w:r>
      <w:r w:rsidRPr="004E16EB">
        <w:rPr>
          <w:rFonts w:ascii="Times New Roman" w:hAnsi="Times New Roman" w:cs="Times New Roman"/>
          <w:sz w:val="24"/>
          <w:szCs w:val="24"/>
        </w:rPr>
        <w:t xml:space="preserve">. </w:t>
      </w:r>
    </w:p>
    <w:p w14:paraId="3CFD7468" w14:textId="7979AF1B" w:rsidR="00384CB1" w:rsidRPr="004E16EB" w:rsidRDefault="00384CB1" w:rsidP="00384CB1">
      <w:pPr>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lang w:val="id-ID"/>
        </w:rPr>
        <w:t xml:space="preserve">The financing program provided by MWB to group-based customers </w:t>
      </w:r>
      <w:r w:rsidRPr="004E16EB">
        <w:rPr>
          <w:rFonts w:ascii="Times New Roman" w:hAnsi="Times New Roman"/>
          <w:sz w:val="24"/>
          <w:szCs w:val="24"/>
        </w:rPr>
        <w:t>is run by</w:t>
      </w:r>
      <w:r w:rsidRPr="004E16EB">
        <w:rPr>
          <w:rFonts w:ascii="Times New Roman" w:hAnsi="Times New Roman"/>
          <w:sz w:val="24"/>
          <w:szCs w:val="24"/>
          <w:lang w:val="id-ID"/>
        </w:rPr>
        <w:t xml:space="preserve"> 15 to 25 people. </w:t>
      </w:r>
      <w:r w:rsidRPr="004E16EB">
        <w:rPr>
          <w:rFonts w:ascii="Times New Roman" w:hAnsi="Times New Roman"/>
          <w:sz w:val="24"/>
        </w:rPr>
        <w:t xml:space="preserve">Muhammad </w:t>
      </w:r>
      <w:proofErr w:type="spellStart"/>
      <w:r w:rsidRPr="004E16EB">
        <w:rPr>
          <w:rFonts w:ascii="Times New Roman" w:hAnsi="Times New Roman"/>
          <w:sz w:val="24"/>
        </w:rPr>
        <w:t>Yunus</w:t>
      </w:r>
      <w:proofErr w:type="spellEnd"/>
      <w:r w:rsidRPr="004E16EB">
        <w:rPr>
          <w:rFonts w:ascii="Times New Roman" w:hAnsi="Times New Roman"/>
          <w:sz w:val="24"/>
          <w:szCs w:val="24"/>
          <w:lang w:val="id-ID"/>
        </w:rPr>
        <w:t xml:space="preserve"> applied the model </w:t>
      </w:r>
      <w:r w:rsidRPr="004E16EB">
        <w:rPr>
          <w:rFonts w:ascii="Times New Roman" w:hAnsi="Times New Roman"/>
          <w:sz w:val="24"/>
          <w:szCs w:val="24"/>
        </w:rPr>
        <w:t>through</w:t>
      </w:r>
      <w:r w:rsidRPr="004E16EB">
        <w:rPr>
          <w:rFonts w:ascii="Times New Roman" w:hAnsi="Times New Roman"/>
          <w:sz w:val="24"/>
          <w:szCs w:val="24"/>
          <w:lang w:val="id-ID"/>
        </w:rPr>
        <w:t xml:space="preserve"> social entrepreneurship at the Grameen Bank in Bangladesh in 1983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{"citationItems":[{"id":"ITEM-1","itemData":{"author":[{"dropping-particle":"","family":"Nurhayati","given":"","non-dropping-particle":"","parse-names":false,"suffix":""}],"container-title":"Jurnal Bisnis Manajemen &amp; Perbankan","id":"ITEM-1","issue":"1","issued":{"date-parts":[["2016"]]},"page":"31-48","title":"Social Entrepreneurship Muhammad Yunus“Grameen Bank\"","type":"article-journal","volume":"2"},"uris":["http://www.mendeley.com/documents/?uuid=d912c6a2-1b9f-3ba8-8345-369e4693b2e0","http://www.mendeley.com/documents/?uuid=98eb985f-a417-4ecc-8e9b-8fa345c5af5c"]}],"mendeley":{"formattedCitation":"(Nurhayati, 2016)","plainTextFormattedCitation":"(Nurhayati, 2016)","previouslyFormattedCitation":"(Nurhayati, 2016)"},"properties":{"noteIndex":0},"schema":"https://github.com/citation-style-language/schema/raw/master/csl-citation.json"}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(Nurhayati, 2016)</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w:t>
      </w:r>
      <w:r w:rsidRPr="004E16EB">
        <w:rPr>
          <w:rFonts w:ascii="Times New Roman" w:hAnsi="Times New Roman" w:cs="Times New Roman"/>
          <w:sz w:val="24"/>
          <w:szCs w:val="24"/>
          <w:lang w:val="id-ID"/>
        </w:rPr>
        <w:t xml:space="preserve"> </w:t>
      </w:r>
      <w:r w:rsidRPr="004E16EB">
        <w:rPr>
          <w:rFonts w:ascii="Times New Roman" w:hAnsi="Times New Roman"/>
          <w:sz w:val="24"/>
          <w:szCs w:val="24"/>
        </w:rPr>
        <w:t xml:space="preserve">According to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{"citationItems":[{"id":"ITEM-1","itemData":{"abstract":"Women empowerment means to give freedom to women to make decisions of their own and make a better place for them in the society. Two important factors for women empowerment are education and entrepreneurship. A recent report by the World Bank says that, India can grow in double digits if more women participate in the product line of the Indian economy. Self determinations, expectation for recognition, self-esteem and career goal are the key drivers of women entrepreneurship. India can be a powerful nation only if we empower our women. According to Schumpeter \"women who innovate, imitate or adopt a business activity\" is called as women entrepreneur. The present study is descriptive in nature and is based on secondary data. This paper provides an insight into the problems or challenges faced by women entrepreneurs, measures for their development, categories and the essential ingredients of women entrepreneurship. The study found that,","author":[{"dropping-particle":"","family":"Ajja","given":"Shri Hurakadli","non-dropping-particle":"","parse-names":false,"suffix":""},{"dropping-particle":"","family":"Samiti'","given":"Shikshan","non-dropping-particle":"","parse-names":false,"suffix":""},{"dropping-particle":"","family":"Arts","given":"Smt K S Jigalur","non-dropping-particle":"","parse-names":false,"suffix":""},{"dropping-particle":"","family":"Sheshgiri","given":"S M","non-dropping-particle":"","parse-names":false,"suffix":""}],"container-title":"Jurnal Universitas Arsitektur &amp; Teknologi Xi'an","id":"ITEM-1","issue":"3","issued":{"date-parts":[["2020"]]},"page":"3843-3844","title":"Women Empowerment And Women Entrepreneurship: An Overview","type":"article-journal","volume":"12"},"uris":["http://www.mendeley.com/documents/?uuid=74a6e4b6-bb04-3a24-b257-bec4b4f6322b","http://www.mendeley.com/documents/?uuid=fad15b05-4ce0-44aa-b98a-c6c8ee270704"]}],"mendeley":{"formattedCitation":"(Ajja et al., 2020)","plainTextFormattedCitation":"(Ajja et al., 2020)","previouslyFormattedCitation":"(Ajja et al., 2020)"},"properties":{"noteIndex":0},"schema":"https://github.com/citation-style-language/schema/raw/master/csl-citation.json"}</w:instrText>
      </w:r>
      <w:r w:rsidRPr="004E16EB">
        <w:rPr>
          <w:rFonts w:ascii="Times New Roman" w:hAnsi="Times New Roman" w:cs="Times New Roman"/>
          <w:sz w:val="24"/>
          <w:szCs w:val="24"/>
        </w:rPr>
        <w:fldChar w:fldCharType="separate"/>
      </w:r>
      <w:r w:rsidRPr="00573487">
        <w:rPr>
          <w:rFonts w:ascii="Times New Roman" w:hAnsi="Times New Roman" w:cs="Times New Roman"/>
          <w:noProof/>
          <w:sz w:val="24"/>
          <w:szCs w:val="24"/>
        </w:rPr>
        <w:t>(Ajja et al., 2020)</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women's empowerment through entrepreneurship has become an integral part of development in India. Women's entrepreneurship is a business or organization started by a woman or group of women. Self-help groups (SHGs) play a </w:t>
      </w:r>
      <w:r w:rsidR="00A37C76">
        <w:rPr>
          <w:rFonts w:ascii="Times New Roman" w:hAnsi="Times New Roman"/>
          <w:sz w:val="24"/>
          <w:szCs w:val="24"/>
        </w:rPr>
        <w:t>significant</w:t>
      </w:r>
      <w:r w:rsidRPr="004E16EB">
        <w:rPr>
          <w:rFonts w:ascii="Times New Roman" w:hAnsi="Times New Roman"/>
          <w:sz w:val="24"/>
          <w:szCs w:val="24"/>
        </w:rPr>
        <w:t xml:space="preserve"> role in developing India's rural communities, whose members are predominantly women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{"citationItems":[{"id":"ITEM-1","itemData":{"DOI":"10.1108/IJLMA-02-2020-0051/FULL/XML","ISSN":"17542448","abstract":"Purpose: This paper aims to explore the factors for self-help groups (SHGs) women empowerment in the state of Uttar Pradesh using the primary data. Design/methodology/approach: The primary data have been collected by a household survey in the four districts of Uttar Pradesh. Factor analysis is used to estimate the odd of improving women empowerment after participating in SHG. Findings: Factor analysis extracted four factors which were economic development, improvement in family matters, decision to use public amenities and political empowerment. Also, analysis of variance and t-test was used employing SPSS. The results, therefore, show that education has a significant impact on all the aspects of SHGs people. Practical implications: The findings of the study can help policymakers to adopt appropriate policies that integrate empowerment in development projects with women. Social implications: The results of this research could encourage more women to participate in SHG activities and development projects. Originality/value: This research provides the most updated data from a primary survey in the state of Uttar Pradesh.","author":[{"dropping-particle":"","family":"Aggarwal","given":"Shalini","non-dropping-particle":"","parse-names":false,"suffix":""},{"dropping-particle":"","family":"Kumar","given":"Praveen","non-dropping-particle":"","parse-names":false,"suffix":""},{"dropping-particle":"","family":"Garg","given":"Vikas","non-dropping-particle":"","parse-names":false,"suffix":""}],"container-title":"International Journal of Law and Management","id":"ITEM-1","issue":"6","issued":{"date-parts":[["2020","12"]]},"page":"591-606","publisher":"Emerald Group Holdings Ltd.","title":"Empowering SHGs Women through Micro-finance in Uttar Pradesh","type":"article-journal","volume":"62"},"uris":["http://www.mendeley.com/documents/?uuid=84c7a046-1940-301f-8763-b52394cdc3a2","http://www.mendeley.com/documents/?uuid=32de4ed6-ea49-4ddb-8959-07d91016e111"]}],"mendeley":{"formattedCitation":"(Aggarwal et al., 2020)","plainTextFormattedCitation":"(Aggarwal et al., 2020)","previouslyFormattedCitation":"(Aggarwal et al., 2020)"},"properties":{"noteIndex":0},"schema":"https://github.com/citation-style-language/schema/raw/master/csl-citation.json"}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(Aggarwal et al., 2020)</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w:t>
      </w:r>
      <w:r w:rsidRPr="004E16EB">
        <w:rPr>
          <w:rFonts w:ascii="Times New Roman" w:hAnsi="Times New Roman" w:cs="Times New Roman"/>
          <w:spacing w:val="5"/>
          <w:sz w:val="24"/>
          <w:szCs w:val="24"/>
        </w:rPr>
        <w:t xml:space="preserve"> </w:t>
      </w:r>
      <w:r w:rsidRPr="004E16EB">
        <w:rPr>
          <w:rFonts w:ascii="Times New Roman" w:hAnsi="Times New Roman"/>
          <w:spacing w:val="5"/>
          <w:sz w:val="24"/>
          <w:szCs w:val="24"/>
        </w:rPr>
        <w:t xml:space="preserve">This empowerment program is implemented by a Doctor of Philosophy graduate at Vanderbilt University, Tennessee, United States. The graduate established the Grameen Bank by providing group-based microcredit for poor people with unsecured businesses. The recipient of the 2006 Nobel Peace Prize has programmed each loan applicant to form a group of five people. Group members cannot make credit in turn, while other members only make credit when the member that made first has shown discipline and honesty in paying the </w:t>
      </w:r>
      <w:proofErr w:type="spellStart"/>
      <w:r w:rsidRPr="004E16EB">
        <w:rPr>
          <w:rFonts w:ascii="Times New Roman" w:hAnsi="Times New Roman"/>
          <w:spacing w:val="5"/>
          <w:sz w:val="24"/>
          <w:szCs w:val="24"/>
        </w:rPr>
        <w:t>installments</w:t>
      </w:r>
      <w:proofErr w:type="spellEnd"/>
      <w:r w:rsidRPr="004E16EB">
        <w:rPr>
          <w:rFonts w:ascii="Times New Roman" w:hAnsi="Times New Roman"/>
          <w:spacing w:val="5"/>
          <w:sz w:val="24"/>
          <w:szCs w:val="24"/>
        </w:rPr>
        <w:t xml:space="preserve">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{"citationItems":[{"id":"ITEM-1","itemData":{"abstract":"ARTICLE INFO ABSTRACT The growing attention has been given for rural development during past two decades in most of the developing countries over the world. problems of poverty, inequality, unemployment etc. are increasing rapidly. Like other developing countries, Government of Bangladesh has given priority to the development of rural peoples. Besid Government, non developmental activities. However, Grameen bank, a leading microcredit organization, that provides micro loan to the poor women for self have become the subject to talk in home and abroad from last few years. This paper aims to figure out the microcredit and rural development issues through the opinion of rural people based on the Grameen bank and Dr. Muhammod Yunus d Copyright©2016, Md. Ashraful Islam Khan. This is an open access article distributed under the Creative Commons Att unrestricted use, distribution, and reproduction in any medium, provided the original work is properly cited.","author":[{"dropping-particle":"","family":"Ashraful","given":"Md","non-dropping-particle":"","parse-names":false,"suffix":""},{"dropping-particle":"","family":"Khan","given":"Islam","non-dropping-particle":"","parse-names":false,"suffix":""}],"container-title":"Article in International Journal of Current Research","id":"ITEM-1","issued":{"date-parts":[["2016"]]},"title":"MICROCREDIT AND GRAMEEN BANK: A VIEW FROM THE GRASSROOTS","type":"report"},"uris":["http://www.mendeley.com/documents/?uuid=4ff139dd-977c-3798-a5f4-911dc0885283","http://www.mendeley.com/documents/?uuid=0bf76254-c0b2-411e-a1ce-3f1c7e436a70"]}],"mendeley":{"formattedCitation":"(Ashraful &amp; Khan, 2016)","plainTextFormattedCitation":"(Ashraful &amp; Khan, 2016)","previouslyFormattedCitation":"(Ashraful &amp; Khan, 2016)"},"properties":{"noteIndex":0},"schema":"https://github.com/citation-style-language/schema/raw/master/csl-citation.json"}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(Ashraful &amp; Khan, 2016)</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w:t>
      </w:r>
      <w:r w:rsidRPr="004E16EB">
        <w:rPr>
          <w:rFonts w:ascii="Times New Roman" w:hAnsi="Times New Roman" w:cs="Times New Roman"/>
          <w:spacing w:val="5"/>
          <w:sz w:val="24"/>
          <w:szCs w:val="24"/>
        </w:rPr>
        <w:t xml:space="preserve"> </w:t>
      </w:r>
    </w:p>
    <w:p w14:paraId="62679F9C" w14:textId="0A58E532" w:rsidR="00384CB1" w:rsidRPr="004E16EB" w:rsidRDefault="00384CB1" w:rsidP="00384CB1">
      <w:pPr>
        <w:pStyle w:val="ListParagraph"/>
        <w:widowControl w:val="0"/>
        <w:ind w:left="0" w:firstLine="720"/>
        <w:jc w:val="both"/>
        <w:rPr>
          <w:rFonts w:ascii="Times New Roman" w:hAnsi="Times New Roman" w:cs="Times New Roman"/>
        </w:rPr>
      </w:pPr>
      <w:r w:rsidRPr="004E16EB">
        <w:rPr>
          <w:rFonts w:ascii="Times New Roman" w:hAnsi="Times New Roman"/>
        </w:rPr>
        <w:t xml:space="preserve">The financing in MWB is group-based, necessitating the pattern of joint responsibility known as </w:t>
      </w:r>
      <w:proofErr w:type="spellStart"/>
      <w:r w:rsidRPr="004E16EB">
        <w:rPr>
          <w:rFonts w:ascii="Times New Roman" w:hAnsi="Times New Roman"/>
          <w:i/>
          <w:iCs/>
        </w:rPr>
        <w:t>kafalah</w:t>
      </w:r>
      <w:proofErr w:type="spellEnd"/>
      <w:r w:rsidRPr="004E16EB">
        <w:rPr>
          <w:rFonts w:ascii="Times New Roman" w:hAnsi="Times New Roman"/>
          <w:i/>
          <w:iCs/>
        </w:rPr>
        <w:t xml:space="preserve"> </w:t>
      </w:r>
      <w:r w:rsidRPr="004E16EB">
        <w:rPr>
          <w:rFonts w:ascii="Times New Roman" w:hAnsi="Times New Roman"/>
        </w:rPr>
        <w:t xml:space="preserve">in Islamic economics </w:t>
      </w:r>
      <w:r w:rsidRPr="004E16EB">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{"citationItems":[{"id":"ITEM-1","itemData":{"author":[{"dropping-particle":"","family":"Rozalinda","given":"","non-dropping-particle":"","parse-names":false,"suffix":""}],"edition":"1","id":"ITEM-1","issued":{"date-parts":[["2019"]]},"number-of-pages":"230","publisher":"Raja Grafindo Persada","publisher-place":"Jakarta","title":"Fiqh Ekonomi Syariah Prinsip Dan Implementasinya Pada Sektor Keuangan Syariah","type":"book"},"uris":["http://www.mendeley.com/documents/?uuid=c7d4316f-3f3f-4d34-989c-ca54da39c8fb","http://www.mendeley.com/documents/?uuid=bb091923-b0d6-4669-b612-5e93658f65ba"]}],"mendeley":{"formattedCitation":"(Rozalinda, 2019)","plainTextFormattedCitation":"(Rozalinda, 2019)","previouslyFormattedCitation":"(Rozalinda, 2019)"},"properties":{"noteIndex":0},"schema":"https://github.com/citation-style-language/schema/raw/master/csl-citation.json"}</w:instrText>
      </w:r>
      <w:r w:rsidRPr="004E16EB">
        <w:rPr>
          <w:rFonts w:ascii="Times New Roman" w:hAnsi="Times New Roman" w:cs="Times New Roman"/>
        </w:rPr>
        <w:fldChar w:fldCharType="separate"/>
      </w:r>
      <w:r w:rsidRPr="00573487">
        <w:rPr>
          <w:rFonts w:ascii="Times New Roman" w:hAnsi="Times New Roman" w:cs="Times New Roman"/>
          <w:noProof/>
        </w:rPr>
        <w:t>(Rozalinda, 2019)</w:t>
      </w:r>
      <w:r w:rsidRPr="004E16EB">
        <w:rPr>
          <w:rFonts w:ascii="Times New Roman" w:hAnsi="Times New Roman" w:cs="Times New Roman"/>
        </w:rPr>
        <w:fldChar w:fldCharType="end"/>
      </w:r>
      <w:r w:rsidRPr="004E16EB">
        <w:rPr>
          <w:rFonts w:ascii="Times New Roman" w:hAnsi="Times New Roman" w:cs="Times New Roman"/>
        </w:rPr>
        <w:t xml:space="preserve">. </w:t>
      </w:r>
      <w:r w:rsidRPr="004E16EB">
        <w:rPr>
          <w:rFonts w:ascii="Times New Roman" w:hAnsi="Times New Roman"/>
        </w:rPr>
        <w:t xml:space="preserve">Members are mutually responsible for each other’s arrears financing </w:t>
      </w:r>
      <w:proofErr w:type="spellStart"/>
      <w:r w:rsidRPr="004E16EB">
        <w:rPr>
          <w:rFonts w:ascii="Times New Roman" w:hAnsi="Times New Roman"/>
        </w:rPr>
        <w:t>installments</w:t>
      </w:r>
      <w:proofErr w:type="spellEnd"/>
      <w:r w:rsidRPr="004E16EB">
        <w:rPr>
          <w:rFonts w:ascii="Times New Roman" w:hAnsi="Times New Roman"/>
        </w:rPr>
        <w:t xml:space="preserve">. When a member cannot pay the </w:t>
      </w:r>
      <w:proofErr w:type="spellStart"/>
      <w:r w:rsidRPr="004E16EB">
        <w:rPr>
          <w:rFonts w:ascii="Times New Roman" w:hAnsi="Times New Roman"/>
        </w:rPr>
        <w:t>installments</w:t>
      </w:r>
      <w:proofErr w:type="spellEnd"/>
      <w:r w:rsidRPr="004E16EB">
        <w:rPr>
          <w:rFonts w:ascii="Times New Roman" w:hAnsi="Times New Roman"/>
        </w:rPr>
        <w:t xml:space="preserve">, </w:t>
      </w:r>
      <w:r w:rsidRPr="004E16EB">
        <w:rPr>
          <w:rFonts w:ascii="Times New Roman" w:hAnsi="Times New Roman"/>
        </w:rPr>
        <w:lastRenderedPageBreak/>
        <w:t xml:space="preserve">colleagues cover the arrears to ensure the financing </w:t>
      </w:r>
      <w:proofErr w:type="spellStart"/>
      <w:r w:rsidRPr="004E16EB">
        <w:rPr>
          <w:rFonts w:ascii="Times New Roman" w:hAnsi="Times New Roman"/>
        </w:rPr>
        <w:t>installments</w:t>
      </w:r>
      <w:proofErr w:type="spellEnd"/>
      <w:r w:rsidRPr="004E16EB">
        <w:rPr>
          <w:rFonts w:ascii="Times New Roman" w:hAnsi="Times New Roman"/>
        </w:rPr>
        <w:t xml:space="preserve"> to MWB remain smooth. Group-based loans could significantly reduce financing risk </w:t>
      </w:r>
      <w:r>
        <w:rPr>
          <w:rFonts w:ascii="Times New Roman" w:hAnsi="Times New Roman" w:cs="Times New Roman"/>
        </w:rPr>
        <w:fldChar w:fldCharType="begin" w:fldLock="1"/>
      </w:r>
      <w:r>
        <w:rPr>
          <w:rFonts w:ascii="Times New Roman" w:hAnsi="Times New Roman" w:cs="Times New Roman"/>
        </w:rPr>
        <w:instrText>ADDIN CSL_CITATION {"citationItems":[{"id":"ITEM-1","itemData":{"DOI":"10.1016/J.MEX.2022.101749","ISSN":"2215-0161","abstract":"World researchers have studied various phenomena of loans provided through financial institutions, including a loan strategy with Group Loans. Group Loans are money loans made by a group of people to a microfinance institution. Based on a case study in Nganjuk, East Java, Indonesia, we investigated the phenomena of Group Loans. Group Loans customers in the community are primarily women, and they are generally housewives without having a fixed income unless they receive a stipend from their husbands. Group Loan facilities are provided for women's empowerment, primarily to support productive activities. Unfortunately, these group loans potentially experience problems, especially interms of loan payments. Group members who are not paying debts, wasting money, and borrowing from numerous financial institutions to pay off prior obligations have all been recognised as issues. This study examined methods to anticipate and minimize the risk of Group Loans through the implementation of women's empowerment activities. The proposed method in this study is deemed effective to assist women in avoiding debt owing to Group Loans. This study is expected to be one of the solutions to enhancing women's roles, particularly in minimising the risk of debt through productive activities. • Discussion of methods to examine the phenomena and problems of Group Loans. • Discussion of approach methods to credit agency customers who borrow money in groups. • Methods of exercising women's empowerment in anticipation of Group Loans.","author":[{"dropping-particle":"","family":"Prastyaningtyas","given":"Efa Wahyu","non-dropping-particle":"","parse-names":false,"suffix":""},{"dropping-particle":"","family":"Widjaja","given":"Sri Umi Mintarti","non-dropping-particle":"","parse-names":false,"suffix":""},{"dropping-particle":"","family":"Wahyono","given":"Hari","non-dropping-particle":"","parse-names":false,"suffix":""},{"dropping-particle":"","family":"Andayani","given":"Endang Sri","non-dropping-particle":"","parse-names":false,"suffix":""},{"dropping-particle":"","family":"Rusdi","given":"Jack Febrian","non-dropping-particle":"","parse-names":false,"suffix":""}],"container-title":"MethodsX","id":"ITEM-1","issued":{"date-parts":[["2022","1"]]},"page":"101749","publisher":"Elsevier","title":"Methods for studying group loans, join responsibility, and women's empowerment","type":"article-journal","volume":"9"},"uris":["http://www.mendeley.com/documents/?uuid=45f93630-453b-39c0-8d96-9f3bdbeac00d","http://www.mendeley.com/documents/?uuid=56de24ab-0cec-4df5-99a5-c7ff7322489d"]},{"id":"ITEM-2","itemData":{"DOI":"10.35719/JIEP.V3I1.41","abstract":"This study analyzes the impact of the consistent implementation of a joint liability system in cooperative life. This research uses descriptive qualitative research methods using in- depth interview techniques which are then carried out by open coding to find patterns and theories related to the results of the interviews. As said by Miles &amp; Huberman (1992: 19) there are three stages that must be done in analyzing qualitative research data, namely (1) data reduction; (2) exposure data (data display); and (3) drawing conclusions and verification (conclusion drawing / verifying). The results of the analysis of this study that have been carried out, explain that cooperative members who implement and obey the rules that exist in joint liability cooperatives unconsciously have an impact on their behavior changes, they have discipline and a high sense of solidarity towards other members.","author":[{"dropping-particle":"","family":"Iwang Suwangsih","given":"","non-dropping-particle":"","parse-names":false,"suffix":""},{"dropping-particle":"","family":"Nuzulul Fatimah","given":"","non-dropping-particle":"","parse-names":false,"suffix":""},{"dropping-particle":"","family":"Noneng Rukayah Sukatmadiredja","given":"","non-dropping-particle":"","parse-names":false,"suffix":""},{"dropping-particle":"","family":"Emmywati","given":"","non-dropping-particle":"","parse-names":false,"suffix":""}],"container-title":"Journal of Islamic Economics Perspectives","id":"ITEM-2","issue":"1","issued":{"date-parts":[["2021","2"]]},"page":"88-100","publisher":"IAIN Jember","title":"THE IMPACT OF IMPLEMENTATION OF A JOINT LIABILITY SYSTEM ON MEMBER BEHAVIOR","type":"article-journal","volume":"3"},"uris":["http://www.mendeley.com/documents/?uuid=ab0b847b-681d-3fa8-9b3f-f62880ae35c3","http://www.mendeley.com/documents/?uuid=faf3ab49-cd0c-427f-8d7a-033bbd1cdffc"]}],"mendeley":{"formattedCitation":"(Iwang Suwangsih et al., 2021; Prastyaningtyas et al., 2022)","plainTextFormattedCitation":"(Iwang Suwangsih et al., 2021; Prastyaningtyas et al., 2022)","previouslyFormattedCitation":"(Iwang Suwangsih et al., 2021; Prastyaningtyas et al., 2022)"},"properties":{"noteIndex":0},"schema":"https://github.com/citation-style-language/schema/raw/master/csl-citation.json"}</w:instrText>
      </w:r>
      <w:r>
        <w:rPr>
          <w:rFonts w:ascii="Times New Roman" w:hAnsi="Times New Roman" w:cs="Times New Roman"/>
        </w:rPr>
        <w:fldChar w:fldCharType="separate"/>
      </w:r>
      <w:r w:rsidRPr="007D07FE">
        <w:rPr>
          <w:rFonts w:ascii="Times New Roman" w:hAnsi="Times New Roman" w:cs="Times New Roman"/>
          <w:noProof/>
        </w:rPr>
        <w:t>(Iwang Suwangsih et al., 2021; Prastyaningtyas et al., 2022)</w:t>
      </w:r>
      <w:r>
        <w:rPr>
          <w:rFonts w:ascii="Times New Roman" w:hAnsi="Times New Roman" w:cs="Times New Roman"/>
        </w:rPr>
        <w:fldChar w:fldCharType="end"/>
      </w:r>
      <w:r w:rsidR="00A37C76">
        <w:rPr>
          <w:rFonts w:ascii="Times New Roman" w:hAnsi="Times New Roman" w:cs="Times New Roman"/>
        </w:rPr>
        <w:t>.</w:t>
      </w:r>
      <w:r w:rsidRPr="004E16EB">
        <w:rPr>
          <w:rFonts w:ascii="Times New Roman" w:hAnsi="Times New Roman"/>
        </w:rPr>
        <w:t xml:space="preserve"> </w:t>
      </w:r>
      <w:r w:rsidRPr="004E16EB">
        <w:rPr>
          <w:rFonts w:ascii="Times New Roman" w:hAnsi="Times New Roman"/>
          <w:spacing w:val="5"/>
        </w:rPr>
        <w:t xml:space="preserve">Muhammad </w:t>
      </w:r>
      <w:proofErr w:type="spellStart"/>
      <w:r w:rsidRPr="004E16EB">
        <w:rPr>
          <w:rFonts w:ascii="Times New Roman" w:hAnsi="Times New Roman"/>
          <w:spacing w:val="5"/>
        </w:rPr>
        <w:t>Yunus</w:t>
      </w:r>
      <w:proofErr w:type="spellEnd"/>
      <w:r w:rsidRPr="004E16EB">
        <w:rPr>
          <w:rFonts w:ascii="Times New Roman" w:hAnsi="Times New Roman"/>
          <w:spacing w:val="5"/>
        </w:rPr>
        <w:t xml:space="preserve"> also implemented a joint responsibility mechanism in the </w:t>
      </w:r>
      <w:proofErr w:type="spellStart"/>
      <w:r w:rsidRPr="004E16EB">
        <w:rPr>
          <w:rFonts w:ascii="Times New Roman" w:hAnsi="Times New Roman"/>
          <w:spacing w:val="5"/>
        </w:rPr>
        <w:t>Mit</w:t>
      </w:r>
      <w:proofErr w:type="spellEnd"/>
      <w:r w:rsidRPr="004E16EB">
        <w:rPr>
          <w:rFonts w:ascii="Times New Roman" w:hAnsi="Times New Roman"/>
          <w:spacing w:val="5"/>
        </w:rPr>
        <w:t xml:space="preserve"> </w:t>
      </w:r>
      <w:proofErr w:type="spellStart"/>
      <w:r w:rsidRPr="004E16EB">
        <w:rPr>
          <w:rFonts w:ascii="Times New Roman" w:hAnsi="Times New Roman"/>
          <w:spacing w:val="5"/>
        </w:rPr>
        <w:t>Ghramr</w:t>
      </w:r>
      <w:proofErr w:type="spellEnd"/>
      <w:r w:rsidRPr="004E16EB">
        <w:rPr>
          <w:rFonts w:ascii="Times New Roman" w:hAnsi="Times New Roman"/>
          <w:spacing w:val="5"/>
        </w:rPr>
        <w:t xml:space="preserve"> bank empowerment program. In this mechanism, group members jointly pay </w:t>
      </w:r>
      <w:proofErr w:type="spellStart"/>
      <w:r w:rsidRPr="004E16EB">
        <w:rPr>
          <w:rFonts w:ascii="Times New Roman" w:hAnsi="Times New Roman"/>
          <w:spacing w:val="5"/>
        </w:rPr>
        <w:t>installments</w:t>
      </w:r>
      <w:proofErr w:type="spellEnd"/>
      <w:r w:rsidRPr="004E16EB">
        <w:rPr>
          <w:rFonts w:ascii="Times New Roman" w:hAnsi="Times New Roman"/>
          <w:spacing w:val="5"/>
        </w:rPr>
        <w:t xml:space="preserve"> for colleagues experiencing difficulties </w:t>
      </w:r>
      <w:r w:rsidRPr="004E16EB">
        <w:rPr>
          <w:rFonts w:ascii="Times New Roman" w:hAnsi="Times New Roman" w:cs="Times New Roman"/>
          <w:spacing w:val="5"/>
        </w:rPr>
        <w:fldChar w:fldCharType="begin" w:fldLock="1"/>
      </w:r>
      <w:r>
        <w:rPr>
          <w:rFonts w:ascii="Times New Roman" w:hAnsi="Times New Roman" w:cs="Times New Roman"/>
          <w:spacing w:val="5"/>
        </w:rPr>
        <w:instrText>ADDIN CSL_CITATION {"citationItems":[{"id":"ITEM-1","itemData":{"author":[{"dropping-particle":"","family":"Yunus","given":"Muhammad","non-dropping-particle":"","parse-names":false,"suffix":""}],"container-title":"Global Urban Development","id":"ITEM-1","issued":{"date-parts":[["2005"]]},"title":"ELIMINATING POVERTY THROUGH MARKET-BASED SOCIAL ENTREPRENEURSHIP","type":"report","volume":"1"},"uris":["http://www.mendeley.com/documents/?uuid=62c61695-6023-3930-b880-687d08a20fc6","http://www.mendeley.com/documents/?uuid=4f44eb36-87ed-48be-bd7b-50020d2f844a"]}],"mendeley":{"formattedCitation":"(Yunus, 2005)","plainTextFormattedCitation":"(Yunus, 2005)","previouslyFormattedCitation":"(M. Yunus, 2005)"},"properties":{"noteIndex":0},"schema":"https://github.com/citation-style-language/schema/raw/master/csl-citation.json"}</w:instrText>
      </w:r>
      <w:r w:rsidRPr="004E16EB">
        <w:rPr>
          <w:rFonts w:ascii="Times New Roman" w:hAnsi="Times New Roman" w:cs="Times New Roman"/>
          <w:spacing w:val="5"/>
        </w:rPr>
        <w:fldChar w:fldCharType="separate"/>
      </w:r>
      <w:r w:rsidRPr="00384CB1">
        <w:rPr>
          <w:rFonts w:ascii="Times New Roman" w:hAnsi="Times New Roman" w:cs="Times New Roman"/>
          <w:noProof/>
          <w:spacing w:val="5"/>
        </w:rPr>
        <w:t>(Yunus, 2005)</w:t>
      </w:r>
      <w:r w:rsidRPr="004E16EB">
        <w:rPr>
          <w:rFonts w:ascii="Times New Roman" w:hAnsi="Times New Roman" w:cs="Times New Roman"/>
          <w:spacing w:val="5"/>
        </w:rPr>
        <w:fldChar w:fldCharType="end"/>
      </w:r>
      <w:r w:rsidRPr="004E16EB">
        <w:rPr>
          <w:rFonts w:ascii="Times New Roman" w:hAnsi="Times New Roman" w:cs="Times New Roman"/>
          <w:spacing w:val="5"/>
        </w:rPr>
        <w:t xml:space="preserve">. </w:t>
      </w:r>
      <w:r w:rsidRPr="004E16EB">
        <w:rPr>
          <w:rFonts w:ascii="Times New Roman" w:hAnsi="Times New Roman" w:cs="Times New Roman"/>
        </w:rPr>
        <w:fldChar w:fldCharType="begin" w:fldLock="1"/>
      </w:r>
      <w:r>
        <w:rPr>
          <w:rFonts w:ascii="Times New Roman" w:hAnsi="Times New Roman" w:cs="Times New Roman"/>
        </w:rPr>
        <w:instrText>ADDIN CSL_CITATION {"citationItems":[{"id":"ITEM-1","itemData":{"DOI":"10.48047/rigeo.11.04.24","ISSN":"2146-0353","abstract":"Micro Waqf Bank (BWM) is an Islamic microfinance institution which aims to empower the poor and whose development strategies in Indonesia are examined in this study. To keep empowering the poor, BWM should survive and sustain. This study discovers the main strategies for developing BWM in Indonesia, so that it will survive and sustain. This study employed SWOT analysis which resulted in SWOT matrix and several alternative strategies (SO, ST, WO, and WT strategies). This study also applied ANP to determine the main strategies for developing BWM. Data were obtained from observation, interviews, and literature review. Interviews were conducted with practitioners, experts, regulators, and academics. Among the six alternative strategies for developing BWM in Indonesia, the most crucial is dissemination and education on BWM to the general public. This study is limited to BWM and does not include cash waqf. Nowadays, BWM is the microfinance institution Financial Services Authority (OJK) promotes and becomes the most important instrument in the financial institution sector. Therefore, BWM deserves a closer empirical study. Besides, the bank has the potential to create jobs in the future. The combinations of alternative strategies aide the regulators and managers to decide the best strategies and influential factors for developing BWM in Indonesia.","author":[{"dropping-particle":"","family":"Hasiba","given":"Fatin Fadhillah","non-dropping-particle":"","parse-names":false,"suffix":""},{"dropping-particle":"","family":"Mahmudah","given":"Siti Nur","non-dropping-particle":"","parse-names":false,"suffix":""},{"dropping-particle":"","family":"Puji Sucia Sukmaningrum, Shochrul Rohmatul Ajija","given":"M Bastomi Fahri Zusak","non-dropping-particle":"","parse-names":false,"suffix":""}],"container-title":"rigeo.org","id":"ITEM-1","issue":"4","issued":{"date-parts":[["2021"]]},"page":"2021","title":"The Strategies for Developing Micro Waqf Bank in Indonesia","type":"article-journal","volume":"11"},"uris":["http://www.mendeley.com/documents/?uuid=caadee5a-1067-4f6d-80f1-852430535ac8"]}],"mendeley":{"formattedCitation":"(Hasiba et al., 2021)","plainTextFormattedCitation":"(Hasiba et al., 2021)","previouslyFormattedCitation":"(Hasiba et al., 2021)"},"properties":{"noteIndex":0},"schema":"https://github.com/citation-style-language/schema/raw/master/csl-citation.json"}</w:instrText>
      </w:r>
      <w:r w:rsidRPr="004E16EB">
        <w:rPr>
          <w:rFonts w:ascii="Times New Roman" w:hAnsi="Times New Roman" w:cs="Times New Roman"/>
        </w:rPr>
        <w:fldChar w:fldCharType="separate"/>
      </w:r>
      <w:r w:rsidRPr="00573487">
        <w:rPr>
          <w:rFonts w:ascii="Times New Roman" w:hAnsi="Times New Roman" w:cs="Times New Roman"/>
          <w:noProof/>
        </w:rPr>
        <w:t>(Hasiba et al., 2021)</w:t>
      </w:r>
      <w:r w:rsidRPr="004E16EB">
        <w:rPr>
          <w:rFonts w:ascii="Times New Roman" w:hAnsi="Times New Roman" w:cs="Times New Roman"/>
        </w:rPr>
        <w:fldChar w:fldCharType="end"/>
      </w:r>
      <w:r w:rsidRPr="004E16EB">
        <w:rPr>
          <w:rFonts w:ascii="Times New Roman" w:hAnsi="Times New Roman" w:cs="Times New Roman"/>
        </w:rPr>
        <w:t xml:space="preserve"> </w:t>
      </w:r>
      <w:r w:rsidRPr="004E16EB">
        <w:rPr>
          <w:rFonts w:ascii="Times New Roman" w:hAnsi="Times New Roman"/>
        </w:rPr>
        <w:t xml:space="preserve">stated that this model significantly impacts poverty alleviation in Bangladesh, where loans are given to </w:t>
      </w:r>
      <w:r w:rsidR="00A37C76">
        <w:rPr>
          <w:rFonts w:ascii="Times New Roman" w:hAnsi="Times New Roman"/>
        </w:rPr>
        <w:t>people experiencing poverty</w:t>
      </w:r>
      <w:r w:rsidRPr="004E16EB">
        <w:rPr>
          <w:rFonts w:ascii="Times New Roman" w:hAnsi="Times New Roman"/>
        </w:rPr>
        <w:t xml:space="preserve"> based on trust, not collateral or guarantor. Prospective borrowers should join a group of microfinance borrowers to receive a loan from Grameen Bank</w:t>
      </w:r>
      <w:r w:rsidRPr="004E16EB">
        <w:rPr>
          <w:rFonts w:ascii="Times New Roman" w:hAnsi="Times New Roman" w:cs="Times New Roman"/>
        </w:rPr>
        <w:t xml:space="preserve">. </w:t>
      </w:r>
    </w:p>
    <w:p w14:paraId="3C630621" w14:textId="69B93907" w:rsidR="00384CB1" w:rsidRPr="004E16EB" w:rsidRDefault="00384CB1" w:rsidP="00384CB1">
      <w:pPr>
        <w:pStyle w:val="ListParagraph"/>
        <w:widowControl w:val="0"/>
        <w:ind w:left="0" w:firstLine="720"/>
        <w:jc w:val="both"/>
        <w:rPr>
          <w:rFonts w:ascii="Times New Roman" w:hAnsi="Times New Roman" w:cs="Times New Roman"/>
          <w:lang w:val="id-ID"/>
        </w:rPr>
      </w:pPr>
      <w:r w:rsidRPr="004E16EB">
        <w:rPr>
          <w:rFonts w:ascii="Times New Roman" w:hAnsi="Times New Roman"/>
        </w:rPr>
        <w:t xml:space="preserve">The Grameen Bank model has been replicated and modified in many Sharia microfinance programs in Indonesia, including Sharia micro </w:t>
      </w:r>
      <w:r w:rsidRPr="004E16EB">
        <w:rPr>
          <w:rFonts w:ascii="Times New Roman" w:hAnsi="Times New Roman"/>
          <w:i/>
          <w:iCs/>
        </w:rPr>
        <w:t xml:space="preserve">waqf </w:t>
      </w:r>
      <w:r w:rsidRPr="004E16EB">
        <w:rPr>
          <w:rFonts w:ascii="Times New Roman" w:hAnsi="Times New Roman"/>
        </w:rPr>
        <w:t xml:space="preserve">banks. Most Sharia microfinance is designed as ultra-micro financing as accomplished by </w:t>
      </w:r>
      <w:proofErr w:type="spellStart"/>
      <w:r w:rsidRPr="004E16EB">
        <w:rPr>
          <w:rFonts w:ascii="Times New Roman" w:hAnsi="Times New Roman"/>
          <w:i/>
        </w:rPr>
        <w:t>Permodalan</w:t>
      </w:r>
      <w:proofErr w:type="spellEnd"/>
      <w:r w:rsidRPr="004E16EB">
        <w:rPr>
          <w:rFonts w:ascii="Times New Roman" w:hAnsi="Times New Roman"/>
          <w:i/>
        </w:rPr>
        <w:t xml:space="preserve"> Nasional </w:t>
      </w:r>
      <w:proofErr w:type="spellStart"/>
      <w:r w:rsidRPr="004E16EB">
        <w:rPr>
          <w:rFonts w:ascii="Times New Roman" w:hAnsi="Times New Roman"/>
          <w:i/>
        </w:rPr>
        <w:t>Madani</w:t>
      </w:r>
      <w:proofErr w:type="spellEnd"/>
      <w:r w:rsidRPr="004E16EB">
        <w:rPr>
          <w:rFonts w:ascii="Times New Roman" w:hAnsi="Times New Roman"/>
        </w:rPr>
        <w:t xml:space="preserve"> (PNM) since 2015 </w:t>
      </w:r>
      <w:r w:rsidRPr="004E16EB">
        <w:rPr>
          <w:rFonts w:ascii="Times New Roman" w:hAnsi="Times New Roman" w:cs="Times New Roman"/>
        </w:rPr>
        <w:fldChar w:fldCharType="begin" w:fldLock="1"/>
      </w:r>
      <w:r>
        <w:rPr>
          <w:rFonts w:ascii="Times New Roman" w:hAnsi="Times New Roman" w:cs="Times New Roman"/>
        </w:rPr>
        <w:instrText>ADDIN CSL_CITATION {"citationItems":[{"id":"ITEM-1","itemData":{"ISSN":"2623-0402","abstract":"The community requires financial literacy to manage finances in order to accomplish optimal goals and to make decisions about how to use financial institutions. A descriptive qualitative approach is used in this study, using a sample of 7 informants interviewed. Data is gathered through interviews, observations, and documentation. The credibility technique is used in the data validity technique.  Internal validity (internal validity), exterior validity (external validity), dependability (reliability), and trustworthiness (objectivity). According to the findings of this study, the degree of Islamic education in the United States is at an all-time high. The fishing community in Dusun Kuala Jaya still has a poor level of financial literacy. In the meantime, the level of Islamic financial inclusion in the fishing community in the United States has increased. Dusun Kuala Jaya is a fantastic restaurant. Account ownership and saving are indicators of this. and traditional financial entities' financing","author":[{"dropping-particle":"","family":"Musta'anah","given":"Ana","non-dropping-particle":"","parse-names":false,"suffix":""},{"dropping-particle":"","family":"Bina Buono","given":"Kulup","non-dropping-particle":"","parse-names":false,"suffix":""},{"dropping-particle":"","family":"Atika","given":"Ria","non-dropping-particle":"","parse-names":false,"suffix":""},{"dropping-particle":"","family":"Noviarita","given":"Heni","non-dropping-particle":"","parse-names":false,"suffix":""},{"dropping-particle":"","family":"Islam","given":"Universitas","non-dropping-particle":"","parse-names":false,"suffix":""},{"dropping-particle":"","family":"Raden","given":"Negeri","non-dropping-particle":"","parse-names":false,"suffix":""},{"dropping-particle":"","family":"Lampung","given":"Intan","non-dropping-particle":"","parse-names":false,"suffix":""}],"container-title":"Journal of Islamic Business and Economic Review","id":"ITEM-1","issue":"2","issued":{"date-parts":[["2021","7"]]},"page":"97-101","title":"Analysis of Sharia Literacy Level and Sharia Financial Inclusion PNM Mekaar Sharia in Increasing Income Public (Study on the Fishing Community of Kuala Jaya Hamlet, South Lampung Regency)","type":"article-journal","volume":"4"},"uris":["http://www.mendeley.com/documents/?uuid=59f3b27e-f931-3ef6-b3c4-ce70805d6224","http://www.mendeley.com/documents/?uuid=f12aa4d0-b53b-48d9-9587-1b48dd898146"]}],"mendeley":{"formattedCitation":"(Musta’anah et al., 2021)","plainTextFormattedCitation":"(Musta’anah et al., 2021)","previouslyFormattedCitation":"(Musta’anah et al., 2021)"},"properties":{"noteIndex":0},"schema":"https://github.com/citation-style-language/schema/raw/master/csl-citation.json"}</w:instrText>
      </w:r>
      <w:r w:rsidRPr="004E16EB">
        <w:rPr>
          <w:rFonts w:ascii="Times New Roman" w:hAnsi="Times New Roman" w:cs="Times New Roman"/>
        </w:rPr>
        <w:fldChar w:fldCharType="separate"/>
      </w:r>
      <w:r w:rsidRPr="004E16EB">
        <w:rPr>
          <w:rFonts w:ascii="Times New Roman" w:hAnsi="Times New Roman" w:cs="Times New Roman"/>
          <w:noProof/>
        </w:rPr>
        <w:t>(Musta’anah et al., 2021)</w:t>
      </w:r>
      <w:r w:rsidRPr="004E16EB">
        <w:rPr>
          <w:rFonts w:ascii="Times New Roman" w:hAnsi="Times New Roman" w:cs="Times New Roman"/>
        </w:rPr>
        <w:fldChar w:fldCharType="end"/>
      </w:r>
      <w:r w:rsidRPr="004E16EB">
        <w:rPr>
          <w:rFonts w:ascii="Times New Roman" w:hAnsi="Times New Roman" w:cs="Times New Roman"/>
        </w:rPr>
        <w:t xml:space="preserve">. </w:t>
      </w:r>
      <w:r w:rsidRPr="004E16EB">
        <w:rPr>
          <w:rFonts w:ascii="Times New Roman" w:hAnsi="Times New Roman"/>
        </w:rPr>
        <w:t>Similarly, BTPN Syariah has focused on economically empowering productive</w:t>
      </w:r>
      <w:r w:rsidR="00A37C76">
        <w:rPr>
          <w:rFonts w:ascii="Times New Roman" w:hAnsi="Times New Roman"/>
        </w:rPr>
        <w:t>,</w:t>
      </w:r>
      <w:r w:rsidRPr="004E16EB">
        <w:rPr>
          <w:rFonts w:ascii="Times New Roman" w:hAnsi="Times New Roman"/>
        </w:rPr>
        <w:t xml:space="preserve"> underprivileged women since 2010 </w:t>
      </w:r>
      <w:r w:rsidRPr="004E16EB">
        <w:rPr>
          <w:rFonts w:ascii="Times New Roman" w:hAnsi="Times New Roman" w:cs="Times New Roman"/>
        </w:rPr>
        <w:fldChar w:fldCharType="begin" w:fldLock="1"/>
      </w:r>
      <w:r>
        <w:rPr>
          <w:rFonts w:ascii="Times New Roman" w:hAnsi="Times New Roman" w:cs="Times New Roman"/>
        </w:rPr>
        <w:instrText>ADDIN CSL_CITATION {"citationItems":[{"id":"ITEM-1","itemData":{"DOI":"10.2991/AEBMR.K.200522.045","ISBN":"978-94-6252-973-1","ISSN":"2352-5428","abstract":"… Spirituality in Workplace, Individual Spirituality and Work Behaviour: The Studi of Higher Education in Indonesia” SSRN Working Paper Series … (Bank Jatim Syariah) Kantor Cabang Surabaya,” Jurnal Ekonomi Islam, vol … [9] AJ Ali and A. Owaihan, “Islamic Work Ethics : a critical …","author":[{"dropping-particle":"","family":"Fanggidae","given":"Rolland Epafras","non-dropping-particle":"","parse-names":false,"suffix":""},{"dropping-particle":"","family":"Kurniawati","given":"Merlyn","non-dropping-particle":"","parse-names":false,"suffix":""},{"dropping-particle":"","family":"Bahweres","given":"Hawyah","non-dropping-particle":"","parse-names":false,"suffix":""}],"container-title":"Atlantes Press","id":"ITEM-1","issued":{"date-parts":[["2020","5"]]},"page":"234-239","publisher":"Atlantis Press","title":"The Effect of Workplace Spirituality and Employee Performance (Perspective of Islamic Work Ethics Case Study on BTPN Syariah, Kupang)","type":"article-journal"},"uris":["http://www.mendeley.com/documents/?uuid=edca6b80-6c3e-31ec-8d29-35fe440c1d90","http://www.mendeley.com/documents/?uuid=e5a0b73f-8fad-4988-9648-452fdce80238"]}],"mendeley":{"formattedCitation":"(Fanggidae et al., 2020)","plainTextFormattedCitation":"(Fanggidae et al., 2020)","previouslyFormattedCitation":"(Fanggidae et al., 2020)"},"properties":{"noteIndex":0},"schema":"https://github.com/citation-style-language/schema/raw/master/csl-citation.json"}</w:instrText>
      </w:r>
      <w:r w:rsidRPr="004E16EB">
        <w:rPr>
          <w:rFonts w:ascii="Times New Roman" w:hAnsi="Times New Roman" w:cs="Times New Roman"/>
        </w:rPr>
        <w:fldChar w:fldCharType="separate"/>
      </w:r>
      <w:r w:rsidRPr="004E16EB">
        <w:rPr>
          <w:rFonts w:ascii="Times New Roman" w:hAnsi="Times New Roman" w:cs="Times New Roman"/>
          <w:noProof/>
        </w:rPr>
        <w:t>(Fanggidae et al., 2020)</w:t>
      </w:r>
      <w:r w:rsidRPr="004E16EB">
        <w:rPr>
          <w:rFonts w:ascii="Times New Roman" w:hAnsi="Times New Roman" w:cs="Times New Roman"/>
        </w:rPr>
        <w:fldChar w:fldCharType="end"/>
      </w:r>
      <w:r w:rsidRPr="004E16EB">
        <w:rPr>
          <w:rFonts w:ascii="Times New Roman" w:hAnsi="Times New Roman" w:cs="Times New Roman"/>
        </w:rPr>
        <w:t xml:space="preserve">. </w:t>
      </w:r>
      <w:r w:rsidRPr="004E16EB">
        <w:rPr>
          <w:rFonts w:ascii="Times New Roman" w:hAnsi="Times New Roman"/>
        </w:rPr>
        <w:t xml:space="preserve">These financial institution programs have </w:t>
      </w:r>
      <w:r w:rsidR="00A37C76">
        <w:rPr>
          <w:rFonts w:ascii="Times New Roman" w:hAnsi="Times New Roman"/>
        </w:rPr>
        <w:t>specific</w:t>
      </w:r>
      <w:r w:rsidRPr="004E16EB">
        <w:rPr>
          <w:rFonts w:ascii="Times New Roman" w:hAnsi="Times New Roman"/>
        </w:rPr>
        <w:t xml:space="preserve"> characteristics, such as community empowerment and microfinance services. They are group-based and specifically aimed at women from poor or low-income families</w:t>
      </w:r>
      <w:r w:rsidRPr="004E16EB">
        <w:rPr>
          <w:rFonts w:ascii="Times New Roman" w:hAnsi="Times New Roman" w:cs="Times New Roman"/>
        </w:rPr>
        <w:t xml:space="preserve"> </w:t>
      </w:r>
      <w:r w:rsidRPr="004E16EB">
        <w:rPr>
          <w:rFonts w:ascii="Times New Roman" w:hAnsi="Times New Roman" w:cs="Times New Roman"/>
        </w:rPr>
        <w:fldChar w:fldCharType="begin" w:fldLock="1"/>
      </w:r>
      <w:r>
        <w:rPr>
          <w:rFonts w:ascii="Times New Roman" w:hAnsi="Times New Roman" w:cs="Times New Roman"/>
        </w:rPr>
        <w:instrText>ADDIN CSL_CITATION {"citationItems":[{"id":"ITEM-1","itemData":{"DOI":"10.1007/978-3-319-69799-4_3","abstract":"This chapter evaluates the impact of the Islamic microfinance institution toward the women empowerment. We surveyed approximately two hundred and forty women who had been involved in the microfinance of the Misykat program in the Dompet Peduli Ummat of Daarut Tauhid...","author":[{"dropping-particle":"","family":"Yaumidin","given":"Umi Karomah","non-dropping-particle":"","parse-names":false,"suffix":""},{"dropping-particle":"","family":"Suhodo","given":"Diah Setiari","non-dropping-particle":"","parse-names":false,"suffix":""},{"dropping-particle":"","family":"Yuniarti","given":"Putri Irma","non-dropping-particle":"","parse-names":false,"suffix":""},{"dropping-particle":"","family":"Hidayatina","given":"Achsanah","non-dropping-particle":"","parse-names":false,"suffix":""}],"container-title":"Financial Inclusion and Poverty Alleviation","id":"ITEM-1","issued":{"date-parts":[["2017"]]},"page":"81-140","publisher":"Palgrave Macmillan, Cham","title":"Financial Inclusion for Women: Impact Evaluation on Islamic Microfinance to Women’s Empowerment in Indonesia","type":"article-journal"},"uris":["http://www.mendeley.com/documents/?uuid=cee2419c-bc37-398f-8df5-b6b871947227","http://www.mendeley.com/documents/?uuid=67d3d1bc-ee30-4487-8251-55da6fec1de9"]}],"mendeley":{"formattedCitation":"(Yaumidin et al., 2017)","plainTextFormattedCitation":"(Yaumidin et al., 2017)","previouslyFormattedCitation":"(Yaumidin et al., 2017)"},"properties":{"noteIndex":0},"schema":"https://github.com/citation-style-language/schema/raw/master/csl-citation.json"}</w:instrText>
      </w:r>
      <w:r w:rsidRPr="004E16EB">
        <w:rPr>
          <w:rFonts w:ascii="Times New Roman" w:hAnsi="Times New Roman" w:cs="Times New Roman"/>
        </w:rPr>
        <w:fldChar w:fldCharType="separate"/>
      </w:r>
      <w:r w:rsidRPr="004E16EB">
        <w:rPr>
          <w:rFonts w:ascii="Times New Roman" w:hAnsi="Times New Roman" w:cs="Times New Roman"/>
          <w:noProof/>
        </w:rPr>
        <w:t>(Yaumidin et al., 2017)</w:t>
      </w:r>
      <w:r w:rsidRPr="004E16EB">
        <w:rPr>
          <w:rFonts w:ascii="Times New Roman" w:hAnsi="Times New Roman" w:cs="Times New Roman"/>
        </w:rPr>
        <w:fldChar w:fldCharType="end"/>
      </w:r>
      <w:r w:rsidRPr="004E16EB">
        <w:rPr>
          <w:rFonts w:ascii="Times New Roman" w:hAnsi="Times New Roman" w:cs="Times New Roman"/>
        </w:rPr>
        <w:t xml:space="preserve">. Muhammad </w:t>
      </w:r>
      <w:proofErr w:type="spellStart"/>
      <w:r w:rsidRPr="004E16EB">
        <w:rPr>
          <w:rFonts w:ascii="Times New Roman" w:hAnsi="Times New Roman" w:cs="Times New Roman"/>
        </w:rPr>
        <w:t>Yunus</w:t>
      </w:r>
      <w:proofErr w:type="spellEnd"/>
      <w:r w:rsidRPr="004E16EB">
        <w:rPr>
          <w:rFonts w:ascii="Times New Roman" w:hAnsi="Times New Roman" w:cs="Times New Roman"/>
        </w:rPr>
        <w:t xml:space="preserve"> stated that </w:t>
      </w:r>
      <w:r w:rsidRPr="004E16EB">
        <w:rPr>
          <w:rFonts w:ascii="Times New Roman" w:hAnsi="Times New Roman"/>
        </w:rPr>
        <w:t xml:space="preserve">microfinance institutions that provide financial services to stimulate small businesses could empower women </w:t>
      </w:r>
      <w:r w:rsidRPr="004E16EB">
        <w:rPr>
          <w:rFonts w:ascii="Times New Roman" w:hAnsi="Times New Roman" w:cs="Times New Roman"/>
        </w:rPr>
        <w:fldChar w:fldCharType="begin" w:fldLock="1"/>
      </w:r>
      <w:r>
        <w:rPr>
          <w:rFonts w:ascii="Times New Roman" w:hAnsi="Times New Roman" w:cs="Times New Roman"/>
        </w:rPr>
        <w:instrText>ADDIN CSL_CITATION {"citationItems":[{"id":"ITEM-1","itemData":{"DOI":"10.1016/j.wsif.2019.102300","ISSN":"02775395","abstract":"This paper investigates the effects of female financial inclusion on inclusive economic development. Financial inclusion, understood as the access to and usage of a diverse range of quality financial products and services, can have a positive effect on the reduction of income inequality. Specifically, when women participate in the financial system, the inequality gap decreases, enabling higher economic development, which also increases both physical and social wellbeing. An instrumental variable analysis is conducted on a sample of 91 countries, comprising both developed and emerging countries, using data from the Global Findex (2015) database and the World Bank DataBank. Our results effectively provide evidence attesting to the fact that greater financial inclusion of women, measured as access to a bank account and access to credit cards, has a positive effect on economic development. However, bank loans did not show any significance when explaining economic development.","author":[{"dropping-particle":"","family":"Cabeza-García","given":"Laura","non-dropping-particle":"","parse-names":false,"suffix":""},{"dropping-particle":"","family":"Brio","given":"Esther B.","non-dropping-particle":"Del","parse-names":false,"suffix":""},{"dropping-particle":"","family":"Oscanoa-Victorio","given":"Mery Luz","non-dropping-particle":"","parse-names":false,"suffix":""}],"container-title":"Women's Studies International Forum","id":"ITEM-1","issue":"October","issued":{"date-parts":[["2019"]]},"page":"102300","publisher":"Elsevier","title":"Female financial inclusion and its impacts on inclusive economic development","type":"article-journal","volume":"77"},"uris":["http://www.mendeley.com/documents/?uuid=ebe88bca-d18f-42ad-b031-9e8b38b144c2","http://www.mendeley.com/documents/?uuid=d79604a2-c2be-45b8-aa02-7e5f76e90807"]}],"mendeley":{"formattedCitation":"(Cabeza-García et al., 2019)","plainTextFormattedCitation":"(Cabeza-García et al., 2019)","previouslyFormattedCitation":"(Cabeza-García et al., 2019)"},"properties":{"noteIndex":0},"schema":"https://github.com/citation-style-language/schema/raw/master/csl-citation.json"}</w:instrText>
      </w:r>
      <w:r w:rsidRPr="004E16EB">
        <w:rPr>
          <w:rFonts w:ascii="Times New Roman" w:hAnsi="Times New Roman" w:cs="Times New Roman"/>
        </w:rPr>
        <w:fldChar w:fldCharType="separate"/>
      </w:r>
      <w:r w:rsidRPr="004E16EB">
        <w:rPr>
          <w:rFonts w:ascii="Times New Roman" w:hAnsi="Times New Roman" w:cs="Times New Roman"/>
          <w:noProof/>
        </w:rPr>
        <w:t>(Cabeza-García et al., 2019)</w:t>
      </w:r>
      <w:r w:rsidRPr="004E16EB">
        <w:rPr>
          <w:rFonts w:ascii="Times New Roman" w:hAnsi="Times New Roman" w:cs="Times New Roman"/>
        </w:rPr>
        <w:fldChar w:fldCharType="end"/>
      </w:r>
      <w:r w:rsidRPr="004E16EB">
        <w:rPr>
          <w:rFonts w:ascii="Times New Roman" w:hAnsi="Times New Roman" w:cs="Times New Roman"/>
        </w:rPr>
        <w:t>.</w:t>
      </w:r>
      <w:r w:rsidRPr="004E16EB">
        <w:rPr>
          <w:rFonts w:ascii="Times New Roman" w:hAnsi="Times New Roman" w:cs="Times New Roman"/>
          <w:spacing w:val="5"/>
        </w:rPr>
        <w:t xml:space="preserve"> </w:t>
      </w:r>
      <w:proofErr w:type="spellStart"/>
      <w:r w:rsidRPr="004E16EB">
        <w:rPr>
          <w:rFonts w:ascii="Times New Roman" w:hAnsi="Times New Roman"/>
          <w:spacing w:val="5"/>
        </w:rPr>
        <w:t>Mit</w:t>
      </w:r>
      <w:proofErr w:type="spellEnd"/>
      <w:r w:rsidRPr="004E16EB">
        <w:rPr>
          <w:rFonts w:ascii="Times New Roman" w:hAnsi="Times New Roman"/>
          <w:spacing w:val="5"/>
        </w:rPr>
        <w:t xml:space="preserve"> </w:t>
      </w:r>
      <w:proofErr w:type="spellStart"/>
      <w:r w:rsidRPr="004E16EB">
        <w:rPr>
          <w:rFonts w:ascii="Times New Roman" w:hAnsi="Times New Roman"/>
          <w:spacing w:val="5"/>
        </w:rPr>
        <w:t>Ghramr</w:t>
      </w:r>
      <w:proofErr w:type="spellEnd"/>
      <w:r w:rsidRPr="004E16EB">
        <w:rPr>
          <w:rFonts w:ascii="Times New Roman" w:hAnsi="Times New Roman"/>
          <w:spacing w:val="5"/>
        </w:rPr>
        <w:t xml:space="preserve"> </w:t>
      </w:r>
      <w:r w:rsidR="00A37C76">
        <w:rPr>
          <w:rFonts w:ascii="Times New Roman" w:hAnsi="Times New Roman"/>
          <w:spacing w:val="5"/>
        </w:rPr>
        <w:t>B</w:t>
      </w:r>
      <w:r w:rsidRPr="004E16EB">
        <w:rPr>
          <w:rFonts w:ascii="Times New Roman" w:hAnsi="Times New Roman"/>
          <w:spacing w:val="5"/>
        </w:rPr>
        <w:t xml:space="preserve">ank was founded for small business loans, and 97% of its customers are women </w:t>
      </w:r>
      <w:r w:rsidRPr="004E16EB">
        <w:rPr>
          <w:rFonts w:ascii="Times New Roman" w:hAnsi="Times New Roman" w:cs="Times New Roman"/>
          <w:spacing w:val="5"/>
        </w:rPr>
        <w:fldChar w:fldCharType="begin" w:fldLock="1"/>
      </w:r>
      <w:r>
        <w:rPr>
          <w:rFonts w:ascii="Times New Roman" w:hAnsi="Times New Roman" w:cs="Times New Roman"/>
          <w:spacing w:val="5"/>
        </w:rPr>
        <w:instrText>ADDIN CSL_CITATION {"citationItems":[{"id":"ITEM-1","itemData":{"author":[{"dropping-particle":"","family":"Yunus","given":"Muhammad","non-dropping-particle":"","parse-names":false,"suffix":""}],"container-title":"Global Urban Development","id":"ITEM-1","issued":{"date-parts":[["2005"]]},"title":"ELIMINATING POVERTY THROUGH MARKET-BASED SOCIAL ENTREPRENEURSHIP","type":"report","volume":"1"},"uris":["http://www.mendeley.com/documents/?uuid=4f44eb36-87ed-48be-bd7b-50020d2f844a","http://www.mendeley.com/documents/?uuid=62c61695-6023-3930-b880-687d08a20fc6"]}],"mendeley":{"formattedCitation":"(Yunus, 2005)","plainTextFormattedCitation":"(Yunus, 2005)","previouslyFormattedCitation":"(M. Yunus, 2005)"},"properties":{"noteIndex":0},"schema":"https://github.com/citation-style-language/schema/raw/master/csl-citation.json"}</w:instrText>
      </w:r>
      <w:r w:rsidRPr="004E16EB">
        <w:rPr>
          <w:rFonts w:ascii="Times New Roman" w:hAnsi="Times New Roman" w:cs="Times New Roman"/>
          <w:spacing w:val="5"/>
        </w:rPr>
        <w:fldChar w:fldCharType="separate"/>
      </w:r>
      <w:r w:rsidRPr="00384CB1">
        <w:rPr>
          <w:rFonts w:ascii="Times New Roman" w:hAnsi="Times New Roman" w:cs="Times New Roman"/>
          <w:noProof/>
          <w:spacing w:val="5"/>
        </w:rPr>
        <w:t>(Yunus, 2005)</w:t>
      </w:r>
      <w:r w:rsidRPr="004E16EB">
        <w:rPr>
          <w:rFonts w:ascii="Times New Roman" w:hAnsi="Times New Roman" w:cs="Times New Roman"/>
          <w:spacing w:val="5"/>
        </w:rPr>
        <w:fldChar w:fldCharType="end"/>
      </w:r>
      <w:r w:rsidRPr="004E16EB">
        <w:rPr>
          <w:rFonts w:ascii="Times New Roman" w:hAnsi="Times New Roman" w:cs="Times New Roman"/>
          <w:spacing w:val="5"/>
        </w:rPr>
        <w:t>.</w:t>
      </w:r>
      <w:r w:rsidRPr="004E16EB">
        <w:rPr>
          <w:rFonts w:ascii="Times New Roman" w:hAnsi="Times New Roman" w:cs="Times New Roman"/>
        </w:rPr>
        <w:t xml:space="preserve"> </w:t>
      </w:r>
    </w:p>
    <w:p w14:paraId="3DEEED64" w14:textId="77777777" w:rsidR="00384CB1" w:rsidRPr="004E16EB" w:rsidRDefault="00384CB1" w:rsidP="00384CB1">
      <w:pPr>
        <w:pStyle w:val="ListParagraph"/>
        <w:widowControl w:val="0"/>
        <w:ind w:left="0" w:firstLine="720"/>
        <w:jc w:val="both"/>
        <w:rPr>
          <w:rFonts w:ascii="Times New Roman" w:hAnsi="Times New Roman" w:cs="Times New Roman"/>
          <w:lang w:val="id-ID"/>
        </w:rPr>
      </w:pPr>
    </w:p>
    <w:p w14:paraId="1215E129" w14:textId="77777777" w:rsidR="00384CB1" w:rsidRPr="004E16EB" w:rsidRDefault="00384CB1" w:rsidP="00384CB1">
      <w:pPr>
        <w:pStyle w:val="ListParagraph"/>
        <w:numPr>
          <w:ilvl w:val="1"/>
          <w:numId w:val="9"/>
        </w:numPr>
        <w:ind w:left="426"/>
        <w:jc w:val="both"/>
        <w:rPr>
          <w:rFonts w:ascii="Times New Roman" w:hAnsi="Times New Roman"/>
          <w:b/>
          <w:bCs/>
          <w:lang w:val="id-ID"/>
        </w:rPr>
      </w:pPr>
      <w:r w:rsidRPr="004E16EB">
        <w:rPr>
          <w:rFonts w:ascii="Times New Roman" w:hAnsi="Times New Roman"/>
          <w:b/>
          <w:bCs/>
          <w:lang w:val="id-ID"/>
        </w:rPr>
        <w:t>T</w:t>
      </w:r>
      <w:r w:rsidRPr="004E16EB">
        <w:rPr>
          <w:rFonts w:ascii="Times New Roman" w:hAnsi="Times New Roman"/>
          <w:b/>
          <w:bCs/>
        </w:rPr>
        <w:t xml:space="preserve">he </w:t>
      </w:r>
      <w:proofErr w:type="spellStart"/>
      <w:r w:rsidRPr="004E16EB">
        <w:rPr>
          <w:rFonts w:ascii="Times New Roman" w:hAnsi="Times New Roman"/>
          <w:b/>
          <w:bCs/>
          <w:i/>
          <w:iCs/>
        </w:rPr>
        <w:t>Halaq</w:t>
      </w:r>
      <w:proofErr w:type="spellEnd"/>
      <w:r w:rsidRPr="004E16EB">
        <w:rPr>
          <w:rFonts w:ascii="Times New Roman" w:hAnsi="Times New Roman"/>
          <w:b/>
          <w:bCs/>
          <w:i/>
          <w:iCs/>
          <w:lang w:val="id-ID"/>
        </w:rPr>
        <w:t>o</w:t>
      </w:r>
      <w:r w:rsidRPr="004E16EB">
        <w:rPr>
          <w:rFonts w:ascii="Times New Roman" w:hAnsi="Times New Roman"/>
          <w:b/>
          <w:bCs/>
          <w:i/>
          <w:iCs/>
        </w:rPr>
        <w:t xml:space="preserve">h </w:t>
      </w:r>
      <w:r w:rsidRPr="004E16EB">
        <w:rPr>
          <w:rFonts w:ascii="Times New Roman" w:hAnsi="Times New Roman"/>
          <w:b/>
          <w:bCs/>
        </w:rPr>
        <w:t>Method In Women's Economic Empowerment</w:t>
      </w:r>
    </w:p>
    <w:p w14:paraId="6C6B8E79" w14:textId="3B0A9A7E" w:rsidR="00384CB1" w:rsidRPr="004E16EB" w:rsidRDefault="00384CB1" w:rsidP="00384CB1">
      <w:pPr>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MWB uses the </w:t>
      </w:r>
      <w:proofErr w:type="spellStart"/>
      <w:r w:rsidRPr="004E16EB">
        <w:rPr>
          <w:rFonts w:ascii="Times New Roman" w:hAnsi="Times New Roman"/>
          <w:i/>
          <w:iCs/>
          <w:sz w:val="24"/>
          <w:szCs w:val="24"/>
        </w:rPr>
        <w:t>halaq</w:t>
      </w:r>
      <w:proofErr w:type="spellEnd"/>
      <w:r w:rsidRPr="004E16EB">
        <w:rPr>
          <w:rFonts w:ascii="Times New Roman" w:hAnsi="Times New Roman"/>
          <w:i/>
          <w:iCs/>
          <w:sz w:val="24"/>
          <w:szCs w:val="24"/>
          <w:lang w:val="id-ID"/>
        </w:rPr>
        <w:t>o</w:t>
      </w:r>
      <w:r w:rsidRPr="004E16EB">
        <w:rPr>
          <w:rFonts w:ascii="Times New Roman" w:hAnsi="Times New Roman"/>
          <w:i/>
          <w:iCs/>
          <w:sz w:val="24"/>
          <w:szCs w:val="24"/>
        </w:rPr>
        <w:t xml:space="preserve">h </w:t>
      </w:r>
      <w:r w:rsidRPr="004E16EB">
        <w:rPr>
          <w:rFonts w:ascii="Times New Roman" w:hAnsi="Times New Roman"/>
          <w:sz w:val="24"/>
          <w:szCs w:val="24"/>
        </w:rPr>
        <w:t>method in women's economic empowerment activity around Islamic boarding schools</w:t>
      </w:r>
      <w:r w:rsidRPr="004E16EB">
        <w:rPr>
          <w:rFonts w:ascii="Times New Roman" w:hAnsi="Times New Roman" w:cs="Times New Roman"/>
          <w:sz w:val="24"/>
          <w:szCs w:val="24"/>
        </w:rPr>
        <w:t xml:space="preserve">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{"citationItems":[{"id":"ITEM-1","itemData":{"DOI":"10.18326/AICIEB.V2I1.126","ISSN":"2809-3445","abstract":"This study aims to elaborate on the empowerment carried out by the Micro Waqf Bank for women around Islamic boarding schools and its impact on increasing the income of the home industry. This study uses a mix method that combines qualitative and quantitative research. The research was conducted on micro waqf banks in Indonesia. Data collection techniques were carried out by questionnaires, interviews, observations and documentation data. Data analysis and review was carried out qualitatively and statistically. Empowerment carried out by Micro Waqf Banks begins with Pre-Compulsory Group Training (Pra PWK), then Group Compulsory Training (PWK) and Weekly Halaqah (HALMI). The distribution of financing and assistance to women is carried out on a group basis with a pattern of joint responsibility. The financing disbursed by micro waqf banks to women has a significant impact on increasing the income of the home industry.","author":[{"dropping-particle":"","family":"Rozalinda","given":"Rozalinda","non-dropping-particle":"","parse-names":false,"suffix":""},{"dropping-particle":"","family":"Nurhasnah","given":"Nurhasnah","non-dropping-particle":"","parse-names":false,"suffix":""}],"container-title":"Annual International Conference on Islamic Economics and Business (AICIEB)","id":"ITEM-1","issue":"1","issued":{"date-parts":[["2022","8"]]},"page":"432-448","title":"Islamic Boarding School-Based Women's Economic Empowerment and Its Impact on Increasing Home Industry Income","type":"article-journal","volume":"2"},"uris":["http://www.mendeley.com/documents/?uuid=3b7b9383-cd54-3f22-b5f5-6835b06d4004","http://www.mendeley.com/documents/?uuid=00c18347-7859-48d5-ae10-3a9f4269cfeb"]}],"mendeley":{"formattedCitation":"(Rozalinda &amp; Nurhasnah, 2022)","plainTextFormattedCitation":"(Rozalinda &amp; Nurhasnah, 2022)","previouslyFormattedCitation":"(Rozalinda &amp; Nurhasnah, 2022)"},"properties":{"noteIndex":0},"schema":"https://github.com/citation-style-language/schema/raw/master/csl-citation.json"}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(Rozalinda &amp; Nurhasnah, 2022)</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The model has been running since prospective MWB customers started participating in GCT</w:t>
      </w:r>
      <w:r w:rsidR="00A37C76">
        <w:rPr>
          <w:rFonts w:ascii="Times New Roman" w:hAnsi="Times New Roman"/>
          <w:sz w:val="24"/>
          <w:szCs w:val="24"/>
        </w:rPr>
        <w:t>, which was</w:t>
      </w:r>
      <w:r w:rsidRPr="004E16EB">
        <w:rPr>
          <w:rFonts w:ascii="Times New Roman" w:hAnsi="Times New Roman"/>
          <w:sz w:val="24"/>
          <w:szCs w:val="24"/>
        </w:rPr>
        <w:t xml:space="preserve"> held for five days</w:t>
      </w:r>
      <w:r>
        <w:rPr>
          <w:rFonts w:ascii="Times New Roman" w:hAnsi="Times New Roman"/>
          <w:sz w:val="24"/>
          <w:szCs w:val="24"/>
          <w:lang w:val="id-ID"/>
        </w:rPr>
        <w:t xml:space="preserve"> </w:t>
      </w:r>
      <w:r>
        <w:rPr>
          <w:rFonts w:ascii="Times New Roman" w:hAnsi="Times New Roman"/>
          <w:sz w:val="24"/>
          <w:szCs w:val="24"/>
        </w:rPr>
        <w:fldChar w:fldCharType="begin" w:fldLock="1"/>
      </w:r>
      <w:r>
        <w:rPr>
          <w:rFonts w:ascii="Times New Roman" w:hAnsi="Times New Roman"/>
          <w:sz w:val="24"/>
          <w:szCs w:val="24"/>
        </w:rPr>
        <w:instrText>ADDIN CSL_CITATION {"citationItems":[{"id":"ITEM-1","itemData":{"DOI":"10.15642/JIIS.2023.17.1.76-99","ISSN":"23556994","abstract":"This article studies the transformation of economic theology indicated by the present of financial service access provided by the government to the lower-class society, particularly those living around pesantren. They so far find difficulty in accessing financial service as they are faced with the requirement of collateral and high interest rate. Responding to such condition, Indonesian government develops micro-sharia financial institution called pesantren-based Bank Wakaf Mikro (BWM). This institution has developed and reached many lower-class people with affordable loan scheme in the last five years. Uniquely, this institution not only provides financial loan but also contains theological and Islamic economic education dimensions through weekly halaqah (study circle) activity. This halaqah becomes a place where the customers of BWM attend pengajian (communal Quran study) held by BWM and perform dhikr (remembering Allah by saying laa ilaha illaallah). Through observation and interview, the author studied the vision of pesantren-based BWM founder, strategy and activities conducted and economic theological transformation in the frame of lower-class community empowerment. This research contributes to encouraging the solidarity-based economic activities in the context of Islamic economic theology. © 2023, State Islamic University of Sunan Ampel. All rights reserved.","author":[{"dropping-particle":"","family":"Anwar","given":"Mokhamad Zainal","non-dropping-particle":"","parse-names":false,"suffix":""},{"dropping-particle":"","family":"Fathan","given":"","non-dropping-particle":"","parse-names":false,"suffix":""},{"dropping-particle":"","family":"Warto","given":"","non-dropping-particle":"","parse-names":false,"suffix":""},{"dropping-particle":"","family":"Hidayati","given":"Okta Nurul","non-dropping-particle":"","parse-names":false,"suffix":""}],"container-title":"Journal of Indonesian Islam","id":"ITEM-1","issue":"1","issued":{"date-parts":[["2023","1"]]},"page":"76 - 99","publisher":"State Islamic University of Sunan Ampel","title":"TRANSFORMATION OF ECONOMIC THEOLOGY FOR COMMUNITY EMPOWERMENT A Case Study on Pesantren-Based Bank Wakaf Mikro","type":"article-journal","volume":"17"},"uris":["http://www.mendeley.com/documents/?uuid=c8dbed73-71ce-3765-9045-5fa05b4920ba","http://www.mendeley.com/documents/?uuid=e1b7b6d2-aafd-46e6-a96f-11426440106a"]}],"mendeley":{"formattedCitation":"(Anwar et al., 2023)","plainTextFormattedCitation":"(Anwar et al., 2023)","previouslyFormattedCitation":"(Anwar et al., 2023)"},"properties":{"noteIndex":0},"schema":"https://github.com/citation-style-language/schema/raw/master/csl-citation.json"}</w:instrText>
      </w:r>
      <w:r>
        <w:rPr>
          <w:rFonts w:ascii="Times New Roman" w:hAnsi="Times New Roman"/>
          <w:sz w:val="24"/>
          <w:szCs w:val="24"/>
        </w:rPr>
        <w:fldChar w:fldCharType="separate"/>
      </w:r>
      <w:r w:rsidRPr="00AC42CC">
        <w:rPr>
          <w:rFonts w:ascii="Times New Roman" w:hAnsi="Times New Roman"/>
          <w:noProof/>
          <w:sz w:val="24"/>
          <w:szCs w:val="24"/>
        </w:rPr>
        <w:t>(Anwar et al., 2023)</w:t>
      </w:r>
      <w:r>
        <w:rPr>
          <w:rFonts w:ascii="Times New Roman" w:hAnsi="Times New Roman"/>
          <w:sz w:val="24"/>
          <w:szCs w:val="24"/>
        </w:rPr>
        <w:fldChar w:fldCharType="end"/>
      </w:r>
      <w:r w:rsidRPr="004E16EB">
        <w:rPr>
          <w:rFonts w:ascii="Times New Roman" w:hAnsi="Times New Roman"/>
          <w:sz w:val="24"/>
          <w:szCs w:val="24"/>
        </w:rPr>
        <w:t>.</w:t>
      </w:r>
      <w:r w:rsidRPr="004E16EB">
        <w:rPr>
          <w:rFonts w:ascii="Times New Roman" w:hAnsi="Times New Roman"/>
          <w:i/>
          <w:sz w:val="24"/>
        </w:rPr>
        <w:t xml:space="preserve"> </w:t>
      </w:r>
      <w:proofErr w:type="spellStart"/>
      <w:r w:rsidRPr="004E16EB">
        <w:rPr>
          <w:rFonts w:ascii="Times New Roman" w:hAnsi="Times New Roman"/>
          <w:i/>
          <w:iCs/>
          <w:sz w:val="24"/>
          <w:szCs w:val="24"/>
        </w:rPr>
        <w:t>Halaqoh</w:t>
      </w:r>
      <w:proofErr w:type="spellEnd"/>
      <w:r w:rsidRPr="004E16EB">
        <w:rPr>
          <w:rFonts w:ascii="Times New Roman" w:hAnsi="Times New Roman"/>
          <w:sz w:val="24"/>
          <w:szCs w:val="24"/>
        </w:rPr>
        <w:t xml:space="preserve"> activity is conducted once a week for financing disbursement and customers’ development activity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{"citationItems":[{"id":"ITEM-1","itemData":{"DOI":"10.3390/ECONOMIES10070157","ISSN":"2227-7099","abstract":"This study examined the role of the Micro Waqf Bank in empowering women micro-entrepreneurs. This research used a mixed-method with an explanatory design. Quantitatively, this study examines the effect of the joint responsibility system, financing, and mentoring on the growth of the micro-enterprises business. The sample used was 200 women micro-entrepreneurs using a purposive sampling technique. Quantitative data analysis was performed using the Structural Equation Model based on Partial Least Squares (SEM PLS) technique. This research qualitatively analyzes how the Micro Waqf Bank has carried out its role in empowering women, including dealing with crises due to the COVID-19 pandemic. Thematic analysis was used as the qualitative data analysis technique. Informants in this study amounted to 6 informants from MWB Mawaridussalam consisting of Management, Mentors, and female micro-enterprises. The research results quantitatively indicate that there is a positive and significant impact on the joint responsibility system, financing, and mentoring on the development of micro-enterprise members. Mentoring is the most significant variable that impacts the growth of a micro-enterprise business. Qualitatively, the research results show the role of the Micro Waqf Bank in the economic empowerment of women micro-business entrepreneurs by specifically recommending reinforcement of the mentoring function.","author":[{"dropping-particle":"","family":"Soemitra","given":"Andri","non-dropping-particle":"","parse-names":false,"suffix":""},{"dropping-particle":"","family":"Kusmilawaty","given":"","non-dropping-particle":"","parse-names":false,"suffix":""},{"dropping-particle":"","family":"Rahma","given":"Tri Inda Fadhila","non-dropping-particle":"","parse-names":false,"suffix":""}],"container-title":"Economies 2022, Vol. 10, Page 157","id":"ITEM-1","issue":"7","issued":{"date-parts":[["2022","7"]]},"page":"157","publisher":"Multidisciplinary Digital Publishing Institute","title":"The Role of Micro Waqf Bank in Women&amp;rsquo;s Micro-Business Empowerment through Islamic Social Finance: Mixed-Method Evidence from Mawaridussalam Indonesia","type":"article-journal","volume":"10"},"uris":["http://www.mendeley.com/documents/?uuid=63e925e4-5f32-42c5-8eb5-dd142f557929","http://www.mendeley.com/documents/?uuid=6c2bb3e5-4ee0-38b2-ba2d-4d06b58d5672"]}],"mendeley":{"formattedCitation":"(Soemitra et al., 2022)","plainTextFormattedCitation":"(Soemitra et al., 2022)","previouslyFormattedCitation":"(Soemitra et al., 2022)"},"properties":{"noteIndex":0},"schema":"https://github.com/citation-style-language/schema/raw/master/csl-citation.json"}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(Soemitra et al., 2022)</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In the traditional learning system, the sitting positions of the teacher and students blend in to form a circle</w:t>
      </w:r>
      <w:r w:rsidRPr="004E16EB">
        <w:rPr>
          <w:rFonts w:ascii="Times New Roman" w:hAnsi="Times New Roman" w:cs="Times New Roman"/>
          <w:sz w:val="24"/>
          <w:szCs w:val="24"/>
        </w:rPr>
        <w:t xml:space="preserve">.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{"citationItems":[{"id":"ITEM-1","itemData":{"DOI":"10.24952/tazkir.v6i2.1315","abstract":"The halaqah method is still used by Muslims Society today, especially when studying in mosques and the learning system during the tàaruf period in Islamic Universities. Meanwhile munazarah, which has begun to be abandoned, has returned to appear in the debate system of presidential election, although not entirely the same. This paper uses historical and philosophical methods. Both of these methods are relevant to the problem. Halaqah and munazarah are well-established and attractive education systems. Halaqah as a learning system is seen from the seated position of the teacher and students who mingle, while munazarah is a stage for a sportive intelectual selection. Halaqah in the classical education system is no longer used today, but the learning system in S2 and S3 is precisely what is used. Munazarah needs to be activated now to test one.","author":[{"dropping-particle":"","family":"Yamin","given":"Asmar","non-dropping-particle":"","parse-names":false,"suffix":""},{"dropping-particle":"","family":"Dalimunthe","given":"","non-dropping-particle":"","parse-names":false,"suffix":""}],"container-title":"194.31.53.129","id":"ITEM-1","issue":"2","issued":{"date-parts":[["2020"]]},"page":"249-343","title":"Classic Islamic Education Heritage in Halaqah and Munazharah","type":"article-journal","volume":"6"},"uris":["http://www.mendeley.com/documents/?uuid=a0482a42-fbf9-35bb-97be-849538f4a251","http://www.mendeley.com/documents/?uuid=0fa6cb68-1807-454b-9c56-14639d36d81e"]}],"mendeley":{"formattedCitation":"(Yamin &amp; Dalimunthe, 2020)","plainTextFormattedCitation":"(Yamin &amp; Dalimunthe, 2020)","previouslyFormattedCitation":"(Yamin &amp; Dalimunthe, 2020)"},"properties":{"noteIndex":0},"schema":"https://github.com/citation-style-language/schema/raw/master/csl-citation.json"}</w:instrText>
      </w:r>
      <w:r w:rsidRPr="004E16EB">
        <w:rPr>
          <w:rFonts w:ascii="Times New Roman" w:hAnsi="Times New Roman" w:cs="Times New Roman"/>
          <w:sz w:val="24"/>
          <w:szCs w:val="24"/>
        </w:rPr>
        <w:fldChar w:fldCharType="separate"/>
      </w:r>
      <w:r w:rsidRPr="00573487">
        <w:rPr>
          <w:rFonts w:ascii="Times New Roman" w:hAnsi="Times New Roman" w:cs="Times New Roman"/>
          <w:noProof/>
          <w:sz w:val="24"/>
          <w:szCs w:val="24"/>
        </w:rPr>
        <w:t>(Yamin &amp; Dalimunthe, 2020)</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proofErr w:type="spellStart"/>
      <w:r w:rsidR="00A37C76">
        <w:rPr>
          <w:rFonts w:ascii="Times New Roman" w:hAnsi="Times New Roman"/>
          <w:sz w:val="24"/>
          <w:szCs w:val="24"/>
        </w:rPr>
        <w:t>Halaqoh</w:t>
      </w:r>
      <w:proofErr w:type="spellEnd"/>
      <w:r w:rsidR="00A37C76">
        <w:rPr>
          <w:rFonts w:ascii="Times New Roman" w:hAnsi="Times New Roman"/>
          <w:sz w:val="24"/>
          <w:szCs w:val="24"/>
        </w:rPr>
        <w:t xml:space="preserve"> activity is viewed as a bonding friendship</w:t>
      </w:r>
      <w:r w:rsidRPr="004E16EB">
        <w:rPr>
          <w:rFonts w:ascii="Times New Roman" w:hAnsi="Times New Roman"/>
          <w:sz w:val="24"/>
          <w:szCs w:val="24"/>
        </w:rPr>
        <w:t xml:space="preserve"> among CBGIBSI members to strengthen women's determination and commitment to MWB rules</w:t>
      </w:r>
      <w:r>
        <w:rPr>
          <w:rFonts w:ascii="Times New Roman" w:hAnsi="Times New Roman"/>
          <w:sz w:val="24"/>
          <w:szCs w:val="24"/>
          <w:lang w:val="id-ID"/>
        </w:rPr>
        <w:t xml:space="preserve"> </w:t>
      </w:r>
      <w:r>
        <w:rPr>
          <w:rFonts w:ascii="Times New Roman" w:hAnsi="Times New Roman"/>
          <w:sz w:val="24"/>
          <w:szCs w:val="24"/>
        </w:rPr>
        <w:fldChar w:fldCharType="begin" w:fldLock="1"/>
      </w:r>
      <w:r>
        <w:rPr>
          <w:rFonts w:ascii="Times New Roman" w:hAnsi="Times New Roman"/>
          <w:sz w:val="24"/>
          <w:szCs w:val="24"/>
        </w:rPr>
        <w:instrText>ADDIN CSL_CITATION {"citationItems":[{"id":"ITEM-1","itemData":{"DOI":"10.18510/hssr.2019.75169","ISSN":"23956518","abstract":"Purpose of the study: This research was aimed at constructing a new theory of learning from traditional practice which could give a significant contribution to the educational model. This research was conducted to seek the theory learning and model of teaching of Pondok Pesantren (Islamic Boarding School with Salafi system) in South Tapanuli of Indonesia. Methodology: A qualitative research design was applied to seek the data in the Islamic Boarding School for constructing a theory of learning. This research applied an observation and interview techniques to collect the data from Islamic boarding school Darussalam Parmeraan (PDP) of the Dolok District of South Tapanuli, North Sumatra Province of Indonesia. Main Findings: Data revealed that Sorongan and Halaqoh techniques (circling forum in group learning and discussion models), not like the formal school model in the classrooms, have been more effective in two terms; solidarity and control. Sorong and Halaqoh have been preferred to be practiced in that Islamic Boarding School for many years. This study recommends that theory. Applications of this study: The data obtained of teaching methods in Islamic Boarding School Darussalam Parmeraan (PDP) give the alternative teaching techniques such as Sorongan in which learners put into the circling forum which makes the learners are close to instructors and Halaqoh where the Islamic teachings motivate them to learn more intensively. Those two techniques could be applied to formal school, not only in the Pondok pesantren area. Novelty/Originality of this study: This study offered the system of Pondok pesantren traditional practice of teaching techniques of Sorongan and Hallaq of Pondok Pesantren which have been originally rooted in Islamic teachings in Southeast Asia for modern schools. Those techniques could be transferred to formal school; as learning practice that gives democratic education and contributes to training learners in formal schools. © 2019, Gyandhara International Academic Publications. All rights reserved.","author":[{"dropping-particle":"","family":"Ritonga","given":"Tamin","non-dropping-particle":"","parse-names":false,"suffix":""},{"dropping-particle":"","family":"Ananda","given":"Azwar","non-dropping-particle":"","parse-names":false,"suffix":""},{"dropping-particle":"","family":"Lanin","given":"Dasman","non-dropping-particle":"","parse-names":false,"suffix":""},{"dropping-particle":"","family":"Hasan","given":"Helmi","non-dropping-particle":"","parse-names":false,"suffix":""}],"container-title":"Humanities and Social Sciences Reviews","id":"ITEM-1","issue":"5","issued":{"date-parts":[["2019","9"]]},"page":"1304 - 1310","publisher":"Gyandhara International Academic Publications","title":"Practice to theory of learning: A lesson learned from islamic boarding school in South Tapanuli of Indonesia","type":"article-journal","volume":"7"},"uris":["http://www.mendeley.com/documents/?uuid=9e1fcff6-3739-31aa-82c9-446416f84a12","http://www.mendeley.com/documents/?uuid=64aeebda-06d8-4aa2-a7eb-a3f65d492b23"]}],"mendeley":{"formattedCitation":"(Ritonga et al., 2019)","plainTextFormattedCitation":"(Ritonga et al., 2019)","previouslyFormattedCitation":"(Ritonga et al., 2019b)"},"properties":{"noteIndex":0},"schema":"https://github.com/citation-style-language/schema/raw/master/csl-citation.json"}</w:instrText>
      </w:r>
      <w:r>
        <w:rPr>
          <w:rFonts w:ascii="Times New Roman" w:hAnsi="Times New Roman"/>
          <w:sz w:val="24"/>
          <w:szCs w:val="24"/>
        </w:rPr>
        <w:fldChar w:fldCharType="separate"/>
      </w:r>
      <w:r w:rsidRPr="00384CB1">
        <w:rPr>
          <w:rFonts w:ascii="Times New Roman" w:hAnsi="Times New Roman"/>
          <w:noProof/>
          <w:sz w:val="24"/>
          <w:szCs w:val="24"/>
        </w:rPr>
        <w:t>(Ritonga et al., 2019)</w:t>
      </w:r>
      <w:r>
        <w:rPr>
          <w:rFonts w:ascii="Times New Roman" w:hAnsi="Times New Roman"/>
          <w:sz w:val="24"/>
          <w:szCs w:val="24"/>
        </w:rPr>
        <w:fldChar w:fldCharType="end"/>
      </w:r>
      <w:r w:rsidRPr="004E16EB">
        <w:rPr>
          <w:rFonts w:ascii="Times New Roman" w:hAnsi="Times New Roman"/>
          <w:sz w:val="24"/>
          <w:szCs w:val="24"/>
        </w:rPr>
        <w:t xml:space="preserve">. Therefore, it entails funding and assistance, friendship, and religious education. This finding proved that the </w:t>
      </w:r>
      <w:proofErr w:type="spellStart"/>
      <w:r w:rsidRPr="004E16EB">
        <w:rPr>
          <w:rFonts w:ascii="Times New Roman" w:hAnsi="Times New Roman"/>
          <w:i/>
          <w:iCs/>
          <w:sz w:val="24"/>
          <w:szCs w:val="24"/>
        </w:rPr>
        <w:t>halaqoh</w:t>
      </w:r>
      <w:proofErr w:type="spellEnd"/>
      <w:r w:rsidRPr="004E16EB">
        <w:rPr>
          <w:rFonts w:ascii="Times New Roman" w:hAnsi="Times New Roman"/>
          <w:sz w:val="24"/>
          <w:szCs w:val="24"/>
        </w:rPr>
        <w:t xml:space="preserve"> model motivates women to learn Islam, entrepreneurship, and the ability to manage household finances. Furthermore, it is the driving force for the emergence of women's micro-enterprises around Islamic boarding schools. As SMI, MWB has proven its role in realizing financial inclusion through micro-financing</w:t>
      </w:r>
      <w:r w:rsidRPr="004E16EB">
        <w:rPr>
          <w:rFonts w:ascii="Times New Roman" w:hAnsi="Times New Roman" w:cs="Times New Roman"/>
          <w:sz w:val="24"/>
          <w:szCs w:val="24"/>
          <w:lang w:val="id-ID"/>
        </w:rPr>
        <w:t>.</w:t>
      </w:r>
      <w:r w:rsidRPr="004E16EB">
        <w:rPr>
          <w:rFonts w:ascii="Times New Roman" w:hAnsi="Times New Roman" w:cs="Times New Roman"/>
          <w:sz w:val="24"/>
          <w:szCs w:val="24"/>
        </w:rPr>
        <w:t xml:space="preserve"> </w:t>
      </w:r>
    </w:p>
    <w:p w14:paraId="7545BB14" w14:textId="37A392E3" w:rsidR="00384CB1" w:rsidRPr="004E16EB" w:rsidRDefault="00384CB1" w:rsidP="00384CB1">
      <w:pPr>
        <w:spacing w:after="0" w:line="240" w:lineRule="auto"/>
        <w:ind w:firstLine="720"/>
        <w:jc w:val="both"/>
        <w:rPr>
          <w:rFonts w:ascii="Times New Roman" w:hAnsi="Times New Roman" w:cs="Times New Roman"/>
          <w:sz w:val="24"/>
          <w:szCs w:val="24"/>
        </w:rPr>
      </w:pP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{"citationItems":[{"id":"ITEM-1","itemData":{"DOI":"10.1007/978-3-031-08954-1_8/COVER","ISBN":"9783031089534","ISSN":"23673389","abstract":"Micro enterprises have been classified into various categories which includes cultivation of food grains, fruits, flowers, seed production, mushroom cultivation and also the livestock economic activities such as dairy farming, poultry, and production of cow dung. The rural women also engaged in home-based economic activities such as stitching, weaving, petty trades, embroidery, food preparation and processing. The role of start-up business through the accessibility of microcredit by rural women has encourages entrepreneurial and economic empowerment. In this backdrop, the present paper is aims to establish the role and significance of microfinance to empower women in rural areas. It also attempted to study entrepreneurial empowerment of rural women through the start-up business with access of formal bank loans. This study also measures the significant contribution of bank linkage programme in incorporating the start-up among the women self-help group members. Main purpose of this paper is to emphasise the role and significance of microfinance to empower women in rural areas. It also aims to promote the self-employment opportunities among the rural women through the start-up business with access of formal bank loans. This study is follows the empirical research method to evaluate the economic empowerment and livelihood of rural women. Data collected through direct survey method from the rural women self-help group who engaged in start-up businesses from India. A structured questionnaire was framed and distributed to forty sample respondents to collect the information. Stratified random sampling method was adopted to collect the sample responses from the total population. It shown that there was good positive change in income after the microfinance access and start-up. It also encourages the entrepreneurial skills of the rural women. The all other significant variables such as expenditure, savings, borrowings and training have also had a tremendous positive change after availed microcredit from bank linkage programme. On the whole, the economic empowerment of rural women has been enhanced due the start-up business through the microcredit model.","author":[{"dropping-particle":"","family":"Mukthar","given":"K. P.Jaheer","non-dropping-particle":"","parse-names":false,"suffix":""},{"dropping-particle":"","family":"Asis","given":"Hernan Ramirez","non-dropping-particle":"","parse-names":false,"suffix":""},{"dropping-particle":"","family":"Vílchez-Vásquez","given":"Rosa","non-dropping-particle":"","parse-names":false,"suffix":""},{"dropping-particle":"","family":"Huaman-Osorio","given":"Antonio","non-dropping-particle":"","parse-names":false,"suffix":""},{"dropping-particle":"","family":"Alvarado-Tolentino","given":"Joseph","non-dropping-particle":"","parse-names":false,"suffix":""}],"container-title":"Lecture Notes in Networks and Systems","id":"ITEM-1","issued":{"date-parts":[["2023"]]},"page":"86-94","publisher":"Springer Science and Business Media Deutschland GmbH","title":"Estimating Women Entrepreneurial Empowerment of Start-Up Business Through Micro Credit Model in Rural Areas","type":"article-journal","volume":"495 LNNS"},"uris":["http://www.mendeley.com/documents/?uuid=a078f268-3fb0-3ac9-8f59-16a240658148","http://www.mendeley.com/documents/?uuid=77084608-4778-420d-85ad-7a2a960eb5cf"]}],"mendeley":{"formattedCitation":"(Mukthar et al., 2023)","plainTextFormattedCitation":"(Mukthar et al., 2023)","previouslyFormattedCitation":"(Mukthar et al., 2023)"},"properties":{"noteIndex":0},"schema":"https://github.com/citation-style-language/schema/raw/master/csl-citation.json"}</w:instrText>
      </w:r>
      <w:r w:rsidRPr="004E16EB">
        <w:rPr>
          <w:rFonts w:ascii="Times New Roman" w:hAnsi="Times New Roman" w:cs="Times New Roman"/>
          <w:sz w:val="24"/>
          <w:szCs w:val="24"/>
        </w:rPr>
        <w:fldChar w:fldCharType="separate"/>
      </w:r>
      <w:r w:rsidRPr="00573487">
        <w:rPr>
          <w:rFonts w:ascii="Times New Roman" w:hAnsi="Times New Roman" w:cs="Times New Roman"/>
          <w:noProof/>
          <w:sz w:val="24"/>
          <w:szCs w:val="24"/>
        </w:rPr>
        <w:t>(Mukthar et al., 2023)</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00A37C76">
        <w:rPr>
          <w:rFonts w:ascii="Times New Roman" w:hAnsi="Times New Roman"/>
          <w:sz w:val="24"/>
          <w:szCs w:val="24"/>
        </w:rPr>
        <w:t>T</w:t>
      </w:r>
      <w:r w:rsidRPr="004E16EB">
        <w:rPr>
          <w:rFonts w:ascii="Times New Roman" w:hAnsi="Times New Roman"/>
          <w:sz w:val="24"/>
          <w:szCs w:val="24"/>
        </w:rPr>
        <w:t xml:space="preserve">he microcredit system contributes to the entrepreneurial spirit of rural women. </w:t>
      </w:r>
      <w:r w:rsidRPr="004E16EB">
        <w:rPr>
          <w:rFonts w:ascii="Times New Roman" w:hAnsi="Times New Roman" w:cs="Times New Roman"/>
          <w:sz w:val="24"/>
          <w:szCs w:val="24"/>
        </w:rPr>
        <w:fldChar w:fldCharType="begin" w:fldLock="1"/>
      </w:r>
      <w:r>
        <w:rPr>
          <w:rFonts w:ascii="Times New Roman" w:hAnsi="Times New Roman" w:cs="Times New Roman"/>
          <w:sz w:val="24"/>
          <w:szCs w:val="24"/>
          <w:lang w:val="id-ID"/>
        </w:rPr>
        <w:instrText>ADDIN CSL_CITATION {"citationItems":[{"id":"ITEM-1","itemData":{"DOI":"10.21111/AL-IKTISAB.V3I1.3905","ISSN":"2615-661X","abstract":"Waqf is a legal act of wakif (endower) for separating and transferring part of their wealth either permanently or for a specified period in accordance with their interests for purposes of worship and the general welfare according to sharia. Islamic law have two characters, it is normative (muhkamat) so that Islam have a unity of mind, feeling, and behavior for the people and make the people united, and temporal (mutashabihat) to open up the difference by space, time, and the condition of each with regard to the purposes of syara'. Waqf is a legal act of wakif (endower) for separating and/or transferring part of their wealth either permanently or for a specified period in accordance with their interests for purposes of worship and/or the general welfare according to sharia. Waqf or endowments often directed to unmovable objects, while waqf on moving objects is being developed lately. The idea to explore and develop the concept of waqf in Indonesia was began when Mustafa Edwin Nasution translating paper written by M. Abdul Mannan that revealed the practice of cash waqf (SIBL) in Bangladesh. The government try to do innovation in order to boost the Muslim's Economy particularly for those who are considered as a poor. The role of shariah bank and BWI and regulations is also considered ineffective, then the Government innovate by establishing institution called Micro Waqf Bank. Micro Waqf Bank is believed to increase financial inclusion, particularly in the public and small and micro businesses (SMEs) to have the easy capital. These agency is not allowed to take deposits from the public because it has focused in communities empowerment through financing with business mentoring.","author":[{"dropping-particle":"","family":"Nugroho","given":"Wahyu","non-dropping-particle":"","parse-names":false,"suffix":""},{"dropping-particle":"","family":"Hilal","given":"Faridl Noor","non-dropping-particle":"","parse-names":false,"suffix":""}],"container-title":"Al-Iktisab: Journal of Islamic Economic Law","id":"ITEM-1","issue":"1","issued":{"date-parts":[["2019","5"]]},"publisher":"Universitas Darussalam Gontor","title":"Micro Waqf Bank in Indonesia: Analysis of The Constitution Concept According to The Maqashid Sharia","type":"article-journal","volume":"3"},"uris":["http://www.mendeley.com/documents/?uuid=ba0f0246-823e-355a-93db-86df2715a2ae","http://www.mendeley.com/documents/?uuid=f8afa1e5-405c-4b0c-8e93-ff7466f4b8a6"]}],"mendeley":{"formattedCitation":"(Nugroho &amp; Hilal, 2019)","plainTextFormattedCitation":"(Nugroho &amp; Hilal, 2019)","previouslyFormattedCitation":"(Nugroho &amp; Hilal, 2019)"},"properties":{"noteIndex":0},"schema":"https://github.com/citation-style-language/schema/raw/master/csl-citation.json"}</w:instrText>
      </w:r>
      <w:r w:rsidRPr="004E16EB">
        <w:rPr>
          <w:rFonts w:ascii="Times New Roman" w:hAnsi="Times New Roman" w:cs="Times New Roman"/>
          <w:sz w:val="24"/>
          <w:szCs w:val="24"/>
        </w:rPr>
        <w:fldChar w:fldCharType="separate"/>
      </w:r>
      <w:r w:rsidRPr="00573487">
        <w:rPr>
          <w:rFonts w:ascii="Times New Roman" w:hAnsi="Times New Roman" w:cs="Times New Roman"/>
          <w:noProof/>
          <w:sz w:val="24"/>
          <w:szCs w:val="24"/>
          <w:lang w:val="id-ID"/>
        </w:rPr>
        <w:t>(Nugroho &amp; Hilal, 2019)</w:t>
      </w:r>
      <w:r w:rsidRPr="004E16EB">
        <w:rPr>
          <w:rFonts w:ascii="Times New Roman" w:hAnsi="Times New Roman" w:cs="Times New Roman"/>
          <w:sz w:val="24"/>
          <w:szCs w:val="24"/>
        </w:rPr>
        <w:fldChar w:fldCharType="end"/>
      </w:r>
      <w:r w:rsidR="00A37C76">
        <w:rPr>
          <w:rFonts w:ascii="Times New Roman" w:hAnsi="Times New Roman" w:cs="Times New Roman"/>
          <w:sz w:val="24"/>
          <w:szCs w:val="24"/>
        </w:rPr>
        <w:t>S</w:t>
      </w:r>
      <w:r w:rsidRPr="004E16EB">
        <w:rPr>
          <w:rFonts w:ascii="Times New Roman" w:hAnsi="Times New Roman" w:cs="Times New Roman"/>
          <w:sz w:val="24"/>
          <w:szCs w:val="24"/>
        </w:rPr>
        <w:t xml:space="preserve">tated that </w:t>
      </w:r>
      <w:r w:rsidRPr="004E16EB">
        <w:rPr>
          <w:rFonts w:ascii="Times New Roman" w:hAnsi="Times New Roman"/>
          <w:sz w:val="24"/>
          <w:szCs w:val="24"/>
        </w:rPr>
        <w:t>MWB increases financial inclusion by enabling the community as well as micro small busines</w:t>
      </w:r>
      <w:r w:rsidR="00A37C76">
        <w:rPr>
          <w:rFonts w:ascii="Times New Roman" w:hAnsi="Times New Roman"/>
          <w:sz w:val="24"/>
          <w:szCs w:val="24"/>
        </w:rPr>
        <w:t>se</w:t>
      </w:r>
      <w:r w:rsidRPr="004E16EB">
        <w:rPr>
          <w:rFonts w:ascii="Times New Roman" w:hAnsi="Times New Roman"/>
          <w:sz w:val="24"/>
          <w:szCs w:val="24"/>
        </w:rPr>
        <w:t xml:space="preserve">s to have easy capital. SMI is an alternative solution to the problems faced by </w:t>
      </w:r>
      <w:r w:rsidR="00A37C76">
        <w:rPr>
          <w:rFonts w:ascii="Times New Roman" w:hAnsi="Times New Roman"/>
          <w:sz w:val="24"/>
          <w:szCs w:val="24"/>
        </w:rPr>
        <w:t>people experiencing poverty</w:t>
      </w:r>
      <w:r w:rsidRPr="004E16EB">
        <w:rPr>
          <w:rFonts w:ascii="Times New Roman" w:hAnsi="Times New Roman"/>
          <w:sz w:val="24"/>
          <w:szCs w:val="24"/>
        </w:rPr>
        <w:t xml:space="preserve">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{"citationItems":[{"id":"ITEM-1","itemData":{"DOI":"10.1108/JBSED-10-2021-0143/FULL/HTML","ISSN":"2635-1374","abstract":"Purpose Islamic microfinance is a substantial tool for poverty alleviation and economic empowerment. The paper aims at accessing the potential of Islamic microfinance for the purpose of achieving the economic empowerment in Tunisia. Design/methodology/approach A structured questionnaire survey method is used. The method is intended for some of the beneficiaries of Zitouna Tamkeen (ZT), the only Islamic microfinance institution in Tunisia. Responses are analyzed using the statistical package for the social sciences program. Findings The authors infer that though the Islamic and conventional microfinance have similar objectives, the methods are different. What is more, the economic empowerment requires not only financial inclusion and entrepreneurship, but also skill development. The results of the survey reveal that ZT has contributed to certain economic empowerment of most of ZT's beneficiaries. In addition, the authors bring to the fore that providing supportive infrastructure and investment is a prominent component of the economic empowerment process. Research limitations/implications In the paper, the sample is limited. Practical implications The authors have highlighted that some structural barriers to entrepreneurship – such as legal, operational and marketing challenges – need to be addressed in a practical way. Originality/value This paper establishes the relationship between the Islamic microfinance and economic empowerment. The current paper is the first investigation in this field in Tunisia.","author":[{"dropping-particle":"","family":"Zitouni","given":"Takwa","non-dropping-particle":"","parse-names":false,"suffix":""},{"dropping-particle":"","family":"Jedidia","given":"Khoutem","non-dropping-particle":"Ben","parse-names":false,"suffix":""}],"container-title":"Journal of Business and Socio-economic Development","id":"ITEM-1","issue":"1","issued":{"date-parts":[["2022","4"]]},"page":"67-81","publisher":"Emerald","title":"Does Islamic microfinance contribute to economic empowerment in Tunisia?: a case study of Zitouna Tamkeen","type":"article-journal","volume":"2"},"uris":["http://www.mendeley.com/documents/?uuid=9cf0db6c-5ad0-3095-b0be-5ba1ac4824df","http://www.mendeley.com/documents/?uuid=e89b55c2-2c69-43a3-99ea-1d112c54e89f"]}],"mendeley":{"formattedCitation":"(Zitouni &amp; Ben Jedidia, 2022)","plainTextFormattedCitation":"(Zitouni &amp; Ben Jedidia, 2022)","previouslyFormattedCitation":"(Zitouni &amp; Ben Jedidia, 2022)"},"properties":{"noteIndex":0},"schema":"https://github.com/citation-style-language/schema/raw/master/csl-citation.json"}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(Zitouni &amp; Ben Jedidia, 2022)</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00A37C76">
        <w:rPr>
          <w:rFonts w:ascii="Times New Roman" w:hAnsi="Times New Roman" w:cs="Times New Roman"/>
          <w:sz w:val="24"/>
          <w:szCs w:val="24"/>
        </w:rPr>
        <w:t>precise</w:t>
      </w:r>
      <w:r w:rsidRPr="004E16EB">
        <w:rPr>
          <w:rFonts w:ascii="Times New Roman" w:hAnsi="Times New Roman" w:cs="Times New Roman"/>
          <w:sz w:val="24"/>
          <w:szCs w:val="24"/>
        </w:rPr>
        <w:t xml:space="preserve">ly </w:t>
      </w:r>
      <w:r w:rsidRPr="004E16EB">
        <w:rPr>
          <w:rFonts w:ascii="Times New Roman" w:hAnsi="Times New Roman"/>
          <w:sz w:val="24"/>
          <w:szCs w:val="24"/>
        </w:rPr>
        <w:t xml:space="preserve">the ease of access to finance. According to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{"citationItems":[{"id":"ITEM-1","itemData":{"DOI":"10.1108/IJSE-02-2016-0070/FULL/HTML","ISSN":"03068293","abstract":"Purpose - The purpose of this paper is to examine the effects of microcredit on women's empowerment in rural Bangladesh using the latest primary data. Design/methodology/approach - Primary data have been collected by a household survey in the four districts of Bangladesh. Logistic regression is used to estimate the odd of improving women empowerment after participating in microfinance. Findings - The results show positive impacts of microfinance on most of the selected indicators for women's empowerment. Research limitations/implications - Lack of control groups and baseline data are the main limitation of this research. Future research can address this issue by selecting institutions with baseline data or control groups. Practical implications - The findings of the study can help policy makers to adopt appropriate policies that integrate empowerment in development projects with women. Social implications - The results of this research could encourage more women to participate in microfinance activities and development projects. Originality/value - This research provides the most updated data from a primary survey in Bangladesh. The authors also mitigate the possible selection biases by using a fixed-effects estimator.","author":[{"dropping-particle":"","family":"Rahman","given":"Mohammad Mafizur","non-dropping-particle":"","parse-names":false,"suffix":""},{"dropping-particle":"","family":"Khanam","given":"Rasheda","non-dropping-particle":"","parse-names":false,"suffix":""},{"dropping-particle":"","family":"Nghiem","given":"Son","non-dropping-particle":"","parse-names":false,"suffix":""}],"container-title":"International Journal of Social Economics","id":"ITEM-1","issue":"12","issued":{"date-parts":[["2017"]]},"page":"1745-1757","publisher":"Emerald Group Publishing Ltd.","title":"The effects of microfinance on women's empowerment: New evidence from Bangladesh","type":"article-journal","volume":"44"},"uris":["http://www.mendeley.com/documents/?uuid=517b9124-6aa0-4c1a-baf1-45e4ebb50b85","http://www.mendeley.com/documents/?uuid=227025a1-e285-34fb-a484-d6a3421a5ebb"]}],"mendeley":{"formattedCitation":"(Rahman et al., 2017)","plainTextFormattedCitation":"(Rahman et al., 2017)","previouslyFormattedCitation":"(Rahman et al., 2017)"},"properties":{"noteIndex":0},"schema":"https://github.com/citation-style-language/schema/raw/master/csl-citation.json"}</w:instrText>
      </w:r>
      <w:r w:rsidRPr="004E16EB">
        <w:rPr>
          <w:rFonts w:ascii="Times New Roman" w:hAnsi="Times New Roman" w:cs="Times New Roman"/>
          <w:sz w:val="24"/>
          <w:szCs w:val="24"/>
        </w:rPr>
        <w:fldChar w:fldCharType="separate"/>
      </w:r>
      <w:r w:rsidRPr="00573487">
        <w:rPr>
          <w:rFonts w:ascii="Times New Roman" w:hAnsi="Times New Roman" w:cs="Times New Roman"/>
          <w:noProof/>
          <w:sz w:val="24"/>
          <w:szCs w:val="24"/>
        </w:rPr>
        <w:t>(Rahman et al., 2017)</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microfinance programs have been an important development strategy worldwide for over three decades, specifically in developing countries. One goal of microfinance is to reduce poverty by providing more access to financial institutions to empower </w:t>
      </w:r>
      <w:r w:rsidR="00A37C76">
        <w:rPr>
          <w:rFonts w:ascii="Times New Roman" w:hAnsi="Times New Roman"/>
          <w:sz w:val="24"/>
          <w:szCs w:val="24"/>
        </w:rPr>
        <w:t>people experiencing poverty</w:t>
      </w:r>
      <w:r w:rsidRPr="004E16EB">
        <w:rPr>
          <w:rFonts w:ascii="Times New Roman" w:hAnsi="Times New Roman" w:cs="Times New Roman"/>
          <w:sz w:val="24"/>
          <w:szCs w:val="24"/>
        </w:rPr>
        <w:t xml:space="preserve">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{"citationItems":[{"id":"ITEM-1","itemData":{"DOI":"10.1007/978-3-319-69799-4_3","abstract":"This chapter evaluates the impact of the Islamic microfinance institution toward the women empowerment. We surveyed approximately two hundred and forty women who had been involved in the microfinance of the Misykat program in the Dompet Peduli Ummat of Daarut Tauhid...","author":[{"dropping-particle":"","family":"Yaumidin","given":"Umi Karomah","non-dropping-particle":"","parse-names":false,"suffix":""},{"dropping-particle":"","family":"Suhodo","given":"Diah Setiari","non-dropping-particle":"","parse-names":false,"suffix":""},{"dropping-particle":"","family":"Yuniarti","given":"Putri Irma","non-dropping-particle":"","parse-names":false,"suffix":""},{"dropping-particle":"","family":"Hidayatina","given":"Achsanah","non-dropping-particle":"","parse-names":false,"suffix":""}],"container-title":"Financial Inclusion and Poverty Alleviation","id":"ITEM-1","issued":{"date-parts":[["2017"]]},"page":"81-140","publisher":"Palgrave Macmillan, Cham","title":"Financial Inclusion for Women: Impact Evaluation on Islamic Microfinance to Women’s Empowerment in Indonesia","type":"article-journal"},"uris":["http://www.mendeley.com/documents/?uuid=67d3d1bc-ee30-4487-8251-55da6fec1de9","http://www.mendeley.com/documents/?uuid=cee2419c-bc37-398f-8df5-b6b871947227"]}],"mendeley":{"formattedCitation":"(Yaumidin et al., 2017)","plainTextFormattedCitation":"(Yaumidin et al., 2017)","previouslyFormattedCitation":"(Yaumidin et al., 2017)"},"properties":{"noteIndex":0},"schema":"https://github.com/citation-style-language/schema/raw/master/csl-citation.json"}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(Yaumidin et al., 2017)</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SMI has a role in economic, socio-cultural, and family empowerment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{"citationItems":[{"id":"ITEM-1","itemData":{"DOI":"10.1108/IJIF-11-2019-0174","ISSN":"0128-1976","author":[{"dropping-particle":"","family":"Islam","given":"Md. Saiful","non-dropping-particle":"","parse-names":false,"suffix":""}],"container-title":"ISRA International Journal of Islamic Finance","id":"ITEM-1","issue":"1","issued":{"date-parts":[["2021","7","6"]]},"page":"26-45","title":"Role of Islamic microfinance in women’s empowerment: evidence from Rural Development Scheme of Islami Bank Bangladesh Limited","type":"article-journal","volume":"13"},"uris":["http://www.mendeley.com/documents/?uuid=e42d95f9-c945-48f2-9c5c-465d4857c9de"]}],"mendeley":{"formattedCitation":"(Islam, 2021)","plainTextFormattedCitation":"(Islam, 2021)","previouslyFormattedCitation":"(Islam, 2021)"},"properties":{"noteIndex":0},"schema":"https://github.com/citation-style-language/schema/raw/master/csl-citation.json"}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(Islam, 2021)</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Involving women in microfinance improves their household position through independent access to income </w:t>
      </w:r>
      <w:r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{"citationItems":[{"id":"ITEM-1","itemData":{"DOI":"10.1007/978-3-319-69799-4_3","abstract":"This chapter evaluates the impact of the Islamic microfinance institution toward the women empowerment. We surveyed approximately two hundred and forty women who had been involved in the microfinance of the Misykat program in the Dompet Peduli Ummat of Daarut Tauhid...","author":[{"dropping-particle":"","family":"Yaumidin","given":"Umi Karomah","non-dropping-particle":"","parse-names":false,"suffix":""},{"dropping-particle":"","family":"Suhodo","given":"Diah Setiari","non-dropping-particle":"","parse-names":false,"suffix":""},{"dropping-particle":"","family":"Yuniarti","given":"Putri Irma","non-dropping-particle":"","parse-names":false,"suffix":""},{"dropping-particle":"","family":"Hidayatina","given":"Achsanah","non-dropping-particle":"","parse-names":false,"suffix":""}],"container-title":"Financial Inclusion and Poverty Alleviation","id":"ITEM-1","issued":{"date-parts":[["2017"]]},"page":"81-140","publisher":"Palgrave Macmillan, Cham","title":"Financial Inclusion for Women: Impact Evaluation on Islamic Microfinance to Women’s Empowerment in Indonesia","type":"article-journal"},"uris":["http://www.mendeley.com/documents/?uuid=67d3d1bc-ee30-4487-8251-55da6fec1de9","http://www.mendeley.com/documents/?uuid=cee2419c-bc37-398f-8df5-b6b871947227"]}],"mendeley":{"formattedCitation":"(Yaumidin et al., 2017)","plainTextFormattedCitation":"(Yaumidin et al., 2017)","previouslyFormattedCitation":"(Yaumidin et al., 2017)"},"properties":{"noteIndex":0},"schema":"https://github.com/citation-style-language/schema/raw/master/csl-citation.json"}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(Yaumidin et al., 2017)</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p>
    <w:p w14:paraId="0F26E9AD" w14:textId="4F287712" w:rsidR="00384CB1" w:rsidRPr="004E16EB" w:rsidRDefault="00384CB1" w:rsidP="00384CB1">
      <w:pPr>
        <w:widowControl w:val="0"/>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Empowerment using the </w:t>
      </w:r>
      <w:proofErr w:type="spellStart"/>
      <w:r w:rsidRPr="004E16EB">
        <w:rPr>
          <w:rFonts w:ascii="Times New Roman" w:hAnsi="Times New Roman"/>
          <w:i/>
          <w:iCs/>
          <w:sz w:val="24"/>
          <w:szCs w:val="24"/>
        </w:rPr>
        <w:t>halaqoh</w:t>
      </w:r>
      <w:proofErr w:type="spellEnd"/>
      <w:r w:rsidRPr="004E16EB">
        <w:rPr>
          <w:rFonts w:ascii="Times New Roman" w:hAnsi="Times New Roman"/>
          <w:i/>
          <w:iCs/>
          <w:sz w:val="24"/>
          <w:szCs w:val="24"/>
        </w:rPr>
        <w:t xml:space="preserve"> </w:t>
      </w:r>
      <w:r w:rsidRPr="004E16EB">
        <w:rPr>
          <w:rFonts w:ascii="Times New Roman" w:hAnsi="Times New Roman"/>
          <w:sz w:val="24"/>
          <w:szCs w:val="24"/>
        </w:rPr>
        <w:t xml:space="preserve">model, a key to women's economic empowerment, is not </w:t>
      </w:r>
      <w:r w:rsidR="00A37C76">
        <w:rPr>
          <w:rFonts w:ascii="Times New Roman" w:hAnsi="Times New Roman"/>
          <w:sz w:val="24"/>
          <w:szCs w:val="24"/>
        </w:rPr>
        <w:t>entir</w:t>
      </w:r>
      <w:r w:rsidRPr="004E16EB">
        <w:rPr>
          <w:rFonts w:ascii="Times New Roman" w:hAnsi="Times New Roman"/>
          <w:sz w:val="24"/>
          <w:szCs w:val="24"/>
        </w:rPr>
        <w:t xml:space="preserve">ely successful. Customers do not fully use the financing disbursed by MWB for business capital. The interviews with the group leader (AS, 2021) revealed that some customers used funds for consumptive purposes or to pay off debts (WT. 2021). This condition results in </w:t>
      </w:r>
      <w:r w:rsidRPr="004E16EB">
        <w:rPr>
          <w:rFonts w:ascii="Times New Roman" w:hAnsi="Times New Roman"/>
          <w:sz w:val="24"/>
          <w:szCs w:val="24"/>
        </w:rPr>
        <w:lastRenderedPageBreak/>
        <w:t xml:space="preserve">group members being in arrears in financing </w:t>
      </w:r>
      <w:proofErr w:type="spellStart"/>
      <w:r w:rsidRPr="004E16EB">
        <w:rPr>
          <w:rFonts w:ascii="Times New Roman" w:hAnsi="Times New Roman"/>
          <w:sz w:val="24"/>
          <w:szCs w:val="24"/>
        </w:rPr>
        <w:t>installments</w:t>
      </w:r>
      <w:proofErr w:type="spellEnd"/>
      <w:r w:rsidRPr="004E16EB">
        <w:rPr>
          <w:rFonts w:ascii="Times New Roman" w:hAnsi="Times New Roman"/>
          <w:sz w:val="24"/>
          <w:szCs w:val="24"/>
        </w:rPr>
        <w:t xml:space="preserve"> (R, 2021), which should be borne through group savings. It shows that the assistance provided by MWB is not only in the form of </w:t>
      </w:r>
      <w:r w:rsidRPr="004E16EB">
        <w:rPr>
          <w:rFonts w:ascii="Times New Roman" w:hAnsi="Times New Roman"/>
          <w:sz w:val="24"/>
          <w:szCs w:val="24"/>
          <w:lang w:val="id-ID"/>
        </w:rPr>
        <w:t>weekly halaqoh</w:t>
      </w:r>
      <w:r w:rsidRPr="004E16EB">
        <w:rPr>
          <w:rFonts w:ascii="Times New Roman" w:hAnsi="Times New Roman"/>
          <w:sz w:val="24"/>
          <w:szCs w:val="24"/>
        </w:rPr>
        <w:t>. Therefore, field assistance should involve supervising the customers’ place of business</w:t>
      </w:r>
      <w:r w:rsidRPr="004E16EB">
        <w:rPr>
          <w:rFonts w:ascii="Times New Roman" w:hAnsi="Times New Roman" w:cs="Times New Roman"/>
          <w:sz w:val="24"/>
          <w:szCs w:val="24"/>
        </w:rPr>
        <w:t xml:space="preserve">. </w:t>
      </w:r>
    </w:p>
    <w:p w14:paraId="00F5D5A3" w14:textId="77777777" w:rsidR="002103D5" w:rsidRPr="00B91E92" w:rsidRDefault="002103D5" w:rsidP="002103D5">
      <w:pPr>
        <w:ind w:firstLine="720"/>
        <w:rPr>
          <w:rFonts w:ascii="Times New Roman" w:hAnsi="Times New Roman" w:cs="Times New Roman"/>
          <w:sz w:val="24"/>
          <w:szCs w:val="24"/>
        </w:rPr>
      </w:pPr>
    </w:p>
    <w:p w14:paraId="215C57A3" w14:textId="0DD25426" w:rsidR="00CC5B43" w:rsidRPr="00B91E92" w:rsidRDefault="00CC5B43" w:rsidP="004B5F79">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Conclusion</w:t>
      </w:r>
    </w:p>
    <w:p w14:paraId="7A9F9029" w14:textId="0D3B10A6" w:rsidR="00384CB1" w:rsidRPr="004E16EB" w:rsidRDefault="00384CB1" w:rsidP="00384CB1">
      <w:pPr>
        <w:widowControl w:val="0"/>
        <w:spacing w:after="0" w:line="240" w:lineRule="auto"/>
        <w:ind w:firstLine="567"/>
        <w:jc w:val="both"/>
        <w:rPr>
          <w:rFonts w:ascii="Times New Roman" w:hAnsi="Times New Roman"/>
          <w:sz w:val="24"/>
          <w:szCs w:val="24"/>
        </w:rPr>
      </w:pPr>
      <w:r w:rsidRPr="004E16EB">
        <w:rPr>
          <w:rFonts w:ascii="Times New Roman" w:hAnsi="Times New Roman"/>
          <w:sz w:val="24"/>
          <w:szCs w:val="24"/>
        </w:rPr>
        <w:t xml:space="preserve">Empowerment is conducted by MWB through financing and assisting potentially productive but poor women living around Islamic boarding schools as their market segment. The loans are distributed using a group approach with a joint responsibility system. The empowerment model is implemented from the GCO GCT to mentoring using the </w:t>
      </w:r>
      <w:proofErr w:type="spellStart"/>
      <w:r w:rsidRPr="004E16EB">
        <w:rPr>
          <w:rFonts w:ascii="Times New Roman" w:hAnsi="Times New Roman"/>
          <w:i/>
          <w:iCs/>
          <w:sz w:val="24"/>
          <w:szCs w:val="24"/>
        </w:rPr>
        <w:t>halaqoh</w:t>
      </w:r>
      <w:proofErr w:type="spellEnd"/>
      <w:r w:rsidRPr="004E16EB">
        <w:rPr>
          <w:rFonts w:ascii="Times New Roman" w:hAnsi="Times New Roman"/>
          <w:sz w:val="24"/>
          <w:szCs w:val="24"/>
        </w:rPr>
        <w:t xml:space="preserve"> model. Participants sit cross-legged on the floor, facing the supervisor in a semi-circle. The participants most in need of financing first sit at the back, the group leader sits at the front, and those receiving funding come last.</w:t>
      </w:r>
    </w:p>
    <w:p w14:paraId="566A6570" w14:textId="7945E7A9" w:rsidR="00384CB1" w:rsidRPr="004E16EB" w:rsidRDefault="00384CB1" w:rsidP="00384CB1">
      <w:pPr>
        <w:widowControl w:val="0"/>
        <w:spacing w:after="0" w:line="240" w:lineRule="auto"/>
        <w:ind w:firstLine="567"/>
        <w:jc w:val="both"/>
        <w:rPr>
          <w:rFonts w:ascii="Times New Roman" w:hAnsi="Times New Roman"/>
          <w:sz w:val="24"/>
          <w:szCs w:val="24"/>
        </w:rPr>
      </w:pPr>
      <w:r w:rsidRPr="004E16EB">
        <w:rPr>
          <w:rFonts w:ascii="Times New Roman" w:hAnsi="Times New Roman"/>
          <w:sz w:val="24"/>
          <w:szCs w:val="24"/>
        </w:rPr>
        <w:t xml:space="preserve">The </w:t>
      </w:r>
      <w:proofErr w:type="spellStart"/>
      <w:r w:rsidRPr="004E16EB">
        <w:rPr>
          <w:rFonts w:ascii="Times New Roman" w:hAnsi="Times New Roman"/>
          <w:i/>
          <w:iCs/>
          <w:sz w:val="24"/>
          <w:szCs w:val="24"/>
        </w:rPr>
        <w:t>halaqoh</w:t>
      </w:r>
      <w:proofErr w:type="spellEnd"/>
      <w:r w:rsidRPr="004E16EB">
        <w:rPr>
          <w:rFonts w:ascii="Times New Roman" w:hAnsi="Times New Roman"/>
          <w:i/>
          <w:iCs/>
          <w:sz w:val="24"/>
          <w:szCs w:val="24"/>
        </w:rPr>
        <w:t xml:space="preserve"> </w:t>
      </w:r>
      <w:r w:rsidRPr="004E16EB">
        <w:rPr>
          <w:rFonts w:ascii="Times New Roman" w:hAnsi="Times New Roman"/>
          <w:sz w:val="24"/>
          <w:szCs w:val="24"/>
        </w:rPr>
        <w:t xml:space="preserve">model applied by MWB increases women's economic welfare through micro-financing. Women receive </w:t>
      </w:r>
      <w:r w:rsidR="00A37C76">
        <w:rPr>
          <w:rFonts w:ascii="Times New Roman" w:hAnsi="Times New Roman"/>
          <w:sz w:val="24"/>
          <w:szCs w:val="24"/>
        </w:rPr>
        <w:t>S</w:t>
      </w:r>
      <w:r w:rsidRPr="004E16EB">
        <w:rPr>
          <w:rFonts w:ascii="Times New Roman" w:hAnsi="Times New Roman"/>
          <w:sz w:val="24"/>
          <w:szCs w:val="24"/>
        </w:rPr>
        <w:t>haria business character development in GCT based on their discipline, honesty, trustworthiness, concern for others, and financial responsibility. They also receive Islamic assistance, household financial management, and business development at regular</w:t>
      </w:r>
      <w:r w:rsidRPr="004E16EB">
        <w:rPr>
          <w:rFonts w:ascii="Times New Roman" w:hAnsi="Times New Roman"/>
          <w:i/>
          <w:iCs/>
          <w:sz w:val="24"/>
          <w:szCs w:val="24"/>
        </w:rPr>
        <w:t xml:space="preserve"> </w:t>
      </w:r>
      <w:proofErr w:type="spellStart"/>
      <w:r w:rsidRPr="004E16EB">
        <w:rPr>
          <w:rFonts w:ascii="Times New Roman" w:hAnsi="Times New Roman"/>
          <w:i/>
          <w:iCs/>
          <w:sz w:val="24"/>
          <w:szCs w:val="24"/>
        </w:rPr>
        <w:t>halaqoh</w:t>
      </w:r>
      <w:proofErr w:type="spellEnd"/>
      <w:r w:rsidRPr="004E16EB">
        <w:rPr>
          <w:rFonts w:ascii="Times New Roman" w:hAnsi="Times New Roman"/>
          <w:sz w:val="24"/>
          <w:szCs w:val="24"/>
        </w:rPr>
        <w:t xml:space="preserve"> meetings.</w:t>
      </w:r>
    </w:p>
    <w:p w14:paraId="4AC24CEF" w14:textId="77777777" w:rsidR="00384CB1" w:rsidRPr="004E16EB" w:rsidRDefault="00384CB1" w:rsidP="00384CB1">
      <w:pPr>
        <w:widowControl w:val="0"/>
        <w:spacing w:after="0" w:line="240" w:lineRule="auto"/>
        <w:ind w:firstLine="567"/>
        <w:jc w:val="both"/>
        <w:rPr>
          <w:rFonts w:ascii="Times New Roman" w:hAnsi="Times New Roman" w:cs="Times New Roman"/>
          <w:sz w:val="24"/>
          <w:szCs w:val="24"/>
        </w:rPr>
      </w:pPr>
      <w:r w:rsidRPr="004E16EB">
        <w:rPr>
          <w:rFonts w:ascii="Times New Roman" w:hAnsi="Times New Roman"/>
          <w:sz w:val="24"/>
          <w:szCs w:val="24"/>
        </w:rPr>
        <w:t>The SMI MWB program could be replicated and expanded in the area of its establishment to enhance access to microfinance and empower women's economy. This study is expected to implicate government and non-government policies to promote women's empowerment through easy access to financial institutions. However, it only examined the women's empowerment model carried out by MWB, not the risk management side of group-based financing. This is an opportunity for future studies to examine financing risk management at MWB</w:t>
      </w:r>
      <w:r w:rsidRPr="004E16EB">
        <w:rPr>
          <w:rFonts w:ascii="Times New Roman" w:hAnsi="Times New Roman" w:cs="Times New Roman"/>
          <w:sz w:val="24"/>
          <w:szCs w:val="24"/>
        </w:rPr>
        <w:t>.</w:t>
      </w:r>
    </w:p>
    <w:p w14:paraId="1B0E3F19" w14:textId="1725AA31" w:rsidR="00384CB1" w:rsidRPr="004E16EB" w:rsidRDefault="00384CB1" w:rsidP="00384CB1">
      <w:pPr>
        <w:pStyle w:val="ListParagraph"/>
        <w:widowControl w:val="0"/>
        <w:ind w:left="0" w:firstLine="810"/>
        <w:jc w:val="both"/>
        <w:rPr>
          <w:rFonts w:ascii="Times New Roman" w:hAnsi="Times New Roman" w:cs="Times New Roman"/>
        </w:rPr>
      </w:pPr>
      <w:r w:rsidRPr="004E16EB">
        <w:rPr>
          <w:rFonts w:ascii="Times New Roman" w:hAnsi="Times New Roman"/>
        </w:rPr>
        <w:t xml:space="preserve">The new insight from this study is that the </w:t>
      </w:r>
      <w:proofErr w:type="spellStart"/>
      <w:r w:rsidRPr="004E16EB">
        <w:rPr>
          <w:rFonts w:ascii="Times New Roman" w:hAnsi="Times New Roman"/>
        </w:rPr>
        <w:t>halaqoh</w:t>
      </w:r>
      <w:proofErr w:type="spellEnd"/>
      <w:r w:rsidRPr="004E16EB">
        <w:rPr>
          <w:rFonts w:ascii="Times New Roman" w:hAnsi="Times New Roman"/>
        </w:rPr>
        <w:t xml:space="preserve"> model is very suitable </w:t>
      </w:r>
      <w:r w:rsidR="00A37C76">
        <w:rPr>
          <w:rFonts w:ascii="Times New Roman" w:hAnsi="Times New Roman"/>
        </w:rPr>
        <w:t>for</w:t>
      </w:r>
      <w:r w:rsidRPr="004E16EB">
        <w:rPr>
          <w:rFonts w:ascii="Times New Roman" w:hAnsi="Times New Roman"/>
        </w:rPr>
        <w:t xml:space="preserve"> empowering unbanked women. At weekly </w:t>
      </w:r>
      <w:proofErr w:type="spellStart"/>
      <w:r w:rsidRPr="004E16EB">
        <w:rPr>
          <w:rFonts w:ascii="Times New Roman" w:hAnsi="Times New Roman"/>
        </w:rPr>
        <w:t>halaqah</w:t>
      </w:r>
      <w:proofErr w:type="spellEnd"/>
      <w:r w:rsidRPr="004E16EB">
        <w:rPr>
          <w:rFonts w:ascii="Times New Roman" w:hAnsi="Times New Roman"/>
        </w:rPr>
        <w:t xml:space="preserve"> meetings, fostering the mental attitude of customers, a sense of togetherness, commitment, discipline, building solidarity, responsibility, and group cooperation is seen as more effective. This study also offers some practical implications. Firstly, the government needs to make SMI MWB a basis for the economic empowerment of unbanked women who cannot access banking services</w:t>
      </w:r>
      <w:r w:rsidR="00A37C76">
        <w:rPr>
          <w:rFonts w:ascii="Times New Roman" w:hAnsi="Times New Roman"/>
        </w:rPr>
        <w:t>. H</w:t>
      </w:r>
      <w:r w:rsidRPr="004E16EB">
        <w:rPr>
          <w:rFonts w:ascii="Times New Roman" w:hAnsi="Times New Roman"/>
        </w:rPr>
        <w:t>ence</w:t>
      </w:r>
      <w:r w:rsidR="00A37C76">
        <w:rPr>
          <w:rFonts w:ascii="Times New Roman" w:hAnsi="Times New Roman"/>
        </w:rPr>
        <w:t>,</w:t>
      </w:r>
      <w:r w:rsidRPr="004E16EB">
        <w:rPr>
          <w:rFonts w:ascii="Times New Roman" w:hAnsi="Times New Roman"/>
        </w:rPr>
        <w:t xml:space="preserve"> they can actively participate in economic activities and improve the welfare of their families. Secondly, the results of this study can </w:t>
      </w:r>
      <w:r w:rsidR="00A37C76">
        <w:rPr>
          <w:rFonts w:ascii="Times New Roman" w:hAnsi="Times New Roman"/>
        </w:rPr>
        <w:t>inspire</w:t>
      </w:r>
      <w:r w:rsidRPr="004E16EB">
        <w:rPr>
          <w:rFonts w:ascii="Times New Roman" w:hAnsi="Times New Roman"/>
        </w:rPr>
        <w:t xml:space="preserve"> women micro and small entrepreneurs to continue fighting against marginalization in the financial aspect.</w:t>
      </w:r>
    </w:p>
    <w:p w14:paraId="57A65B3D" w14:textId="77777777" w:rsidR="00D331A6" w:rsidRPr="00B91E92" w:rsidRDefault="00D331A6" w:rsidP="00384CB1">
      <w:pPr>
        <w:rPr>
          <w:rFonts w:ascii="Times New Roman" w:hAnsi="Times New Roman" w:cs="Times New Roman"/>
          <w:sz w:val="24"/>
          <w:szCs w:val="24"/>
        </w:rPr>
      </w:pPr>
    </w:p>
    <w:p w14:paraId="066794C2" w14:textId="77777777" w:rsidR="002103D5" w:rsidRPr="00B91E92" w:rsidRDefault="002103D5" w:rsidP="002103D5">
      <w:pPr>
        <w:ind w:firstLine="720"/>
        <w:rPr>
          <w:rFonts w:ascii="Times New Roman" w:hAnsi="Times New Roman" w:cs="Times New Roman"/>
          <w:sz w:val="24"/>
          <w:szCs w:val="24"/>
        </w:rPr>
      </w:pPr>
    </w:p>
    <w:p w14:paraId="2A430FF5" w14:textId="2F48A691" w:rsidR="00CC5B43" w:rsidRPr="00B91E92" w:rsidRDefault="00CC5B43" w:rsidP="004B5F79">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Acknowledgment</w:t>
      </w:r>
    </w:p>
    <w:p w14:paraId="58AEC02E" w14:textId="77777777" w:rsidR="00384CB1" w:rsidRDefault="00384CB1" w:rsidP="00384CB1">
      <w:pPr>
        <w:spacing w:before="240" w:after="120"/>
        <w:ind w:firstLine="720"/>
        <w:rPr>
          <w:rFonts w:ascii="Times New Roman" w:hAnsi="Times New Roman" w:cs="Times New Roman"/>
          <w:b/>
          <w:bCs/>
          <w:sz w:val="24"/>
          <w:szCs w:val="24"/>
        </w:rPr>
      </w:pPr>
      <w:r w:rsidRPr="004E16EB">
        <w:rPr>
          <w:rFonts w:ascii="Times New Roman" w:hAnsi="Times New Roman"/>
          <w:sz w:val="24"/>
          <w:szCs w:val="24"/>
        </w:rPr>
        <w:t>The authors are grateful to the leaders and mentors of the IA Scholar Foundation for providing direction in completing this study</w:t>
      </w:r>
      <w:r w:rsidRPr="00B91E92">
        <w:rPr>
          <w:rFonts w:ascii="Times New Roman" w:hAnsi="Times New Roman" w:cs="Times New Roman"/>
          <w:b/>
          <w:bCs/>
          <w:sz w:val="24"/>
          <w:szCs w:val="24"/>
        </w:rPr>
        <w:t xml:space="preserve"> </w:t>
      </w:r>
      <w:r>
        <w:rPr>
          <w:rFonts w:ascii="Times New Roman" w:hAnsi="Times New Roman" w:cs="Times New Roman"/>
          <w:b/>
          <w:bCs/>
          <w:sz w:val="24"/>
          <w:szCs w:val="24"/>
        </w:rPr>
        <w:tab/>
      </w:r>
    </w:p>
    <w:p w14:paraId="74BB60F6" w14:textId="176F0F13" w:rsidR="00CC5B43" w:rsidRPr="00B91E92" w:rsidRDefault="00384CB1" w:rsidP="004B5F79">
      <w:pPr>
        <w:spacing w:before="240" w:after="120"/>
        <w:rPr>
          <w:rFonts w:ascii="Times New Roman" w:hAnsi="Times New Roman" w:cs="Times New Roman"/>
          <w:b/>
          <w:bCs/>
          <w:sz w:val="24"/>
          <w:szCs w:val="24"/>
        </w:rPr>
      </w:pPr>
      <w:r>
        <w:rPr>
          <w:rFonts w:ascii="Times New Roman" w:hAnsi="Times New Roman" w:cs="Times New Roman"/>
          <w:b/>
          <w:bCs/>
          <w:sz w:val="24"/>
          <w:szCs w:val="24"/>
        </w:rPr>
        <w:br w:type="column"/>
      </w:r>
      <w:r w:rsidR="00CC5B43" w:rsidRPr="00B91E92">
        <w:rPr>
          <w:rFonts w:ascii="Times New Roman" w:hAnsi="Times New Roman" w:cs="Times New Roman"/>
          <w:b/>
          <w:bCs/>
          <w:sz w:val="24"/>
          <w:szCs w:val="24"/>
        </w:rPr>
        <w:lastRenderedPageBreak/>
        <w:t>References</w:t>
      </w:r>
    </w:p>
    <w:p w14:paraId="6DEA6FBE" w14:textId="1BE85EFA"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Pr="00384CB1">
        <w:rPr>
          <w:rFonts w:ascii="Times New Roman" w:hAnsi="Times New Roman" w:cs="Times New Roman"/>
          <w:noProof/>
          <w:sz w:val="24"/>
          <w:szCs w:val="24"/>
        </w:rPr>
        <w:t xml:space="preserve">Ade Soekadis. (2021). </w:t>
      </w:r>
      <w:r w:rsidRPr="00384CB1">
        <w:rPr>
          <w:rFonts w:ascii="Times New Roman" w:hAnsi="Times New Roman" w:cs="Times New Roman"/>
          <w:i/>
          <w:iCs/>
          <w:noProof/>
          <w:sz w:val="24"/>
          <w:szCs w:val="24"/>
        </w:rPr>
        <w:t>EMPOWERING INDONESIAN WOMEN’S ECONOMY THROUGH DIGITAL FINANCIAL INCLUSION Lessons from MFS and SWEET Programs for Women Micro-Entrepreneurs in East Java</w:t>
      </w:r>
      <w:r w:rsidRPr="00384CB1">
        <w:rPr>
          <w:rFonts w:ascii="Times New Roman" w:hAnsi="Times New Roman" w:cs="Times New Roman"/>
          <w:noProof/>
          <w:sz w:val="24"/>
          <w:szCs w:val="24"/>
        </w:rPr>
        <w:t>.</w:t>
      </w:r>
    </w:p>
    <w:p w14:paraId="55CDC9D4"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Aggarwal, S., Kumar, P., &amp; Garg, V. (2020). Empowering SHGs Women through Micro-finance in Uttar Pradesh. </w:t>
      </w:r>
      <w:r w:rsidRPr="00384CB1">
        <w:rPr>
          <w:rFonts w:ascii="Times New Roman" w:hAnsi="Times New Roman" w:cs="Times New Roman"/>
          <w:i/>
          <w:iCs/>
          <w:noProof/>
          <w:sz w:val="24"/>
          <w:szCs w:val="24"/>
        </w:rPr>
        <w:t>International Journal of Law and Management</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62</w:t>
      </w:r>
      <w:r w:rsidRPr="00384CB1">
        <w:rPr>
          <w:rFonts w:ascii="Times New Roman" w:hAnsi="Times New Roman" w:cs="Times New Roman"/>
          <w:noProof/>
          <w:sz w:val="24"/>
          <w:szCs w:val="24"/>
        </w:rPr>
        <w:t>(6), 591–606. https://doi.org/10.1108/IJLMA-02-2020-0051/FULL/XML</w:t>
      </w:r>
    </w:p>
    <w:p w14:paraId="52C4A2F4"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Ajja, S. H., Samiti’, S., Arts, S. K. S. J., &amp; Sheshgiri, S. M. (2020). Women Empowerment And Women Entrepreneurship: An Overview. </w:t>
      </w:r>
      <w:r w:rsidRPr="00384CB1">
        <w:rPr>
          <w:rFonts w:ascii="Times New Roman" w:hAnsi="Times New Roman" w:cs="Times New Roman"/>
          <w:i/>
          <w:iCs/>
          <w:noProof/>
          <w:sz w:val="24"/>
          <w:szCs w:val="24"/>
        </w:rPr>
        <w:t>Jurnal Universitas Arsitektur &amp; Teknologi Xi’an</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12</w:t>
      </w:r>
      <w:r w:rsidRPr="00384CB1">
        <w:rPr>
          <w:rFonts w:ascii="Times New Roman" w:hAnsi="Times New Roman" w:cs="Times New Roman"/>
          <w:noProof/>
          <w:sz w:val="24"/>
          <w:szCs w:val="24"/>
        </w:rPr>
        <w:t>(3), 3843–3844.</w:t>
      </w:r>
    </w:p>
    <w:p w14:paraId="5CAC5BC8"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Anwar, M. Z., Fathan, Warto, &amp; Hidayati, O. N. (2023). TRANSFORMATION OF ECONOMIC THEOLOGY FOR COMMUNITY EMPOWERMENT A Case Study on Pesantren-Based Bank Wakaf Mikro. </w:t>
      </w:r>
      <w:r w:rsidRPr="00384CB1">
        <w:rPr>
          <w:rFonts w:ascii="Times New Roman" w:hAnsi="Times New Roman" w:cs="Times New Roman"/>
          <w:i/>
          <w:iCs/>
          <w:noProof/>
          <w:sz w:val="24"/>
          <w:szCs w:val="24"/>
        </w:rPr>
        <w:t>Journal of Indonesian Islam</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17</w:t>
      </w:r>
      <w:r w:rsidRPr="00384CB1">
        <w:rPr>
          <w:rFonts w:ascii="Times New Roman" w:hAnsi="Times New Roman" w:cs="Times New Roman"/>
          <w:noProof/>
          <w:sz w:val="24"/>
          <w:szCs w:val="24"/>
        </w:rPr>
        <w:t>(1), 76–99. https://doi.org/10.15642/JIIS.2023.17.1.76-99</w:t>
      </w:r>
    </w:p>
    <w:p w14:paraId="5B49EC22"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Ashraful, M., &amp; Khan, I. (2016). MICROCREDIT AND GRAMEEN BANK: A VIEW FROM THE GRASSROOTS. In </w:t>
      </w:r>
      <w:r w:rsidRPr="00384CB1">
        <w:rPr>
          <w:rFonts w:ascii="Times New Roman" w:hAnsi="Times New Roman" w:cs="Times New Roman"/>
          <w:i/>
          <w:iCs/>
          <w:noProof/>
          <w:sz w:val="24"/>
          <w:szCs w:val="24"/>
        </w:rPr>
        <w:t>Article in International Journal of Current Research</w:t>
      </w:r>
      <w:r w:rsidRPr="00384CB1">
        <w:rPr>
          <w:rFonts w:ascii="Times New Roman" w:hAnsi="Times New Roman" w:cs="Times New Roman"/>
          <w:noProof/>
          <w:sz w:val="24"/>
          <w:szCs w:val="24"/>
        </w:rPr>
        <w:t>.</w:t>
      </w:r>
    </w:p>
    <w:p w14:paraId="3DF4C472"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BSM, L. (2017a). </w:t>
      </w:r>
      <w:r w:rsidRPr="00384CB1">
        <w:rPr>
          <w:rFonts w:ascii="Times New Roman" w:hAnsi="Times New Roman" w:cs="Times New Roman"/>
          <w:i/>
          <w:iCs/>
          <w:noProof/>
          <w:sz w:val="24"/>
          <w:szCs w:val="24"/>
        </w:rPr>
        <w:t>“SOP &amp; SOM Standar Operasional Prosedure Dan Management Untuk LKM Syariah-Bank Wakaf Mikro</w:t>
      </w:r>
      <w:r w:rsidRPr="00384CB1">
        <w:rPr>
          <w:rFonts w:ascii="Times New Roman" w:hAnsi="Times New Roman" w:cs="Times New Roman"/>
          <w:noProof/>
          <w:sz w:val="24"/>
          <w:szCs w:val="24"/>
        </w:rPr>
        <w:t xml:space="preserve"> (p. 8). LAZNAS BSM.</w:t>
      </w:r>
    </w:p>
    <w:p w14:paraId="7221190F"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BSM, L. (2017b). </w:t>
      </w:r>
      <w:r w:rsidRPr="00384CB1">
        <w:rPr>
          <w:rFonts w:ascii="Times New Roman" w:hAnsi="Times New Roman" w:cs="Times New Roman"/>
          <w:i/>
          <w:iCs/>
          <w:noProof/>
          <w:sz w:val="24"/>
          <w:szCs w:val="24"/>
        </w:rPr>
        <w:t>Manajemen Lembaga Keuangan Mikro Syariah</w:t>
      </w:r>
      <w:r w:rsidRPr="00384CB1">
        <w:rPr>
          <w:rFonts w:ascii="Times New Roman" w:hAnsi="Times New Roman" w:cs="Times New Roman"/>
          <w:noProof/>
          <w:sz w:val="24"/>
          <w:szCs w:val="24"/>
        </w:rPr>
        <w:t>. LAZNAS BSM.</w:t>
      </w:r>
    </w:p>
    <w:p w14:paraId="7ACB57DF"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BWM. (2019). </w:t>
      </w:r>
      <w:r w:rsidRPr="00384CB1">
        <w:rPr>
          <w:rFonts w:ascii="Times New Roman" w:hAnsi="Times New Roman" w:cs="Times New Roman"/>
          <w:i/>
          <w:iCs/>
          <w:noProof/>
          <w:sz w:val="24"/>
          <w:szCs w:val="24"/>
        </w:rPr>
        <w:t>LKMS-BWM</w:t>
      </w:r>
      <w:r w:rsidRPr="00384CB1">
        <w:rPr>
          <w:rFonts w:ascii="Times New Roman" w:hAnsi="Times New Roman" w:cs="Times New Roman"/>
          <w:noProof/>
          <w:sz w:val="24"/>
          <w:szCs w:val="24"/>
        </w:rPr>
        <w:t>. Http://Www.Lkmsbwm.Id/.</w:t>
      </w:r>
    </w:p>
    <w:p w14:paraId="65F6F6ED"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Cabeza-García, L., Del Brio, E. B., &amp; Oscanoa-Victorio, M. L. (2019). Female financial inclusion and its impacts on inclusive economic development. </w:t>
      </w:r>
      <w:r w:rsidRPr="00384CB1">
        <w:rPr>
          <w:rFonts w:ascii="Times New Roman" w:hAnsi="Times New Roman" w:cs="Times New Roman"/>
          <w:i/>
          <w:iCs/>
          <w:noProof/>
          <w:sz w:val="24"/>
          <w:szCs w:val="24"/>
        </w:rPr>
        <w:t>Women’s Studies International Forum</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77</w:t>
      </w:r>
      <w:r w:rsidRPr="00384CB1">
        <w:rPr>
          <w:rFonts w:ascii="Times New Roman" w:hAnsi="Times New Roman" w:cs="Times New Roman"/>
          <w:noProof/>
          <w:sz w:val="24"/>
          <w:szCs w:val="24"/>
        </w:rPr>
        <w:t>(October), 102300. https://doi.org/10.1016/j.wsif.2019.102300</w:t>
      </w:r>
    </w:p>
    <w:p w14:paraId="4E6BD81C"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Dalseg, S. K., Kuokkanen, R., Mills, S., &amp; Simmons, D. (2018). Gendered Environmental Assessments in the Canadian North: Marginalization of Indigenous Women and Traditional Economies. </w:t>
      </w:r>
      <w:r w:rsidRPr="00384CB1">
        <w:rPr>
          <w:rFonts w:ascii="Times New Roman" w:hAnsi="Times New Roman" w:cs="Times New Roman"/>
          <w:i/>
          <w:iCs/>
          <w:noProof/>
          <w:sz w:val="24"/>
          <w:szCs w:val="24"/>
        </w:rPr>
        <w:t>Northern Review</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47</w:t>
      </w:r>
      <w:r w:rsidRPr="00384CB1">
        <w:rPr>
          <w:rFonts w:ascii="Times New Roman" w:hAnsi="Times New Roman" w:cs="Times New Roman"/>
          <w:noProof/>
          <w:sz w:val="24"/>
          <w:szCs w:val="24"/>
        </w:rPr>
        <w:t>(47), 135–166–135–166. https://doi.org/10.22584/NR47.2018.007</w:t>
      </w:r>
    </w:p>
    <w:p w14:paraId="1A4E873C"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Fanggidae, R. E., Kurniawati, M., &amp; Bahweres, H. (2020). The Effect of Workplace Spirituality and Employee Performance (Perspective of Islamic Work Ethics Case Study on BTPN Syariah, Kupang). </w:t>
      </w:r>
      <w:r w:rsidRPr="00384CB1">
        <w:rPr>
          <w:rFonts w:ascii="Times New Roman" w:hAnsi="Times New Roman" w:cs="Times New Roman"/>
          <w:i/>
          <w:iCs/>
          <w:noProof/>
          <w:sz w:val="24"/>
          <w:szCs w:val="24"/>
        </w:rPr>
        <w:t>Atlantes Press</w:t>
      </w:r>
      <w:r w:rsidRPr="00384CB1">
        <w:rPr>
          <w:rFonts w:ascii="Times New Roman" w:hAnsi="Times New Roman" w:cs="Times New Roman"/>
          <w:noProof/>
          <w:sz w:val="24"/>
          <w:szCs w:val="24"/>
        </w:rPr>
        <w:t>, 234–239. https://doi.org/10.2991/AEBMR.K.200522.045</w:t>
      </w:r>
    </w:p>
    <w:p w14:paraId="51A6D333"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Fianto, B. A., Maulida, H., &amp; Laila, N. (2019). Determining factors of non-performing financing in Islamic microfinance institutions. </w:t>
      </w:r>
      <w:r w:rsidRPr="00384CB1">
        <w:rPr>
          <w:rFonts w:ascii="Times New Roman" w:hAnsi="Times New Roman" w:cs="Times New Roman"/>
          <w:i/>
          <w:iCs/>
          <w:noProof/>
          <w:sz w:val="24"/>
          <w:szCs w:val="24"/>
        </w:rPr>
        <w:t>Heliyon</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5</w:t>
      </w:r>
      <w:r w:rsidRPr="00384CB1">
        <w:rPr>
          <w:rFonts w:ascii="Times New Roman" w:hAnsi="Times New Roman" w:cs="Times New Roman"/>
          <w:noProof/>
          <w:sz w:val="24"/>
          <w:szCs w:val="24"/>
        </w:rPr>
        <w:t>(8), e02301. https://doi.org/10.1016/J.HELIYON.2019.E02301</w:t>
      </w:r>
    </w:p>
    <w:p w14:paraId="08013388"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Fitriatinnisa, D., &amp; Khoirunurrofik, K. (2021). Financial Inclusion, Poverty, Inequality: Empirical Evidence from Provincial in  Indonesia. </w:t>
      </w:r>
      <w:r w:rsidRPr="00384CB1">
        <w:rPr>
          <w:rFonts w:ascii="Times New Roman" w:hAnsi="Times New Roman" w:cs="Times New Roman"/>
          <w:i/>
          <w:iCs/>
          <w:noProof/>
          <w:sz w:val="24"/>
          <w:szCs w:val="24"/>
        </w:rPr>
        <w:t>Economics Development Analysis Journal</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10</w:t>
      </w:r>
      <w:r w:rsidRPr="00384CB1">
        <w:rPr>
          <w:rFonts w:ascii="Times New Roman" w:hAnsi="Times New Roman" w:cs="Times New Roman"/>
          <w:noProof/>
          <w:sz w:val="24"/>
          <w:szCs w:val="24"/>
        </w:rPr>
        <w:t>(2), 205–220. https://doi.org/10.15294/EDAJ.V10I2.44483</w:t>
      </w:r>
    </w:p>
    <w:p w14:paraId="3122A061"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Hasiba, F. F., Mahmudah, S. N., &amp; Puji Sucia Sukmaningrum, Shochrul Rohmatul Ajija, M. </w:t>
      </w:r>
      <w:r w:rsidRPr="00384CB1">
        <w:rPr>
          <w:rFonts w:ascii="Times New Roman" w:hAnsi="Times New Roman" w:cs="Times New Roman"/>
          <w:noProof/>
          <w:sz w:val="24"/>
          <w:szCs w:val="24"/>
        </w:rPr>
        <w:lastRenderedPageBreak/>
        <w:t xml:space="preserve">B. F. Z. (2021). The Strategies for Developing Micro Waqf Bank in Indonesia. </w:t>
      </w:r>
      <w:r w:rsidRPr="00384CB1">
        <w:rPr>
          <w:rFonts w:ascii="Times New Roman" w:hAnsi="Times New Roman" w:cs="Times New Roman"/>
          <w:i/>
          <w:iCs/>
          <w:noProof/>
          <w:sz w:val="24"/>
          <w:szCs w:val="24"/>
        </w:rPr>
        <w:t>Rigeo.Org</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11</w:t>
      </w:r>
      <w:r w:rsidRPr="00384CB1">
        <w:rPr>
          <w:rFonts w:ascii="Times New Roman" w:hAnsi="Times New Roman" w:cs="Times New Roman"/>
          <w:noProof/>
          <w:sz w:val="24"/>
          <w:szCs w:val="24"/>
        </w:rPr>
        <w:t>(4), 2021. https://doi.org/10.48047/rigeo.11.04.24</w:t>
      </w:r>
    </w:p>
    <w:p w14:paraId="186F7704"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IFC. (2021). </w:t>
      </w:r>
      <w:r w:rsidRPr="00384CB1">
        <w:rPr>
          <w:rFonts w:ascii="Times New Roman" w:hAnsi="Times New Roman" w:cs="Times New Roman"/>
          <w:i/>
          <w:iCs/>
          <w:noProof/>
          <w:sz w:val="24"/>
          <w:szCs w:val="24"/>
        </w:rPr>
        <w:t>Mobile Banking in Indonesia Assessing the MArket PotentiAl for Mobile technology to extend bAnking to the UnbAnked And UnderbAnked</w:t>
      </w:r>
      <w:r w:rsidRPr="00384CB1">
        <w:rPr>
          <w:rFonts w:ascii="Times New Roman" w:hAnsi="Times New Roman" w:cs="Times New Roman"/>
          <w:noProof/>
          <w:sz w:val="24"/>
          <w:szCs w:val="24"/>
        </w:rPr>
        <w:t>.</w:t>
      </w:r>
    </w:p>
    <w:p w14:paraId="07359CC3"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Islam, M. S. (2021). Role of Islamic microfinance in women’s empowerment: evidence from Rural Development Scheme of Islami Bank Bangladesh Limited. </w:t>
      </w:r>
      <w:r w:rsidRPr="00384CB1">
        <w:rPr>
          <w:rFonts w:ascii="Times New Roman" w:hAnsi="Times New Roman" w:cs="Times New Roman"/>
          <w:i/>
          <w:iCs/>
          <w:noProof/>
          <w:sz w:val="24"/>
          <w:szCs w:val="24"/>
        </w:rPr>
        <w:t>ISRA International Journal of Islamic Finance</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13</w:t>
      </w:r>
      <w:r w:rsidRPr="00384CB1">
        <w:rPr>
          <w:rFonts w:ascii="Times New Roman" w:hAnsi="Times New Roman" w:cs="Times New Roman"/>
          <w:noProof/>
          <w:sz w:val="24"/>
          <w:szCs w:val="24"/>
        </w:rPr>
        <w:t>(1), 26–45. https://doi.org/10.1108/IJIF-11-2019-0174</w:t>
      </w:r>
    </w:p>
    <w:p w14:paraId="2ECBA32E"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Iwang Suwangsih, Nuzulul Fatimah, Noneng Rukayah Sukatmadiredja, &amp; Emmywati. (2021). THE IMPACT OF IMPLEMENTATION OF A JOINT LIABILITY SYSTEM ON MEMBER BEHAVIOR. </w:t>
      </w:r>
      <w:r w:rsidRPr="00384CB1">
        <w:rPr>
          <w:rFonts w:ascii="Times New Roman" w:hAnsi="Times New Roman" w:cs="Times New Roman"/>
          <w:i/>
          <w:iCs/>
          <w:noProof/>
          <w:sz w:val="24"/>
          <w:szCs w:val="24"/>
        </w:rPr>
        <w:t>Journal of Islamic Economics Perspectives</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3</w:t>
      </w:r>
      <w:r w:rsidRPr="00384CB1">
        <w:rPr>
          <w:rFonts w:ascii="Times New Roman" w:hAnsi="Times New Roman" w:cs="Times New Roman"/>
          <w:noProof/>
          <w:sz w:val="24"/>
          <w:szCs w:val="24"/>
        </w:rPr>
        <w:t>(1), 88–100. https://doi.org/10.35719/JIEP.V3I1.41</w:t>
      </w:r>
    </w:p>
    <w:p w14:paraId="553FFA58"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Macqueen, K. M., Guest, G., &amp; Namey, E. (2005). </w:t>
      </w:r>
      <w:r w:rsidRPr="00384CB1">
        <w:rPr>
          <w:rFonts w:ascii="Times New Roman" w:hAnsi="Times New Roman" w:cs="Times New Roman"/>
          <w:i/>
          <w:iCs/>
          <w:noProof/>
          <w:sz w:val="24"/>
          <w:szCs w:val="24"/>
        </w:rPr>
        <w:t>Qualitative Research Methods: A DATA COLLECTOR’S FIELD GUIDE NATASHA MACK • CYNTHIA WOODSONG</w:t>
      </w:r>
      <w:r w:rsidRPr="00384CB1">
        <w:rPr>
          <w:rFonts w:ascii="Times New Roman" w:hAnsi="Times New Roman" w:cs="Times New Roman"/>
          <w:noProof/>
          <w:sz w:val="24"/>
          <w:szCs w:val="24"/>
        </w:rPr>
        <w:t>.</w:t>
      </w:r>
    </w:p>
    <w:p w14:paraId="1273EB9F"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Malik, R. S. (2013). QUALITATIVE RESEARCH METHODOLOGY IN EDUCATION. </w:t>
      </w:r>
      <w:r w:rsidRPr="00384CB1">
        <w:rPr>
          <w:rFonts w:ascii="Times New Roman" w:hAnsi="Times New Roman" w:cs="Times New Roman"/>
          <w:i/>
          <w:iCs/>
          <w:noProof/>
          <w:sz w:val="24"/>
          <w:szCs w:val="24"/>
        </w:rPr>
        <w:t>Jurnal Edubio Tropika</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1</w:t>
      </w:r>
      <w:r w:rsidRPr="00384CB1">
        <w:rPr>
          <w:rFonts w:ascii="Times New Roman" w:hAnsi="Times New Roman" w:cs="Times New Roman"/>
          <w:noProof/>
          <w:sz w:val="24"/>
          <w:szCs w:val="24"/>
        </w:rPr>
        <w:t>(2).</w:t>
      </w:r>
    </w:p>
    <w:p w14:paraId="0422EA96"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Mukthar, K. P. J., Asis, H. R., Vílchez-Vásquez, R., Huaman-Osorio, A., &amp; Alvarado-Tolentino, J. (2023). Estimating Women Entrepreneurial Empowerment of Start-Up Business Through Micro Credit Model in Rural Areas. </w:t>
      </w:r>
      <w:r w:rsidRPr="00384CB1">
        <w:rPr>
          <w:rFonts w:ascii="Times New Roman" w:hAnsi="Times New Roman" w:cs="Times New Roman"/>
          <w:i/>
          <w:iCs/>
          <w:noProof/>
          <w:sz w:val="24"/>
          <w:szCs w:val="24"/>
        </w:rPr>
        <w:t>Lecture Notes in Networks and Systems</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495 LNNS</w:t>
      </w:r>
      <w:r w:rsidRPr="00384CB1">
        <w:rPr>
          <w:rFonts w:ascii="Times New Roman" w:hAnsi="Times New Roman" w:cs="Times New Roman"/>
          <w:noProof/>
          <w:sz w:val="24"/>
          <w:szCs w:val="24"/>
        </w:rPr>
        <w:t>, 86–94. https://doi.org/10.1007/978-3-031-08954-1_8/COVER</w:t>
      </w:r>
    </w:p>
    <w:p w14:paraId="4A8E3C55"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Musta’anah, A., Bina Buono, K., Atika, R., Noviarita, H., Islam, U., Raden, N., &amp; Lampung, I. (2021). Analysis of Sharia Literacy Level and Sharia Financial Inclusion PNM Mekaar Sharia in Increasing Income Public (Study on the Fishing Community of Kuala Jaya Hamlet, South Lampung Regency). </w:t>
      </w:r>
      <w:r w:rsidRPr="00384CB1">
        <w:rPr>
          <w:rFonts w:ascii="Times New Roman" w:hAnsi="Times New Roman" w:cs="Times New Roman"/>
          <w:i/>
          <w:iCs/>
          <w:noProof/>
          <w:sz w:val="24"/>
          <w:szCs w:val="24"/>
        </w:rPr>
        <w:t>Journal of Islamic Business and Economic Review</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4</w:t>
      </w:r>
      <w:r w:rsidRPr="00384CB1">
        <w:rPr>
          <w:rFonts w:ascii="Times New Roman" w:hAnsi="Times New Roman" w:cs="Times New Roman"/>
          <w:noProof/>
          <w:sz w:val="24"/>
          <w:szCs w:val="24"/>
        </w:rPr>
        <w:t>(2), 97–101.</w:t>
      </w:r>
    </w:p>
    <w:p w14:paraId="4DAD596D"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Nugroho, W., &amp; Hilal, F. N. (2019). Micro Waqf Bank in Indonesia: Analysis of The Constitution Concept According to The Maqashid Sharia. </w:t>
      </w:r>
      <w:r w:rsidRPr="00384CB1">
        <w:rPr>
          <w:rFonts w:ascii="Times New Roman" w:hAnsi="Times New Roman" w:cs="Times New Roman"/>
          <w:i/>
          <w:iCs/>
          <w:noProof/>
          <w:sz w:val="24"/>
          <w:szCs w:val="24"/>
        </w:rPr>
        <w:t>Al-Iktisab: Journal of Islamic Economic Law</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3</w:t>
      </w:r>
      <w:r w:rsidRPr="00384CB1">
        <w:rPr>
          <w:rFonts w:ascii="Times New Roman" w:hAnsi="Times New Roman" w:cs="Times New Roman"/>
          <w:noProof/>
          <w:sz w:val="24"/>
          <w:szCs w:val="24"/>
        </w:rPr>
        <w:t>(1). https://doi.org/10.21111/AL-IKTISAB.V3I1.3905</w:t>
      </w:r>
    </w:p>
    <w:p w14:paraId="0E4C8E8E"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Nurhayati. (2016). Social Entrepreneurship Muhammad Yunus“Grameen Bank". </w:t>
      </w:r>
      <w:r w:rsidRPr="00384CB1">
        <w:rPr>
          <w:rFonts w:ascii="Times New Roman" w:hAnsi="Times New Roman" w:cs="Times New Roman"/>
          <w:i/>
          <w:iCs/>
          <w:noProof/>
          <w:sz w:val="24"/>
          <w:szCs w:val="24"/>
        </w:rPr>
        <w:t>Jurnal Bisnis Manajemen &amp; Perbankan</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2</w:t>
      </w:r>
      <w:r w:rsidRPr="00384CB1">
        <w:rPr>
          <w:rFonts w:ascii="Times New Roman" w:hAnsi="Times New Roman" w:cs="Times New Roman"/>
          <w:noProof/>
          <w:sz w:val="24"/>
          <w:szCs w:val="24"/>
        </w:rPr>
        <w:t>(1), 31–48.</w:t>
      </w:r>
    </w:p>
    <w:p w14:paraId="2A059CE7"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Paramita, &amp; Prananingtyas, H. S. D. (2020). Legal Consequences of Dualism Regulations on Micro Waqf Bank as a Sharia Microfinance Institutions in Indonesia. </w:t>
      </w:r>
      <w:r w:rsidRPr="00384CB1">
        <w:rPr>
          <w:rFonts w:ascii="Times New Roman" w:hAnsi="Times New Roman" w:cs="Times New Roman"/>
          <w:i/>
          <w:iCs/>
          <w:noProof/>
          <w:sz w:val="24"/>
          <w:szCs w:val="24"/>
        </w:rPr>
        <w:t>Varia Justicia</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16</w:t>
      </w:r>
      <w:r w:rsidRPr="00384CB1">
        <w:rPr>
          <w:rFonts w:ascii="Times New Roman" w:hAnsi="Times New Roman" w:cs="Times New Roman"/>
          <w:noProof/>
          <w:sz w:val="24"/>
          <w:szCs w:val="24"/>
        </w:rPr>
        <w:t>(1), 1–14. https://doi.org/10.31603/variajusticia.v16i1.3205</w:t>
      </w:r>
    </w:p>
    <w:p w14:paraId="3461100D"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Patton, M. Q. (2005). Qualitative Research. </w:t>
      </w:r>
      <w:r w:rsidRPr="00384CB1">
        <w:rPr>
          <w:rFonts w:ascii="Times New Roman" w:hAnsi="Times New Roman" w:cs="Times New Roman"/>
          <w:i/>
          <w:iCs/>
          <w:noProof/>
          <w:sz w:val="24"/>
          <w:szCs w:val="24"/>
        </w:rPr>
        <w:t>Encyclopedia of Statistics in Behavioral Science</w:t>
      </w:r>
      <w:r w:rsidRPr="00384CB1">
        <w:rPr>
          <w:rFonts w:ascii="Times New Roman" w:hAnsi="Times New Roman" w:cs="Times New Roman"/>
          <w:noProof/>
          <w:sz w:val="24"/>
          <w:szCs w:val="24"/>
        </w:rPr>
        <w:t>. https://doi.org/10.1002/0470013192.BSA514</w:t>
      </w:r>
    </w:p>
    <w:p w14:paraId="0AB19D2A"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Prastyaningtyas, E. W., Widjaja, S. U. M., Wahyono, H., Andayani, E. S., &amp; Rusdi, J. F. (2022). Methods for studying group loans, join responsibility, and women’s empowerment. </w:t>
      </w:r>
      <w:r w:rsidRPr="00384CB1">
        <w:rPr>
          <w:rFonts w:ascii="Times New Roman" w:hAnsi="Times New Roman" w:cs="Times New Roman"/>
          <w:i/>
          <w:iCs/>
          <w:noProof/>
          <w:sz w:val="24"/>
          <w:szCs w:val="24"/>
        </w:rPr>
        <w:t>MethodsX</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9</w:t>
      </w:r>
      <w:r w:rsidRPr="00384CB1">
        <w:rPr>
          <w:rFonts w:ascii="Times New Roman" w:hAnsi="Times New Roman" w:cs="Times New Roman"/>
          <w:noProof/>
          <w:sz w:val="24"/>
          <w:szCs w:val="24"/>
        </w:rPr>
        <w:t>, 101749. https://doi.org/10.1016/J.MEX.2022.101749</w:t>
      </w:r>
    </w:p>
    <w:p w14:paraId="5AE710F3"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Rahman, M. M., Khanam, R., &amp; Nghiem, S. (2017). The effects of microfinance on women’s empowerment: New evidence from Bangladesh. </w:t>
      </w:r>
      <w:r w:rsidRPr="00384CB1">
        <w:rPr>
          <w:rFonts w:ascii="Times New Roman" w:hAnsi="Times New Roman" w:cs="Times New Roman"/>
          <w:i/>
          <w:iCs/>
          <w:noProof/>
          <w:sz w:val="24"/>
          <w:szCs w:val="24"/>
        </w:rPr>
        <w:t xml:space="preserve">International Journal of Social </w:t>
      </w:r>
      <w:r w:rsidRPr="00384CB1">
        <w:rPr>
          <w:rFonts w:ascii="Times New Roman" w:hAnsi="Times New Roman" w:cs="Times New Roman"/>
          <w:i/>
          <w:iCs/>
          <w:noProof/>
          <w:sz w:val="24"/>
          <w:szCs w:val="24"/>
        </w:rPr>
        <w:lastRenderedPageBreak/>
        <w:t>Economics</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44</w:t>
      </w:r>
      <w:r w:rsidRPr="00384CB1">
        <w:rPr>
          <w:rFonts w:ascii="Times New Roman" w:hAnsi="Times New Roman" w:cs="Times New Roman"/>
          <w:noProof/>
          <w:sz w:val="24"/>
          <w:szCs w:val="24"/>
        </w:rPr>
        <w:t>(12), 1745–1757. https://doi.org/10.1108/IJSE-02-2016-0070/FULL/HTML</w:t>
      </w:r>
    </w:p>
    <w:p w14:paraId="6D82190F"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Ritonga, T., Ananda, A., Lanin, D., &amp; Hasan, H. (2019). Practice to theory of learning: A lesson learned from islamic boarding school in South Tapanuli of Indonesia. </w:t>
      </w:r>
      <w:r w:rsidRPr="00384CB1">
        <w:rPr>
          <w:rFonts w:ascii="Times New Roman" w:hAnsi="Times New Roman" w:cs="Times New Roman"/>
          <w:i/>
          <w:iCs/>
          <w:noProof/>
          <w:sz w:val="24"/>
          <w:szCs w:val="24"/>
        </w:rPr>
        <w:t>Humanities and Social Sciences Reviews</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7</w:t>
      </w:r>
      <w:r w:rsidRPr="00384CB1">
        <w:rPr>
          <w:rFonts w:ascii="Times New Roman" w:hAnsi="Times New Roman" w:cs="Times New Roman"/>
          <w:noProof/>
          <w:sz w:val="24"/>
          <w:szCs w:val="24"/>
        </w:rPr>
        <w:t>(5), 1304–1310. https://doi.org/10.18510/hssr.2019.75169</w:t>
      </w:r>
    </w:p>
    <w:p w14:paraId="33084C09"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Rozalinda. (2019). </w:t>
      </w:r>
      <w:r w:rsidRPr="00384CB1">
        <w:rPr>
          <w:rFonts w:ascii="Times New Roman" w:hAnsi="Times New Roman" w:cs="Times New Roman"/>
          <w:i/>
          <w:iCs/>
          <w:noProof/>
          <w:sz w:val="24"/>
          <w:szCs w:val="24"/>
        </w:rPr>
        <w:t>Fiqh Ekonomi Syariah Prinsip Dan Implementasinya Pada Sektor Keuangan Syariah</w:t>
      </w:r>
      <w:r w:rsidRPr="00384CB1">
        <w:rPr>
          <w:rFonts w:ascii="Times New Roman" w:hAnsi="Times New Roman" w:cs="Times New Roman"/>
          <w:noProof/>
          <w:sz w:val="24"/>
          <w:szCs w:val="24"/>
        </w:rPr>
        <w:t xml:space="preserve"> (1st ed.). Raja Grafindo Persada.</w:t>
      </w:r>
    </w:p>
    <w:p w14:paraId="6059CB36"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Rozalinda, R., &amp; Nurhasnah, N. (2022). Islamic Boarding School-Based Women’s Economic Empowerment and Its Impact on Increasing Home Industry Income. </w:t>
      </w:r>
      <w:r w:rsidRPr="00384CB1">
        <w:rPr>
          <w:rFonts w:ascii="Times New Roman" w:hAnsi="Times New Roman" w:cs="Times New Roman"/>
          <w:i/>
          <w:iCs/>
          <w:noProof/>
          <w:sz w:val="24"/>
          <w:szCs w:val="24"/>
        </w:rPr>
        <w:t>Annual International Conference on Islamic Economics and Business (AICIEB)</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2</w:t>
      </w:r>
      <w:r w:rsidRPr="00384CB1">
        <w:rPr>
          <w:rFonts w:ascii="Times New Roman" w:hAnsi="Times New Roman" w:cs="Times New Roman"/>
          <w:noProof/>
          <w:sz w:val="24"/>
          <w:szCs w:val="24"/>
        </w:rPr>
        <w:t>(1), 432–448. https://doi.org/10.18326/AICIEB.V2I1.126</w:t>
      </w:r>
    </w:p>
    <w:p w14:paraId="6FD5BD91"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Soemitra, A., Kusmilawaty, &amp; Rahma, T. I. F. (2022). The Role of Micro Waqf Bank in Women&amp;rsquo;s Micro-Business Empowerment through Islamic Social Finance: Mixed-Method Evidence from Mawaridussalam Indonesia. </w:t>
      </w:r>
      <w:r w:rsidRPr="00384CB1">
        <w:rPr>
          <w:rFonts w:ascii="Times New Roman" w:hAnsi="Times New Roman" w:cs="Times New Roman"/>
          <w:i/>
          <w:iCs/>
          <w:noProof/>
          <w:sz w:val="24"/>
          <w:szCs w:val="24"/>
        </w:rPr>
        <w:t>Economies 2022, Vol. 10, Page 157</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10</w:t>
      </w:r>
      <w:r w:rsidRPr="00384CB1">
        <w:rPr>
          <w:rFonts w:ascii="Times New Roman" w:hAnsi="Times New Roman" w:cs="Times New Roman"/>
          <w:noProof/>
          <w:sz w:val="24"/>
          <w:szCs w:val="24"/>
        </w:rPr>
        <w:t>(7), 157. https://doi.org/10.3390/ECONOMIES10070157</w:t>
      </w:r>
    </w:p>
    <w:p w14:paraId="75D6538A"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Sofia. (2017). </w:t>
      </w:r>
      <w:r w:rsidRPr="00384CB1">
        <w:rPr>
          <w:rFonts w:ascii="Times New Roman" w:hAnsi="Times New Roman" w:cs="Times New Roman"/>
          <w:i/>
          <w:iCs/>
          <w:noProof/>
          <w:sz w:val="24"/>
          <w:szCs w:val="24"/>
        </w:rPr>
        <w:t>Survey on Financial Inclusion and Access (SOFIA) Implemented by Focus Note on Gender</w:t>
      </w:r>
      <w:r w:rsidRPr="00384CB1">
        <w:rPr>
          <w:rFonts w:ascii="Times New Roman" w:hAnsi="Times New Roman" w:cs="Times New Roman"/>
          <w:noProof/>
          <w:sz w:val="24"/>
          <w:szCs w:val="24"/>
        </w:rPr>
        <w:t>.</w:t>
      </w:r>
    </w:p>
    <w:p w14:paraId="3A4FDCAE"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Sulistiani, Siska Lis, Muhammad Yunus, E. M. B. (2019). The Role and Legality of Micro Waqf Bank in Pesantren Based Poverty Alleviation in Indonesia. </w:t>
      </w:r>
      <w:r w:rsidRPr="00384CB1">
        <w:rPr>
          <w:rFonts w:ascii="Times New Roman" w:hAnsi="Times New Roman" w:cs="Times New Roman"/>
          <w:i/>
          <w:iCs/>
          <w:noProof/>
          <w:sz w:val="24"/>
          <w:szCs w:val="24"/>
        </w:rPr>
        <w:t>Jurnal Bimas Islam</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12</w:t>
      </w:r>
      <w:r w:rsidRPr="00384CB1">
        <w:rPr>
          <w:rFonts w:ascii="Times New Roman" w:hAnsi="Times New Roman" w:cs="Times New Roman"/>
          <w:noProof/>
          <w:sz w:val="24"/>
          <w:szCs w:val="24"/>
        </w:rPr>
        <w:t>(1), 1–26.</w:t>
      </w:r>
    </w:p>
    <w:p w14:paraId="24D1C951"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Sulistiani, S. L., Yunus, M., &amp; Bayuni, E. M. (2020). Micro Waqf Bank: New Sharia Financial Instruments in Indonesia. </w:t>
      </w:r>
      <w:r w:rsidRPr="00384CB1">
        <w:rPr>
          <w:rFonts w:ascii="Times New Roman" w:hAnsi="Times New Roman" w:cs="Times New Roman"/>
          <w:i/>
          <w:iCs/>
          <w:noProof/>
          <w:sz w:val="24"/>
          <w:szCs w:val="24"/>
        </w:rPr>
        <w:t>Advances in Social Science, Education and Humanities Research</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409</w:t>
      </w:r>
      <w:r w:rsidRPr="00384CB1">
        <w:rPr>
          <w:rFonts w:ascii="Times New Roman" w:hAnsi="Times New Roman" w:cs="Times New Roman"/>
          <w:noProof/>
          <w:sz w:val="24"/>
          <w:szCs w:val="24"/>
        </w:rPr>
        <w:t>, 1–4. https://doi.org/10.2991/ASSEHR.K.200225.001</w:t>
      </w:r>
    </w:p>
    <w:p w14:paraId="1F24F48E"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Thorne, S., Kirkham, S. R., &amp; O’Flynn-Magee, K. (2017). The Analytic Challenge in Interpretive Description. </w:t>
      </w:r>
      <w:r w:rsidRPr="00384CB1">
        <w:rPr>
          <w:rFonts w:ascii="Times New Roman" w:hAnsi="Times New Roman" w:cs="Times New Roman"/>
          <w:i/>
          <w:iCs/>
          <w:noProof/>
          <w:sz w:val="24"/>
          <w:szCs w:val="24"/>
        </w:rPr>
        <w:t>International Journal of Qualitative Methods</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3</w:t>
      </w:r>
      <w:r w:rsidRPr="00384CB1">
        <w:rPr>
          <w:rFonts w:ascii="Times New Roman" w:hAnsi="Times New Roman" w:cs="Times New Roman"/>
          <w:noProof/>
          <w:sz w:val="24"/>
          <w:szCs w:val="24"/>
        </w:rPr>
        <w:t>(1), 1–11. https://doi.org/10.1177/160940690400300101</w:t>
      </w:r>
    </w:p>
    <w:p w14:paraId="67C6B40A"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Umar, A., Ahmad, F., Fischer, J., Zulkhibri, M., Hassan, M. K., Asy’arie, M., Hidayah, N. N., Kayadibi, S., &amp; Ghazanfar, S. M. (2019). Bank Wakaf Mikro and Creative Economics in Pesantren Buntet. </w:t>
      </w:r>
      <w:r w:rsidRPr="00384CB1">
        <w:rPr>
          <w:rFonts w:ascii="Times New Roman" w:hAnsi="Times New Roman" w:cs="Times New Roman"/>
          <w:i/>
          <w:iCs/>
          <w:noProof/>
          <w:sz w:val="24"/>
          <w:szCs w:val="24"/>
        </w:rPr>
        <w:t>Shirkah: Journal of Economics and Business</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4</w:t>
      </w:r>
      <w:r w:rsidRPr="00384CB1">
        <w:rPr>
          <w:rFonts w:ascii="Times New Roman" w:hAnsi="Times New Roman" w:cs="Times New Roman"/>
          <w:noProof/>
          <w:sz w:val="24"/>
          <w:szCs w:val="24"/>
        </w:rPr>
        <w:t>(2), 2503–4243. https://doi.org/10.22515/SHIRKAH.V4I2.269</w:t>
      </w:r>
    </w:p>
    <w:p w14:paraId="4CF5D646"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Yamin, A., &amp; Dalimunthe. (2020). Classic Islamic Education Heritage in Halaqah and Munazharah. </w:t>
      </w:r>
      <w:r w:rsidRPr="00384CB1">
        <w:rPr>
          <w:rFonts w:ascii="Times New Roman" w:hAnsi="Times New Roman" w:cs="Times New Roman"/>
          <w:i/>
          <w:iCs/>
          <w:noProof/>
          <w:sz w:val="24"/>
          <w:szCs w:val="24"/>
        </w:rPr>
        <w:t>194.31.53.129</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6</w:t>
      </w:r>
      <w:r w:rsidRPr="00384CB1">
        <w:rPr>
          <w:rFonts w:ascii="Times New Roman" w:hAnsi="Times New Roman" w:cs="Times New Roman"/>
          <w:noProof/>
          <w:sz w:val="24"/>
          <w:szCs w:val="24"/>
        </w:rPr>
        <w:t>(2), 249–343. https://doi.org/10.24952/tazkir.v6i2.1315</w:t>
      </w:r>
    </w:p>
    <w:p w14:paraId="0E2A11D3"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Yaumidin, U. K., Suhodo, D. S., Yuniarti, P. I., &amp; Hidayatina, A. (2017). Financial Inclusion for Women: Impact Evaluation on Islamic Microfinance to Women’s Empowerment in Indonesia. </w:t>
      </w:r>
      <w:r w:rsidRPr="00384CB1">
        <w:rPr>
          <w:rFonts w:ascii="Times New Roman" w:hAnsi="Times New Roman" w:cs="Times New Roman"/>
          <w:i/>
          <w:iCs/>
          <w:noProof/>
          <w:sz w:val="24"/>
          <w:szCs w:val="24"/>
        </w:rPr>
        <w:t>Financial Inclusion and Poverty Alleviation</w:t>
      </w:r>
      <w:r w:rsidRPr="00384CB1">
        <w:rPr>
          <w:rFonts w:ascii="Times New Roman" w:hAnsi="Times New Roman" w:cs="Times New Roman"/>
          <w:noProof/>
          <w:sz w:val="24"/>
          <w:szCs w:val="24"/>
        </w:rPr>
        <w:t>, 81–140. https://doi.org/10.1007/978-3-319-69799-4_3</w:t>
      </w:r>
    </w:p>
    <w:p w14:paraId="7EFA8FAF"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384CB1">
        <w:rPr>
          <w:rFonts w:ascii="Times New Roman" w:hAnsi="Times New Roman" w:cs="Times New Roman"/>
          <w:noProof/>
          <w:sz w:val="24"/>
          <w:szCs w:val="24"/>
        </w:rPr>
        <w:t xml:space="preserve">Yunus, M. (2005). ELIMINATING POVERTY THROUGH MARKET-BASED SOCIAL ENTREPRENEURSHIP. In </w:t>
      </w:r>
      <w:r w:rsidRPr="00384CB1">
        <w:rPr>
          <w:rFonts w:ascii="Times New Roman" w:hAnsi="Times New Roman" w:cs="Times New Roman"/>
          <w:i/>
          <w:iCs/>
          <w:noProof/>
          <w:sz w:val="24"/>
          <w:szCs w:val="24"/>
        </w:rPr>
        <w:t>Global Urban Development</w:t>
      </w:r>
      <w:r w:rsidRPr="00384CB1">
        <w:rPr>
          <w:rFonts w:ascii="Times New Roman" w:hAnsi="Times New Roman" w:cs="Times New Roman"/>
          <w:noProof/>
          <w:sz w:val="24"/>
          <w:szCs w:val="24"/>
        </w:rPr>
        <w:t xml:space="preserve"> (Vol. 1).</w:t>
      </w:r>
    </w:p>
    <w:p w14:paraId="6D672A14" w14:textId="77777777" w:rsidR="00384CB1" w:rsidRPr="00384CB1" w:rsidRDefault="00384CB1" w:rsidP="00384CB1">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384CB1">
        <w:rPr>
          <w:rFonts w:ascii="Times New Roman" w:hAnsi="Times New Roman" w:cs="Times New Roman"/>
          <w:noProof/>
          <w:sz w:val="24"/>
          <w:szCs w:val="24"/>
        </w:rPr>
        <w:lastRenderedPageBreak/>
        <w:t xml:space="preserve">Zitouni, T., &amp; Ben Jedidia, K. (2022). Does Islamic microfinance contribute to economic empowerment in Tunisia?: a case study of Zitouna Tamkeen. </w:t>
      </w:r>
      <w:r w:rsidRPr="00384CB1">
        <w:rPr>
          <w:rFonts w:ascii="Times New Roman" w:hAnsi="Times New Roman" w:cs="Times New Roman"/>
          <w:i/>
          <w:iCs/>
          <w:noProof/>
          <w:sz w:val="24"/>
          <w:szCs w:val="24"/>
        </w:rPr>
        <w:t>Journal of Business and Socio-Economic Development</w:t>
      </w:r>
      <w:r w:rsidRPr="00384CB1">
        <w:rPr>
          <w:rFonts w:ascii="Times New Roman" w:hAnsi="Times New Roman" w:cs="Times New Roman"/>
          <w:noProof/>
          <w:sz w:val="24"/>
          <w:szCs w:val="24"/>
        </w:rPr>
        <w:t xml:space="preserve">, </w:t>
      </w:r>
      <w:r w:rsidRPr="00384CB1">
        <w:rPr>
          <w:rFonts w:ascii="Times New Roman" w:hAnsi="Times New Roman" w:cs="Times New Roman"/>
          <w:i/>
          <w:iCs/>
          <w:noProof/>
          <w:sz w:val="24"/>
          <w:szCs w:val="24"/>
        </w:rPr>
        <w:t>2</w:t>
      </w:r>
      <w:r w:rsidRPr="00384CB1">
        <w:rPr>
          <w:rFonts w:ascii="Times New Roman" w:hAnsi="Times New Roman" w:cs="Times New Roman"/>
          <w:noProof/>
          <w:sz w:val="24"/>
          <w:szCs w:val="24"/>
        </w:rPr>
        <w:t>(1), 67–81. https://doi.org/10.1108/JBSED-10-2021-0143/FULL/HTML</w:t>
      </w:r>
    </w:p>
    <w:p w14:paraId="1E694E93" w14:textId="47BF95F3" w:rsidR="008D7351" w:rsidRDefault="00384CB1" w:rsidP="004B5F79">
      <w:pPr>
        <w:spacing w:before="240" w:after="120"/>
        <w:rPr>
          <w:rFonts w:ascii="Times New Roman" w:hAnsi="Times New Roman" w:cs="Times New Roman"/>
          <w:sz w:val="24"/>
          <w:szCs w:val="24"/>
        </w:rPr>
      </w:pPr>
      <w:r>
        <w:rPr>
          <w:rFonts w:ascii="Times New Roman" w:hAnsi="Times New Roman" w:cs="Times New Roman"/>
          <w:sz w:val="24"/>
          <w:szCs w:val="24"/>
        </w:rPr>
        <w:fldChar w:fldCharType="end"/>
      </w:r>
    </w:p>
    <w:p w14:paraId="64C9976D" w14:textId="77777777" w:rsidR="007F7796" w:rsidRPr="00B91E92" w:rsidRDefault="007F7796" w:rsidP="004B5F79">
      <w:pPr>
        <w:spacing w:before="240" w:after="120"/>
        <w:rPr>
          <w:rFonts w:ascii="Times New Roman" w:hAnsi="Times New Roman" w:cs="Times New Roman"/>
          <w:b/>
          <w:bCs/>
          <w:sz w:val="24"/>
          <w:szCs w:val="24"/>
        </w:rPr>
      </w:pPr>
    </w:p>
    <w:p w14:paraId="535F01C3" w14:textId="72D67DE2" w:rsidR="00CC5B43" w:rsidRPr="001B6A13" w:rsidRDefault="00CC5B43" w:rsidP="008A01A1">
      <w:pPr>
        <w:rPr>
          <w:rFonts w:ascii="Times New Roman" w:hAnsi="Times New Roman" w:cs="Times New Roman"/>
          <w:sz w:val="24"/>
          <w:szCs w:val="24"/>
        </w:rPr>
      </w:pPr>
    </w:p>
    <w:sectPr w:rsidR="00CC5B43" w:rsidRPr="001B6A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AD835" w14:textId="77777777" w:rsidR="00850823" w:rsidRPr="00B91E92" w:rsidRDefault="00850823" w:rsidP="00515749">
      <w:pPr>
        <w:spacing w:after="0" w:line="240" w:lineRule="auto"/>
      </w:pPr>
      <w:r w:rsidRPr="00B91E92">
        <w:separator/>
      </w:r>
    </w:p>
  </w:endnote>
  <w:endnote w:type="continuationSeparator" w:id="0">
    <w:p w14:paraId="04C0BE4A" w14:textId="77777777" w:rsidR="00850823" w:rsidRPr="00B91E92" w:rsidRDefault="00850823" w:rsidP="00515749">
      <w:pPr>
        <w:spacing w:after="0" w:line="240" w:lineRule="auto"/>
      </w:pPr>
      <w:r w:rsidRPr="00B91E9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1CCDD" w14:textId="77777777" w:rsidR="00850823" w:rsidRPr="00B91E92" w:rsidRDefault="00850823" w:rsidP="00515749">
      <w:pPr>
        <w:spacing w:after="0" w:line="240" w:lineRule="auto"/>
      </w:pPr>
      <w:r w:rsidRPr="00B91E92">
        <w:separator/>
      </w:r>
    </w:p>
  </w:footnote>
  <w:footnote w:type="continuationSeparator" w:id="0">
    <w:p w14:paraId="3EB65363" w14:textId="77777777" w:rsidR="00850823" w:rsidRPr="00B91E92" w:rsidRDefault="00850823" w:rsidP="00515749">
      <w:pPr>
        <w:spacing w:after="0" w:line="240" w:lineRule="auto"/>
      </w:pPr>
      <w:r w:rsidRPr="00B91E9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3CA42A73"/>
    <w:lvl w:ilvl="0">
      <w:start w:val="4"/>
      <w:numFmt w:val="decimal"/>
      <w:lvlText w:val="%1"/>
      <w:lvlJc w:val="left"/>
      <w:pPr>
        <w:ind w:left="360" w:hanging="360"/>
      </w:pPr>
      <w:rPr>
        <w:rFonts w:cs="Arial" w:hint="default"/>
        <w:b/>
      </w:rPr>
    </w:lvl>
    <w:lvl w:ilvl="1">
      <w:start w:val="1"/>
      <w:numFmt w:val="decimal"/>
      <w:lvlText w:val="%1.%2"/>
      <w:lvlJc w:val="left"/>
      <w:pPr>
        <w:ind w:left="786" w:hanging="360"/>
      </w:pPr>
      <w:rPr>
        <w:rFonts w:cs="Arial" w:hint="default"/>
        <w:b/>
      </w:rPr>
    </w:lvl>
    <w:lvl w:ilvl="2">
      <w:start w:val="1"/>
      <w:numFmt w:val="decimal"/>
      <w:lvlText w:val="%1.%2.%3"/>
      <w:lvlJc w:val="left"/>
      <w:pPr>
        <w:ind w:left="1572" w:hanging="720"/>
      </w:pPr>
      <w:rPr>
        <w:rFonts w:cs="Arial" w:hint="default"/>
        <w:b/>
      </w:rPr>
    </w:lvl>
    <w:lvl w:ilvl="3">
      <w:start w:val="1"/>
      <w:numFmt w:val="decimal"/>
      <w:lvlText w:val="%1.%2.%3.%4"/>
      <w:lvlJc w:val="left"/>
      <w:pPr>
        <w:ind w:left="1998" w:hanging="720"/>
      </w:pPr>
      <w:rPr>
        <w:rFonts w:cs="Arial" w:hint="default"/>
        <w:b/>
      </w:rPr>
    </w:lvl>
    <w:lvl w:ilvl="4">
      <w:start w:val="1"/>
      <w:numFmt w:val="decimal"/>
      <w:lvlText w:val="%1.%2.%3.%4.%5"/>
      <w:lvlJc w:val="left"/>
      <w:pPr>
        <w:ind w:left="2784" w:hanging="1080"/>
      </w:pPr>
      <w:rPr>
        <w:rFonts w:cs="Arial" w:hint="default"/>
        <w:b/>
      </w:rPr>
    </w:lvl>
    <w:lvl w:ilvl="5">
      <w:start w:val="1"/>
      <w:numFmt w:val="decimal"/>
      <w:lvlText w:val="%1.%2.%3.%4.%5.%6"/>
      <w:lvlJc w:val="left"/>
      <w:pPr>
        <w:ind w:left="3210" w:hanging="1080"/>
      </w:pPr>
      <w:rPr>
        <w:rFonts w:cs="Arial" w:hint="default"/>
        <w:b/>
      </w:rPr>
    </w:lvl>
    <w:lvl w:ilvl="6">
      <w:start w:val="1"/>
      <w:numFmt w:val="decimal"/>
      <w:lvlText w:val="%1.%2.%3.%4.%5.%6.%7"/>
      <w:lvlJc w:val="left"/>
      <w:pPr>
        <w:ind w:left="3996" w:hanging="1440"/>
      </w:pPr>
      <w:rPr>
        <w:rFonts w:cs="Arial" w:hint="default"/>
        <w:b/>
      </w:rPr>
    </w:lvl>
    <w:lvl w:ilvl="7">
      <w:start w:val="1"/>
      <w:numFmt w:val="decimal"/>
      <w:lvlText w:val="%1.%2.%3.%4.%5.%6.%7.%8"/>
      <w:lvlJc w:val="left"/>
      <w:pPr>
        <w:ind w:left="4422" w:hanging="1440"/>
      </w:pPr>
      <w:rPr>
        <w:rFonts w:cs="Arial" w:hint="default"/>
        <w:b/>
      </w:rPr>
    </w:lvl>
    <w:lvl w:ilvl="8">
      <w:start w:val="1"/>
      <w:numFmt w:val="decimal"/>
      <w:lvlText w:val="%1.%2.%3.%4.%5.%6.%7.%8.%9"/>
      <w:lvlJc w:val="left"/>
      <w:pPr>
        <w:ind w:left="5208" w:hanging="1800"/>
      </w:pPr>
      <w:rPr>
        <w:rFonts w:cs="Arial" w:hint="default"/>
        <w:b/>
      </w:rPr>
    </w:lvl>
  </w:abstractNum>
  <w:abstractNum w:abstractNumId="1" w15:restartNumberingAfterBreak="0">
    <w:nsid w:val="00000003"/>
    <w:multiLevelType w:val="multilevel"/>
    <w:tmpl w:val="677D05A6"/>
    <w:lvl w:ilvl="0">
      <w:start w:val="1"/>
      <w:numFmt w:val="decimal"/>
      <w:lvlText w:val="%1."/>
      <w:lvlJc w:val="left"/>
      <w:pPr>
        <w:ind w:left="720" w:hanging="360"/>
      </w:pPr>
      <w:rPr>
        <w:rFonts w:hint="default"/>
      </w:rPr>
    </w:lvl>
    <w:lvl w:ilvl="1">
      <w:start w:val="1"/>
      <w:numFmt w:val="lowerLetter"/>
      <w:lvlText w:val="%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4"/>
    <w:multiLevelType w:val="multilevel"/>
    <w:tmpl w:val="77BA7F5B"/>
    <w:lvl w:ilvl="0">
      <w:start w:val="2"/>
      <w:numFmt w:val="decimal"/>
      <w:lvlText w:val="%1."/>
      <w:lvlJc w:val="left"/>
      <w:pPr>
        <w:ind w:left="360" w:hanging="360"/>
      </w:pPr>
      <w:rPr>
        <w:rFonts w:hint="default"/>
        <w:i w:val="0"/>
      </w:rPr>
    </w:lvl>
    <w:lvl w:ilvl="1">
      <w:start w:val="1"/>
      <w:numFmt w:val="decimal"/>
      <w:lvlText w:val="%1.%2."/>
      <w:lvlJc w:val="left"/>
      <w:pPr>
        <w:ind w:left="720" w:hanging="360"/>
      </w:pPr>
      <w:rPr>
        <w:rFonts w:ascii="Times New Roman" w:hAnsi="Times New Roman" w:cs="Times New Roman" w:hint="default"/>
        <w:b/>
        <w:i w:val="0"/>
        <w:sz w:val="24"/>
        <w:szCs w:val="24"/>
      </w:rPr>
    </w:lvl>
    <w:lvl w:ilvl="2">
      <w:start w:val="1"/>
      <w:numFmt w:val="decimal"/>
      <w:lvlText w:val="%1.%2.%3."/>
      <w:lvlJc w:val="left"/>
      <w:pPr>
        <w:ind w:left="2160" w:hanging="720"/>
      </w:pPr>
      <w:rPr>
        <w:rFonts w:hint="default"/>
        <w:i/>
      </w:rPr>
    </w:lvl>
    <w:lvl w:ilvl="3">
      <w:start w:val="1"/>
      <w:numFmt w:val="decimal"/>
      <w:lvlText w:val="%1.%2.%3.%4."/>
      <w:lvlJc w:val="left"/>
      <w:pPr>
        <w:ind w:left="2880" w:hanging="720"/>
      </w:pPr>
      <w:rPr>
        <w:rFonts w:hint="default"/>
        <w:i/>
      </w:rPr>
    </w:lvl>
    <w:lvl w:ilvl="4">
      <w:start w:val="1"/>
      <w:numFmt w:val="decimal"/>
      <w:lvlText w:val="%1.%2.%3.%4.%5."/>
      <w:lvlJc w:val="left"/>
      <w:pPr>
        <w:ind w:left="3960" w:hanging="1080"/>
      </w:pPr>
      <w:rPr>
        <w:rFonts w:hint="default"/>
        <w:i/>
      </w:rPr>
    </w:lvl>
    <w:lvl w:ilvl="5">
      <w:start w:val="1"/>
      <w:numFmt w:val="decimal"/>
      <w:lvlText w:val="%1.%2.%3.%4.%5.%6."/>
      <w:lvlJc w:val="left"/>
      <w:pPr>
        <w:ind w:left="4680" w:hanging="1080"/>
      </w:pPr>
      <w:rPr>
        <w:rFonts w:hint="default"/>
        <w:i/>
      </w:rPr>
    </w:lvl>
    <w:lvl w:ilvl="6">
      <w:start w:val="1"/>
      <w:numFmt w:val="decimal"/>
      <w:lvlText w:val="%1.%2.%3.%4.%5.%6.%7."/>
      <w:lvlJc w:val="left"/>
      <w:pPr>
        <w:ind w:left="5760" w:hanging="1440"/>
      </w:pPr>
      <w:rPr>
        <w:rFonts w:hint="default"/>
        <w:i/>
      </w:rPr>
    </w:lvl>
    <w:lvl w:ilvl="7">
      <w:start w:val="1"/>
      <w:numFmt w:val="decimal"/>
      <w:lvlText w:val="%1.%2.%3.%4.%5.%6.%7.%8."/>
      <w:lvlJc w:val="left"/>
      <w:pPr>
        <w:ind w:left="6480" w:hanging="1440"/>
      </w:pPr>
      <w:rPr>
        <w:rFonts w:hint="default"/>
        <w:i/>
      </w:rPr>
    </w:lvl>
    <w:lvl w:ilvl="8">
      <w:start w:val="1"/>
      <w:numFmt w:val="decimal"/>
      <w:lvlText w:val="%1.%2.%3.%4.%5.%6.%7.%8.%9."/>
      <w:lvlJc w:val="left"/>
      <w:pPr>
        <w:ind w:left="7560" w:hanging="1800"/>
      </w:pPr>
      <w:rPr>
        <w:rFonts w:hint="default"/>
        <w:i/>
      </w:rPr>
    </w:lvl>
  </w:abstractNum>
  <w:abstractNum w:abstractNumId="3" w15:restartNumberingAfterBreak="0">
    <w:nsid w:val="12F2086D"/>
    <w:multiLevelType w:val="hybridMultilevel"/>
    <w:tmpl w:val="C8004C40"/>
    <w:lvl w:ilvl="0" w:tplc="3809000F">
      <w:start w:val="1"/>
      <w:numFmt w:val="decimal"/>
      <w:lvlText w:val="%1."/>
      <w:lvlJc w:val="left"/>
      <w:pPr>
        <w:ind w:left="676" w:hanging="360"/>
      </w:pPr>
    </w:lvl>
    <w:lvl w:ilvl="1" w:tplc="38090019" w:tentative="1">
      <w:start w:val="1"/>
      <w:numFmt w:val="lowerLetter"/>
      <w:lvlText w:val="%2."/>
      <w:lvlJc w:val="left"/>
      <w:pPr>
        <w:ind w:left="1396" w:hanging="360"/>
      </w:pPr>
    </w:lvl>
    <w:lvl w:ilvl="2" w:tplc="3809001B" w:tentative="1">
      <w:start w:val="1"/>
      <w:numFmt w:val="lowerRoman"/>
      <w:lvlText w:val="%3."/>
      <w:lvlJc w:val="right"/>
      <w:pPr>
        <w:ind w:left="2116" w:hanging="180"/>
      </w:pPr>
    </w:lvl>
    <w:lvl w:ilvl="3" w:tplc="3809000F" w:tentative="1">
      <w:start w:val="1"/>
      <w:numFmt w:val="decimal"/>
      <w:lvlText w:val="%4."/>
      <w:lvlJc w:val="left"/>
      <w:pPr>
        <w:ind w:left="2836" w:hanging="360"/>
      </w:pPr>
    </w:lvl>
    <w:lvl w:ilvl="4" w:tplc="38090019" w:tentative="1">
      <w:start w:val="1"/>
      <w:numFmt w:val="lowerLetter"/>
      <w:lvlText w:val="%5."/>
      <w:lvlJc w:val="left"/>
      <w:pPr>
        <w:ind w:left="3556" w:hanging="360"/>
      </w:pPr>
    </w:lvl>
    <w:lvl w:ilvl="5" w:tplc="3809001B" w:tentative="1">
      <w:start w:val="1"/>
      <w:numFmt w:val="lowerRoman"/>
      <w:lvlText w:val="%6."/>
      <w:lvlJc w:val="right"/>
      <w:pPr>
        <w:ind w:left="4276" w:hanging="180"/>
      </w:pPr>
    </w:lvl>
    <w:lvl w:ilvl="6" w:tplc="3809000F" w:tentative="1">
      <w:start w:val="1"/>
      <w:numFmt w:val="decimal"/>
      <w:lvlText w:val="%7."/>
      <w:lvlJc w:val="left"/>
      <w:pPr>
        <w:ind w:left="4996" w:hanging="360"/>
      </w:pPr>
    </w:lvl>
    <w:lvl w:ilvl="7" w:tplc="38090019" w:tentative="1">
      <w:start w:val="1"/>
      <w:numFmt w:val="lowerLetter"/>
      <w:lvlText w:val="%8."/>
      <w:lvlJc w:val="left"/>
      <w:pPr>
        <w:ind w:left="5716" w:hanging="360"/>
      </w:pPr>
    </w:lvl>
    <w:lvl w:ilvl="8" w:tplc="3809001B" w:tentative="1">
      <w:start w:val="1"/>
      <w:numFmt w:val="lowerRoman"/>
      <w:lvlText w:val="%9."/>
      <w:lvlJc w:val="right"/>
      <w:pPr>
        <w:ind w:left="6436" w:hanging="180"/>
      </w:pPr>
    </w:lvl>
  </w:abstractNum>
  <w:abstractNum w:abstractNumId="4" w15:restartNumberingAfterBreak="0">
    <w:nsid w:val="255D12F1"/>
    <w:multiLevelType w:val="hybridMultilevel"/>
    <w:tmpl w:val="9F82AE88"/>
    <w:lvl w:ilvl="0" w:tplc="3809000F">
      <w:start w:val="1"/>
      <w:numFmt w:val="decimal"/>
      <w:lvlText w:val="%1."/>
      <w:lvlJc w:val="left"/>
      <w:pPr>
        <w:ind w:left="676" w:hanging="360"/>
      </w:pPr>
    </w:lvl>
    <w:lvl w:ilvl="1" w:tplc="38090019" w:tentative="1">
      <w:start w:val="1"/>
      <w:numFmt w:val="lowerLetter"/>
      <w:lvlText w:val="%2."/>
      <w:lvlJc w:val="left"/>
      <w:pPr>
        <w:ind w:left="1396" w:hanging="360"/>
      </w:pPr>
    </w:lvl>
    <w:lvl w:ilvl="2" w:tplc="3809001B" w:tentative="1">
      <w:start w:val="1"/>
      <w:numFmt w:val="lowerRoman"/>
      <w:lvlText w:val="%3."/>
      <w:lvlJc w:val="right"/>
      <w:pPr>
        <w:ind w:left="2116" w:hanging="180"/>
      </w:pPr>
    </w:lvl>
    <w:lvl w:ilvl="3" w:tplc="3809000F" w:tentative="1">
      <w:start w:val="1"/>
      <w:numFmt w:val="decimal"/>
      <w:lvlText w:val="%4."/>
      <w:lvlJc w:val="left"/>
      <w:pPr>
        <w:ind w:left="2836" w:hanging="360"/>
      </w:pPr>
    </w:lvl>
    <w:lvl w:ilvl="4" w:tplc="38090019" w:tentative="1">
      <w:start w:val="1"/>
      <w:numFmt w:val="lowerLetter"/>
      <w:lvlText w:val="%5."/>
      <w:lvlJc w:val="left"/>
      <w:pPr>
        <w:ind w:left="3556" w:hanging="360"/>
      </w:pPr>
    </w:lvl>
    <w:lvl w:ilvl="5" w:tplc="3809001B" w:tentative="1">
      <w:start w:val="1"/>
      <w:numFmt w:val="lowerRoman"/>
      <w:lvlText w:val="%6."/>
      <w:lvlJc w:val="right"/>
      <w:pPr>
        <w:ind w:left="4276" w:hanging="180"/>
      </w:pPr>
    </w:lvl>
    <w:lvl w:ilvl="6" w:tplc="3809000F" w:tentative="1">
      <w:start w:val="1"/>
      <w:numFmt w:val="decimal"/>
      <w:lvlText w:val="%7."/>
      <w:lvlJc w:val="left"/>
      <w:pPr>
        <w:ind w:left="4996" w:hanging="360"/>
      </w:pPr>
    </w:lvl>
    <w:lvl w:ilvl="7" w:tplc="38090019" w:tentative="1">
      <w:start w:val="1"/>
      <w:numFmt w:val="lowerLetter"/>
      <w:lvlText w:val="%8."/>
      <w:lvlJc w:val="left"/>
      <w:pPr>
        <w:ind w:left="5716" w:hanging="360"/>
      </w:pPr>
    </w:lvl>
    <w:lvl w:ilvl="8" w:tplc="3809001B" w:tentative="1">
      <w:start w:val="1"/>
      <w:numFmt w:val="lowerRoman"/>
      <w:lvlText w:val="%9."/>
      <w:lvlJc w:val="right"/>
      <w:pPr>
        <w:ind w:left="6436" w:hanging="180"/>
      </w:pPr>
    </w:lvl>
  </w:abstractNum>
  <w:abstractNum w:abstractNumId="5" w15:restartNumberingAfterBreak="0">
    <w:nsid w:val="3E410C07"/>
    <w:multiLevelType w:val="hybridMultilevel"/>
    <w:tmpl w:val="4D94AD1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3D9038C"/>
    <w:multiLevelType w:val="hybridMultilevel"/>
    <w:tmpl w:val="BFFEFC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5EB64DB"/>
    <w:multiLevelType w:val="hybridMultilevel"/>
    <w:tmpl w:val="DB909B5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63D5A84"/>
    <w:multiLevelType w:val="hybridMultilevel"/>
    <w:tmpl w:val="8ACEA37E"/>
    <w:lvl w:ilvl="0" w:tplc="FFFFFFFF">
      <w:start w:val="1"/>
      <w:numFmt w:val="decimal"/>
      <w:lvlText w:val="%1."/>
      <w:lvlJc w:val="left"/>
      <w:pPr>
        <w:ind w:left="680" w:hanging="36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num w:numId="1">
    <w:abstractNumId w:val="6"/>
  </w:num>
  <w:num w:numId="2">
    <w:abstractNumId w:val="7"/>
  </w:num>
  <w:num w:numId="3">
    <w:abstractNumId w:val="8"/>
  </w:num>
  <w:num w:numId="4">
    <w:abstractNumId w:val="4"/>
  </w:num>
  <w:num w:numId="5">
    <w:abstractNumId w:val="5"/>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wMjMwNTc0NLYwsDRU0lEKTi0uzszPAykwNKsFAGSJu4YtAAAA"/>
  </w:docVars>
  <w:rsids>
    <w:rsidRoot w:val="00515749"/>
    <w:rsid w:val="000006C5"/>
    <w:rsid w:val="000050EB"/>
    <w:rsid w:val="00006AF6"/>
    <w:rsid w:val="00015829"/>
    <w:rsid w:val="00052CF7"/>
    <w:rsid w:val="00054786"/>
    <w:rsid w:val="00090499"/>
    <w:rsid w:val="000A293A"/>
    <w:rsid w:val="000B1FD5"/>
    <w:rsid w:val="000E042C"/>
    <w:rsid w:val="00116634"/>
    <w:rsid w:val="0012516F"/>
    <w:rsid w:val="0013398D"/>
    <w:rsid w:val="00141D95"/>
    <w:rsid w:val="00182083"/>
    <w:rsid w:val="00182B69"/>
    <w:rsid w:val="001868E5"/>
    <w:rsid w:val="001A67B6"/>
    <w:rsid w:val="001B6A13"/>
    <w:rsid w:val="001F225F"/>
    <w:rsid w:val="002103D5"/>
    <w:rsid w:val="00225692"/>
    <w:rsid w:val="0023416C"/>
    <w:rsid w:val="00236C29"/>
    <w:rsid w:val="00252474"/>
    <w:rsid w:val="00292441"/>
    <w:rsid w:val="002C1224"/>
    <w:rsid w:val="003168CD"/>
    <w:rsid w:val="003419E6"/>
    <w:rsid w:val="003704B5"/>
    <w:rsid w:val="00384CB1"/>
    <w:rsid w:val="003B3E4D"/>
    <w:rsid w:val="003D4BC7"/>
    <w:rsid w:val="003E4FD0"/>
    <w:rsid w:val="00410719"/>
    <w:rsid w:val="00412247"/>
    <w:rsid w:val="00415739"/>
    <w:rsid w:val="004B5F79"/>
    <w:rsid w:val="004C2445"/>
    <w:rsid w:val="004D68AD"/>
    <w:rsid w:val="004F2CEC"/>
    <w:rsid w:val="0050233F"/>
    <w:rsid w:val="00515749"/>
    <w:rsid w:val="00531D2E"/>
    <w:rsid w:val="00571041"/>
    <w:rsid w:val="00582E66"/>
    <w:rsid w:val="005D0030"/>
    <w:rsid w:val="005D345E"/>
    <w:rsid w:val="005E3EF3"/>
    <w:rsid w:val="005F62AE"/>
    <w:rsid w:val="006219ED"/>
    <w:rsid w:val="006323C4"/>
    <w:rsid w:val="006329CB"/>
    <w:rsid w:val="00643890"/>
    <w:rsid w:val="00673607"/>
    <w:rsid w:val="006801D0"/>
    <w:rsid w:val="0068137C"/>
    <w:rsid w:val="00684431"/>
    <w:rsid w:val="00684B91"/>
    <w:rsid w:val="006E06D9"/>
    <w:rsid w:val="006E27EB"/>
    <w:rsid w:val="006F66B1"/>
    <w:rsid w:val="00761B5A"/>
    <w:rsid w:val="007807B5"/>
    <w:rsid w:val="00796C60"/>
    <w:rsid w:val="007A6BE3"/>
    <w:rsid w:val="007B7F20"/>
    <w:rsid w:val="007F7796"/>
    <w:rsid w:val="00821D44"/>
    <w:rsid w:val="00850823"/>
    <w:rsid w:val="00894A3B"/>
    <w:rsid w:val="0089639F"/>
    <w:rsid w:val="008A01A1"/>
    <w:rsid w:val="008B6941"/>
    <w:rsid w:val="008B7B94"/>
    <w:rsid w:val="008D7351"/>
    <w:rsid w:val="0090016A"/>
    <w:rsid w:val="00920B1F"/>
    <w:rsid w:val="009612E0"/>
    <w:rsid w:val="00964B6A"/>
    <w:rsid w:val="00983F85"/>
    <w:rsid w:val="00993BED"/>
    <w:rsid w:val="00994D41"/>
    <w:rsid w:val="009966D3"/>
    <w:rsid w:val="009B23B3"/>
    <w:rsid w:val="00A25BE8"/>
    <w:rsid w:val="00A37C76"/>
    <w:rsid w:val="00A75FCE"/>
    <w:rsid w:val="00A91172"/>
    <w:rsid w:val="00AF7AA9"/>
    <w:rsid w:val="00B331F3"/>
    <w:rsid w:val="00B46623"/>
    <w:rsid w:val="00B60F8E"/>
    <w:rsid w:val="00B62967"/>
    <w:rsid w:val="00B91E92"/>
    <w:rsid w:val="00B92769"/>
    <w:rsid w:val="00BB2095"/>
    <w:rsid w:val="00BB7578"/>
    <w:rsid w:val="00BC2E6A"/>
    <w:rsid w:val="00BE013B"/>
    <w:rsid w:val="00C01CFE"/>
    <w:rsid w:val="00C13F9E"/>
    <w:rsid w:val="00C21AD2"/>
    <w:rsid w:val="00C27114"/>
    <w:rsid w:val="00C50657"/>
    <w:rsid w:val="00C61393"/>
    <w:rsid w:val="00C61C98"/>
    <w:rsid w:val="00C81239"/>
    <w:rsid w:val="00CC5B43"/>
    <w:rsid w:val="00CD02BF"/>
    <w:rsid w:val="00CE7D43"/>
    <w:rsid w:val="00CF65E4"/>
    <w:rsid w:val="00D10564"/>
    <w:rsid w:val="00D15A33"/>
    <w:rsid w:val="00D20849"/>
    <w:rsid w:val="00D25303"/>
    <w:rsid w:val="00D3171B"/>
    <w:rsid w:val="00D331A6"/>
    <w:rsid w:val="00D42F53"/>
    <w:rsid w:val="00D550AD"/>
    <w:rsid w:val="00D56823"/>
    <w:rsid w:val="00D767AA"/>
    <w:rsid w:val="00D77E8E"/>
    <w:rsid w:val="00D95C14"/>
    <w:rsid w:val="00E17AAF"/>
    <w:rsid w:val="00E25392"/>
    <w:rsid w:val="00E8638E"/>
    <w:rsid w:val="00E87F53"/>
    <w:rsid w:val="00EC2BC6"/>
    <w:rsid w:val="00F03413"/>
    <w:rsid w:val="00F679AB"/>
    <w:rsid w:val="00FC69BB"/>
    <w:rsid w:val="00FE7A40"/>
    <w:rsid w:val="00FF20A5"/>
    <w:rsid w:val="00FF52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BA06ED"/>
  <w15:chartTrackingRefBased/>
  <w15:docId w15:val="{7C403CB5-CDDD-4493-9818-C7844FAFF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157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15749"/>
    <w:rPr>
      <w:sz w:val="20"/>
      <w:szCs w:val="20"/>
    </w:rPr>
  </w:style>
  <w:style w:type="character" w:styleId="FootnoteReference">
    <w:name w:val="footnote reference"/>
    <w:basedOn w:val="DefaultParagraphFont"/>
    <w:uiPriority w:val="99"/>
    <w:semiHidden/>
    <w:unhideWhenUsed/>
    <w:rsid w:val="00515749"/>
    <w:rPr>
      <w:vertAlign w:val="superscript"/>
    </w:rPr>
  </w:style>
  <w:style w:type="character" w:styleId="Hyperlink">
    <w:name w:val="Hyperlink"/>
    <w:basedOn w:val="DefaultParagraphFont"/>
    <w:uiPriority w:val="99"/>
    <w:unhideWhenUsed/>
    <w:rsid w:val="008A01A1"/>
    <w:rPr>
      <w:color w:val="0563C1" w:themeColor="hyperlink"/>
      <w:u w:val="single"/>
    </w:rPr>
  </w:style>
  <w:style w:type="character" w:styleId="UnresolvedMention">
    <w:name w:val="Unresolved Mention"/>
    <w:basedOn w:val="DefaultParagraphFont"/>
    <w:uiPriority w:val="99"/>
    <w:semiHidden/>
    <w:unhideWhenUsed/>
    <w:rsid w:val="008A01A1"/>
    <w:rPr>
      <w:color w:val="605E5C"/>
      <w:shd w:val="clear" w:color="auto" w:fill="E1DFDD"/>
    </w:rPr>
  </w:style>
  <w:style w:type="paragraph" w:styleId="ListParagraph">
    <w:name w:val="List Paragraph"/>
    <w:basedOn w:val="Normal"/>
    <w:link w:val="ListParagraphChar"/>
    <w:uiPriority w:val="34"/>
    <w:qFormat/>
    <w:rsid w:val="00994D41"/>
    <w:pPr>
      <w:spacing w:after="0" w:line="240" w:lineRule="auto"/>
      <w:ind w:left="720"/>
      <w:contextualSpacing/>
    </w:pPr>
    <w:rPr>
      <w:sz w:val="24"/>
      <w:szCs w:val="24"/>
    </w:rPr>
  </w:style>
  <w:style w:type="character" w:customStyle="1" w:styleId="ts-alignment-element">
    <w:name w:val="ts-alignment-element"/>
    <w:basedOn w:val="DefaultParagraphFont"/>
    <w:rsid w:val="00994D41"/>
  </w:style>
  <w:style w:type="character" w:styleId="EndnoteReference">
    <w:name w:val="endnote reference"/>
    <w:basedOn w:val="DefaultParagraphFont"/>
    <w:uiPriority w:val="99"/>
    <w:semiHidden/>
    <w:unhideWhenUsed/>
    <w:rsid w:val="00582E66"/>
    <w:rPr>
      <w:vertAlign w:val="superscript"/>
    </w:rPr>
  </w:style>
  <w:style w:type="paragraph" w:styleId="NormalWeb">
    <w:name w:val="Normal (Web)"/>
    <w:basedOn w:val="Normal"/>
    <w:uiPriority w:val="99"/>
    <w:semiHidden/>
    <w:unhideWhenUsed/>
    <w:rsid w:val="001A67B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odyText">
    <w:name w:val="Body Text"/>
    <w:basedOn w:val="Normal"/>
    <w:link w:val="BodyTextChar"/>
    <w:uiPriority w:val="1"/>
    <w:qFormat/>
    <w:rsid w:val="00384CB1"/>
    <w:pPr>
      <w:widowControl w:val="0"/>
      <w:autoSpaceDE w:val="0"/>
      <w:autoSpaceDN w:val="0"/>
      <w:spacing w:after="0" w:line="240" w:lineRule="auto"/>
    </w:pPr>
    <w:rPr>
      <w:rFonts w:ascii="Times New Roman" w:eastAsia="Times New Roman" w:hAnsi="Times New Roman" w:cs="Times New Roman"/>
      <w:sz w:val="24"/>
      <w:szCs w:val="24"/>
      <w:lang w:val="en-US" w:bidi="en-US"/>
    </w:rPr>
  </w:style>
  <w:style w:type="character" w:customStyle="1" w:styleId="BodyTextChar">
    <w:name w:val="Body Text Char"/>
    <w:basedOn w:val="DefaultParagraphFont"/>
    <w:link w:val="BodyText"/>
    <w:uiPriority w:val="1"/>
    <w:rsid w:val="00384CB1"/>
    <w:rPr>
      <w:rFonts w:ascii="Times New Roman" w:eastAsia="Times New Roman" w:hAnsi="Times New Roman" w:cs="Times New Roman"/>
      <w:sz w:val="24"/>
      <w:szCs w:val="24"/>
      <w:lang w:val="en-US" w:bidi="en-US"/>
    </w:rPr>
  </w:style>
  <w:style w:type="table" w:styleId="TableGrid">
    <w:name w:val="Table Grid"/>
    <w:basedOn w:val="TableNormal"/>
    <w:uiPriority w:val="59"/>
    <w:rsid w:val="00384CB1"/>
    <w:pPr>
      <w:spacing w:after="0" w:line="240" w:lineRule="auto"/>
    </w:pPr>
    <w:rPr>
      <w:rFonts w:ascii="Calibri" w:eastAsia="SimSun" w:hAnsi="Calibri" w:cs="Arial"/>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rsid w:val="00384CB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60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zalinda@uinib.ac.i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CC0CF5-D9E9-4800-8894-A389EA672618}">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chicago-fullnote-bibliography-short-title-subsequent&quot;,&quot;title&quot;:&quot;Chicago Manual of Style 17th edition (full note, short title subsequent)&quot;,&quot;format&quot;:&quot;no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35249-422C-48C5-AF67-072D05259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19338</Words>
  <Characters>110232</Characters>
  <Application>Microsoft Office Word</Application>
  <DocSecurity>0</DocSecurity>
  <Lines>918</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Rumah Scopus</dc:creator>
  <cp:keywords/>
  <dc:description/>
  <cp:lastModifiedBy>DELL L-7400</cp:lastModifiedBy>
  <cp:revision>4</cp:revision>
  <dcterms:created xsi:type="dcterms:W3CDTF">2025-03-05T21:24:00Z</dcterms:created>
  <dcterms:modified xsi:type="dcterms:W3CDTF">2025-03-05T21:50:00Z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http://www.zotero.org/styles/cardiff-university-vancouver</vt:lpwstr>
  </property>
  <property fmtid="{D5CDD505-2E9C-101B-9397-08002B2CF9AE}" pid="5" name="Mendeley Recent Style Name 1_1">
    <vt:lpwstr>Cardiff University - Vancouver</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http://www.zotero.org/styles/ieee</vt:lpwstr>
  </property>
  <property fmtid="{D5CDD505-2E9C-101B-9397-08002B2CF9AE}" pid="9" name="Mendeley Recent Style Name 3_1">
    <vt:lpwstr>IEEE</vt:lpwstr>
  </property>
  <property fmtid="{D5CDD505-2E9C-101B-9397-08002B2CF9AE}" pid="10" name="Mendeley Recent Style Id 4_1">
    <vt:lpwstr>http://www.zotero.org/styles/mary-ann-liebert-vancouver</vt:lpwstr>
  </property>
  <property fmtid="{D5CDD505-2E9C-101B-9397-08002B2CF9AE}" pid="11" name="Mendeley Recent Style Name 4_1">
    <vt:lpwstr>Mary Ann Liebert - Vancouver</vt:lpwstr>
  </property>
  <property fmtid="{D5CDD505-2E9C-101B-9397-08002B2CF9AE}" pid="12" name="Mendeley Recent Style Id 5_1">
    <vt:lpwstr>http://www.zotero.org/styles/medizinische-universitat-innsbruck-vancouver</vt:lpwstr>
  </property>
  <property fmtid="{D5CDD505-2E9C-101B-9397-08002B2CF9AE}" pid="13" name="Mendeley Recent Style Name 5_1">
    <vt:lpwstr>Medizinische Universität Innsbruck - Vancouver (Deutsch)</vt:lpwstr>
  </property>
  <property fmtid="{D5CDD505-2E9C-101B-9397-08002B2CF9AE}" pid="14" name="Mendeley Recent Style Id 6_1">
    <vt:lpwstr>http://www.zotero.org/styles/taylor-and-francis-vancouver-national-library-of-medicine</vt:lpwstr>
  </property>
  <property fmtid="{D5CDD505-2E9C-101B-9397-08002B2CF9AE}" pid="15" name="Mendeley Recent Style Name 6_1">
    <vt:lpwstr>Taylor &amp; Francis - Vancouver/National Library of Medicine</vt:lpwstr>
  </property>
  <property fmtid="{D5CDD505-2E9C-101B-9397-08002B2CF9AE}" pid="16" name="Mendeley Recent Style Id 7_1">
    <vt:lpwstr>http://www.zotero.org/styles/turabian-fullnote-bibliography-no-ibid</vt:lpwstr>
  </property>
  <property fmtid="{D5CDD505-2E9C-101B-9397-08002B2CF9AE}" pid="17" name="Mendeley Recent Style Name 7_1">
    <vt:lpwstr>Turabian 8th edition (full note, no ibid)</vt:lpwstr>
  </property>
  <property fmtid="{D5CDD505-2E9C-101B-9397-08002B2CF9AE}" pid="18" name="Mendeley Recent Style Id 8_1">
    <vt:lpwstr>http://www.zotero.org/styles/vancouver-superscript-only-year</vt:lpwstr>
  </property>
  <property fmtid="{D5CDD505-2E9C-101B-9397-08002B2CF9AE}" pid="19" name="Mendeley Recent Style Name 8_1">
    <vt:lpwstr>Vancouver (superscript, only year in date, no issue numbers)</vt:lpwstr>
  </property>
  <property fmtid="{D5CDD505-2E9C-101B-9397-08002B2CF9AE}" pid="20" name="Mendeley Recent Style Id 9_1">
    <vt:lpwstr>http://www.zotero.org/styles/serbian-archives-of-medicine</vt:lpwstr>
  </property>
  <property fmtid="{D5CDD505-2E9C-101B-9397-08002B2CF9AE}" pid="21" name="Mendeley Recent Style Name 9_1">
    <vt:lpwstr>Vancouver - Serbian Archives of Medicine</vt:lpwstr>
  </property>
  <property fmtid="{D5CDD505-2E9C-101B-9397-08002B2CF9AE}" pid="22" name="Mendeley Document_1">
    <vt:lpwstr>True</vt:lpwstr>
  </property>
  <property fmtid="{D5CDD505-2E9C-101B-9397-08002B2CF9AE}" pid="23" name="Mendeley Unique User Id_1">
    <vt:lpwstr>44edda58-23dc-33ce-88f0-bda49c8bae74</vt:lpwstr>
  </property>
  <property fmtid="{D5CDD505-2E9C-101B-9397-08002B2CF9AE}" pid="24" name="Mendeley Citation Style_1">
    <vt:lpwstr>http://www.zotero.org/styles/apa</vt:lpwstr>
  </property>
</Properties>
</file>