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A31D4" w14:textId="77777777" w:rsidR="00C20B9B" w:rsidRDefault="00C20B9B" w:rsidP="008E63E7">
      <w:pPr>
        <w:jc w:val="center"/>
        <w:rPr>
          <w:rFonts w:ascii="Times New Roman" w:hAnsi="Times New Roman" w:cs="Times New Roman"/>
          <w:b/>
          <w:bCs/>
          <w:sz w:val="28"/>
          <w:szCs w:val="28"/>
        </w:rPr>
      </w:pPr>
      <w:r w:rsidRPr="00643890">
        <w:rPr>
          <w:rFonts w:ascii="Times New Roman" w:hAnsi="Times New Roman" w:cs="Times New Roman"/>
          <w:b/>
          <w:bCs/>
          <w:sz w:val="28"/>
          <w:szCs w:val="28"/>
        </w:rPr>
        <w:t>ECONOMIC EMPOWERMENT USING THE HALAQOH MODEL IN SHARIA BANKS</w:t>
      </w:r>
    </w:p>
    <w:p w14:paraId="12B4111E" w14:textId="463E8EBE" w:rsidR="00643890" w:rsidRPr="00643890" w:rsidRDefault="00643890" w:rsidP="00D42F53">
      <w:pPr>
        <w:spacing w:after="0" w:line="240" w:lineRule="auto"/>
        <w:jc w:val="center"/>
        <w:rPr>
          <w:rFonts w:ascii="Times New Roman" w:hAnsi="Times New Roman" w:cs="Times New Roman"/>
          <w:b/>
          <w:bCs/>
          <w:sz w:val="24"/>
          <w:szCs w:val="24"/>
          <w:vertAlign w:val="superscript"/>
        </w:rPr>
      </w:pPr>
      <w:r w:rsidRPr="00643890">
        <w:rPr>
          <w:rFonts w:ascii="Times New Roman" w:hAnsi="Times New Roman" w:cs="Times New Roman"/>
          <w:b/>
          <w:bCs/>
          <w:sz w:val="24"/>
          <w:szCs w:val="24"/>
        </w:rPr>
        <w:t>Rozalinda</w:t>
      </w:r>
      <w:proofErr w:type="gramStart"/>
      <w:r>
        <w:rPr>
          <w:rFonts w:ascii="Times New Roman" w:hAnsi="Times New Roman" w:cs="Times New Roman"/>
          <w:b/>
          <w:bCs/>
          <w:sz w:val="24"/>
          <w:szCs w:val="24"/>
          <w:vertAlign w:val="superscript"/>
        </w:rPr>
        <w:t>1,*</w:t>
      </w:r>
      <w:proofErr w:type="gramEnd"/>
      <w:r w:rsidRPr="00643890">
        <w:rPr>
          <w:rFonts w:ascii="Times New Roman" w:hAnsi="Times New Roman" w:cs="Times New Roman"/>
          <w:b/>
          <w:bCs/>
          <w:sz w:val="24"/>
          <w:szCs w:val="24"/>
        </w:rPr>
        <w:t xml:space="preserve">, Nurhasnah2, </w:t>
      </w:r>
      <w:proofErr w:type="spellStart"/>
      <w:r w:rsidRPr="00643890">
        <w:rPr>
          <w:rFonts w:ascii="Times New Roman" w:hAnsi="Times New Roman" w:cs="Times New Roman"/>
          <w:b/>
          <w:bCs/>
          <w:sz w:val="24"/>
          <w:szCs w:val="24"/>
        </w:rPr>
        <w:t>Rizda</w:t>
      </w:r>
      <w:proofErr w:type="spellEnd"/>
      <w:r w:rsidRPr="00643890">
        <w:rPr>
          <w:rFonts w:ascii="Times New Roman" w:hAnsi="Times New Roman" w:cs="Times New Roman"/>
          <w:b/>
          <w:bCs/>
          <w:sz w:val="24"/>
          <w:szCs w:val="24"/>
        </w:rPr>
        <w:t xml:space="preserve"> Octaviani</w:t>
      </w:r>
      <w:r>
        <w:rPr>
          <w:rFonts w:ascii="Times New Roman" w:hAnsi="Times New Roman" w:cs="Times New Roman"/>
          <w:b/>
          <w:bCs/>
          <w:sz w:val="24"/>
          <w:szCs w:val="24"/>
          <w:vertAlign w:val="superscript"/>
        </w:rPr>
        <w:t>3</w:t>
      </w:r>
    </w:p>
    <w:p w14:paraId="3BAF8A94" w14:textId="7353CB8C" w:rsidR="00643890" w:rsidRDefault="00D42F53"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 xml:space="preserve">1 </w:t>
      </w:r>
      <w:r w:rsidR="00643890" w:rsidRPr="00643890">
        <w:rPr>
          <w:rFonts w:ascii="Times New Roman" w:hAnsi="Times New Roman" w:cs="Times New Roman"/>
          <w:sz w:val="24"/>
          <w:szCs w:val="24"/>
        </w:rPr>
        <w:t xml:space="preserve">Faculty of Islamic Economics and Business, State University of Imam Bonjol Padang, Indonesia, </w:t>
      </w:r>
      <w:hyperlink r:id="rId8" w:history="1">
        <w:r w:rsidR="00643890" w:rsidRPr="004E16EB">
          <w:rPr>
            <w:rStyle w:val="Hyperlink"/>
            <w:rFonts w:ascii="Times New Roman" w:eastAsia="Calibri" w:hAnsi="Times New Roman" w:cs="Times New Roman"/>
            <w:bCs/>
            <w:sz w:val="24"/>
            <w:szCs w:val="24"/>
          </w:rPr>
          <w:t>rozalinda@uinib.ac.id</w:t>
        </w:r>
      </w:hyperlink>
    </w:p>
    <w:p w14:paraId="23C8E6D2" w14:textId="60C75B7B" w:rsidR="0068137C" w:rsidRPr="00B91E92" w:rsidRDefault="0068137C"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2</w:t>
      </w:r>
      <w:r w:rsidRPr="00C20B9B">
        <w:rPr>
          <w:rFonts w:ascii="Times New Roman" w:hAnsi="Times New Roman" w:cs="Times New Roman"/>
          <w:sz w:val="24"/>
          <w:szCs w:val="24"/>
        </w:rPr>
        <w:t>Sharia</w:t>
      </w:r>
      <w:r w:rsidR="00643890" w:rsidRPr="00643890">
        <w:rPr>
          <w:rFonts w:ascii="Times New Roman" w:hAnsi="Times New Roman" w:cs="Times New Roman"/>
          <w:sz w:val="24"/>
          <w:szCs w:val="24"/>
        </w:rPr>
        <w:t xml:space="preserve"> Faculty of the State Islamic University Imam </w:t>
      </w:r>
      <w:proofErr w:type="spellStart"/>
      <w:r w:rsidR="00643890" w:rsidRPr="00643890">
        <w:rPr>
          <w:rFonts w:ascii="Times New Roman" w:hAnsi="Times New Roman" w:cs="Times New Roman"/>
          <w:sz w:val="24"/>
          <w:szCs w:val="24"/>
        </w:rPr>
        <w:t>Bonjol</w:t>
      </w:r>
      <w:proofErr w:type="spellEnd"/>
      <w:r w:rsidR="00643890" w:rsidRPr="00643890">
        <w:rPr>
          <w:rFonts w:ascii="Times New Roman" w:hAnsi="Times New Roman" w:cs="Times New Roman"/>
          <w:sz w:val="24"/>
          <w:szCs w:val="24"/>
        </w:rPr>
        <w:t xml:space="preserve"> Padang, Indonesia</w:t>
      </w:r>
    </w:p>
    <w:p w14:paraId="6CC9FD7F" w14:textId="2A3B65A4" w:rsidR="00D42F53" w:rsidRDefault="00D42F53"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3</w:t>
      </w:r>
      <w:r w:rsidRPr="00C20B9B">
        <w:rPr>
          <w:rFonts w:ascii="Times New Roman" w:hAnsi="Times New Roman" w:cs="Times New Roman"/>
          <w:sz w:val="24"/>
          <w:szCs w:val="24"/>
        </w:rPr>
        <w:t xml:space="preserve">Sharia </w:t>
      </w:r>
      <w:r w:rsidR="00C20B9B" w:rsidRPr="00C20B9B">
        <w:rPr>
          <w:rFonts w:ascii="Times New Roman" w:hAnsi="Times New Roman" w:cs="Times New Roman"/>
          <w:sz w:val="24"/>
          <w:szCs w:val="24"/>
        </w:rPr>
        <w:t>Economics C</w:t>
      </w:r>
      <w:r w:rsidRPr="00C20B9B">
        <w:rPr>
          <w:rFonts w:ascii="Times New Roman" w:hAnsi="Times New Roman" w:cs="Times New Roman"/>
          <w:sz w:val="24"/>
          <w:szCs w:val="24"/>
        </w:rPr>
        <w:t>ollege</w:t>
      </w:r>
      <w:r w:rsidR="00643890" w:rsidRPr="00C20B9B">
        <w:rPr>
          <w:rFonts w:ascii="Times New Roman" w:hAnsi="Times New Roman" w:cs="Times New Roman"/>
          <w:sz w:val="24"/>
          <w:szCs w:val="24"/>
        </w:rPr>
        <w:t xml:space="preserve"> </w:t>
      </w:r>
      <w:r w:rsidR="00643890">
        <w:rPr>
          <w:rFonts w:ascii="Times New Roman" w:hAnsi="Times New Roman"/>
          <w:sz w:val="24"/>
          <w:szCs w:val="24"/>
        </w:rPr>
        <w:t xml:space="preserve">Manna </w:t>
      </w:r>
      <w:proofErr w:type="spellStart"/>
      <w:r w:rsidR="00643890">
        <w:rPr>
          <w:rFonts w:ascii="Times New Roman" w:hAnsi="Times New Roman"/>
          <w:sz w:val="24"/>
          <w:szCs w:val="24"/>
        </w:rPr>
        <w:t>Wa</w:t>
      </w:r>
      <w:proofErr w:type="spellEnd"/>
      <w:r w:rsidR="00643890">
        <w:rPr>
          <w:rFonts w:ascii="Times New Roman" w:hAnsi="Times New Roman"/>
          <w:sz w:val="24"/>
          <w:szCs w:val="24"/>
        </w:rPr>
        <w:t xml:space="preserve"> </w:t>
      </w:r>
      <w:proofErr w:type="spellStart"/>
      <w:r w:rsidR="00643890">
        <w:rPr>
          <w:rFonts w:ascii="Times New Roman" w:hAnsi="Times New Roman"/>
          <w:sz w:val="24"/>
          <w:szCs w:val="24"/>
        </w:rPr>
        <w:t>Salwa</w:t>
      </w:r>
      <w:proofErr w:type="spellEnd"/>
      <w:r w:rsidR="00643890">
        <w:rPr>
          <w:rFonts w:ascii="Times New Roman" w:hAnsi="Times New Roman"/>
          <w:sz w:val="24"/>
          <w:szCs w:val="24"/>
        </w:rPr>
        <w:t>, Padang Panjang, West Sumatra, Indonesia</w:t>
      </w:r>
    </w:p>
    <w:p w14:paraId="61243CBF" w14:textId="5B0D556C" w:rsidR="00D42F53" w:rsidRDefault="00D42F53" w:rsidP="00D42F53">
      <w:pPr>
        <w:jc w:val="center"/>
        <w:rPr>
          <w:rFonts w:ascii="Times New Roman" w:hAnsi="Times New Roman" w:cs="Times New Roman"/>
          <w:sz w:val="20"/>
          <w:szCs w:val="20"/>
        </w:rPr>
      </w:pPr>
    </w:p>
    <w:p w14:paraId="299304F9" w14:textId="77777777" w:rsidR="00643890" w:rsidRPr="00B91E92" w:rsidRDefault="00643890" w:rsidP="00D42F53">
      <w:pPr>
        <w:jc w:val="center"/>
        <w:rPr>
          <w:rFonts w:ascii="Times New Roman" w:hAnsi="Times New Roman" w:cs="Times New Roman"/>
          <w:sz w:val="24"/>
          <w:szCs w:val="24"/>
        </w:rPr>
      </w:pPr>
    </w:p>
    <w:p w14:paraId="587EE5E2" w14:textId="068F869E" w:rsidR="00CC5B43" w:rsidRPr="00B91E92" w:rsidRDefault="00CC5B43" w:rsidP="00CC5B43">
      <w:pPr>
        <w:jc w:val="center"/>
        <w:rPr>
          <w:rFonts w:ascii="Times New Roman" w:hAnsi="Times New Roman" w:cs="Times New Roman"/>
          <w:b/>
          <w:bCs/>
          <w:i/>
          <w:iCs/>
          <w:sz w:val="24"/>
          <w:szCs w:val="24"/>
        </w:rPr>
      </w:pPr>
      <w:r w:rsidRPr="00B91E92">
        <w:rPr>
          <w:rFonts w:ascii="Times New Roman" w:hAnsi="Times New Roman" w:cs="Times New Roman"/>
          <w:b/>
          <w:bCs/>
          <w:i/>
          <w:iCs/>
          <w:sz w:val="24"/>
          <w:szCs w:val="24"/>
        </w:rPr>
        <w:t xml:space="preserve">Abstract </w:t>
      </w:r>
    </w:p>
    <w:p w14:paraId="6B0CE76B" w14:textId="53E2B3C1" w:rsidR="00C20B9B" w:rsidRDefault="00643890" w:rsidP="00643890">
      <w:pPr>
        <w:ind w:firstLine="720"/>
        <w:jc w:val="both"/>
        <w:rPr>
          <w:rFonts w:ascii="Times New Roman" w:hAnsi="Times New Roman" w:cs="Times New Roman"/>
          <w:sz w:val="24"/>
          <w:szCs w:val="24"/>
        </w:rPr>
      </w:pPr>
      <w:r w:rsidRPr="00643890">
        <w:rPr>
          <w:rFonts w:ascii="Times New Roman" w:hAnsi="Times New Roman" w:cs="Times New Roman"/>
          <w:sz w:val="24"/>
          <w:szCs w:val="24"/>
        </w:rPr>
        <w:t>Empowering women with micro and small businesses requires support from Islamic Microfinance Institutions. Women cannot access financing from banks because they are considered unbanked or do not meet bank requirements. Therefore, this study aimed to elaborate on the empowerment model implemented by the Micro Waqf Bank (MWB) for poor</w:t>
      </w:r>
      <w:r w:rsidR="00C20B9B">
        <w:rPr>
          <w:rFonts w:ascii="Times New Roman" w:hAnsi="Times New Roman" w:cs="Times New Roman"/>
          <w:sz w:val="24"/>
          <w:szCs w:val="24"/>
        </w:rPr>
        <w:t>,</w:t>
      </w:r>
      <w:r w:rsidRPr="00643890">
        <w:rPr>
          <w:rFonts w:ascii="Times New Roman" w:hAnsi="Times New Roman" w:cs="Times New Roman"/>
          <w:sz w:val="24"/>
          <w:szCs w:val="24"/>
        </w:rPr>
        <w:t xml:space="preserve"> productive women around Islamic boarding schools. It used a qualitative approach on MWB in West Sumatra, Yogyakarta, a</w:t>
      </w:r>
      <w:r w:rsidR="00C20B9B">
        <w:rPr>
          <w:rFonts w:ascii="Times New Roman" w:hAnsi="Times New Roman" w:cs="Times New Roman"/>
          <w:sz w:val="24"/>
          <w:szCs w:val="24"/>
        </w:rPr>
        <w:t>nd</w:t>
      </w:r>
      <w:r w:rsidRPr="00643890">
        <w:rPr>
          <w:rFonts w:ascii="Times New Roman" w:hAnsi="Times New Roman" w:cs="Times New Roman"/>
          <w:sz w:val="24"/>
          <w:szCs w:val="24"/>
        </w:rPr>
        <w:t xml:space="preserve"> Central and East Java, Indonesia. Data were collected through interviews, observation, questionnaires, and documentation. The data sources comprised WMB leaders, assistants, and customers. All data were reviewed and analyzed qualitatively and descriptively. The results showed that WMB implements empowerment by providing training, financing, and assistance to productive potential poor women living around Islamic boarding schools. Women have been economically empowered through the Compulsory Group Training (CGT), financing, and assistance. All empowerment processes were carried out in the form of halaqoh. The customer and the companion sat cross-legged, facing each other to receive training and mentoring materials from the facilitator.</w:t>
      </w:r>
    </w:p>
    <w:p w14:paraId="1A0EFA7A" w14:textId="14ADCFE3" w:rsidR="00643890" w:rsidRDefault="00643890" w:rsidP="00643890">
      <w:pPr>
        <w:ind w:firstLine="720"/>
        <w:jc w:val="both"/>
        <w:rPr>
          <w:rFonts w:ascii="Times New Roman" w:hAnsi="Times New Roman" w:cs="Times New Roman"/>
          <w:sz w:val="24"/>
          <w:szCs w:val="24"/>
        </w:rPr>
      </w:pPr>
      <w:r w:rsidRPr="00643890">
        <w:rPr>
          <w:rFonts w:ascii="Times New Roman" w:hAnsi="Times New Roman" w:cs="Times New Roman"/>
          <w:sz w:val="24"/>
          <w:szCs w:val="24"/>
        </w:rPr>
        <w:t>Additionally, assistance was provided after disbursing financing with the Weekly Halaqoh (WH) model. The study has implications for the government's ability to use MWB as a basis for the economic empowerment of unbanked women. Consequently, they can actively participate in economic activities and improve the welfare of their families. The results of this study can serve as inspiration for women micro and small entrepreneurs to continue fighting against marginalization in the financial aspect.</w:t>
      </w:r>
    </w:p>
    <w:p w14:paraId="47289DD4" w14:textId="6916D74C" w:rsidR="00CC5B43" w:rsidRPr="00B91E92" w:rsidRDefault="00CC5B43" w:rsidP="00643890">
      <w:pPr>
        <w:rPr>
          <w:rFonts w:ascii="Times New Roman" w:hAnsi="Times New Roman" w:cs="Times New Roman"/>
          <w:sz w:val="24"/>
          <w:szCs w:val="24"/>
        </w:rPr>
      </w:pPr>
      <w:r w:rsidRPr="00B91E92">
        <w:rPr>
          <w:rFonts w:ascii="Times New Roman" w:hAnsi="Times New Roman" w:cs="Times New Roman"/>
          <w:b/>
          <w:bCs/>
          <w:sz w:val="24"/>
          <w:szCs w:val="24"/>
        </w:rPr>
        <w:t xml:space="preserve">Keywords: </w:t>
      </w:r>
      <w:r w:rsidR="00643890" w:rsidRPr="00643890">
        <w:rPr>
          <w:rFonts w:ascii="Times New Roman" w:hAnsi="Times New Roman" w:cs="Times New Roman"/>
          <w:sz w:val="24"/>
          <w:szCs w:val="24"/>
        </w:rPr>
        <w:t>Economic Empowerment, Halaqoh, Micro Waqf Bank, Unbanked,</w:t>
      </w:r>
      <w:r w:rsidR="00C20B9B">
        <w:rPr>
          <w:rFonts w:ascii="Times New Roman" w:hAnsi="Times New Roman" w:cs="Times New Roman"/>
          <w:sz w:val="24"/>
          <w:szCs w:val="24"/>
        </w:rPr>
        <w:t xml:space="preserve"> </w:t>
      </w:r>
      <w:r w:rsidR="00643890" w:rsidRPr="00643890">
        <w:rPr>
          <w:rFonts w:ascii="Times New Roman" w:hAnsi="Times New Roman" w:cs="Times New Roman"/>
          <w:sz w:val="24"/>
          <w:szCs w:val="24"/>
        </w:rPr>
        <w:t>Women,</w:t>
      </w:r>
    </w:p>
    <w:p w14:paraId="153C0179" w14:textId="230A9DCD" w:rsidR="00CC5B43" w:rsidRPr="00B91E92" w:rsidRDefault="00CC5B43" w:rsidP="008A01A1">
      <w:pPr>
        <w:rPr>
          <w:rFonts w:ascii="Times New Roman" w:hAnsi="Times New Roman" w:cs="Times New Roman"/>
          <w:sz w:val="24"/>
          <w:szCs w:val="24"/>
        </w:rPr>
      </w:pPr>
    </w:p>
    <w:p w14:paraId="4107DB27" w14:textId="1C46DCB3" w:rsidR="00CC5B43"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Introduction</w:t>
      </w:r>
    </w:p>
    <w:p w14:paraId="6F511D69" w14:textId="0E2E79B9" w:rsidR="00B87A5C" w:rsidRDefault="00B87A5C" w:rsidP="00B87A5C">
      <w:pPr>
        <w:ind w:firstLine="720"/>
        <w:jc w:val="both"/>
        <w:rPr>
          <w:rFonts w:ascii="Times New Roman" w:hAnsi="Times New Roman"/>
          <w:sz w:val="24"/>
          <w:szCs w:val="24"/>
        </w:rPr>
      </w:pPr>
      <w:r w:rsidRPr="00B87A5C">
        <w:rPr>
          <w:rFonts w:ascii="Times New Roman" w:eastAsia="Times New Roman" w:hAnsi="Times New Roman"/>
          <w:sz w:val="24"/>
          <w:szCs w:val="24"/>
          <w:lang w:eastAsia="id-ID"/>
        </w:rPr>
        <w:t xml:space="preserve">Poverty can lead to marginalization because poor women cannot access formal finance because they are considered unbanked </w:t>
      </w:r>
      <w:r>
        <w:rPr>
          <w:rFonts w:ascii="Times New Roman" w:eastAsia="Times New Roman" w:hAnsi="Times New Roman"/>
          <w:sz w:val="24"/>
          <w:szCs w:val="24"/>
          <w:lang w:eastAsia="id-ID"/>
        </w:rPr>
        <w:fldChar w:fldCharType="begin" w:fldLock="1"/>
      </w:r>
      <w:r>
        <w:rPr>
          <w:rFonts w:ascii="Times New Roman" w:eastAsia="Times New Roman" w:hAnsi="Times New Roman"/>
          <w:sz w:val="24"/>
          <w:szCs w:val="24"/>
          <w:lang w:eastAsia="id-ID"/>
        </w:rPr>
        <w:instrText>ADDIN CSL_CITATION {"citationItems":[{"id":"ITEM-1","itemData":{"DOI":"10.1057/s41599-023-01640-y","ISSN":"2662-9992","abstract":"This study aims to reduce ambiguity in theoretical and empirical underpinning by synthesizing various knowledge concepts through a systematic review of barriers and interventions to promote the financial inclusion of women. The surrounding literature is vast, complex, and difficult to comprehend, necessitating frequent reviews. However, due to the sheer size of the literature, such reviews are generally fragmented focusing only on the factors causing the financial exclusion of women while ignoring the interventions that have been discussed all along. Filling up this gap, this study attempts to provide a bird’s-view to systematically connect all the factors as well as mediations found in past studies with the present and future. PRISMA approach has been used to explain various inclusions and exclusions extracted from Scopus &amp; WOS databases with the backward and forward searches of important studies. Collaborative peer review selection with a qualitative synthesis of results is used to explain various barriers and interventions in financial inclusion that affected women’s empowerment in the period 2000–2020. Out of 1740 records identified, 67 studies are found eligible based on systematic screening for detailed investigation. This study has identified patriarchy structures, psychological factors, low income/wages, low financial literacy, low financial accessibility and ethnicity as six prominent barriers and government &amp; corporate programs/policies, microfinance, formal saving accounts &amp; services, cash &amp; asset transfer, self-help groups, and digital inclusion as six leading interventions to summarize the literature and highlight its gaps.","author":[{"dropping-particle":"","family":"Saluja","given":"Omika Bhalla","non-dropping-particle":"","parse-names":false,"suffix":""},{"dropping-particle":"","family":"Singh","given":"Priyanka","non-dropping-particle":"","parse-names":false,"suffix":""},{"dropping-particle":"","family":"Kumar","given":"Harit","non-dropping-particle":"","parse-names":false,"suffix":""}],"container-title":"Humanities and Social Sciences Communications","id":"ITEM-1","issue":"1","issued":{"date-parts":[["2023","4","7"]]},"page":"148","title":"Barriers and interventions on the way to empower women through financial inclusion: a 2 decades systematic review (2000–2020)","type":"article-journal","volume":"10"},"uris":["http://www.mendeley.com/documents/?uuid=2bd1f6fb-863e-48a8-b38a-93ca7ae57191"]}],"mendeley":{"formattedCitation":"(Saluja et al., 2023)","plainTextFormattedCitation":"(Saluja et al., 2023)","previouslyFormattedCitation":"(Saluja et al., 2023)"},"properties":{"noteIndex":0},"schema":"https://github.com/citation-style-language/schema/raw/master/csl-citation.json"}</w:instrText>
      </w:r>
      <w:r>
        <w:rPr>
          <w:rFonts w:ascii="Times New Roman" w:eastAsia="Times New Roman" w:hAnsi="Times New Roman"/>
          <w:sz w:val="24"/>
          <w:szCs w:val="24"/>
          <w:lang w:eastAsia="id-ID"/>
        </w:rPr>
        <w:fldChar w:fldCharType="separate"/>
      </w:r>
      <w:r w:rsidRPr="00B87A5C">
        <w:rPr>
          <w:rFonts w:ascii="Times New Roman" w:eastAsia="Times New Roman" w:hAnsi="Times New Roman"/>
          <w:noProof/>
          <w:sz w:val="24"/>
          <w:szCs w:val="24"/>
          <w:lang w:eastAsia="id-ID"/>
        </w:rPr>
        <w:t>(Saluja et al., 2023)</w:t>
      </w:r>
      <w:r>
        <w:rPr>
          <w:rFonts w:ascii="Times New Roman" w:eastAsia="Times New Roman" w:hAnsi="Times New Roman"/>
          <w:sz w:val="24"/>
          <w:szCs w:val="24"/>
          <w:lang w:eastAsia="id-ID"/>
        </w:rPr>
        <w:fldChar w:fldCharType="end"/>
      </w:r>
      <w:r w:rsidRPr="00B87A5C">
        <w:rPr>
          <w:rFonts w:ascii="Times New Roman" w:eastAsia="Times New Roman" w:hAnsi="Times New Roman"/>
          <w:sz w:val="24"/>
          <w:szCs w:val="24"/>
          <w:lang w:eastAsia="id-ID"/>
        </w:rPr>
        <w:t xml:space="preserve">. </w:t>
      </w:r>
      <w:r w:rsidRPr="00B87A5C">
        <w:rPr>
          <w:rFonts w:ascii="Times New Roman" w:hAnsi="Times New Roman"/>
          <w:sz w:val="24"/>
          <w:szCs w:val="24"/>
        </w:rPr>
        <w:t xml:space="preserve">MWB focuses on the economic empowerment of productive poor women through training, financing, and mentoring. This makes the study of women's economic empowerment in Sharia Microfinance Institutions very important. Furthermore, women's empowerment through Sharia Microfinance Institutions (IKM) is one of the most effective strategies to improve family welfare. SMI provides poor women with easy access to finance, creates jobs, increases income and savings, and improves family living standards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{"citationItems":[{"id":"ITEM-1","itemData":{"DOI":"10.3390/su16198317","ISSN":"2071-1050","abstract":"Financial inclusion is essential in achieving sustainable development goals in emerging countries. Goal number five of the sustainable development agenda, “Gender equality”, depends on women’s financial empowerment. It enhances women’s ability to make decisions, access resources and income, and control benefits from economic gains and power. The paper investigates the relationship between financial inclusion and women’s financial worries, using the 2021 Global Financial Inclusion Survey recently published by the World Bank for the Kingdom of Saudi Arabia. This paper examines the effects of several aspects of inclusive finance, access, usage, and quality on women’s financial worries. The research implements an ordered probit analysis and contributes to the literature on women’s financial empowerment and inclusion by demonstrating that having access to financial services empowers women to make decisions about their lives, which greatly improves their welfare and sense of security. These findings provide policymakers with different targeted policies and strategic management practices to substantially improve financial inclusion and alleviate financial concerns within the population, especially among women.","author":[{"dropping-particle":"","family":"Binsuwadan","given":"Jawaher","non-dropping-particle":"","parse-names":false,"suffix":""},{"dropping-particle":"","family":"Elhaj","given":"Manal","non-dropping-particle":"","parse-names":false,"suffix":""},{"dropping-particle":"","family":"Bousrih","given":"Jihen","non-dropping-particle":"","parse-names":false,"suffix":""},{"dropping-particle":"","family":"Mabrouk","given":"Fatma","non-dropping-particle":"","parse-names":false,"suffix":""},{"dropping-particle":"","family":"Alofaysan","given":"Hind","non-dropping-particle":"","parse-names":false,"suffix":""}],"container-title":"Sustainability","id":"ITEM-1","issue":"19","issued":{"date-parts":[["2024","9","24"]]},"page":"8317","title":"The Relationship between Financial Inclusion and Women’s Financial Worries: Evidence from Saudi Arabia","type":"article-journal","volume":"16"},"uris":["http://www.mendeley.com/documents/?uuid=1c4b60dc-d36c-4478-bef7-04875b200c8f"]}],"mendeley":{"formattedCitation":"(Binsuwadan et al., 2024)","plainTextFormattedCitation":"(Binsuwadan et al., 2024)","previouslyFormattedCitation":"(Binsuwadan et al., 2024)"},"properties":{"noteIndex":0},"schema":"https://github.com/citation-style-language/schema/raw/master/csl-citation.json"}</w:instrText>
      </w:r>
      <w:r>
        <w:rPr>
          <w:rFonts w:ascii="Times New Roman" w:hAnsi="Times New Roman"/>
          <w:sz w:val="24"/>
          <w:szCs w:val="24"/>
        </w:rPr>
        <w:fldChar w:fldCharType="separate"/>
      </w:r>
      <w:r w:rsidRPr="00B87A5C">
        <w:rPr>
          <w:rFonts w:ascii="Times New Roman" w:hAnsi="Times New Roman"/>
          <w:noProof/>
          <w:sz w:val="24"/>
          <w:szCs w:val="24"/>
        </w:rPr>
        <w:t>(Binsuwadan et al., 2024)</w:t>
      </w:r>
      <w:r>
        <w:rPr>
          <w:rFonts w:ascii="Times New Roman" w:hAnsi="Times New Roman"/>
          <w:sz w:val="24"/>
          <w:szCs w:val="24"/>
        </w:rPr>
        <w:fldChar w:fldCharType="end"/>
      </w:r>
      <w:r w:rsidRPr="00B87A5C">
        <w:rPr>
          <w:rFonts w:ascii="Times New Roman" w:hAnsi="Times New Roman"/>
          <w:sz w:val="24"/>
          <w:szCs w:val="24"/>
        </w:rPr>
        <w:t>.  MWB is trusted to carry out this function with the increasing trend of financial inclusion</w:t>
      </w:r>
      <w:r w:rsidRPr="00B87A5C">
        <w:rPr>
          <w:rFonts w:ascii="Times New Roman" w:eastAsia="NotoSans-Regular" w:hAnsi="Times New Roman" w:cs="Times New Roman"/>
          <w:color w:val="000000"/>
          <w:sz w:val="24"/>
          <w:szCs w:val="24"/>
        </w:rPr>
        <w:t xml:space="preserve">. </w:t>
      </w:r>
      <w:r w:rsidRPr="00B87A5C">
        <w:rPr>
          <w:rFonts w:ascii="Times New Roman" w:hAnsi="Times New Roman"/>
          <w:sz w:val="24"/>
          <w:szCs w:val="24"/>
        </w:rPr>
        <w:t xml:space="preserve">Women's empowerment is the key to the </w:t>
      </w:r>
      <w:r w:rsidRPr="00B87A5C">
        <w:rPr>
          <w:rFonts w:ascii="Times New Roman" w:hAnsi="Times New Roman"/>
          <w:sz w:val="24"/>
          <w:szCs w:val="24"/>
        </w:rPr>
        <w:lastRenderedPageBreak/>
        <w:t xml:space="preserve">sustainability of MWB's business model. This study assumes that the empowerment of Islamic Microfinance Institutions can enable </w:t>
      </w:r>
      <w:r w:rsidR="00C20B9B">
        <w:rPr>
          <w:rFonts w:ascii="Times New Roman" w:hAnsi="Times New Roman"/>
          <w:sz w:val="24"/>
          <w:szCs w:val="24"/>
        </w:rPr>
        <w:t>poor women to be</w:t>
      </w:r>
      <w:r w:rsidRPr="00B87A5C">
        <w:rPr>
          <w:rFonts w:ascii="Times New Roman" w:hAnsi="Times New Roman"/>
          <w:sz w:val="24"/>
          <w:szCs w:val="24"/>
        </w:rPr>
        <w:t xml:space="preserve"> economically productive </w:t>
      </w:r>
      <w:r w:rsidR="00A62B63">
        <w:rPr>
          <w:rFonts w:ascii="Times New Roman" w:hAnsi="Times New Roman"/>
          <w:sz w:val="24"/>
          <w:szCs w:val="24"/>
        </w:rPr>
        <w:fldChar w:fldCharType="begin" w:fldLock="1"/>
      </w:r>
      <w:r w:rsidR="00A62B63">
        <w:rPr>
          <w:rFonts w:ascii="Times New Roman" w:hAnsi="Times New Roman"/>
          <w:sz w:val="24"/>
          <w:szCs w:val="24"/>
        </w:rPr>
        <w:instrText>ADDIN CSL_CITATION {"citationItems":[{"id":"ITEM-1","itemData":{"DOI":"10.1111/spol.12952","ISSN":"0144-5596","author":[{"dropping-particle":"","family":"Acheampong","given":"Kennedy","non-dropping-particle":"","parse-names":false,"suffix":""},{"dropping-particle":"","family":"Disman","given":"Disman","non-dropping-particle":"","parse-names":false,"suffix":""}],"container-title":"Social Policy &amp; Administration","id":"ITEM-1","issue":"3","issued":{"date-parts":[["2024","5","23"]]},"page":"543-544","title":"Empowering the poor through financial and social inclusion in Africa an Islamic perspective. By Abdelrahman Elzahi SaaidAli (Ed.), Switzerland: Springer Nature. 2022. £130.00 (pbk). ISBN: 9783031009259","type":"article-journal","volume":"58"},"uris":["http://www.mendeley.com/documents/?uuid=4969a9bd-9f9d-42f9-9c76-f18efd37ccae"]}],"mendeley":{"formattedCitation":"(Acheampong &amp; Disman, 2024)","plainTextFormattedCitation":"(Acheampong &amp; Disman, 2024)","previouslyFormattedCitation":"(Acheampong &amp; Disman, 2024)"},"properties":{"noteIndex":0},"schema":"https://github.com/citation-style-language/schema/raw/master/csl-citation.json"}</w:instrText>
      </w:r>
      <w:r w:rsidR="00A62B63">
        <w:rPr>
          <w:rFonts w:ascii="Times New Roman" w:hAnsi="Times New Roman"/>
          <w:sz w:val="24"/>
          <w:szCs w:val="24"/>
        </w:rPr>
        <w:fldChar w:fldCharType="separate"/>
      </w:r>
      <w:r w:rsidR="00A62B63" w:rsidRPr="00A62B63">
        <w:rPr>
          <w:rFonts w:ascii="Times New Roman" w:hAnsi="Times New Roman"/>
          <w:noProof/>
          <w:sz w:val="24"/>
          <w:szCs w:val="24"/>
        </w:rPr>
        <w:t>(Acheampong &amp; Disman, 2024)</w:t>
      </w:r>
      <w:r w:rsidR="00A62B63">
        <w:rPr>
          <w:rFonts w:ascii="Times New Roman" w:hAnsi="Times New Roman"/>
          <w:sz w:val="24"/>
          <w:szCs w:val="24"/>
        </w:rPr>
        <w:fldChar w:fldCharType="end"/>
      </w:r>
      <w:r w:rsidRPr="00B87A5C">
        <w:t xml:space="preserve">. </w:t>
      </w:r>
      <w:r w:rsidRPr="00B87A5C">
        <w:rPr>
          <w:rFonts w:ascii="Times New Roman" w:hAnsi="Times New Roman"/>
          <w:sz w:val="24"/>
          <w:szCs w:val="24"/>
        </w:rPr>
        <w:t xml:space="preserve">As a Sharia Microfinance Institution (SMI), MWB can overcome the limitations of </w:t>
      </w:r>
      <w:r w:rsidR="00C20B9B">
        <w:rPr>
          <w:rFonts w:ascii="Times New Roman" w:hAnsi="Times New Roman"/>
          <w:sz w:val="24"/>
          <w:szCs w:val="24"/>
        </w:rPr>
        <w:t>people experiencing poverty</w:t>
      </w:r>
      <w:r w:rsidRPr="00B87A5C">
        <w:rPr>
          <w:rFonts w:ascii="Times New Roman" w:hAnsi="Times New Roman"/>
          <w:sz w:val="24"/>
          <w:szCs w:val="24"/>
        </w:rPr>
        <w:t xml:space="preserve"> around Islamic boarding schools to access financial services </w:t>
      </w:r>
      <w:r>
        <w:rPr>
          <w:rFonts w:ascii="Times New Roman" w:hAnsi="Times New Roman"/>
          <w:sz w:val="24"/>
          <w:szCs w:val="24"/>
        </w:rPr>
        <w:fldChar w:fldCharType="begin" w:fldLock="1"/>
      </w:r>
      <w:r w:rsidR="00A62B63">
        <w:rPr>
          <w:rFonts w:ascii="Times New Roman" w:hAnsi="Times New Roman"/>
          <w:sz w:val="24"/>
          <w:szCs w:val="24"/>
        </w:rPr>
        <w:instrText>ADDIN CSL_CITATION {"citationItems":[{"id":"ITEM-1","itemData":{"DOI":"10.1038/s41598-024-63445-6","ISSN":"2045-2322","abstract":"This study investigates the determinants of gender disparities in financial inclusion in Pakistan using Global Findex 2021 survey data. We aim to quantify gender gaps in financial access and use, and to analyze the socio-economic factors influencing these disparities. Grounded in Sen’s capability approach and behavioral economics, we employ logistic regression to examine how gender influences the ownership and usage of financial products. Our results reveal significant gender gaps: only 13% of Pakistani women have financial accounts compared to 34% of men, with similar disparities in digital finance. Socio-economic variables like education, income, and employment are found to influence financial inclusion differently for men and women. While generally supportive of financial inclusion, these factors have a weaker effect for women, suggesting deeper societal barriers. This study adds to the global financial inclusion discourse by providing a comprehensive analysis of gender disparities in Pakistan. Our findings highlight the need for gender-sensitive policies that address these disparities to achieve Sustainable Development Goals related to gender equality and economic empowerment.","author":[{"dropping-particle":"","family":"Razzaq","given":"Amar","non-dropping-particle":"","parse-names":false,"suffix":""},{"dropping-particle":"","family":"Qin","given":"Shengze","non-dropping-particle":"","parse-names":false,"suffix":""},{"dropping-particle":"","family":"Zhou","given":"Yewang","non-dropping-particle":"","parse-names":false,"suffix":""},{"dropping-particle":"","family":"Mahmood","given":"Irfan","non-dropping-particle":"","parse-names":false,"suffix":""},{"dropping-particle":"","family":"Alnafissa","given":"Mohamad","non-dropping-particle":"","parse-names":false,"suffix":""}],"container-title":"Scientific Reports","id":"ITEM-1","issue":"1","issued":{"date-parts":[["2024","6","13"]]},"page":"13667","title":"Determinants of financial inclusion gaps in Pakistan and implications for achieving SDGs","type":"article-journal","volume":"14"},"uris":["http://www.mendeley.com/documents/?uuid=d22b0c56-4bab-43fd-bb5c-6c9cf1122975"]}],"mendeley":{"formattedCitation":"(Razzaq et al., 2024)","plainTextFormattedCitation":"(Razzaq et al., 2024)","previouslyFormattedCitation":"(Razzaq et al., 2024)"},"properties":{"noteIndex":0},"schema":"https://github.com/citation-style-language/schema/raw/master/csl-citation.json"}</w:instrText>
      </w:r>
      <w:r>
        <w:rPr>
          <w:rFonts w:ascii="Times New Roman" w:hAnsi="Times New Roman"/>
          <w:sz w:val="24"/>
          <w:szCs w:val="24"/>
        </w:rPr>
        <w:fldChar w:fldCharType="separate"/>
      </w:r>
      <w:r w:rsidRPr="00B87A5C">
        <w:rPr>
          <w:rFonts w:ascii="Times New Roman" w:hAnsi="Times New Roman"/>
          <w:noProof/>
          <w:sz w:val="24"/>
          <w:szCs w:val="24"/>
        </w:rPr>
        <w:t>(Razzaq et al., 2024)</w:t>
      </w:r>
      <w:r>
        <w:rPr>
          <w:rFonts w:ascii="Times New Roman" w:hAnsi="Times New Roman"/>
          <w:sz w:val="24"/>
          <w:szCs w:val="24"/>
        </w:rPr>
        <w:fldChar w:fldCharType="end"/>
      </w:r>
      <w:r>
        <w:rPr>
          <w:rFonts w:ascii="Times New Roman" w:hAnsi="Times New Roman"/>
          <w:sz w:val="24"/>
          <w:szCs w:val="24"/>
        </w:rPr>
        <w:t xml:space="preserve">. </w:t>
      </w:r>
    </w:p>
    <w:p w14:paraId="2E5E439B" w14:textId="06356DA7" w:rsidR="00B87A5C" w:rsidRPr="00B87A5C" w:rsidRDefault="00B87A5C" w:rsidP="00B87A5C">
      <w:pPr>
        <w:ind w:firstLine="720"/>
        <w:jc w:val="both"/>
        <w:rPr>
          <w:rFonts w:ascii="Times New Roman" w:hAnsi="Times New Roman"/>
          <w:sz w:val="24"/>
          <w:szCs w:val="24"/>
        </w:rPr>
      </w:pPr>
      <w:r w:rsidRPr="00B87A5C">
        <w:rPr>
          <w:rFonts w:ascii="Times New Roman" w:hAnsi="Times New Roman"/>
          <w:sz w:val="24"/>
          <w:szCs w:val="24"/>
        </w:rPr>
        <w:t>Indonesia still experiences a gender gap in access to finance, as the SOFIA survey shows that only 42% of women use banking services compared to more than 45% of men</w:t>
      </w:r>
      <w:r w:rsidR="00C20B9B">
        <w:rPr>
          <w:rFonts w:ascii="Times New Roman" w:hAnsi="Times New Roman"/>
          <w:sz w:val="24"/>
          <w:szCs w:val="24"/>
        </w:rPr>
        <w:t>.</w:t>
      </w:r>
      <w:r w:rsidRPr="00B87A5C">
        <w:rPr>
          <w:rFonts w:ascii="Times New Roman" w:hAnsi="Times New Roman"/>
          <w:sz w:val="24"/>
          <w:szCs w:val="24"/>
        </w:rPr>
        <w:t xml:space="preserve"> </w:t>
      </w:r>
      <w:r w:rsidRPr="00B87A5C">
        <w:rPr>
          <w:rFonts w:ascii="Times New Roman" w:hAnsi="Times New Roman"/>
          <w:sz w:val="24"/>
          <w:szCs w:val="24"/>
          <w:shd w:val="clear" w:color="auto" w:fill="FFFFFF"/>
        </w:rPr>
        <w:t xml:space="preserve">Female micro and small business actors still have difficulty getting financing or credit from banks </w:t>
      </w:r>
      <w:r w:rsidRPr="00B87A5C">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{"citationItems":[{"id":"ITEM-1","itemData":{"DOI":"10.15294/EDAJ.V10I2.44483","ISSN":"2252-6560","abstract":"Current financial inclusion studies generally use partial indicators from access and use dimensions and are still limited in using multi-dimensional indicators. This study investigates the nexus between financial inclusion, poverty, and inequality by looking at empirical evidence from 33 provinces in Indonesia during 2009 - 2019. The Financial Inclusion Index (FII) for each province is constructed following Wang &amp;amp; Guan (2017) approach, which is more objective in weight assignment and avoids correlations between dimensions, namely access dimension, and usage dimension. The results show that financial inclusion has a significant effect on reducing poverty in Indonesia. There is evidence that FII supports the existence of an inverted U-curve relationship between financial inclusion and inequality. If we dispart the FII, the result shows that the only access dimension has a significant effect on reducing poverty levels in Indonesia and supports an inverted U-curve relationship with inequality. To make financial inclusion a tool for combat poverty and inequality, Indonesia needs to provide broad and greater financial access, engage unbanked people to make an account, and use financial services, especially for poor people. Alongside that, Indonesia also needs to make usage dimension has an impact on financial inclusion. Financial institutions need to design the right products so that they can provide based on people's needs.","author":[{"dropping-particle":"","family":"Fitriatinnisa","given":"Dipta","non-dropping-particle":"","parse-names":false,"suffix":""},{"dropping-particle":"","family":"Khoirunurrofik","given":"Khoirunurrofik","non-dropping-particle":"","parse-names":false,"suffix":""}],"container-title":"Economics Development Analysis Journal","id":"ITEM-1","issue":"2","issued":{"date-parts":[["2021","6"]]},"page":"205-220","title":"Financial Inclusion, Poverty, Inequality: Empirical Evidence from Provincial in  Indonesia","type":"article-journal","volume":"10"},"uris":["http://www.mendeley.com/documents/?uuid=ce4b2b78-c070-4f00-a43a-e03a5cd354a2"]}],"mendeley":{"formattedCitation":"(Fitriatinnisa &amp; Khoirunurrofik, 2021)","manualFormatting":"(Fitriatinnisa &amp; Khoirunurrofik, 2021","plainTextFormattedCitation":"(Fitriatinnisa &amp; Khoirunurrofik, 2021)","previouslyFormattedCitation":"(Fitriatinnisa &amp; Khoirunurrofik, 2021)"},"properties":{"noteIndex":0},"schema":"https://github.com/citation-style-language/schema/raw/master/csl-citation.json"}</w:instrText>
      </w:r>
      <w:r w:rsidRPr="00B87A5C">
        <w:rPr>
          <w:rFonts w:ascii="Times New Roman" w:hAnsi="Times New Roman" w:cs="Times New Roman"/>
          <w:sz w:val="24"/>
          <w:szCs w:val="24"/>
        </w:rPr>
        <w:fldChar w:fldCharType="separate"/>
      </w:r>
      <w:r w:rsidRPr="00B87A5C">
        <w:rPr>
          <w:rFonts w:ascii="Times New Roman" w:hAnsi="Times New Roman" w:cs="Times New Roman"/>
          <w:noProof/>
          <w:sz w:val="24"/>
          <w:szCs w:val="24"/>
        </w:rPr>
        <w:t>(Fitriatinnisa &amp; Khoirunurrofik, 2021</w:t>
      </w:r>
      <w:r w:rsidRPr="00B87A5C">
        <w:rPr>
          <w:rFonts w:ascii="Times New Roman" w:hAnsi="Times New Roman" w:cs="Times New Roman"/>
          <w:sz w:val="24"/>
          <w:szCs w:val="24"/>
        </w:rPr>
        <w:fldChar w:fldCharType="end"/>
      </w:r>
      <w:r w:rsidRPr="00B87A5C">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IFC","given":"","non-dropping-particle":"","parse-names":false,"suffix":""}],"id":"ITEM-1","issued":{"date-parts":[["2021"]]},"number-of-pages":"54","publisher-place":"Jakarta","title":"Mobile Banking in Indonesia Assessing the MArket PotentiAl for Mobile technology to extend bAnking to the UnbAnked And UnderbAnked","type":"report"},"uris":["http://www.mendeley.com/documents/?uuid=b20136e2-e202-44ac-9420-e3d76a2fc506"]}],"mendeley":{"formattedCitation":"(IFC, 2021)","manualFormatting":"; IFC, 2021)","plainTextFormattedCitation":"(IFC, 2021)","previouslyFormattedCitation":"(IFC, 2021)"},"properties":{"noteIndex":0},"schema":"https://github.com/citation-style-language/schema/raw/master/csl-citation.json"}</w:instrText>
      </w:r>
      <w:r w:rsidRPr="00B87A5C">
        <w:rPr>
          <w:rFonts w:ascii="Times New Roman" w:hAnsi="Times New Roman" w:cs="Times New Roman"/>
          <w:sz w:val="24"/>
          <w:szCs w:val="24"/>
        </w:rPr>
        <w:fldChar w:fldCharType="separate"/>
      </w:r>
      <w:r w:rsidRPr="00B87A5C">
        <w:rPr>
          <w:rFonts w:ascii="Times New Roman" w:hAnsi="Times New Roman" w:cs="Times New Roman"/>
          <w:noProof/>
          <w:sz w:val="24"/>
          <w:szCs w:val="24"/>
        </w:rPr>
        <w:t>; IFC, 2021)</w:t>
      </w:r>
      <w:r w:rsidRPr="00B87A5C">
        <w:rPr>
          <w:rFonts w:ascii="Times New Roman" w:hAnsi="Times New Roman" w:cs="Times New Roman"/>
          <w:sz w:val="24"/>
          <w:szCs w:val="24"/>
        </w:rPr>
        <w:fldChar w:fldCharType="end"/>
      </w:r>
      <w:r w:rsidRPr="00B87A5C">
        <w:rPr>
          <w:rFonts w:ascii="Times New Roman" w:hAnsi="Times New Roman" w:cs="Times New Roman"/>
          <w:sz w:val="24"/>
          <w:szCs w:val="24"/>
        </w:rPr>
        <w:t xml:space="preserve"> </w:t>
      </w:r>
      <w:r w:rsidRPr="00B87A5C">
        <w:rPr>
          <w:rFonts w:ascii="Times New Roman" w:hAnsi="Times New Roman"/>
          <w:sz w:val="24"/>
          <w:szCs w:val="24"/>
          <w:shd w:val="clear" w:color="auto" w:fill="FFFFFF"/>
        </w:rPr>
        <w:t xml:space="preserve">because they are considered to have no bank account. Persistent barriers to financial access can prevent women from participating in economic activities and improve the well-being of their families </w:t>
      </w:r>
      <w:r w:rsidRPr="00B87A5C">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{"citationItems":[{"id":"ITEM-1","itemData":{"DOI":"10.1016/J.HELIYON.2019.E02301","ISSN":"2405-8440","abstract":"This paper investigates the determining factors of non-performing financing in Islamic microfinance institutions (MFIs) in Indonesia. Using logistic regression, the study sample comprises data from 140 clients; 90 with a good financing status and 50 with a poor financing status. The results show that age, gender, occupation, and type of contract influence the non-performance of clients of Islamic MFIs in Indonesia. Probit regression confirmed the results.","author":[{"dropping-particle":"","family":"Fianto","given":"Bayu Arie","non-dropping-particle":"","parse-names":false,"suffix":""},{"dropping-particle":"","family":"Maulida","given":"Hayu","non-dropping-particle":"","parse-names":false,"suffix":""},{"dropping-particle":"","family":"Laila","given":"Nisful","non-dropping-particle":"","parse-names":false,"suffix":""}],"container-title":"Heliyon","id":"ITEM-1","issue":"8","issued":{"date-parts":[["2019","8"]]},"page":"e02301","publisher":"Elsevier","title":"Determining factors of non-performing financing in Islamic microfinance institutions","type":"article-journal","volume":"5"},"uris":["http://www.mendeley.com/documents/?uuid=e5b9ae00-766e-4714-b014-20c9488fca9f"]}],"mendeley":{"formattedCitation":"(Fianto et al., 2019)","plainTextFormattedCitation":"(Fianto et al., 2019)","previouslyFormattedCitation":"(Fianto et al., 2019)"},"properties":{"noteIndex":0},"schema":"https://github.com/citation-style-language/schema/raw/master/csl-citation.json"}</w:instrText>
      </w:r>
      <w:r w:rsidRPr="00B87A5C">
        <w:rPr>
          <w:rFonts w:ascii="Times New Roman" w:hAnsi="Times New Roman" w:cs="Times New Roman"/>
          <w:sz w:val="24"/>
          <w:szCs w:val="24"/>
        </w:rPr>
        <w:fldChar w:fldCharType="separate"/>
      </w:r>
      <w:r w:rsidRPr="00B87A5C">
        <w:rPr>
          <w:rFonts w:ascii="Times New Roman" w:hAnsi="Times New Roman" w:cs="Times New Roman"/>
          <w:noProof/>
          <w:sz w:val="24"/>
          <w:szCs w:val="24"/>
        </w:rPr>
        <w:t>(Fianto et al., 2019)</w:t>
      </w:r>
      <w:r w:rsidRPr="00B87A5C">
        <w:rPr>
          <w:rFonts w:ascii="Times New Roman" w:hAnsi="Times New Roman" w:cs="Times New Roman"/>
          <w:sz w:val="24"/>
          <w:szCs w:val="24"/>
        </w:rPr>
        <w:fldChar w:fldCharType="end"/>
      </w:r>
      <w:r w:rsidRPr="00B87A5C">
        <w:rPr>
          <w:rFonts w:ascii="Times New Roman" w:hAnsi="Times New Roman" w:cs="Times New Roman"/>
          <w:sz w:val="24"/>
          <w:szCs w:val="24"/>
        </w:rPr>
        <w:t xml:space="preserve">. </w:t>
      </w:r>
      <w:r w:rsidRPr="00B87A5C">
        <w:rPr>
          <w:rFonts w:ascii="Times New Roman" w:hAnsi="Times New Roman"/>
          <w:sz w:val="24"/>
          <w:szCs w:val="24"/>
        </w:rPr>
        <w:t>Many poor people are unable to access formal financial services in Indonesia. This condition prompted the Financial Services Authority to establish a Micro Waqf Bank (MWB) in 2017. Therefore, women's struggle against financial marginalization can be carried out through economic empowerment or easy access to finance. Studies on MWBs m</w:t>
      </w:r>
      <w:r w:rsidR="00C20B9B">
        <w:rPr>
          <w:rFonts w:ascii="Times New Roman" w:hAnsi="Times New Roman"/>
          <w:sz w:val="24"/>
          <w:szCs w:val="24"/>
        </w:rPr>
        <w:t>ain</w:t>
      </w:r>
      <w:r w:rsidRPr="00B87A5C">
        <w:rPr>
          <w:rFonts w:ascii="Times New Roman" w:hAnsi="Times New Roman"/>
          <w:sz w:val="24"/>
          <w:szCs w:val="24"/>
        </w:rPr>
        <w:t>ly focus on formal juridical institutions.</w:t>
      </w:r>
    </w:p>
    <w:p w14:paraId="11162BB0" w14:textId="16B7B246" w:rsidR="008D7351" w:rsidRPr="00B87A5C" w:rsidRDefault="00B87A5C" w:rsidP="00B87A5C">
      <w:pPr>
        <w:jc w:val="both"/>
      </w:pPr>
      <w:r>
        <w:rPr>
          <w:rFonts w:ascii="Times New Roman" w:hAnsi="Times New Roman" w:cs="Times New Roman"/>
          <w:sz w:val="24"/>
          <w:szCs w:val="24"/>
        </w:rPr>
        <w:tab/>
      </w:r>
      <w:r w:rsidRPr="00B87A5C">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{"citationItems":[{"id":"ITEM-1","itemData":{"DOI":"10.21111/AL-IKTISAB.V3I1.3905","ISSN":"2615-661X","abstract":"Waqf is a legal act of wakif (endower) for separating and transferring part of their wealth either permanently or for a specified period in accordance with their interests for purposes of worship and the general welfare according to sharia. Islamic law have two characters, it is normative (muhkamat) so that Islam have a unity of mind, feeling, and behavior for the people and make the people united, and temporal (mutashabihat) to open up the difference by space, time, and the condition of each with regard to the purposes of syara'. Waqf is a legal act of wakif (endower) for separating and/or transferring part of their wealth either permanently or for a specified period in accordance with their interests for purposes of worship and/or the general welfare according to sharia. Waqf or endowments often directed to unmovable objects, while waqf on moving objects is being developed lately. The idea to explore and develop the concept of waqf in Indonesia was began when Mustafa Edwin Nasution translating paper written by M. Abdul Mannan that revealed the practice of cash waqf (SIBL) in Bangladesh. The government try to do innovation in order to boost the Muslim's Economy particularly for those who are considered as a poor. The role of shariah bank and BWI and regulations is also considered ineffective, then the Government innovate by establishing institution called Micro Waqf Bank. Micro Waqf Bank is believed to increase financial inclusion, particularly in the public and small and micro businesses (SMEs) to have the easy capital. These agency is not allowed to take deposits from the public because it has focused in communities empowerment through financing with business mentoring.","author":[{"dropping-particle":"","family":"Nugroho","given":"Wahyu","non-dropping-particle":"","parse-names":false,"suffix":""},{"dropping-particle":"","family":"Hilal","given":"Faridl Noor","non-dropping-particle":"","parse-names":false,"suffix":""}],"container-title":"Al-Iktisab: Journal of Islamic Economic Law","id":"ITEM-1","issue":"1","issued":{"date-parts":[["2019","5"]]},"publisher":"Universitas Darussalam Gontor","title":"Micro Waqf Bank in Indonesia: Analysis of The Constitution Concept According to The Maqashid Sharia","type":"article-journal","volume":"3"},"uris":["http://www.mendeley.com/documents/?uuid=f8afa1e5-405c-4b0c-8e93-ff7466f4b8a6"]}],"mendeley":{"formattedCitation":"(Nugroho &amp; Hilal, 2019)","manualFormatting":"Nugroho &amp; Hilal (2019)","plainTextFormattedCitation":"(Nugroho &amp; Hilal, 2019)","previouslyFormattedCitation":"(Nugroho &amp; Hilal, 2019)"},"properties":{"noteIndex":0},"schema":"https://github.com/citation-style-language/schema/raw/master/csl-citation.json"}</w:instrText>
      </w:r>
      <w:r w:rsidRPr="00B87A5C">
        <w:rPr>
          <w:rFonts w:ascii="Times New Roman" w:hAnsi="Times New Roman" w:cs="Times New Roman"/>
          <w:sz w:val="24"/>
          <w:szCs w:val="24"/>
        </w:rPr>
        <w:fldChar w:fldCharType="separate"/>
      </w:r>
      <w:r w:rsidRPr="00B87A5C">
        <w:rPr>
          <w:rFonts w:ascii="Times New Roman" w:hAnsi="Times New Roman" w:cs="Times New Roman"/>
          <w:noProof/>
          <w:sz w:val="24"/>
          <w:szCs w:val="24"/>
        </w:rPr>
        <w:t>Nugroho &amp; Hilal (2019)</w:t>
      </w:r>
      <w:r w:rsidRPr="00B87A5C">
        <w:rPr>
          <w:rFonts w:ascii="Times New Roman" w:hAnsi="Times New Roman" w:cs="Times New Roman"/>
          <w:sz w:val="24"/>
          <w:szCs w:val="24"/>
        </w:rPr>
        <w:fldChar w:fldCharType="end"/>
      </w:r>
      <w:r w:rsidRPr="00B87A5C">
        <w:rPr>
          <w:rFonts w:ascii="Times New Roman" w:hAnsi="Times New Roman" w:cs="Times New Roman"/>
          <w:sz w:val="24"/>
          <w:szCs w:val="24"/>
        </w:rPr>
        <w:t xml:space="preserve"> Also stated </w:t>
      </w:r>
      <w:r w:rsidRPr="00B87A5C">
        <w:rPr>
          <w:rFonts w:ascii="Times New Roman" w:hAnsi="Times New Roman"/>
          <w:sz w:val="24"/>
          <w:szCs w:val="24"/>
        </w:rPr>
        <w:t xml:space="preserve">that the establishment of MWB is an innovation to improve the Muslim economy, especially for the poor. </w:t>
      </w:r>
      <w:r w:rsidRPr="00B87A5C">
        <w:rPr>
          <w:rFonts w:ascii="Times New Roman" w:eastAsia="Times New Roman" w:hAnsi="Times New Roman"/>
          <w:sz w:val="24"/>
          <w:szCs w:val="24"/>
          <w:lang w:eastAsia="id-ID"/>
        </w:rPr>
        <w:t>This study aims to describe the economic empowerment model used by MWB for poor</w:t>
      </w:r>
      <w:r w:rsidR="00C20B9B">
        <w:rPr>
          <w:rFonts w:ascii="Times New Roman" w:eastAsia="Times New Roman" w:hAnsi="Times New Roman"/>
          <w:sz w:val="24"/>
          <w:szCs w:val="24"/>
          <w:lang w:eastAsia="id-ID"/>
        </w:rPr>
        <w:t>,</w:t>
      </w:r>
      <w:r w:rsidRPr="00B87A5C">
        <w:rPr>
          <w:rFonts w:ascii="Times New Roman" w:eastAsia="Times New Roman" w:hAnsi="Times New Roman"/>
          <w:sz w:val="24"/>
          <w:szCs w:val="24"/>
          <w:lang w:eastAsia="id-ID"/>
        </w:rPr>
        <w:t xml:space="preserve"> productive women. Now</w:t>
      </w:r>
      <w:r w:rsidRPr="00B87A5C">
        <w:rPr>
          <w:rFonts w:ascii="Times New Roman" w:eastAsia="NotoSans-Regular" w:hAnsi="Times New Roman"/>
          <w:color w:val="000000"/>
          <w:sz w:val="24"/>
          <w:szCs w:val="24"/>
        </w:rPr>
        <w:t xml:space="preserve">, there has been no research that examines women's empowerment using </w:t>
      </w:r>
      <w:r w:rsidR="00C20B9B">
        <w:rPr>
          <w:rFonts w:ascii="Times New Roman" w:eastAsia="NotoSans-Regular" w:hAnsi="Times New Roman"/>
          <w:color w:val="000000"/>
          <w:sz w:val="24"/>
          <w:szCs w:val="24"/>
        </w:rPr>
        <w:t>the</w:t>
      </w:r>
      <w:r w:rsidRPr="00B87A5C">
        <w:rPr>
          <w:rFonts w:ascii="Times New Roman" w:hAnsi="Times New Roman"/>
          <w:i/>
          <w:iCs/>
          <w:sz w:val="24"/>
          <w:szCs w:val="24"/>
        </w:rPr>
        <w:t xml:space="preserve"> </w:t>
      </w:r>
      <w:proofErr w:type="spellStart"/>
      <w:r w:rsidRPr="00B87A5C">
        <w:rPr>
          <w:rFonts w:ascii="Times New Roman" w:hAnsi="Times New Roman"/>
          <w:i/>
          <w:iCs/>
          <w:sz w:val="24"/>
          <w:szCs w:val="24"/>
        </w:rPr>
        <w:t>Halaqoh</w:t>
      </w:r>
      <w:proofErr w:type="spellEnd"/>
      <w:r w:rsidRPr="00B87A5C">
        <w:rPr>
          <w:rFonts w:ascii="Times New Roman" w:hAnsi="Times New Roman"/>
          <w:i/>
          <w:iCs/>
          <w:sz w:val="24"/>
          <w:szCs w:val="24"/>
        </w:rPr>
        <w:t xml:space="preserve"> Model </w:t>
      </w:r>
      <w:r w:rsidRPr="00B87A5C">
        <w:rPr>
          <w:rFonts w:ascii="Times New Roman" w:eastAsia="NotoSans-Regular" w:hAnsi="Times New Roman"/>
          <w:color w:val="000000"/>
          <w:sz w:val="24"/>
          <w:szCs w:val="24"/>
        </w:rPr>
        <w:t xml:space="preserve">on MWB </w:t>
      </w:r>
      <w:r w:rsidR="00A62B63">
        <w:rPr>
          <w:rFonts w:ascii="Times New Roman" w:eastAsia="NotoSans-Regular" w:hAnsi="Times New Roman"/>
          <w:color w:val="000000"/>
          <w:sz w:val="24"/>
          <w:szCs w:val="24"/>
        </w:rPr>
        <w:fldChar w:fldCharType="begin" w:fldLock="1"/>
      </w:r>
      <w:r w:rsidR="00A62B63">
        <w:rPr>
          <w:rFonts w:ascii="Times New Roman" w:eastAsia="NotoSans-Regular" w:hAnsi="Times New Roman"/>
          <w:color w:val="000000"/>
          <w:sz w:val="24"/>
          <w:szCs w:val="24"/>
        </w:rPr>
        <w:instrText>ADDIN CSL_CITATION {"citationItems":[{"id":"ITEM-1","itemData":{"DOI":"10.33423/jaf.v23i5.6590","ISSN":"2158-3625","abstract":"Microfinance, originating in the mid-1800s but gaining modern prominence with Muhammad Yunus's Grameen Bank in 1970, has emerged as a potent tool for poverty alleviation. This paper explores the profound impact of microcredit on marginalized communities globally, particularly the empowerment of women, who constitute a majority of borrowers. Microcredit not only provides financial opportunities but also fosters confidence and belief in women's potential, transcending religious and national boundaries. Examining the origins and operations of microfinance, notably Grameen Bank, the paper distinguishes microfinance institutions from traditional banks. It addresses concerns about interest rates and presents compelling evidence linking microfinance access to poverty reduction. The core contribution of this research lies in its exploration of microcredit's dual function as an instrument for socioeconomic development and a catalyst for women's empowerment. We provide insights into how microcredit can contribute to fostering a more equitable world characterized by reduced poverty.","author":[{"dropping-particle":"","family":"Sarto","given":"Nicola","non-dropping-particle":"Del","parse-names":false,"suffix":""},{"dropping-particle":"","family":"Bocchialini","given":"Elisa","non-dropping-particle":"","parse-names":false,"suffix":""},{"dropping-particle":"","family":"Gai","given":"Lorenzo","non-dropping-particle":"","parse-names":false,"suffix":""},{"dropping-particle":"","family":"Ielasi","given":"Federica","non-dropping-particle":"","parse-names":false,"suffix":""}],"container-title":"Journal of Accounting and Finance","id":"ITEM-1","issue":"5","issued":{"date-parts":[["2023","12","13"]]},"title":"Microfinance, Microcredit, and Women’s Empowerment: An Exploration of the Grameen Bank Experience for Social Inclusion","type":"article-journal","volume":"23"},"uris":["http://www.mendeley.com/documents/?uuid=cc0b9343-5b3f-4ed5-bdfc-c9feb19ab70e"]}],"mendeley":{"formattedCitation":"(Del Sarto et al., 2023)","plainTextFormattedCitation":"(Del Sarto et al., 2023)","previouslyFormattedCitation":"(Del Sarto et al., 2023)"},"properties":{"noteIndex":0},"schema":"https://github.com/citation-style-language/schema/raw/master/csl-citation.json"}</w:instrText>
      </w:r>
      <w:r w:rsidR="00A62B63">
        <w:rPr>
          <w:rFonts w:ascii="Times New Roman" w:eastAsia="NotoSans-Regular" w:hAnsi="Times New Roman"/>
          <w:color w:val="000000"/>
          <w:sz w:val="24"/>
          <w:szCs w:val="24"/>
        </w:rPr>
        <w:fldChar w:fldCharType="separate"/>
      </w:r>
      <w:r w:rsidR="00A62B63" w:rsidRPr="00A62B63">
        <w:rPr>
          <w:rFonts w:ascii="Times New Roman" w:eastAsia="NotoSans-Regular" w:hAnsi="Times New Roman"/>
          <w:noProof/>
          <w:color w:val="000000"/>
          <w:sz w:val="24"/>
          <w:szCs w:val="24"/>
        </w:rPr>
        <w:t>(Del Sarto et al., 2023)</w:t>
      </w:r>
      <w:r w:rsidR="00A62B63">
        <w:rPr>
          <w:rFonts w:ascii="Times New Roman" w:eastAsia="NotoSans-Regular" w:hAnsi="Times New Roman"/>
          <w:color w:val="000000"/>
          <w:sz w:val="24"/>
          <w:szCs w:val="24"/>
        </w:rPr>
        <w:fldChar w:fldCharType="end"/>
      </w:r>
      <w:r w:rsidRPr="00B87A5C">
        <w:rPr>
          <w:rFonts w:ascii="Times New Roman" w:eastAsia="NotoSans-Regular" w:hAnsi="Times New Roman"/>
          <w:color w:val="000000"/>
          <w:sz w:val="24"/>
          <w:szCs w:val="24"/>
        </w:rPr>
        <w:t>. Therefore, the uniqueness of this research lies in the halaqah model in the process of women's economic empowerment at WMB</w:t>
      </w:r>
      <w:r w:rsidRPr="00B87A5C">
        <w:rPr>
          <w:rFonts w:ascii="Times New Roman" w:hAnsi="Times New Roman" w:cs="Times New Roman"/>
          <w:sz w:val="24"/>
          <w:szCs w:val="24"/>
        </w:rPr>
        <w:t xml:space="preserve">. </w:t>
      </w:r>
      <w:r w:rsidRPr="00B87A5C">
        <w:rPr>
          <w:rFonts w:ascii="Times New Roman" w:eastAsia="Times New Roman" w:hAnsi="Times New Roman"/>
          <w:sz w:val="24"/>
          <w:szCs w:val="24"/>
          <w:lang w:eastAsia="id-ID"/>
        </w:rPr>
        <w:t>This elaboration is important because MWB is a Sharia Microfinance Institution that aims to e</w:t>
      </w:r>
      <w:r w:rsidR="00C20B9B">
        <w:rPr>
          <w:rFonts w:ascii="Times New Roman" w:eastAsia="Times New Roman" w:hAnsi="Times New Roman"/>
          <w:sz w:val="24"/>
          <w:szCs w:val="24"/>
          <w:lang w:eastAsia="id-ID"/>
        </w:rPr>
        <w:t>mpower poor women in Islamic boarding schools economically</w:t>
      </w:r>
      <w:r w:rsidRPr="00B87A5C">
        <w:rPr>
          <w:rFonts w:ascii="Times New Roman" w:eastAsia="Times New Roman" w:hAnsi="Times New Roman"/>
          <w:sz w:val="24"/>
          <w:szCs w:val="24"/>
          <w:lang w:eastAsia="id-ID"/>
        </w:rPr>
        <w:t xml:space="preserve">. It provides an empowerment model and process to make women strong and economically capable </w:t>
      </w:r>
      <w:r w:rsidR="00A62B63">
        <w:rPr>
          <w:rFonts w:ascii="Times New Roman" w:eastAsia="Times New Roman" w:hAnsi="Times New Roman"/>
          <w:sz w:val="24"/>
          <w:szCs w:val="24"/>
          <w:lang w:eastAsia="id-ID"/>
        </w:rPr>
        <w:fldChar w:fldCharType="begin" w:fldLock="1"/>
      </w:r>
      <w:r w:rsidR="00A62B63">
        <w:rPr>
          <w:rFonts w:ascii="Times New Roman" w:eastAsia="Times New Roman" w:hAnsi="Times New Roman"/>
          <w:sz w:val="24"/>
          <w:szCs w:val="24"/>
          <w:lang w:eastAsia="id-ID"/>
        </w:rPr>
        <w:instrText>ADDIN CSL_CITATION {"citationItems":[{"id":"ITEM-1","itemData":{"DOI":"10.1002/pop4.380","ISSN":"1944-2858","abstract":"The government of Pakistan has been relying on the microfinance industry to reduce poverty among poor women in Pakistan. Using a theoretical framework that argues for limiting the abilities and capacity of existing microfinance services, we empirically investigate the odds of poor women remaining in poverty despite microfinance loan provision. We collected data from four provinces in Pakistan and analyzed it using multivariate logistic regression. Three‐fourths of the 442 women respondents live below poverty lines and are unable to emerge from poverty due to factors such as: housing instability, food insecurity, lack of savings, insufficient loan size and high installment rates, lack of gender solidarity through group borrowing, and threats of domestic violence. Lack of health insurance and critical health problems such as infectious diseases, having suffered an injury, chronic ailments, and mental health challenges are also preventing poverty emergence. We conclude by recommending key social policy development agendas that need to be introduced by the state, in partnership with the microfinance sector, to support women borrowers and help them emerge from poverty.","author":[{"dropping-particle":"","family":"Rizvi Jafree","given":"Sara","non-dropping-particle":"","parse-names":false,"suffix":""},{"dropping-particle":"","family":"Ahsan","given":"Humna","non-dropping-particle":"","parse-names":false,"suffix":""},{"dropping-particle":"","family":"Mustafa","given":"Mudasir","non-dropping-particle":"","parse-names":false,"suffix":""}],"container-title":"Poverty &amp; Public Policy","id":"ITEM-1","issue":"3","issued":{"date-parts":[["2023","9","21"]]},"page":"308-331","title":"The low odds of poor women with small business loans emerging from poverty: Critical social policy implications for Pakistan","type":"article-journal","volume":"15"},"uris":["http://www.mendeley.com/documents/?uuid=4c69d9bc-e2d1-4eb3-8374-c4a505216c67"]}],"mendeley":{"formattedCitation":"(Rizvi Jafree et al., 2023)","plainTextFormattedCitation":"(Rizvi Jafree et al., 2023)","previouslyFormattedCitation":"(Rizvi Jafree et al., 2023)"},"properties":{"noteIndex":0},"schema":"https://github.com/citation-style-language/schema/raw/master/csl-citation.json"}</w:instrText>
      </w:r>
      <w:r w:rsidR="00A62B63">
        <w:rPr>
          <w:rFonts w:ascii="Times New Roman" w:eastAsia="Times New Roman" w:hAnsi="Times New Roman"/>
          <w:sz w:val="24"/>
          <w:szCs w:val="24"/>
          <w:lang w:eastAsia="id-ID"/>
        </w:rPr>
        <w:fldChar w:fldCharType="separate"/>
      </w:r>
      <w:r w:rsidR="00A62B63" w:rsidRPr="00A62B63">
        <w:rPr>
          <w:rFonts w:ascii="Times New Roman" w:eastAsia="Times New Roman" w:hAnsi="Times New Roman"/>
          <w:noProof/>
          <w:sz w:val="24"/>
          <w:szCs w:val="24"/>
          <w:lang w:eastAsia="id-ID"/>
        </w:rPr>
        <w:t>(Rizvi Jafree et al., 2023)</w:t>
      </w:r>
      <w:r w:rsidR="00A62B63">
        <w:rPr>
          <w:rFonts w:ascii="Times New Roman" w:eastAsia="Times New Roman" w:hAnsi="Times New Roman"/>
          <w:sz w:val="24"/>
          <w:szCs w:val="24"/>
          <w:lang w:eastAsia="id-ID"/>
        </w:rPr>
        <w:fldChar w:fldCharType="end"/>
      </w:r>
      <w:r>
        <w:rPr>
          <w:rFonts w:ascii="Times New Roman" w:eastAsia="Times New Roman" w:hAnsi="Times New Roman"/>
          <w:sz w:val="24"/>
          <w:szCs w:val="24"/>
          <w:lang w:eastAsia="id-ID"/>
        </w:rPr>
        <w:t xml:space="preserve">. </w:t>
      </w:r>
    </w:p>
    <w:p w14:paraId="0E0C39A9" w14:textId="5E845FA7"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Research Method</w:t>
      </w:r>
    </w:p>
    <w:p w14:paraId="4819E24F" w14:textId="77777777" w:rsidR="00A62B63" w:rsidRPr="004E16EB" w:rsidRDefault="00A62B63" w:rsidP="00A62B63">
      <w:pPr>
        <w:spacing w:after="120" w:line="240" w:lineRule="auto"/>
        <w:ind w:firstLine="720"/>
        <w:jc w:val="both"/>
        <w:rPr>
          <w:rFonts w:ascii="Times New Roman" w:hAnsi="Times New Roman" w:cs="Times New Roman"/>
          <w:sz w:val="24"/>
          <w:szCs w:val="24"/>
        </w:rPr>
      </w:pPr>
      <w:r w:rsidRPr="004E16EB">
        <w:rPr>
          <w:rFonts w:ascii="Times New Roman" w:hAnsi="Times New Roman"/>
          <w:sz w:val="24"/>
          <w:szCs w:val="24"/>
        </w:rPr>
        <w:t>This research was conducted in MWB in Yogyakarta Province, West Sumatra, and Central and East Java, Indonesia, as shown in Table 1.</w:t>
      </w:r>
    </w:p>
    <w:p w14:paraId="240BDC4C" w14:textId="77777777" w:rsidR="00A62B63" w:rsidRPr="004E16EB" w:rsidRDefault="00A62B63" w:rsidP="00A62B63">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Table 1. Study Location</w:t>
      </w:r>
    </w:p>
    <w:tbl>
      <w:tblPr>
        <w:tblStyle w:val="TableGrid"/>
        <w:tblW w:w="0" w:type="auto"/>
        <w:tblLook w:val="04A0" w:firstRow="1" w:lastRow="0" w:firstColumn="1" w:lastColumn="0" w:noHBand="0" w:noVBand="1"/>
      </w:tblPr>
      <w:tblGrid>
        <w:gridCol w:w="1715"/>
        <w:gridCol w:w="7311"/>
      </w:tblGrid>
      <w:tr w:rsidR="00A62B63" w:rsidRPr="004E16EB" w14:paraId="36084080" w14:textId="77777777" w:rsidTr="00476C03">
        <w:tc>
          <w:tcPr>
            <w:tcW w:w="1728" w:type="dxa"/>
            <w:tcBorders>
              <w:top w:val="single" w:sz="4" w:space="0" w:color="auto"/>
              <w:left w:val="nil"/>
              <w:bottom w:val="single" w:sz="4" w:space="0" w:color="auto"/>
              <w:right w:val="nil"/>
            </w:tcBorders>
          </w:tcPr>
          <w:p w14:paraId="760F2327"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Province</w:t>
            </w:r>
          </w:p>
        </w:tc>
        <w:tc>
          <w:tcPr>
            <w:tcW w:w="7514" w:type="dxa"/>
            <w:tcBorders>
              <w:top w:val="single" w:sz="4" w:space="0" w:color="auto"/>
              <w:left w:val="nil"/>
              <w:bottom w:val="single" w:sz="4" w:space="0" w:color="auto"/>
              <w:right w:val="nil"/>
            </w:tcBorders>
          </w:tcPr>
          <w:p w14:paraId="3DC47D50" w14:textId="77777777" w:rsidR="00A62B63" w:rsidRPr="004E16EB" w:rsidRDefault="00A62B63" w:rsidP="00476C03">
            <w:pPr>
              <w:jc w:val="center"/>
              <w:rPr>
                <w:rFonts w:ascii="Times New Roman" w:hAnsi="Times New Roman" w:cs="Times New Roman"/>
                <w:sz w:val="24"/>
                <w:szCs w:val="24"/>
              </w:rPr>
            </w:pPr>
            <w:r w:rsidRPr="004E16EB">
              <w:rPr>
                <w:rFonts w:ascii="Times New Roman" w:hAnsi="Times New Roman" w:cs="Times New Roman"/>
                <w:sz w:val="24"/>
                <w:szCs w:val="24"/>
              </w:rPr>
              <w:t xml:space="preserve">SMI MWB </w:t>
            </w:r>
          </w:p>
        </w:tc>
      </w:tr>
      <w:tr w:rsidR="00A62B63" w:rsidRPr="004E16EB" w14:paraId="700A74CE" w14:textId="77777777" w:rsidTr="00476C03">
        <w:tc>
          <w:tcPr>
            <w:tcW w:w="1728" w:type="dxa"/>
            <w:tcBorders>
              <w:top w:val="single" w:sz="4" w:space="0" w:color="auto"/>
              <w:left w:val="nil"/>
              <w:bottom w:val="nil"/>
              <w:right w:val="nil"/>
            </w:tcBorders>
          </w:tcPr>
          <w:p w14:paraId="759F518D"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West Sumatra</w:t>
            </w:r>
          </w:p>
        </w:tc>
        <w:tc>
          <w:tcPr>
            <w:tcW w:w="7514" w:type="dxa"/>
            <w:tcBorders>
              <w:top w:val="single" w:sz="4" w:space="0" w:color="auto"/>
              <w:left w:val="nil"/>
              <w:bottom w:val="nil"/>
              <w:right w:val="nil"/>
            </w:tcBorders>
          </w:tcPr>
          <w:p w14:paraId="7C08935E"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Al Kausar Sari Lamak Kec. Harau, Lima </w:t>
            </w:r>
            <w:proofErr w:type="spellStart"/>
            <w:r w:rsidRPr="004E16EB">
              <w:rPr>
                <w:rFonts w:ascii="Times New Roman" w:hAnsi="Times New Roman" w:cs="Times New Roman"/>
              </w:rPr>
              <w:t>Puluh</w:t>
            </w:r>
            <w:proofErr w:type="spellEnd"/>
            <w:r w:rsidRPr="004E16EB">
              <w:rPr>
                <w:rFonts w:ascii="Times New Roman" w:hAnsi="Times New Roman" w:cs="Times New Roman"/>
              </w:rPr>
              <w:t xml:space="preserve"> Kota, West Sumatra</w:t>
            </w:r>
          </w:p>
        </w:tc>
      </w:tr>
      <w:tr w:rsidR="00A62B63" w:rsidRPr="004E16EB" w14:paraId="37CB9101" w14:textId="77777777" w:rsidTr="00476C03">
        <w:tc>
          <w:tcPr>
            <w:tcW w:w="1728" w:type="dxa"/>
            <w:vMerge w:val="restart"/>
            <w:tcBorders>
              <w:top w:val="nil"/>
              <w:left w:val="nil"/>
              <w:bottom w:val="nil"/>
              <w:right w:val="nil"/>
            </w:tcBorders>
          </w:tcPr>
          <w:p w14:paraId="5C30062F"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Yogyakarta</w:t>
            </w:r>
          </w:p>
        </w:tc>
        <w:tc>
          <w:tcPr>
            <w:tcW w:w="7514" w:type="dxa"/>
            <w:tcBorders>
              <w:top w:val="nil"/>
              <w:left w:val="nil"/>
              <w:bottom w:val="nil"/>
              <w:right w:val="nil"/>
            </w:tcBorders>
          </w:tcPr>
          <w:p w14:paraId="396A22F3"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Usaha Mandiri Sakinah, </w:t>
            </w:r>
            <w:proofErr w:type="spellStart"/>
            <w:r w:rsidRPr="004E16EB">
              <w:rPr>
                <w:rFonts w:ascii="Times New Roman" w:hAnsi="Times New Roman" w:cs="Times New Roman"/>
              </w:rPr>
              <w:t>Aisyiyah</w:t>
            </w:r>
            <w:proofErr w:type="spellEnd"/>
            <w:r w:rsidRPr="004E16EB">
              <w:rPr>
                <w:rFonts w:ascii="Times New Roman" w:hAnsi="Times New Roman" w:cs="Times New Roman"/>
              </w:rPr>
              <w:t xml:space="preserve"> University (UNISA) Yogyakarta</w:t>
            </w:r>
          </w:p>
        </w:tc>
      </w:tr>
      <w:tr w:rsidR="00A62B63" w:rsidRPr="004E16EB" w14:paraId="7A3DEEB3" w14:textId="77777777" w:rsidTr="00476C03">
        <w:tc>
          <w:tcPr>
            <w:tcW w:w="1728" w:type="dxa"/>
            <w:vMerge/>
            <w:tcBorders>
              <w:top w:val="nil"/>
              <w:left w:val="nil"/>
              <w:bottom w:val="nil"/>
              <w:right w:val="nil"/>
            </w:tcBorders>
          </w:tcPr>
          <w:p w14:paraId="1786AD35" w14:textId="77777777" w:rsidR="00A62B63" w:rsidRPr="004E16EB" w:rsidRDefault="00A62B63" w:rsidP="00476C03">
            <w:pPr>
              <w:jc w:val="both"/>
              <w:rPr>
                <w:rFonts w:ascii="Times New Roman" w:hAnsi="Times New Roman" w:cs="Times New Roman"/>
                <w:sz w:val="24"/>
                <w:szCs w:val="24"/>
              </w:rPr>
            </w:pPr>
          </w:p>
        </w:tc>
        <w:tc>
          <w:tcPr>
            <w:tcW w:w="7514" w:type="dxa"/>
            <w:tcBorders>
              <w:top w:val="nil"/>
              <w:left w:val="nil"/>
              <w:bottom w:val="nil"/>
              <w:right w:val="nil"/>
            </w:tcBorders>
          </w:tcPr>
          <w:p w14:paraId="24AF7591"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Almuna Berkah Mandiri, Al Munawwir Islamic Boarding School, </w:t>
            </w:r>
            <w:proofErr w:type="spellStart"/>
            <w:r w:rsidRPr="004E16EB">
              <w:rPr>
                <w:rFonts w:ascii="Times New Roman" w:hAnsi="Times New Roman" w:cs="Times New Roman"/>
              </w:rPr>
              <w:t>Krapyak</w:t>
            </w:r>
            <w:proofErr w:type="spellEnd"/>
            <w:r w:rsidRPr="004E16EB">
              <w:rPr>
                <w:rFonts w:ascii="Times New Roman" w:hAnsi="Times New Roman" w:cs="Times New Roman"/>
              </w:rPr>
              <w:t xml:space="preserve"> Yogyakarta</w:t>
            </w:r>
          </w:p>
        </w:tc>
      </w:tr>
      <w:tr w:rsidR="00A62B63" w:rsidRPr="004E16EB" w14:paraId="79947E24" w14:textId="77777777" w:rsidTr="00476C03">
        <w:tc>
          <w:tcPr>
            <w:tcW w:w="1728" w:type="dxa"/>
            <w:vMerge/>
            <w:tcBorders>
              <w:top w:val="nil"/>
              <w:left w:val="nil"/>
              <w:bottom w:val="nil"/>
              <w:right w:val="nil"/>
            </w:tcBorders>
          </w:tcPr>
          <w:p w14:paraId="34FB3D9E" w14:textId="77777777" w:rsidR="00A62B63" w:rsidRPr="004E16EB" w:rsidRDefault="00A62B63" w:rsidP="00476C03">
            <w:pPr>
              <w:jc w:val="both"/>
              <w:rPr>
                <w:rFonts w:ascii="Times New Roman" w:hAnsi="Times New Roman" w:cs="Times New Roman"/>
                <w:sz w:val="24"/>
                <w:szCs w:val="24"/>
              </w:rPr>
            </w:pPr>
          </w:p>
        </w:tc>
        <w:tc>
          <w:tcPr>
            <w:tcW w:w="7514" w:type="dxa"/>
            <w:tcBorders>
              <w:top w:val="nil"/>
              <w:left w:val="nil"/>
              <w:bottom w:val="nil"/>
              <w:right w:val="nil"/>
            </w:tcBorders>
          </w:tcPr>
          <w:p w14:paraId="2577A227"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Al Manshur Barokahing </w:t>
            </w:r>
            <w:proofErr w:type="spellStart"/>
            <w:r w:rsidRPr="004E16EB">
              <w:rPr>
                <w:rFonts w:ascii="Times New Roman" w:hAnsi="Times New Roman" w:cs="Times New Roman"/>
              </w:rPr>
              <w:t>Gusti</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Klaten</w:t>
            </w:r>
            <w:proofErr w:type="spellEnd"/>
            <w:r w:rsidRPr="004E16EB">
              <w:rPr>
                <w:rFonts w:ascii="Times New Roman" w:hAnsi="Times New Roman" w:cs="Times New Roman"/>
              </w:rPr>
              <w:t xml:space="preserve"> Regency, Yogyakarta</w:t>
            </w:r>
          </w:p>
        </w:tc>
      </w:tr>
      <w:tr w:rsidR="00A62B63" w:rsidRPr="004E16EB" w14:paraId="5EF871FF" w14:textId="77777777" w:rsidTr="00476C03">
        <w:tc>
          <w:tcPr>
            <w:tcW w:w="1728" w:type="dxa"/>
            <w:vMerge/>
            <w:tcBorders>
              <w:top w:val="nil"/>
              <w:left w:val="nil"/>
              <w:bottom w:val="nil"/>
              <w:right w:val="nil"/>
            </w:tcBorders>
          </w:tcPr>
          <w:p w14:paraId="50B83253" w14:textId="77777777" w:rsidR="00A62B63" w:rsidRPr="004E16EB" w:rsidRDefault="00A62B63" w:rsidP="00476C03">
            <w:pPr>
              <w:jc w:val="both"/>
              <w:rPr>
                <w:rFonts w:ascii="Times New Roman" w:hAnsi="Times New Roman" w:cs="Times New Roman"/>
                <w:sz w:val="24"/>
                <w:szCs w:val="24"/>
              </w:rPr>
            </w:pPr>
          </w:p>
        </w:tc>
        <w:tc>
          <w:tcPr>
            <w:tcW w:w="7514" w:type="dxa"/>
            <w:tcBorders>
              <w:top w:val="nil"/>
              <w:left w:val="nil"/>
              <w:bottom w:val="nil"/>
              <w:right w:val="nil"/>
            </w:tcBorders>
          </w:tcPr>
          <w:p w14:paraId="456F6EBF"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Bank Waqf Syariah </w:t>
            </w:r>
            <w:proofErr w:type="spellStart"/>
            <w:r w:rsidRPr="004E16EB">
              <w:rPr>
                <w:rFonts w:ascii="Times New Roman" w:hAnsi="Times New Roman" w:cs="Times New Roman"/>
              </w:rPr>
              <w:t>Alpansa</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Klaten</w:t>
            </w:r>
            <w:proofErr w:type="spellEnd"/>
            <w:r w:rsidRPr="004E16EB">
              <w:rPr>
                <w:rFonts w:ascii="Times New Roman" w:hAnsi="Times New Roman" w:cs="Times New Roman"/>
              </w:rPr>
              <w:t xml:space="preserve"> Regency, Yogyakarta</w:t>
            </w:r>
          </w:p>
        </w:tc>
      </w:tr>
      <w:tr w:rsidR="00A62B63" w:rsidRPr="004E16EB" w14:paraId="26C24F63" w14:textId="77777777" w:rsidTr="00476C03">
        <w:tc>
          <w:tcPr>
            <w:tcW w:w="1728" w:type="dxa"/>
            <w:vMerge w:val="restart"/>
            <w:tcBorders>
              <w:top w:val="nil"/>
              <w:left w:val="nil"/>
              <w:bottom w:val="single" w:sz="4" w:space="0" w:color="auto"/>
              <w:right w:val="nil"/>
            </w:tcBorders>
          </w:tcPr>
          <w:p w14:paraId="7C3A30F4"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East Java</w:t>
            </w:r>
          </w:p>
        </w:tc>
        <w:tc>
          <w:tcPr>
            <w:tcW w:w="7514" w:type="dxa"/>
            <w:tcBorders>
              <w:top w:val="nil"/>
              <w:left w:val="nil"/>
              <w:bottom w:val="nil"/>
              <w:right w:val="nil"/>
            </w:tcBorders>
          </w:tcPr>
          <w:p w14:paraId="5F75015E"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Alfitrah Wafa Mandiri, As-Salafi Al-Fithrah Islamic Boarding School, </w:t>
            </w:r>
            <w:proofErr w:type="spellStart"/>
            <w:r w:rsidRPr="004E16EB">
              <w:rPr>
                <w:rFonts w:ascii="Times New Roman" w:hAnsi="Times New Roman" w:cs="Times New Roman"/>
              </w:rPr>
              <w:t>Kewall</w:t>
            </w:r>
            <w:proofErr w:type="spellEnd"/>
            <w:r w:rsidRPr="004E16EB">
              <w:rPr>
                <w:rFonts w:ascii="Times New Roman" w:hAnsi="Times New Roman" w:cs="Times New Roman"/>
              </w:rPr>
              <w:t xml:space="preserve"> Surabaya, East Java</w:t>
            </w:r>
          </w:p>
        </w:tc>
      </w:tr>
      <w:tr w:rsidR="00A62B63" w:rsidRPr="004E16EB" w14:paraId="1E2F6B08" w14:textId="77777777" w:rsidTr="00476C03">
        <w:tc>
          <w:tcPr>
            <w:tcW w:w="1728" w:type="dxa"/>
            <w:vMerge/>
            <w:tcBorders>
              <w:top w:val="nil"/>
              <w:left w:val="nil"/>
              <w:bottom w:val="nil"/>
              <w:right w:val="nil"/>
            </w:tcBorders>
          </w:tcPr>
          <w:p w14:paraId="076C5373" w14:textId="77777777" w:rsidR="00A62B63" w:rsidRPr="004E16EB" w:rsidRDefault="00A62B63" w:rsidP="00476C03">
            <w:pPr>
              <w:jc w:val="both"/>
              <w:rPr>
                <w:rFonts w:ascii="Times New Roman" w:hAnsi="Times New Roman" w:cs="Times New Roman"/>
                <w:sz w:val="24"/>
                <w:szCs w:val="24"/>
              </w:rPr>
            </w:pPr>
          </w:p>
        </w:tc>
        <w:tc>
          <w:tcPr>
            <w:tcW w:w="7514" w:type="dxa"/>
            <w:tcBorders>
              <w:top w:val="nil"/>
              <w:left w:val="nil"/>
              <w:bottom w:val="nil"/>
              <w:right w:val="nil"/>
            </w:tcBorders>
          </w:tcPr>
          <w:p w14:paraId="61CA0505"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at Mambaul Maarif Islamic Boarding School, Denanyar, </w:t>
            </w:r>
            <w:proofErr w:type="spellStart"/>
            <w:r w:rsidRPr="004E16EB">
              <w:rPr>
                <w:rFonts w:ascii="Times New Roman" w:hAnsi="Times New Roman" w:cs="Times New Roman"/>
              </w:rPr>
              <w:t>Jombang</w:t>
            </w:r>
            <w:proofErr w:type="spellEnd"/>
            <w:r w:rsidRPr="004E16EB">
              <w:rPr>
                <w:rFonts w:ascii="Times New Roman" w:hAnsi="Times New Roman" w:cs="Times New Roman"/>
              </w:rPr>
              <w:t xml:space="preserve"> Regency, East Java</w:t>
            </w:r>
          </w:p>
        </w:tc>
      </w:tr>
      <w:tr w:rsidR="00A62B63" w:rsidRPr="004E16EB" w14:paraId="516321E5" w14:textId="77777777" w:rsidTr="00476C03">
        <w:tc>
          <w:tcPr>
            <w:tcW w:w="1728" w:type="dxa"/>
            <w:vMerge w:val="restart"/>
            <w:tcBorders>
              <w:top w:val="nil"/>
              <w:left w:val="nil"/>
              <w:bottom w:val="single" w:sz="4" w:space="0" w:color="auto"/>
              <w:right w:val="nil"/>
            </w:tcBorders>
          </w:tcPr>
          <w:p w14:paraId="1C29E00F"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Central Java</w:t>
            </w:r>
          </w:p>
        </w:tc>
        <w:tc>
          <w:tcPr>
            <w:tcW w:w="7514" w:type="dxa"/>
            <w:tcBorders>
              <w:top w:val="nil"/>
              <w:left w:val="nil"/>
              <w:bottom w:val="nil"/>
              <w:right w:val="nil"/>
            </w:tcBorders>
          </w:tcPr>
          <w:p w14:paraId="0D85643D"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SMI MWB at Bahrul Ulum Islamic Boarding School, Rice Farm</w:t>
            </w:r>
          </w:p>
        </w:tc>
      </w:tr>
      <w:tr w:rsidR="00A62B63" w:rsidRPr="004E16EB" w14:paraId="55CCB36C" w14:textId="77777777" w:rsidTr="00476C03">
        <w:tc>
          <w:tcPr>
            <w:tcW w:w="1728" w:type="dxa"/>
            <w:vMerge/>
            <w:tcBorders>
              <w:top w:val="nil"/>
              <w:left w:val="nil"/>
              <w:bottom w:val="single" w:sz="4" w:space="0" w:color="auto"/>
              <w:right w:val="nil"/>
            </w:tcBorders>
          </w:tcPr>
          <w:p w14:paraId="63182EB2" w14:textId="77777777" w:rsidR="00A62B63" w:rsidRPr="004E16EB" w:rsidRDefault="00A62B63" w:rsidP="00476C03">
            <w:pPr>
              <w:jc w:val="both"/>
              <w:rPr>
                <w:rFonts w:ascii="Times New Roman" w:hAnsi="Times New Roman" w:cs="Times New Roman"/>
                <w:sz w:val="24"/>
                <w:szCs w:val="24"/>
              </w:rPr>
            </w:pPr>
          </w:p>
        </w:tc>
        <w:tc>
          <w:tcPr>
            <w:tcW w:w="7514" w:type="dxa"/>
            <w:tcBorders>
              <w:top w:val="nil"/>
              <w:left w:val="nil"/>
              <w:bottom w:val="single" w:sz="4" w:space="0" w:color="auto"/>
              <w:right w:val="nil"/>
            </w:tcBorders>
          </w:tcPr>
          <w:p w14:paraId="31C46112" w14:textId="77777777" w:rsidR="00A62B63" w:rsidRPr="004E16EB" w:rsidRDefault="00A62B63" w:rsidP="00A62B63">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SMI MWB at Tebuireng Islamic Boarding School, Central Java</w:t>
            </w:r>
          </w:p>
        </w:tc>
      </w:tr>
    </w:tbl>
    <w:p w14:paraId="290C25CE" w14:textId="77777777" w:rsidR="00A62B63" w:rsidRPr="004E16EB" w:rsidRDefault="00A62B63" w:rsidP="00A62B63">
      <w:pPr>
        <w:spacing w:after="0" w:line="240" w:lineRule="auto"/>
        <w:ind w:firstLine="720"/>
        <w:jc w:val="both"/>
        <w:rPr>
          <w:rFonts w:ascii="Times New Roman" w:hAnsi="Times New Roman" w:cs="Times New Roman"/>
          <w:sz w:val="24"/>
          <w:szCs w:val="24"/>
        </w:rPr>
      </w:pPr>
    </w:p>
    <w:p w14:paraId="52131512" w14:textId="4BC7DDAF" w:rsidR="00A62B63" w:rsidRPr="004E16EB" w:rsidRDefault="00A62B63" w:rsidP="00A62B63">
      <w:pPr>
        <w:pStyle w:val="ListParagraph"/>
        <w:ind w:left="0" w:firstLine="720"/>
        <w:jc w:val="both"/>
        <w:rPr>
          <w:rFonts w:ascii="Times New Roman" w:hAnsi="Times New Roman" w:cs="Times New Roman"/>
          <w:lang w:val="id-ID"/>
        </w:rPr>
      </w:pPr>
      <w:r w:rsidRPr="004E16EB">
        <w:rPr>
          <w:rFonts w:ascii="Times New Roman" w:hAnsi="Times New Roman"/>
        </w:rPr>
        <w:lastRenderedPageBreak/>
        <w:t xml:space="preserve">During this study, MWB has been established in forty-three Islamic boarding schools, thirty-four of which are spread across the island of Java, seven in Sumatra, one in Kalimantan, one in Sulawesi, and one in Papua </w:t>
      </w:r>
      <w:r w:rsidRPr="004E16EB">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WM","given":"","non-dropping-particle":"","parse-names":false,"suffix":""}],"container-title":"http://www.lkmsbwm.id/","id":"ITEM-1","issued":{"date-parts":[["2019"]]},"page":"1","title":"LKMS-BWM","type":"webpage"},"uris":["http://www.mendeley.com/documents/?uuid=ce5dd753-da86-4cca-be17-1e90c6bd4fe2"]}],"mendeley":{"formattedCitation":"(BWM, 2019)","plainTextFormattedCitation":"(BWM, 2019)","previouslyFormattedCitation":"(BWM, 2019)"},"properties":{"noteIndex":0},"schema":"https://github.com/citation-style-language/schema/raw/master/csl-citation.json"}</w:instrText>
      </w:r>
      <w:r w:rsidRPr="004E16EB">
        <w:rPr>
          <w:rFonts w:ascii="Times New Roman" w:hAnsi="Times New Roman" w:cs="Times New Roman"/>
        </w:rPr>
        <w:fldChar w:fldCharType="separate"/>
      </w:r>
      <w:r w:rsidRPr="00573487">
        <w:rPr>
          <w:rFonts w:ascii="Times New Roman" w:hAnsi="Times New Roman" w:cs="Times New Roman"/>
          <w:noProof/>
        </w:rPr>
        <w:t>(BWM, 2019)</w:t>
      </w:r>
      <w:r w:rsidRPr="004E16EB">
        <w:rPr>
          <w:rFonts w:ascii="Times New Roman" w:hAnsi="Times New Roman" w:cs="Times New Roman"/>
        </w:rPr>
        <w:fldChar w:fldCharType="end"/>
      </w:r>
      <w:r w:rsidRPr="004E16EB">
        <w:rPr>
          <w:rFonts w:ascii="Times New Roman" w:hAnsi="Times New Roman" w:cs="Times New Roman"/>
        </w:rPr>
        <w:t>. Next</w:t>
      </w:r>
      <w:r w:rsidR="00C20B9B">
        <w:rPr>
          <w:rFonts w:ascii="Times New Roman" w:hAnsi="Times New Roman" w:cs="Times New Roman"/>
        </w:rPr>
        <w:t>,</w:t>
      </w:r>
      <w:r w:rsidRPr="004E16EB">
        <w:rPr>
          <w:rFonts w:ascii="Times New Roman" w:hAnsi="Times New Roman" w:cs="Times New Roman"/>
        </w:rPr>
        <w:t xml:space="preserve"> </w:t>
      </w:r>
      <w:r w:rsidRPr="004E16EB">
        <w:rPr>
          <w:rFonts w:ascii="Times New Roman" w:hAnsi="Times New Roman"/>
        </w:rPr>
        <w:t xml:space="preserve">Java Island was designated as the study location because it had the </w:t>
      </w:r>
      <w:r w:rsidR="00C20B9B">
        <w:rPr>
          <w:rFonts w:ascii="Times New Roman" w:hAnsi="Times New Roman"/>
        </w:rPr>
        <w:t>most significan</w:t>
      </w:r>
      <w:r w:rsidRPr="004E16EB">
        <w:rPr>
          <w:rFonts w:ascii="Times New Roman" w:hAnsi="Times New Roman"/>
        </w:rPr>
        <w:t>t number of MWBs, followed by Sumatra</w:t>
      </w:r>
      <w:r w:rsidRPr="004E16EB">
        <w:rPr>
          <w:rFonts w:ascii="Times New Roman" w:hAnsi="Times New Roman" w:cs="Times New Roman"/>
        </w:rPr>
        <w:t>.</w:t>
      </w:r>
    </w:p>
    <w:p w14:paraId="411C2716" w14:textId="2213D803" w:rsidR="00A62B63" w:rsidRPr="004E16EB" w:rsidRDefault="00A62B63" w:rsidP="00A62B63">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This qualitative descriptive study </w:t>
      </w:r>
      <w:proofErr w:type="spellStart"/>
      <w:r w:rsidRPr="004E16EB">
        <w:rPr>
          <w:rFonts w:ascii="Times New Roman" w:hAnsi="Times New Roman"/>
          <w:sz w:val="24"/>
          <w:szCs w:val="24"/>
        </w:rPr>
        <w:t>analyzes</w:t>
      </w:r>
      <w:proofErr w:type="spellEnd"/>
      <w:r w:rsidRPr="004E16EB">
        <w:rPr>
          <w:rFonts w:ascii="Times New Roman" w:hAnsi="Times New Roman"/>
          <w:sz w:val="24"/>
          <w:szCs w:val="24"/>
        </w:rPr>
        <w:t xml:space="preserve"> the data holistically to provide information </w:t>
      </w:r>
      <w:r w:rsidRPr="004E16EB">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{"citationItems":[{"id":"ITEM-1","itemData":{"DOI":"10.1177/160940690400300101","ISSN":"1609-4069","abstract":"The past decade has witnessed remarkable evolution within qualitative healthresearch as scholars have moved beyond initial adherence to the specific methods of phenomenology, grounded theory, and ethnography to develop methods more responsive to theexperience-based questions of interest to a practice-based discipline. Interpretive description (Thorne, Reimer Kirkham, &amp; MacDonald-Emes, 1997) is an inductive analytic approachesdesigned to create ways of understanding clinical phenomena that yield applications implications. In this article, we further develop our understanding of this methodologicalalternative by elaborating on the objective and mechanisms of its analytic processes and by expanding our consideration of its interpretive products.","author":[{"dropping-particle":"","family":"Thorne","given":"Sally","non-dropping-particle":"","parse-names":false,"suffix":""},{"dropping-particle":"","family":"Kirkham","given":"Sheryl Reimer","non-dropping-particle":"","parse-names":false,"suffix":""},{"dropping-particle":"","family":"O'Flynn-Magee","given":"Katherine","non-dropping-particle":"","parse-names":false,"suffix":""}],"container-title":"International Journal of Qualitative Methods","id":"ITEM-1","issue":"1","issued":{"date-parts":[["2017"]]},"page":"1-11","title":"The Analytic Challenge in Interpretive Description","type":"article-journal","volume":"3"},"uris":["http://www.mendeley.com/documents/?uuid=9cf1d800-976a-49d8-a1a3-c0c5bab85a7f"]}],"mendeley":{"formattedCitation":"(Thorne et al., 2017)","manualFormatting":"(Thorne dkk., 2017)","plainTextFormattedCitation":"(Thorne et al., 2017)","previouslyFormattedCitation":"(Thorne et al., 2017)"},"properties":{"noteIndex":0},"schema":"https://github.com/citation-style-language/schema/raw/master/csl-citation.json"}</w:instrText>
      </w:r>
      <w:r w:rsidRPr="004E16EB">
        <w:rPr>
          <w:rFonts w:ascii="Times New Roman" w:eastAsia="Calibri" w:hAnsi="Times New Roman" w:cs="Times New Roman"/>
          <w:sz w:val="24"/>
          <w:szCs w:val="24"/>
        </w:rPr>
        <w:fldChar w:fldCharType="separate"/>
      </w:r>
      <w:r w:rsidRPr="004E16EB">
        <w:rPr>
          <w:rFonts w:ascii="Times New Roman" w:eastAsia="Calibri" w:hAnsi="Times New Roman" w:cs="Times New Roman"/>
          <w:noProof/>
          <w:sz w:val="24"/>
          <w:szCs w:val="24"/>
        </w:rPr>
        <w:t>(Thorne et al., 2017)</w:t>
      </w:r>
      <w:r w:rsidRPr="004E16EB">
        <w:rPr>
          <w:rFonts w:ascii="Times New Roman" w:eastAsia="Calibri" w:hAnsi="Times New Roman" w:cs="Times New Roman"/>
          <w:sz w:val="24"/>
          <w:szCs w:val="24"/>
        </w:rPr>
        <w:fldChar w:fldCharType="end"/>
      </w:r>
      <w:r w:rsidRPr="004E16EB">
        <w:rPr>
          <w:rFonts w:ascii="Times New Roman" w:eastAsia="Calibri" w:hAnsi="Times New Roman" w:cs="Times New Roman"/>
          <w:sz w:val="24"/>
          <w:szCs w:val="24"/>
        </w:rPr>
        <w:t xml:space="preserve"> </w:t>
      </w:r>
      <w:r w:rsidRPr="004E16EB">
        <w:rPr>
          <w:rFonts w:ascii="Times New Roman" w:hAnsi="Times New Roman"/>
          <w:sz w:val="24"/>
          <w:szCs w:val="24"/>
        </w:rPr>
        <w:t xml:space="preserve">about the women's economic empowerment model. </w:t>
      </w:r>
      <w:r w:rsidRPr="004E16EB">
        <w:rPr>
          <w:rFonts w:ascii="Times New Roman" w:eastAsia="Calibri" w:hAnsi="Times New Roman"/>
          <w:sz w:val="24"/>
          <w:szCs w:val="24"/>
        </w:rPr>
        <w:t xml:space="preserve">A descriptive qualitative approach is used in the context of elaborating </w:t>
      </w:r>
      <w:r w:rsidR="00C20B9B">
        <w:rPr>
          <w:rFonts w:ascii="Times New Roman" w:eastAsia="Calibri" w:hAnsi="Times New Roman"/>
          <w:sz w:val="24"/>
          <w:szCs w:val="24"/>
        </w:rPr>
        <w:t>in depth the model of women's economic empowerment in MWB for productive poor women around Islamic boarding schools</w:t>
      </w:r>
      <w:r w:rsidRPr="004E16EB">
        <w:rPr>
          <w:rFonts w:ascii="Times New Roman" w:eastAsia="Times New Roman" w:hAnsi="Times New Roman" w:cs="Times New Roman"/>
          <w:sz w:val="24"/>
          <w:szCs w:val="24"/>
          <w:lang w:eastAsia="id-ID"/>
        </w:rPr>
        <w:t xml:space="preserve">. </w:t>
      </w:r>
      <w:r w:rsidRPr="004E16EB">
        <w:rPr>
          <w:rFonts w:ascii="Times New Roman" w:hAnsi="Times New Roman"/>
          <w:sz w:val="24"/>
          <w:szCs w:val="24"/>
        </w:rPr>
        <w:t xml:space="preserve">Data was obtained from MWB customers, leaders, and assistants. Informants consist of parties directly involved with an important role in empowerment. They understand </w:t>
      </w:r>
      <w:r w:rsidR="00C20B9B">
        <w:rPr>
          <w:rFonts w:ascii="Times New Roman" w:hAnsi="Times New Roman"/>
          <w:sz w:val="24"/>
          <w:szCs w:val="24"/>
        </w:rPr>
        <w:t>that MWB's operations</w:t>
      </w:r>
      <w:r w:rsidRPr="004E16EB">
        <w:rPr>
          <w:rFonts w:ascii="Times New Roman" w:hAnsi="Times New Roman"/>
          <w:sz w:val="24"/>
          <w:szCs w:val="24"/>
        </w:rPr>
        <w:t xml:space="preserve"> contribute to women's economic empowerment. The empowerment model was obtained through interviews and observations. This study observes the mandatory group training and customer mentoring process during WH meetings. Interviews were conducted with MWB leaders, assistants, and customers about the empowerment model conducted. Structured interviews are conducted naturally to establish a friendly atmosphere for the informant</w:t>
      </w:r>
      <w:r w:rsidRPr="004E16EB">
        <w:rPr>
          <w:rFonts w:ascii="Times New Roman" w:hAnsi="Times New Roman" w:cs="Times New Roman"/>
          <w:sz w:val="24"/>
          <w:szCs w:val="24"/>
        </w:rPr>
        <w:t xml:space="preserve">. </w:t>
      </w:r>
    </w:p>
    <w:p w14:paraId="70143EC5" w14:textId="77777777" w:rsidR="00A62B63" w:rsidRPr="004E16EB" w:rsidRDefault="00A62B63" w:rsidP="00A62B63">
      <w:pPr>
        <w:pStyle w:val="ListParagraph"/>
        <w:ind w:left="0" w:firstLine="720"/>
        <w:jc w:val="both"/>
        <w:rPr>
          <w:rFonts w:ascii="Times New Roman" w:hAnsi="Times New Roman" w:cs="Times New Roman"/>
        </w:rPr>
      </w:pPr>
    </w:p>
    <w:p w14:paraId="53B90C38" w14:textId="77777777" w:rsidR="00A62B63" w:rsidRPr="004E16EB" w:rsidRDefault="00A62B63" w:rsidP="00A62B63">
      <w:pPr>
        <w:pStyle w:val="BodyText"/>
        <w:ind w:right="138"/>
        <w:jc w:val="both"/>
        <w:rPr>
          <w:b/>
        </w:rPr>
      </w:pPr>
      <w:r w:rsidRPr="004E16EB">
        <w:rPr>
          <w:b/>
        </w:rPr>
        <w:t>Socio-Demographic</w:t>
      </w:r>
    </w:p>
    <w:p w14:paraId="7D169589" w14:textId="779BF8AA" w:rsidR="00A62B63" w:rsidRPr="004E16EB" w:rsidRDefault="00A62B63" w:rsidP="00A62B63">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The study involved 95 women aged 30-39 (40%) and 40-49 (39%) to participate in in-depth interviews. Based on education level, 57% of respondents are high school graduates, while only nine </w:t>
      </w:r>
      <w:r w:rsidR="00C20B9B">
        <w:rPr>
          <w:rFonts w:ascii="Times New Roman" w:hAnsi="Times New Roman"/>
          <w:sz w:val="24"/>
          <w:szCs w:val="24"/>
        </w:rPr>
        <w:t xml:space="preserve">are </w:t>
      </w:r>
      <w:r w:rsidRPr="004E16EB">
        <w:rPr>
          <w:rFonts w:ascii="Times New Roman" w:hAnsi="Times New Roman"/>
          <w:sz w:val="24"/>
          <w:szCs w:val="24"/>
        </w:rPr>
        <w:t>college graduates. Most respondents (53%) have been in the business for 1-5 years and only 6% for more than 15 years. In addition, 27 respondents (29%) had an income of less than 1.9 million rupiah, and 17 respondents had an income of more than 4 million rupiah, as shown in Table 1</w:t>
      </w:r>
      <w:r w:rsidRPr="004E16EB">
        <w:rPr>
          <w:rFonts w:ascii="Times New Roman" w:hAnsi="Times New Roman" w:cs="Times New Roman"/>
          <w:sz w:val="24"/>
          <w:szCs w:val="24"/>
        </w:rPr>
        <w:t>.</w:t>
      </w:r>
    </w:p>
    <w:p w14:paraId="667396C3" w14:textId="77777777" w:rsidR="00A62B63" w:rsidRPr="004E16EB" w:rsidRDefault="00A62B63" w:rsidP="00A62B63">
      <w:pPr>
        <w:pStyle w:val="BodyText"/>
        <w:ind w:right="138"/>
        <w:jc w:val="both"/>
        <w:rPr>
          <w:spacing w:val="-5"/>
          <w:w w:val="104"/>
        </w:rPr>
      </w:pPr>
      <w:r w:rsidRPr="004E16EB">
        <w:rPr>
          <w:spacing w:val="-5"/>
          <w:w w:val="104"/>
        </w:rPr>
        <w:t xml:space="preserve">Table 1. </w:t>
      </w:r>
      <w:proofErr w:type="spellStart"/>
      <w:r w:rsidRPr="004E16EB">
        <w:rPr>
          <w:spacing w:val="-5"/>
          <w:w w:val="104"/>
        </w:rPr>
        <w:t>Sociodemographics</w:t>
      </w:r>
      <w:proofErr w:type="spellEnd"/>
      <w:r w:rsidRPr="004E16EB">
        <w:rPr>
          <w:spacing w:val="-5"/>
          <w:w w:val="104"/>
        </w:rPr>
        <w:t xml:space="preserve"> of respondents</w:t>
      </w:r>
    </w:p>
    <w:tbl>
      <w:tblPr>
        <w:tblW w:w="9829" w:type="dxa"/>
        <w:tblInd w:w="93" w:type="dxa"/>
        <w:tblLook w:val="04A0" w:firstRow="1" w:lastRow="0" w:firstColumn="1" w:lastColumn="0" w:noHBand="0" w:noVBand="1"/>
      </w:tblPr>
      <w:tblGrid>
        <w:gridCol w:w="1209"/>
        <w:gridCol w:w="689"/>
        <w:gridCol w:w="583"/>
        <w:gridCol w:w="1271"/>
        <w:gridCol w:w="729"/>
        <w:gridCol w:w="583"/>
        <w:gridCol w:w="1192"/>
        <w:gridCol w:w="729"/>
        <w:gridCol w:w="580"/>
        <w:gridCol w:w="1445"/>
        <w:gridCol w:w="729"/>
        <w:gridCol w:w="648"/>
      </w:tblGrid>
      <w:tr w:rsidR="00A62B63" w:rsidRPr="004E16EB" w14:paraId="5C4270E9" w14:textId="77777777" w:rsidTr="00476C03">
        <w:trPr>
          <w:trHeight w:val="300"/>
        </w:trPr>
        <w:tc>
          <w:tcPr>
            <w:tcW w:w="2408" w:type="dxa"/>
            <w:gridSpan w:val="3"/>
            <w:tcBorders>
              <w:top w:val="single" w:sz="4" w:space="0" w:color="auto"/>
              <w:bottom w:val="single" w:sz="4" w:space="0" w:color="auto"/>
            </w:tcBorders>
            <w:shd w:val="clear" w:color="auto" w:fill="auto"/>
            <w:noWrap/>
            <w:vAlign w:val="center"/>
          </w:tcPr>
          <w:p w14:paraId="7B6BA98D" w14:textId="77777777" w:rsidR="00A62B63" w:rsidRPr="004E16EB" w:rsidRDefault="00A62B63" w:rsidP="00476C03">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2510" w:type="dxa"/>
            <w:gridSpan w:val="3"/>
            <w:tcBorders>
              <w:top w:val="single" w:sz="4" w:space="0" w:color="auto"/>
              <w:left w:val="nil"/>
              <w:bottom w:val="single" w:sz="4" w:space="0" w:color="auto"/>
            </w:tcBorders>
            <w:shd w:val="clear" w:color="auto" w:fill="auto"/>
            <w:noWrap/>
            <w:vAlign w:val="center"/>
          </w:tcPr>
          <w:p w14:paraId="6C5489F2" w14:textId="77777777" w:rsidR="00A62B63" w:rsidRPr="004E16EB" w:rsidRDefault="00A62B63" w:rsidP="00476C03">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2272" w:type="dxa"/>
            <w:gridSpan w:val="3"/>
            <w:tcBorders>
              <w:top w:val="single" w:sz="4" w:space="0" w:color="auto"/>
              <w:left w:val="nil"/>
              <w:bottom w:val="single" w:sz="4" w:space="0" w:color="auto"/>
            </w:tcBorders>
            <w:shd w:val="clear" w:color="auto" w:fill="auto"/>
            <w:noWrap/>
            <w:vAlign w:val="center"/>
          </w:tcPr>
          <w:p w14:paraId="023CEF58" w14:textId="77777777" w:rsidR="00A62B63" w:rsidRPr="004E16EB" w:rsidRDefault="00A62B63" w:rsidP="00476C03">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Length of business</w:t>
            </w:r>
          </w:p>
        </w:tc>
        <w:tc>
          <w:tcPr>
            <w:tcW w:w="2639" w:type="dxa"/>
            <w:gridSpan w:val="3"/>
            <w:tcBorders>
              <w:top w:val="single" w:sz="4" w:space="0" w:color="auto"/>
              <w:left w:val="nil"/>
              <w:bottom w:val="single" w:sz="4" w:space="0" w:color="auto"/>
            </w:tcBorders>
            <w:shd w:val="clear" w:color="auto" w:fill="auto"/>
            <w:noWrap/>
            <w:vAlign w:val="center"/>
          </w:tcPr>
          <w:p w14:paraId="76B6C221" w14:textId="77777777" w:rsidR="00A62B63" w:rsidRPr="004E16EB" w:rsidRDefault="00A62B63" w:rsidP="00476C03">
            <w:pPr>
              <w:spacing w:after="0" w:line="240" w:lineRule="auto"/>
              <w:jc w:val="center"/>
              <w:rPr>
                <w:rFonts w:ascii="Times New Roman" w:eastAsia="Times New Roman" w:hAnsi="Times New Roman" w:cs="Times New Roman"/>
                <w:color w:val="000000"/>
                <w:sz w:val="18"/>
                <w:szCs w:val="18"/>
              </w:rPr>
            </w:pPr>
            <w:r w:rsidRPr="004E16EB">
              <w:rPr>
                <w:rFonts w:ascii="Times New Roman" w:eastAsia="Times New Roman" w:hAnsi="Times New Roman"/>
                <w:color w:val="000000"/>
                <w:sz w:val="18"/>
                <w:szCs w:val="18"/>
              </w:rPr>
              <w:t>Income After Getting Financing</w:t>
            </w:r>
          </w:p>
        </w:tc>
      </w:tr>
      <w:tr w:rsidR="00A62B63" w:rsidRPr="004E16EB" w14:paraId="2C673C61" w14:textId="77777777" w:rsidTr="00476C03">
        <w:trPr>
          <w:trHeight w:val="300"/>
        </w:trPr>
        <w:tc>
          <w:tcPr>
            <w:tcW w:w="1209" w:type="dxa"/>
            <w:tcBorders>
              <w:top w:val="single" w:sz="4" w:space="0" w:color="auto"/>
              <w:bottom w:val="single" w:sz="4" w:space="0" w:color="auto"/>
            </w:tcBorders>
            <w:shd w:val="clear" w:color="auto" w:fill="auto"/>
            <w:noWrap/>
            <w:vAlign w:val="center"/>
          </w:tcPr>
          <w:p w14:paraId="7BF29466"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616" w:type="dxa"/>
            <w:tcBorders>
              <w:top w:val="single" w:sz="4" w:space="0" w:color="auto"/>
              <w:bottom w:val="single" w:sz="4" w:space="0" w:color="auto"/>
            </w:tcBorders>
            <w:shd w:val="clear" w:color="auto" w:fill="auto"/>
            <w:noWrap/>
            <w:vAlign w:val="center"/>
          </w:tcPr>
          <w:p w14:paraId="243413A1" w14:textId="77777777" w:rsidR="00A62B63" w:rsidRPr="004E16EB" w:rsidRDefault="00A62B63" w:rsidP="00476C03">
            <w:pPr>
              <w:spacing w:after="0" w:line="240" w:lineRule="auto"/>
              <w:ind w:left="-6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583" w:type="dxa"/>
            <w:tcBorders>
              <w:top w:val="single" w:sz="4" w:space="0" w:color="auto"/>
              <w:bottom w:val="single" w:sz="4" w:space="0" w:color="auto"/>
            </w:tcBorders>
            <w:shd w:val="clear" w:color="auto" w:fill="auto"/>
            <w:noWrap/>
            <w:vAlign w:val="center"/>
          </w:tcPr>
          <w:p w14:paraId="7CE1C3A7"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271" w:type="dxa"/>
            <w:tcBorders>
              <w:top w:val="single" w:sz="4" w:space="0" w:color="auto"/>
              <w:bottom w:val="single" w:sz="4" w:space="0" w:color="auto"/>
            </w:tcBorders>
            <w:shd w:val="clear" w:color="auto" w:fill="auto"/>
            <w:noWrap/>
            <w:vAlign w:val="center"/>
          </w:tcPr>
          <w:p w14:paraId="7C1BD866"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656" w:type="dxa"/>
            <w:tcBorders>
              <w:top w:val="single" w:sz="4" w:space="0" w:color="auto"/>
              <w:bottom w:val="single" w:sz="4" w:space="0" w:color="auto"/>
            </w:tcBorders>
            <w:shd w:val="clear" w:color="auto" w:fill="auto"/>
            <w:noWrap/>
            <w:vAlign w:val="center"/>
          </w:tcPr>
          <w:p w14:paraId="5349AF46" w14:textId="77777777" w:rsidR="00A62B63" w:rsidRPr="004E16EB" w:rsidRDefault="00A62B63" w:rsidP="00476C03">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583" w:type="dxa"/>
            <w:tcBorders>
              <w:top w:val="single" w:sz="4" w:space="0" w:color="auto"/>
              <w:bottom w:val="single" w:sz="4" w:space="0" w:color="auto"/>
            </w:tcBorders>
            <w:shd w:val="clear" w:color="auto" w:fill="auto"/>
            <w:noWrap/>
            <w:vAlign w:val="center"/>
          </w:tcPr>
          <w:p w14:paraId="4CD5F1C3"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192" w:type="dxa"/>
            <w:tcBorders>
              <w:top w:val="single" w:sz="4" w:space="0" w:color="auto"/>
              <w:bottom w:val="single" w:sz="4" w:space="0" w:color="auto"/>
            </w:tcBorders>
            <w:shd w:val="clear" w:color="auto" w:fill="auto"/>
            <w:noWrap/>
            <w:vAlign w:val="center"/>
          </w:tcPr>
          <w:p w14:paraId="46A89DCE"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Length of business</w:t>
            </w:r>
          </w:p>
        </w:tc>
        <w:tc>
          <w:tcPr>
            <w:tcW w:w="500" w:type="dxa"/>
            <w:tcBorders>
              <w:top w:val="single" w:sz="4" w:space="0" w:color="auto"/>
              <w:bottom w:val="single" w:sz="4" w:space="0" w:color="auto"/>
            </w:tcBorders>
            <w:shd w:val="clear" w:color="auto" w:fill="auto"/>
            <w:noWrap/>
            <w:vAlign w:val="center"/>
          </w:tcPr>
          <w:p w14:paraId="4DBACB1E" w14:textId="77777777" w:rsidR="00A62B63" w:rsidRPr="004E16EB" w:rsidRDefault="00A62B63" w:rsidP="00476C03">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580" w:type="dxa"/>
            <w:tcBorders>
              <w:top w:val="single" w:sz="4" w:space="0" w:color="auto"/>
              <w:bottom w:val="single" w:sz="4" w:space="0" w:color="auto"/>
            </w:tcBorders>
            <w:shd w:val="clear" w:color="auto" w:fill="auto"/>
            <w:noWrap/>
            <w:vAlign w:val="center"/>
          </w:tcPr>
          <w:p w14:paraId="120F0B3A" w14:textId="77777777" w:rsidR="00A62B63" w:rsidRPr="004E16EB" w:rsidRDefault="00A62B63" w:rsidP="00476C03">
            <w:pPr>
              <w:spacing w:after="0" w:line="240" w:lineRule="auto"/>
              <w:ind w:left="-26"/>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w:t>
            </w:r>
          </w:p>
        </w:tc>
        <w:tc>
          <w:tcPr>
            <w:tcW w:w="1445" w:type="dxa"/>
            <w:tcBorders>
              <w:top w:val="single" w:sz="4" w:space="0" w:color="auto"/>
              <w:bottom w:val="single" w:sz="4" w:space="0" w:color="auto"/>
            </w:tcBorders>
            <w:shd w:val="clear" w:color="auto" w:fill="auto"/>
            <w:noWrap/>
            <w:vAlign w:val="center"/>
          </w:tcPr>
          <w:p w14:paraId="662E74ED" w14:textId="77777777" w:rsidR="00A62B63" w:rsidRPr="004E16EB" w:rsidRDefault="00A62B63" w:rsidP="00476C03">
            <w:pPr>
              <w:spacing w:after="0" w:line="240" w:lineRule="auto"/>
              <w:ind w:left="-28"/>
              <w:rPr>
                <w:rFonts w:ascii="Times New Roman" w:eastAsia="Times New Roman" w:hAnsi="Times New Roman" w:cs="Times New Roman"/>
                <w:color w:val="000000"/>
              </w:rPr>
            </w:pPr>
            <w:r w:rsidRPr="004E16EB">
              <w:rPr>
                <w:rFonts w:ascii="Times New Roman" w:eastAsia="Times New Roman" w:hAnsi="Times New Roman" w:cs="Times New Roman"/>
                <w:color w:val="000000"/>
              </w:rPr>
              <w:t>Income</w:t>
            </w:r>
          </w:p>
        </w:tc>
        <w:tc>
          <w:tcPr>
            <w:tcW w:w="546" w:type="dxa"/>
            <w:tcBorders>
              <w:top w:val="single" w:sz="4" w:space="0" w:color="auto"/>
              <w:bottom w:val="single" w:sz="4" w:space="0" w:color="auto"/>
            </w:tcBorders>
            <w:shd w:val="clear" w:color="auto" w:fill="auto"/>
            <w:noWrap/>
            <w:vAlign w:val="center"/>
          </w:tcPr>
          <w:p w14:paraId="1F48A588" w14:textId="77777777" w:rsidR="00A62B63" w:rsidRPr="004E16EB" w:rsidRDefault="00A62B63" w:rsidP="00476C03">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648" w:type="dxa"/>
            <w:tcBorders>
              <w:top w:val="single" w:sz="4" w:space="0" w:color="auto"/>
              <w:bottom w:val="single" w:sz="4" w:space="0" w:color="auto"/>
            </w:tcBorders>
            <w:shd w:val="clear" w:color="auto" w:fill="auto"/>
            <w:noWrap/>
            <w:vAlign w:val="center"/>
          </w:tcPr>
          <w:p w14:paraId="4103086E"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r>
      <w:tr w:rsidR="00A62B63" w:rsidRPr="004E16EB" w14:paraId="69B57DEA" w14:textId="77777777" w:rsidTr="00476C03">
        <w:trPr>
          <w:trHeight w:val="300"/>
        </w:trPr>
        <w:tc>
          <w:tcPr>
            <w:tcW w:w="1209" w:type="dxa"/>
            <w:tcBorders>
              <w:top w:val="single" w:sz="4" w:space="0" w:color="auto"/>
              <w:bottom w:val="single" w:sz="4" w:space="0" w:color="auto"/>
            </w:tcBorders>
            <w:shd w:val="clear" w:color="auto" w:fill="auto"/>
            <w:noWrap/>
            <w:vAlign w:val="center"/>
          </w:tcPr>
          <w:p w14:paraId="0F84159B"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Higher Education</w:t>
            </w:r>
          </w:p>
        </w:tc>
        <w:tc>
          <w:tcPr>
            <w:tcW w:w="616" w:type="dxa"/>
            <w:tcBorders>
              <w:top w:val="single" w:sz="4" w:space="0" w:color="auto"/>
              <w:bottom w:val="single" w:sz="4" w:space="0" w:color="auto"/>
            </w:tcBorders>
            <w:shd w:val="clear" w:color="auto" w:fill="auto"/>
            <w:noWrap/>
            <w:vAlign w:val="center"/>
          </w:tcPr>
          <w:p w14:paraId="593D8FE8"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w:t>
            </w:r>
          </w:p>
        </w:tc>
        <w:tc>
          <w:tcPr>
            <w:tcW w:w="583" w:type="dxa"/>
            <w:tcBorders>
              <w:top w:val="single" w:sz="4" w:space="0" w:color="auto"/>
              <w:bottom w:val="single" w:sz="4" w:space="0" w:color="auto"/>
            </w:tcBorders>
            <w:shd w:val="clear" w:color="auto" w:fill="auto"/>
            <w:noWrap/>
            <w:vAlign w:val="center"/>
          </w:tcPr>
          <w:p w14:paraId="29C6A4C1"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9%</w:t>
            </w:r>
          </w:p>
        </w:tc>
        <w:tc>
          <w:tcPr>
            <w:tcW w:w="1271" w:type="dxa"/>
            <w:tcBorders>
              <w:top w:val="single" w:sz="4" w:space="0" w:color="auto"/>
              <w:bottom w:val="single" w:sz="4" w:space="0" w:color="auto"/>
            </w:tcBorders>
            <w:shd w:val="clear" w:color="auto" w:fill="auto"/>
            <w:noWrap/>
            <w:vAlign w:val="center"/>
          </w:tcPr>
          <w:p w14:paraId="44AB420D" w14:textId="77777777" w:rsidR="00A62B63" w:rsidRPr="004E16EB" w:rsidRDefault="00A62B63" w:rsidP="00476C03">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&gt;50 years</w:t>
            </w:r>
          </w:p>
        </w:tc>
        <w:tc>
          <w:tcPr>
            <w:tcW w:w="656" w:type="dxa"/>
            <w:tcBorders>
              <w:top w:val="single" w:sz="4" w:space="0" w:color="auto"/>
              <w:bottom w:val="single" w:sz="4" w:space="0" w:color="auto"/>
            </w:tcBorders>
            <w:shd w:val="clear" w:color="auto" w:fill="auto"/>
            <w:noWrap/>
            <w:vAlign w:val="center"/>
          </w:tcPr>
          <w:p w14:paraId="7911C090"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39155E55"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192" w:type="dxa"/>
            <w:tcBorders>
              <w:top w:val="single" w:sz="4" w:space="0" w:color="auto"/>
              <w:bottom w:val="single" w:sz="4" w:space="0" w:color="auto"/>
            </w:tcBorders>
            <w:shd w:val="clear" w:color="auto" w:fill="auto"/>
            <w:noWrap/>
            <w:vAlign w:val="center"/>
          </w:tcPr>
          <w:p w14:paraId="03D0ACD6" w14:textId="77777777" w:rsidR="00A62B63" w:rsidRPr="004E16EB" w:rsidRDefault="00A62B63" w:rsidP="00476C03">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1-5 years</w:t>
            </w:r>
          </w:p>
        </w:tc>
        <w:tc>
          <w:tcPr>
            <w:tcW w:w="500" w:type="dxa"/>
            <w:tcBorders>
              <w:top w:val="single" w:sz="4" w:space="0" w:color="auto"/>
              <w:bottom w:val="single" w:sz="4" w:space="0" w:color="auto"/>
            </w:tcBorders>
            <w:shd w:val="clear" w:color="auto" w:fill="auto"/>
            <w:noWrap/>
            <w:vAlign w:val="center"/>
          </w:tcPr>
          <w:p w14:paraId="77834BEE"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50</w:t>
            </w:r>
          </w:p>
        </w:tc>
        <w:tc>
          <w:tcPr>
            <w:tcW w:w="580" w:type="dxa"/>
            <w:tcBorders>
              <w:top w:val="single" w:sz="4" w:space="0" w:color="auto"/>
              <w:bottom w:val="single" w:sz="4" w:space="0" w:color="auto"/>
            </w:tcBorders>
            <w:shd w:val="clear" w:color="auto" w:fill="auto"/>
            <w:noWrap/>
            <w:vAlign w:val="center"/>
          </w:tcPr>
          <w:p w14:paraId="0304E087" w14:textId="77777777" w:rsidR="00A62B63" w:rsidRPr="004E16EB" w:rsidRDefault="00A62B63" w:rsidP="00476C03">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53%</w:t>
            </w:r>
          </w:p>
        </w:tc>
        <w:tc>
          <w:tcPr>
            <w:tcW w:w="1445" w:type="dxa"/>
            <w:tcBorders>
              <w:top w:val="single" w:sz="4" w:space="0" w:color="auto"/>
              <w:bottom w:val="single" w:sz="4" w:space="0" w:color="auto"/>
            </w:tcBorders>
            <w:shd w:val="clear" w:color="auto" w:fill="auto"/>
            <w:noWrap/>
            <w:vAlign w:val="center"/>
          </w:tcPr>
          <w:p w14:paraId="6D264048" w14:textId="77777777" w:rsidR="00A62B63" w:rsidRPr="004E16EB" w:rsidRDefault="00A62B63" w:rsidP="00476C03">
            <w:pPr>
              <w:spacing w:line="240" w:lineRule="auto"/>
              <w:rPr>
                <w:rFonts w:cs="Calibri"/>
                <w:color w:val="000000"/>
                <w:sz w:val="20"/>
                <w:szCs w:val="20"/>
              </w:rPr>
            </w:pPr>
            <w:r w:rsidRPr="004E16EB">
              <w:rPr>
                <w:rFonts w:cs="Calibri"/>
                <w:color w:val="000000"/>
                <w:sz w:val="20"/>
                <w:szCs w:val="20"/>
              </w:rPr>
              <w:t>&lt;1.9 million rupiah</w:t>
            </w:r>
          </w:p>
        </w:tc>
        <w:tc>
          <w:tcPr>
            <w:tcW w:w="546" w:type="dxa"/>
            <w:tcBorders>
              <w:top w:val="single" w:sz="4" w:space="0" w:color="auto"/>
              <w:bottom w:val="single" w:sz="4" w:space="0" w:color="auto"/>
            </w:tcBorders>
            <w:shd w:val="clear" w:color="auto" w:fill="auto"/>
            <w:noWrap/>
            <w:vAlign w:val="center"/>
          </w:tcPr>
          <w:p w14:paraId="6F7CEE8F"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27</w:t>
            </w:r>
          </w:p>
        </w:tc>
        <w:tc>
          <w:tcPr>
            <w:tcW w:w="648" w:type="dxa"/>
            <w:tcBorders>
              <w:top w:val="single" w:sz="4" w:space="0" w:color="auto"/>
              <w:bottom w:val="single" w:sz="4" w:space="0" w:color="auto"/>
            </w:tcBorders>
            <w:shd w:val="clear" w:color="auto" w:fill="auto"/>
            <w:noWrap/>
            <w:vAlign w:val="center"/>
          </w:tcPr>
          <w:p w14:paraId="26D8E427"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29%</w:t>
            </w:r>
          </w:p>
        </w:tc>
      </w:tr>
      <w:tr w:rsidR="00A62B63" w:rsidRPr="004E16EB" w14:paraId="56359493" w14:textId="77777777" w:rsidTr="00476C03">
        <w:trPr>
          <w:trHeight w:val="300"/>
        </w:trPr>
        <w:tc>
          <w:tcPr>
            <w:tcW w:w="1209" w:type="dxa"/>
            <w:tcBorders>
              <w:top w:val="single" w:sz="4" w:space="0" w:color="auto"/>
              <w:bottom w:val="single" w:sz="4" w:space="0" w:color="auto"/>
            </w:tcBorders>
            <w:shd w:val="clear" w:color="auto" w:fill="auto"/>
            <w:noWrap/>
            <w:vAlign w:val="center"/>
          </w:tcPr>
          <w:p w14:paraId="72AC5A5D"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High School</w:t>
            </w:r>
          </w:p>
        </w:tc>
        <w:tc>
          <w:tcPr>
            <w:tcW w:w="616" w:type="dxa"/>
            <w:tcBorders>
              <w:top w:val="single" w:sz="4" w:space="0" w:color="auto"/>
              <w:bottom w:val="single" w:sz="4" w:space="0" w:color="auto"/>
            </w:tcBorders>
            <w:shd w:val="clear" w:color="auto" w:fill="auto"/>
            <w:noWrap/>
            <w:vAlign w:val="center"/>
          </w:tcPr>
          <w:p w14:paraId="59139240"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54</w:t>
            </w:r>
          </w:p>
        </w:tc>
        <w:tc>
          <w:tcPr>
            <w:tcW w:w="583" w:type="dxa"/>
            <w:tcBorders>
              <w:top w:val="single" w:sz="4" w:space="0" w:color="auto"/>
              <w:bottom w:val="single" w:sz="4" w:space="0" w:color="auto"/>
            </w:tcBorders>
            <w:shd w:val="clear" w:color="auto" w:fill="auto"/>
            <w:noWrap/>
            <w:vAlign w:val="center"/>
          </w:tcPr>
          <w:p w14:paraId="5EDE93D0"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57%</w:t>
            </w:r>
          </w:p>
        </w:tc>
        <w:tc>
          <w:tcPr>
            <w:tcW w:w="1271" w:type="dxa"/>
            <w:tcBorders>
              <w:top w:val="single" w:sz="4" w:space="0" w:color="auto"/>
              <w:bottom w:val="single" w:sz="4" w:space="0" w:color="auto"/>
            </w:tcBorders>
            <w:shd w:val="clear" w:color="auto" w:fill="auto"/>
            <w:noWrap/>
            <w:vAlign w:val="center"/>
          </w:tcPr>
          <w:p w14:paraId="1BD9885A" w14:textId="77777777" w:rsidR="00A62B63" w:rsidRPr="004E16EB" w:rsidRDefault="00A62B63" w:rsidP="00476C03">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40-49 years old</w:t>
            </w:r>
          </w:p>
        </w:tc>
        <w:tc>
          <w:tcPr>
            <w:tcW w:w="656" w:type="dxa"/>
            <w:tcBorders>
              <w:top w:val="single" w:sz="4" w:space="0" w:color="auto"/>
              <w:bottom w:val="single" w:sz="4" w:space="0" w:color="auto"/>
            </w:tcBorders>
            <w:shd w:val="clear" w:color="auto" w:fill="auto"/>
            <w:noWrap/>
            <w:vAlign w:val="center"/>
          </w:tcPr>
          <w:p w14:paraId="0350ACDB"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37</w:t>
            </w:r>
          </w:p>
        </w:tc>
        <w:tc>
          <w:tcPr>
            <w:tcW w:w="583" w:type="dxa"/>
            <w:tcBorders>
              <w:top w:val="single" w:sz="4" w:space="0" w:color="auto"/>
              <w:bottom w:val="single" w:sz="4" w:space="0" w:color="auto"/>
            </w:tcBorders>
            <w:shd w:val="clear" w:color="auto" w:fill="auto"/>
            <w:noWrap/>
            <w:vAlign w:val="center"/>
          </w:tcPr>
          <w:p w14:paraId="4903FDF6"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39%</w:t>
            </w:r>
          </w:p>
        </w:tc>
        <w:tc>
          <w:tcPr>
            <w:tcW w:w="1192" w:type="dxa"/>
            <w:tcBorders>
              <w:top w:val="single" w:sz="4" w:space="0" w:color="auto"/>
              <w:bottom w:val="single" w:sz="4" w:space="0" w:color="auto"/>
            </w:tcBorders>
            <w:shd w:val="clear" w:color="auto" w:fill="auto"/>
            <w:noWrap/>
            <w:vAlign w:val="center"/>
          </w:tcPr>
          <w:p w14:paraId="3932AD3F" w14:textId="77777777" w:rsidR="00A62B63" w:rsidRPr="004E16EB" w:rsidRDefault="00A62B63" w:rsidP="00476C03">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6-10 years</w:t>
            </w:r>
          </w:p>
        </w:tc>
        <w:tc>
          <w:tcPr>
            <w:tcW w:w="500" w:type="dxa"/>
            <w:tcBorders>
              <w:top w:val="single" w:sz="4" w:space="0" w:color="auto"/>
              <w:bottom w:val="single" w:sz="4" w:space="0" w:color="auto"/>
            </w:tcBorders>
            <w:shd w:val="clear" w:color="auto" w:fill="auto"/>
            <w:noWrap/>
            <w:vAlign w:val="center"/>
          </w:tcPr>
          <w:p w14:paraId="682D236D"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28</w:t>
            </w:r>
          </w:p>
        </w:tc>
        <w:tc>
          <w:tcPr>
            <w:tcW w:w="580" w:type="dxa"/>
            <w:tcBorders>
              <w:top w:val="single" w:sz="4" w:space="0" w:color="auto"/>
              <w:bottom w:val="single" w:sz="4" w:space="0" w:color="auto"/>
            </w:tcBorders>
            <w:shd w:val="clear" w:color="auto" w:fill="auto"/>
            <w:noWrap/>
            <w:vAlign w:val="center"/>
          </w:tcPr>
          <w:p w14:paraId="26B4E8C3" w14:textId="77777777" w:rsidR="00A62B63" w:rsidRPr="004E16EB" w:rsidRDefault="00A62B63" w:rsidP="00476C03">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29%</w:t>
            </w:r>
          </w:p>
        </w:tc>
        <w:tc>
          <w:tcPr>
            <w:tcW w:w="1445" w:type="dxa"/>
            <w:tcBorders>
              <w:top w:val="single" w:sz="4" w:space="0" w:color="auto"/>
              <w:bottom w:val="single" w:sz="4" w:space="0" w:color="auto"/>
            </w:tcBorders>
            <w:shd w:val="clear" w:color="auto" w:fill="auto"/>
            <w:noWrap/>
            <w:vAlign w:val="center"/>
          </w:tcPr>
          <w:p w14:paraId="0552445B" w14:textId="77777777" w:rsidR="00A62B63" w:rsidRPr="004E16EB" w:rsidRDefault="00A62B63" w:rsidP="00476C03">
            <w:pPr>
              <w:spacing w:line="240" w:lineRule="auto"/>
              <w:rPr>
                <w:rFonts w:cs="Calibri"/>
                <w:color w:val="000000"/>
                <w:sz w:val="20"/>
                <w:szCs w:val="20"/>
              </w:rPr>
            </w:pPr>
            <w:r w:rsidRPr="004E16EB">
              <w:rPr>
                <w:rFonts w:cs="Calibri"/>
                <w:color w:val="000000"/>
                <w:sz w:val="20"/>
                <w:szCs w:val="20"/>
              </w:rPr>
              <w:t>2 -2.9 million rupiah</w:t>
            </w:r>
          </w:p>
        </w:tc>
        <w:tc>
          <w:tcPr>
            <w:tcW w:w="546" w:type="dxa"/>
            <w:tcBorders>
              <w:top w:val="single" w:sz="4" w:space="0" w:color="auto"/>
              <w:bottom w:val="single" w:sz="4" w:space="0" w:color="auto"/>
            </w:tcBorders>
            <w:shd w:val="clear" w:color="auto" w:fill="auto"/>
            <w:noWrap/>
            <w:vAlign w:val="center"/>
          </w:tcPr>
          <w:p w14:paraId="4014FD6C"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21</w:t>
            </w:r>
          </w:p>
        </w:tc>
        <w:tc>
          <w:tcPr>
            <w:tcW w:w="648" w:type="dxa"/>
            <w:tcBorders>
              <w:top w:val="single" w:sz="4" w:space="0" w:color="auto"/>
              <w:bottom w:val="single" w:sz="4" w:space="0" w:color="auto"/>
            </w:tcBorders>
            <w:shd w:val="clear" w:color="auto" w:fill="auto"/>
            <w:noWrap/>
            <w:vAlign w:val="center"/>
          </w:tcPr>
          <w:p w14:paraId="004AF214"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23%</w:t>
            </w:r>
          </w:p>
        </w:tc>
      </w:tr>
      <w:tr w:rsidR="00A62B63" w:rsidRPr="004E16EB" w14:paraId="12F008C6" w14:textId="77777777" w:rsidTr="00476C03">
        <w:trPr>
          <w:trHeight w:val="300"/>
        </w:trPr>
        <w:tc>
          <w:tcPr>
            <w:tcW w:w="1209" w:type="dxa"/>
            <w:tcBorders>
              <w:top w:val="single" w:sz="4" w:space="0" w:color="auto"/>
              <w:bottom w:val="single" w:sz="4" w:space="0" w:color="auto"/>
            </w:tcBorders>
            <w:shd w:val="clear" w:color="auto" w:fill="auto"/>
            <w:noWrap/>
            <w:vAlign w:val="center"/>
          </w:tcPr>
          <w:p w14:paraId="6091A4CB"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Junior High School</w:t>
            </w:r>
          </w:p>
        </w:tc>
        <w:tc>
          <w:tcPr>
            <w:tcW w:w="616" w:type="dxa"/>
            <w:tcBorders>
              <w:top w:val="single" w:sz="4" w:space="0" w:color="auto"/>
              <w:bottom w:val="single" w:sz="4" w:space="0" w:color="auto"/>
            </w:tcBorders>
            <w:shd w:val="clear" w:color="auto" w:fill="auto"/>
            <w:noWrap/>
            <w:vAlign w:val="center"/>
          </w:tcPr>
          <w:p w14:paraId="4E6BDC5B"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19</w:t>
            </w:r>
          </w:p>
        </w:tc>
        <w:tc>
          <w:tcPr>
            <w:tcW w:w="583" w:type="dxa"/>
            <w:tcBorders>
              <w:top w:val="single" w:sz="4" w:space="0" w:color="auto"/>
              <w:bottom w:val="single" w:sz="4" w:space="0" w:color="auto"/>
            </w:tcBorders>
            <w:shd w:val="clear" w:color="auto" w:fill="auto"/>
            <w:noWrap/>
            <w:vAlign w:val="center"/>
          </w:tcPr>
          <w:p w14:paraId="1AF17C62"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20%</w:t>
            </w:r>
          </w:p>
        </w:tc>
        <w:tc>
          <w:tcPr>
            <w:tcW w:w="1271" w:type="dxa"/>
            <w:tcBorders>
              <w:top w:val="single" w:sz="4" w:space="0" w:color="auto"/>
              <w:bottom w:val="single" w:sz="4" w:space="0" w:color="auto"/>
            </w:tcBorders>
            <w:shd w:val="clear" w:color="auto" w:fill="auto"/>
            <w:noWrap/>
            <w:vAlign w:val="center"/>
          </w:tcPr>
          <w:p w14:paraId="3D3D6F9A" w14:textId="77777777" w:rsidR="00A62B63" w:rsidRPr="004E16EB" w:rsidRDefault="00A62B63" w:rsidP="00476C03">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30-39 years old</w:t>
            </w:r>
          </w:p>
        </w:tc>
        <w:tc>
          <w:tcPr>
            <w:tcW w:w="656" w:type="dxa"/>
            <w:tcBorders>
              <w:top w:val="single" w:sz="4" w:space="0" w:color="auto"/>
              <w:bottom w:val="single" w:sz="4" w:space="0" w:color="auto"/>
            </w:tcBorders>
            <w:shd w:val="clear" w:color="auto" w:fill="auto"/>
            <w:noWrap/>
            <w:vAlign w:val="center"/>
          </w:tcPr>
          <w:p w14:paraId="78EF4307"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38</w:t>
            </w:r>
          </w:p>
        </w:tc>
        <w:tc>
          <w:tcPr>
            <w:tcW w:w="583" w:type="dxa"/>
            <w:tcBorders>
              <w:top w:val="single" w:sz="4" w:space="0" w:color="auto"/>
              <w:bottom w:val="single" w:sz="4" w:space="0" w:color="auto"/>
            </w:tcBorders>
            <w:shd w:val="clear" w:color="auto" w:fill="auto"/>
            <w:noWrap/>
            <w:vAlign w:val="center"/>
          </w:tcPr>
          <w:p w14:paraId="0DEB6CD1"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40%</w:t>
            </w:r>
          </w:p>
        </w:tc>
        <w:tc>
          <w:tcPr>
            <w:tcW w:w="1192" w:type="dxa"/>
            <w:tcBorders>
              <w:top w:val="single" w:sz="4" w:space="0" w:color="auto"/>
              <w:bottom w:val="single" w:sz="4" w:space="0" w:color="auto"/>
            </w:tcBorders>
            <w:shd w:val="clear" w:color="auto" w:fill="auto"/>
            <w:noWrap/>
            <w:vAlign w:val="center"/>
          </w:tcPr>
          <w:p w14:paraId="1BBA386A" w14:textId="77777777" w:rsidR="00A62B63" w:rsidRPr="004E16EB" w:rsidRDefault="00A62B63" w:rsidP="00476C03">
            <w:pPr>
              <w:spacing w:after="0" w:line="240" w:lineRule="auto"/>
              <w:ind w:left="-57"/>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11-15 years</w:t>
            </w:r>
          </w:p>
        </w:tc>
        <w:tc>
          <w:tcPr>
            <w:tcW w:w="500" w:type="dxa"/>
            <w:tcBorders>
              <w:top w:val="single" w:sz="4" w:space="0" w:color="auto"/>
              <w:bottom w:val="single" w:sz="4" w:space="0" w:color="auto"/>
            </w:tcBorders>
            <w:shd w:val="clear" w:color="auto" w:fill="auto"/>
            <w:noWrap/>
            <w:vAlign w:val="center"/>
          </w:tcPr>
          <w:p w14:paraId="5212ED9C"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11</w:t>
            </w:r>
          </w:p>
        </w:tc>
        <w:tc>
          <w:tcPr>
            <w:tcW w:w="580" w:type="dxa"/>
            <w:tcBorders>
              <w:top w:val="single" w:sz="4" w:space="0" w:color="auto"/>
              <w:bottom w:val="single" w:sz="4" w:space="0" w:color="auto"/>
            </w:tcBorders>
            <w:shd w:val="clear" w:color="auto" w:fill="auto"/>
            <w:noWrap/>
            <w:vAlign w:val="center"/>
          </w:tcPr>
          <w:p w14:paraId="3B324EDE" w14:textId="77777777" w:rsidR="00A62B63" w:rsidRPr="004E16EB" w:rsidRDefault="00A62B63" w:rsidP="00476C03">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12%</w:t>
            </w:r>
          </w:p>
        </w:tc>
        <w:tc>
          <w:tcPr>
            <w:tcW w:w="1445" w:type="dxa"/>
            <w:tcBorders>
              <w:top w:val="single" w:sz="4" w:space="0" w:color="auto"/>
              <w:bottom w:val="single" w:sz="4" w:space="0" w:color="auto"/>
            </w:tcBorders>
            <w:shd w:val="clear" w:color="auto" w:fill="auto"/>
            <w:noWrap/>
            <w:vAlign w:val="center"/>
          </w:tcPr>
          <w:p w14:paraId="14086248" w14:textId="77777777" w:rsidR="00A62B63" w:rsidRPr="004E16EB" w:rsidRDefault="00A62B63" w:rsidP="00476C03">
            <w:pPr>
              <w:spacing w:line="240" w:lineRule="auto"/>
              <w:rPr>
                <w:rFonts w:cs="Calibri"/>
                <w:color w:val="000000"/>
                <w:sz w:val="20"/>
                <w:szCs w:val="20"/>
              </w:rPr>
            </w:pPr>
            <w:r w:rsidRPr="004E16EB">
              <w:rPr>
                <w:rFonts w:cs="Calibri"/>
                <w:color w:val="000000"/>
                <w:sz w:val="20"/>
                <w:szCs w:val="20"/>
              </w:rPr>
              <w:t>3 -3.9 million rupiah</w:t>
            </w:r>
          </w:p>
        </w:tc>
        <w:tc>
          <w:tcPr>
            <w:tcW w:w="546" w:type="dxa"/>
            <w:tcBorders>
              <w:top w:val="single" w:sz="4" w:space="0" w:color="auto"/>
              <w:bottom w:val="single" w:sz="4" w:space="0" w:color="auto"/>
            </w:tcBorders>
            <w:shd w:val="clear" w:color="auto" w:fill="auto"/>
            <w:noWrap/>
            <w:vAlign w:val="center"/>
          </w:tcPr>
          <w:p w14:paraId="20AF3083"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30</w:t>
            </w:r>
          </w:p>
        </w:tc>
        <w:tc>
          <w:tcPr>
            <w:tcW w:w="648" w:type="dxa"/>
            <w:tcBorders>
              <w:top w:val="single" w:sz="4" w:space="0" w:color="auto"/>
              <w:bottom w:val="single" w:sz="4" w:space="0" w:color="auto"/>
            </w:tcBorders>
            <w:shd w:val="clear" w:color="auto" w:fill="auto"/>
            <w:noWrap/>
            <w:vAlign w:val="center"/>
          </w:tcPr>
          <w:p w14:paraId="7BE4C895"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32%</w:t>
            </w:r>
          </w:p>
        </w:tc>
      </w:tr>
      <w:tr w:rsidR="00A62B63" w:rsidRPr="004E16EB" w14:paraId="198ACDBF" w14:textId="77777777" w:rsidTr="00476C03">
        <w:trPr>
          <w:trHeight w:val="300"/>
        </w:trPr>
        <w:tc>
          <w:tcPr>
            <w:tcW w:w="1209" w:type="dxa"/>
            <w:tcBorders>
              <w:top w:val="single" w:sz="4" w:space="0" w:color="auto"/>
              <w:bottom w:val="single" w:sz="4" w:space="0" w:color="auto"/>
            </w:tcBorders>
            <w:shd w:val="clear" w:color="auto" w:fill="auto"/>
            <w:noWrap/>
            <w:vAlign w:val="center"/>
          </w:tcPr>
          <w:p w14:paraId="1D8D4529"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Sd</w:t>
            </w:r>
          </w:p>
        </w:tc>
        <w:tc>
          <w:tcPr>
            <w:tcW w:w="616" w:type="dxa"/>
            <w:tcBorders>
              <w:top w:val="single" w:sz="4" w:space="0" w:color="auto"/>
              <w:bottom w:val="single" w:sz="4" w:space="0" w:color="auto"/>
            </w:tcBorders>
            <w:shd w:val="clear" w:color="auto" w:fill="auto"/>
            <w:noWrap/>
            <w:vAlign w:val="center"/>
          </w:tcPr>
          <w:p w14:paraId="4FA2F655"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39D0FCD0"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271" w:type="dxa"/>
            <w:tcBorders>
              <w:top w:val="single" w:sz="4" w:space="0" w:color="auto"/>
              <w:bottom w:val="single" w:sz="4" w:space="0" w:color="auto"/>
            </w:tcBorders>
            <w:shd w:val="clear" w:color="auto" w:fill="auto"/>
            <w:noWrap/>
            <w:vAlign w:val="center"/>
          </w:tcPr>
          <w:p w14:paraId="217F7A8D" w14:textId="77777777" w:rsidR="00A62B63" w:rsidRPr="004E16EB" w:rsidRDefault="00A62B63" w:rsidP="00476C03">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29 years</w:t>
            </w:r>
          </w:p>
        </w:tc>
        <w:tc>
          <w:tcPr>
            <w:tcW w:w="656" w:type="dxa"/>
            <w:tcBorders>
              <w:top w:val="single" w:sz="4" w:space="0" w:color="auto"/>
              <w:bottom w:val="single" w:sz="4" w:space="0" w:color="auto"/>
            </w:tcBorders>
            <w:shd w:val="clear" w:color="auto" w:fill="auto"/>
            <w:noWrap/>
            <w:vAlign w:val="center"/>
          </w:tcPr>
          <w:p w14:paraId="328D3589"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7</w:t>
            </w:r>
          </w:p>
        </w:tc>
        <w:tc>
          <w:tcPr>
            <w:tcW w:w="583" w:type="dxa"/>
            <w:tcBorders>
              <w:top w:val="single" w:sz="4" w:space="0" w:color="auto"/>
              <w:bottom w:val="single" w:sz="4" w:space="0" w:color="auto"/>
            </w:tcBorders>
            <w:shd w:val="clear" w:color="auto" w:fill="auto"/>
            <w:noWrap/>
            <w:vAlign w:val="center"/>
          </w:tcPr>
          <w:p w14:paraId="6E4B9917" w14:textId="77777777" w:rsidR="00A62B63" w:rsidRPr="004E16EB" w:rsidRDefault="00A62B63" w:rsidP="00476C03">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7%</w:t>
            </w:r>
          </w:p>
        </w:tc>
        <w:tc>
          <w:tcPr>
            <w:tcW w:w="1192" w:type="dxa"/>
            <w:tcBorders>
              <w:top w:val="single" w:sz="4" w:space="0" w:color="auto"/>
              <w:bottom w:val="single" w:sz="4" w:space="0" w:color="auto"/>
            </w:tcBorders>
            <w:shd w:val="clear" w:color="auto" w:fill="auto"/>
            <w:noWrap/>
            <w:vAlign w:val="center"/>
          </w:tcPr>
          <w:p w14:paraId="653CFCC4" w14:textId="77777777" w:rsidR="00A62B63" w:rsidRPr="004E16EB" w:rsidRDefault="00A62B63" w:rsidP="00476C03">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&gt;15 years</w:t>
            </w:r>
          </w:p>
        </w:tc>
        <w:tc>
          <w:tcPr>
            <w:tcW w:w="500" w:type="dxa"/>
            <w:tcBorders>
              <w:top w:val="single" w:sz="4" w:space="0" w:color="auto"/>
              <w:bottom w:val="single" w:sz="4" w:space="0" w:color="auto"/>
            </w:tcBorders>
            <w:shd w:val="clear" w:color="auto" w:fill="auto"/>
            <w:noWrap/>
            <w:vAlign w:val="center"/>
          </w:tcPr>
          <w:p w14:paraId="6FB9DD51"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6</w:t>
            </w:r>
          </w:p>
        </w:tc>
        <w:tc>
          <w:tcPr>
            <w:tcW w:w="580" w:type="dxa"/>
            <w:tcBorders>
              <w:top w:val="single" w:sz="4" w:space="0" w:color="auto"/>
              <w:bottom w:val="single" w:sz="4" w:space="0" w:color="auto"/>
            </w:tcBorders>
            <w:shd w:val="clear" w:color="auto" w:fill="auto"/>
            <w:noWrap/>
            <w:vAlign w:val="center"/>
          </w:tcPr>
          <w:p w14:paraId="486C5EC4" w14:textId="77777777" w:rsidR="00A62B63" w:rsidRPr="004E16EB" w:rsidRDefault="00A62B63" w:rsidP="00476C03">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6%</w:t>
            </w:r>
          </w:p>
        </w:tc>
        <w:tc>
          <w:tcPr>
            <w:tcW w:w="1445" w:type="dxa"/>
            <w:tcBorders>
              <w:top w:val="single" w:sz="4" w:space="0" w:color="auto"/>
              <w:bottom w:val="single" w:sz="4" w:space="0" w:color="auto"/>
            </w:tcBorders>
            <w:shd w:val="clear" w:color="auto" w:fill="auto"/>
            <w:noWrap/>
            <w:vAlign w:val="center"/>
          </w:tcPr>
          <w:p w14:paraId="007C663D" w14:textId="77777777" w:rsidR="00A62B63" w:rsidRPr="004E16EB" w:rsidRDefault="00A62B63" w:rsidP="00476C03">
            <w:pPr>
              <w:spacing w:line="240" w:lineRule="auto"/>
              <w:rPr>
                <w:rFonts w:cs="Calibri"/>
                <w:color w:val="000000"/>
                <w:sz w:val="20"/>
                <w:szCs w:val="20"/>
              </w:rPr>
            </w:pPr>
            <w:r w:rsidRPr="004E16EB">
              <w:rPr>
                <w:rFonts w:cs="Calibri"/>
                <w:color w:val="000000"/>
                <w:sz w:val="20"/>
                <w:szCs w:val="20"/>
              </w:rPr>
              <w:t>&gt;4 million rupiah</w:t>
            </w:r>
          </w:p>
        </w:tc>
        <w:tc>
          <w:tcPr>
            <w:tcW w:w="546" w:type="dxa"/>
            <w:tcBorders>
              <w:top w:val="single" w:sz="4" w:space="0" w:color="auto"/>
              <w:bottom w:val="single" w:sz="4" w:space="0" w:color="auto"/>
            </w:tcBorders>
            <w:shd w:val="clear" w:color="auto" w:fill="auto"/>
            <w:noWrap/>
            <w:vAlign w:val="center"/>
          </w:tcPr>
          <w:p w14:paraId="3F6AEE41"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17</w:t>
            </w:r>
          </w:p>
        </w:tc>
        <w:tc>
          <w:tcPr>
            <w:tcW w:w="648" w:type="dxa"/>
            <w:tcBorders>
              <w:top w:val="single" w:sz="4" w:space="0" w:color="auto"/>
              <w:bottom w:val="single" w:sz="4" w:space="0" w:color="auto"/>
            </w:tcBorders>
            <w:shd w:val="clear" w:color="auto" w:fill="auto"/>
            <w:noWrap/>
            <w:vAlign w:val="center"/>
          </w:tcPr>
          <w:p w14:paraId="04430105" w14:textId="77777777" w:rsidR="00A62B63" w:rsidRPr="004E16EB" w:rsidRDefault="00A62B63" w:rsidP="00476C03">
            <w:pPr>
              <w:spacing w:line="240" w:lineRule="auto"/>
              <w:jc w:val="right"/>
              <w:rPr>
                <w:rFonts w:cs="Calibri"/>
                <w:color w:val="000000"/>
                <w:sz w:val="20"/>
                <w:szCs w:val="20"/>
              </w:rPr>
            </w:pPr>
            <w:r w:rsidRPr="004E16EB">
              <w:rPr>
                <w:rFonts w:cs="Calibri"/>
                <w:color w:val="000000"/>
                <w:sz w:val="20"/>
                <w:szCs w:val="20"/>
              </w:rPr>
              <w:t>17%</w:t>
            </w:r>
          </w:p>
        </w:tc>
      </w:tr>
      <w:tr w:rsidR="00A62B63" w:rsidRPr="004E16EB" w14:paraId="25EBE26B" w14:textId="77777777" w:rsidTr="00476C03">
        <w:trPr>
          <w:trHeight w:val="300"/>
        </w:trPr>
        <w:tc>
          <w:tcPr>
            <w:tcW w:w="1209" w:type="dxa"/>
            <w:tcBorders>
              <w:top w:val="single" w:sz="4" w:space="0" w:color="auto"/>
            </w:tcBorders>
            <w:shd w:val="clear" w:color="auto" w:fill="auto"/>
            <w:noWrap/>
            <w:vAlign w:val="center"/>
          </w:tcPr>
          <w:p w14:paraId="7D03E350"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616" w:type="dxa"/>
            <w:tcBorders>
              <w:top w:val="single" w:sz="4" w:space="0" w:color="auto"/>
            </w:tcBorders>
            <w:shd w:val="clear" w:color="auto" w:fill="auto"/>
            <w:noWrap/>
            <w:vAlign w:val="center"/>
          </w:tcPr>
          <w:p w14:paraId="1934667B"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0A4C3E40"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271" w:type="dxa"/>
            <w:tcBorders>
              <w:top w:val="single" w:sz="4" w:space="0" w:color="auto"/>
            </w:tcBorders>
            <w:shd w:val="clear" w:color="auto" w:fill="auto"/>
            <w:noWrap/>
            <w:vAlign w:val="center"/>
          </w:tcPr>
          <w:p w14:paraId="29FCCE41"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656" w:type="dxa"/>
            <w:tcBorders>
              <w:top w:val="single" w:sz="4" w:space="0" w:color="auto"/>
            </w:tcBorders>
            <w:shd w:val="clear" w:color="auto" w:fill="auto"/>
            <w:noWrap/>
            <w:vAlign w:val="center"/>
          </w:tcPr>
          <w:p w14:paraId="62816582"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19201A86"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192" w:type="dxa"/>
            <w:tcBorders>
              <w:top w:val="single" w:sz="4" w:space="0" w:color="auto"/>
            </w:tcBorders>
            <w:shd w:val="clear" w:color="auto" w:fill="auto"/>
            <w:noWrap/>
            <w:vAlign w:val="center"/>
          </w:tcPr>
          <w:p w14:paraId="7FA6488A"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500" w:type="dxa"/>
            <w:tcBorders>
              <w:top w:val="single" w:sz="4" w:space="0" w:color="auto"/>
            </w:tcBorders>
            <w:shd w:val="clear" w:color="auto" w:fill="auto"/>
            <w:noWrap/>
            <w:vAlign w:val="center"/>
          </w:tcPr>
          <w:p w14:paraId="2939C960"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0" w:type="dxa"/>
            <w:tcBorders>
              <w:top w:val="single" w:sz="4" w:space="0" w:color="auto"/>
            </w:tcBorders>
            <w:shd w:val="clear" w:color="auto" w:fill="auto"/>
            <w:noWrap/>
            <w:vAlign w:val="center"/>
          </w:tcPr>
          <w:p w14:paraId="28EF2970"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445" w:type="dxa"/>
            <w:tcBorders>
              <w:top w:val="single" w:sz="4" w:space="0" w:color="auto"/>
            </w:tcBorders>
            <w:shd w:val="clear" w:color="auto" w:fill="auto"/>
            <w:noWrap/>
            <w:vAlign w:val="center"/>
          </w:tcPr>
          <w:p w14:paraId="7A15850D"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546" w:type="dxa"/>
            <w:tcBorders>
              <w:top w:val="single" w:sz="4" w:space="0" w:color="auto"/>
            </w:tcBorders>
            <w:shd w:val="clear" w:color="auto" w:fill="auto"/>
            <w:noWrap/>
            <w:vAlign w:val="center"/>
          </w:tcPr>
          <w:p w14:paraId="269E3BFC" w14:textId="77777777" w:rsidR="00A62B63" w:rsidRPr="004E16EB" w:rsidRDefault="00A62B63" w:rsidP="00476C03">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648" w:type="dxa"/>
            <w:tcBorders>
              <w:top w:val="single" w:sz="4" w:space="0" w:color="auto"/>
            </w:tcBorders>
            <w:shd w:val="clear" w:color="auto" w:fill="auto"/>
            <w:noWrap/>
            <w:vAlign w:val="center"/>
          </w:tcPr>
          <w:p w14:paraId="1F6FFA8E" w14:textId="77777777" w:rsidR="00A62B63" w:rsidRPr="004E16EB" w:rsidRDefault="00A62B63" w:rsidP="00476C03">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r>
    </w:tbl>
    <w:p w14:paraId="6559EBA0" w14:textId="77777777" w:rsidR="00A62B63" w:rsidRPr="004E16EB" w:rsidRDefault="00A62B63" w:rsidP="00A62B63">
      <w:pPr>
        <w:pStyle w:val="BodyText"/>
        <w:ind w:right="138"/>
        <w:jc w:val="both"/>
        <w:rPr>
          <w:spacing w:val="-5"/>
          <w:w w:val="104"/>
        </w:rPr>
      </w:pPr>
    </w:p>
    <w:p w14:paraId="45B14146" w14:textId="1A752A80" w:rsidR="00A62B63" w:rsidRPr="00A62B63" w:rsidRDefault="00A62B63" w:rsidP="00A62B63">
      <w:pPr>
        <w:rPr>
          <w:rFonts w:ascii="Times New Roman" w:hAnsi="Times New Roman" w:cs="Times New Roman"/>
          <w:b/>
        </w:rPr>
      </w:pPr>
      <w:r>
        <w:rPr>
          <w:rFonts w:ascii="Times New Roman" w:hAnsi="Times New Roman" w:cs="Times New Roman"/>
          <w:b/>
        </w:rPr>
        <w:br w:type="column"/>
      </w:r>
      <w:r w:rsidRPr="00A62B63">
        <w:rPr>
          <w:rFonts w:ascii="Times New Roman" w:hAnsi="Times New Roman" w:cs="Times New Roman"/>
          <w:b/>
        </w:rPr>
        <w:lastRenderedPageBreak/>
        <w:t xml:space="preserve">Data Analysis Procedure </w:t>
      </w:r>
    </w:p>
    <w:p w14:paraId="3C2206B4" w14:textId="1304812F" w:rsidR="00A62B63" w:rsidRPr="004E16EB" w:rsidRDefault="00A62B63" w:rsidP="00A62B63">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This study uses qualitative analysis with a thematic approach through data collection, reduction, interpretation, and display. During data collection, all information is recorded and transcribed. Reduction involves identifying and sorting raw data before summarizing, coding, and categorizing it based on the study question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{"citationItems":[{"id":"ITEM-1","itemData":{"DOI":"10.1002/0470013192.BSA514","author":[{"dropping-particle":"","family":"Patton","given":"Michael Quinn","non-dropping-particle":"","parse-names":false,"suffix":""}],"container-title":"Encyclopedia of Statistics in Behavioral Science","id":"ITEM-1","issued":{"date-parts":[["2005","10"]]},"publisher":"John Wiley &amp; Sons, Ltd","publisher-place":"Chichester, UK","title":"Qualitative Research","type":"article-journal"},"uris":["http://www.mendeley.com/documents/?uuid=df611ba0-51f7-42d8-87fc-d9883ab1815a"]}],"mendeley":{"formattedCitation":"(Patton, 2005)","plainTextFormattedCitation":"(Patton, 2005)","previouslyFormattedCitation":"(Patton, 2005)"},"properties":{"noteIndex":0},"schema":"https://github.com/citation-style-language/schema/raw/master/csl-citation.json"}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(Patton, 2005)</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According to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{"citationItems":[{"id":"ITEM-1","itemData":{"ISSN":"2339-2649","abstract":"Qualitative research is exploratory as its purpose is to discover new ideas and insights or even generate new theories. It focuses on understanding the particular and the distinctive and does not necessarily seek to generalize findings to other contexts. Researcher do not define specific research questions at the outset of the study, as doing so would likely impose their own framework on the research context. Collecting, analyzing and interpreting data are done largely simultaneously, with researcher constantly moving back and forth until new information does not add to their understanding of a topic, a point called data saturation. In fact data analysis steers data collection. Five stages of doing qualitative research; a) Choosing research sites and sample populations; b) Obtaining and encoding quailtative data (taking field notes); c) Preparing for and under taking focused interviews; d) Developing and maintaining field relations; and e) Organizing and analyzing the qualitative data gathered.","author":[{"dropping-particle":"","family":"Malik","given":"Ranbir Singh","non-dropping-particle":"","parse-names":false,"suffix":""}],"container-title":"Jurnal Edubio Tropika","id":"ITEM-1","issue":"2","issued":{"date-parts":[["2013"]]},"title":"QUALITATIVE RESEARCH METHODOLOGY IN EDUCATION","type":"article-journal","volume":"1"},"uris":["http://www.mendeley.com/documents/?uuid=450b6ca3-345c-4e13-8d47-107bae0806cb"]}],"mendeley":{"formattedCitation":"(Malik, 2013)","plainTextFormattedCitation":"(Malik, 2013)","previouslyFormattedCitation":"(Malik, 2013)"},"properties":{"noteIndex":0},"schema":"https://github.com/citation-style-language/schema/raw/master/csl-citation.json"}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(Malik, 2013)</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Thematic analysis reduces the grouped data into more meaningful data to get important themes by underlining, italicizing, or encoding. Interpretation is done based on data categories to get important patterns that repeatedly emerge from the actual data. Therefore, thematic analysis requires more involvement and interpretation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{"citationItems":[{"id":"ITEM-1","itemData":{"ISBN":"0939704986","author":[{"dropping-particle":"","family":"Macqueen","given":"Kathleen M","non-dropping-particle":"","parse-names":false,"suffix":""},{"dropping-particle":"","family":"Guest","given":"Greg","non-dropping-particle":"","parse-names":false,"suffix":""},{"dropping-particle":"","family":"Namey","given":"Emily","non-dropping-particle":"","parse-names":false,"suffix":""}],"id":"ITEM-1","issued":{"date-parts":[["2005"]]},"title":"Qualitative Research Methods: A DATA COLLECTOR'S FIELD GUIDE NATASHA MACK • CYNTHIA WOODSONG","type":"article-journal"},"uris":["http://www.mendeley.com/documents/?uuid=6af7d8ba-42c5-470d-b74c-69d71aca1286"]}],"mendeley":{"formattedCitation":"(Macqueen et al., 2005)","manualFormatting":"(Macqueen dkk., 2005)","plainTextFormattedCitation":"(Macqueen et al., 2005)","previouslyFormattedCitation":"(Macqueen et al., 2005)"},"properties":{"noteIndex":0},"schema":"https://github.com/citation-style-language/schema/raw/master/csl-citation.json"}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(Macqueen et al., 2005)</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
    <w:p w14:paraId="0067ECEE" w14:textId="77777777" w:rsidR="00A62B63" w:rsidRPr="004E16EB" w:rsidRDefault="00A62B63" w:rsidP="00A62B63">
      <w:r w:rsidRPr="00A62B63">
        <w:rPr>
          <w:rFonts w:ascii="Times New Roman" w:hAnsi="Times New Roman"/>
          <w:b/>
        </w:rPr>
        <w:t>Credibility and Transferability</w:t>
      </w:r>
    </w:p>
    <w:p w14:paraId="2DF90927" w14:textId="462256F1" w:rsidR="00A62B63" w:rsidRPr="004E16EB" w:rsidRDefault="00A62B63" w:rsidP="00A62B63">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The credibility, trustworthiness, transferability, and generalization of findings are essential in qualitative studies. To ensure credibility, the study recorded the </w:t>
      </w:r>
      <w:r w:rsidR="00C20B9B">
        <w:rPr>
          <w:rFonts w:ascii="Times New Roman" w:hAnsi="Times New Roman"/>
          <w:sz w:val="24"/>
          <w:szCs w:val="24"/>
        </w:rPr>
        <w:t>respondents' explanation</w:t>
      </w:r>
      <w:r w:rsidRPr="004E16EB">
        <w:rPr>
          <w:rFonts w:ascii="Times New Roman" w:hAnsi="Times New Roman"/>
          <w:sz w:val="24"/>
          <w:szCs w:val="24"/>
        </w:rPr>
        <w:t>s and reflected on the issues examined. Furthermore, the transferability of the results is ensured by presenting and expanding the existing data. The goal is to use the applicable data for empowerment carried out by MWB for women who do not have bank accounts. In-depth interviews with participants are also used to ensure the validity and integrity of the data. Written responses are read to the interviewee to ensure the accuracy and confirmation of the existing responses</w:t>
      </w:r>
      <w:r w:rsidRPr="004E16EB">
        <w:rPr>
          <w:rFonts w:ascii="Times New Roman" w:hAnsi="Times New Roman" w:cs="Times New Roman"/>
          <w:sz w:val="24"/>
          <w:szCs w:val="24"/>
        </w:rPr>
        <w:t>.</w:t>
      </w:r>
    </w:p>
    <w:p w14:paraId="6D7117A3" w14:textId="77777777" w:rsidR="002103D5" w:rsidRPr="00B91E92" w:rsidRDefault="002103D5" w:rsidP="002103D5">
      <w:pPr>
        <w:ind w:firstLine="720"/>
        <w:rPr>
          <w:rFonts w:ascii="Times New Roman" w:hAnsi="Times New Roman" w:cs="Times New Roman"/>
          <w:sz w:val="24"/>
          <w:szCs w:val="24"/>
        </w:rPr>
      </w:pPr>
    </w:p>
    <w:p w14:paraId="6259B698" w14:textId="32AB4C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Results and Discussion</w:t>
      </w:r>
    </w:p>
    <w:p w14:paraId="70B1DAC3" w14:textId="77777777" w:rsidR="00A62B63" w:rsidRPr="00A62B63" w:rsidRDefault="00A62B63" w:rsidP="00A62B63">
      <w:pPr>
        <w:widowControl w:val="0"/>
        <w:jc w:val="both"/>
        <w:rPr>
          <w:rFonts w:ascii="Times New Roman" w:hAnsi="Times New Roman" w:cs="Times New Roman"/>
          <w:b/>
        </w:rPr>
      </w:pPr>
      <w:r w:rsidRPr="00A62B63">
        <w:rPr>
          <w:rFonts w:ascii="Times New Roman" w:hAnsi="Times New Roman"/>
          <w:b/>
        </w:rPr>
        <w:t>Stages of Women's Economic Empowerment in Sharia Microfinance Institutions of Micro Waqf Banks (SMI MWB)</w:t>
      </w:r>
    </w:p>
    <w:p w14:paraId="72226891" w14:textId="5AED1F03" w:rsidR="00A62B63" w:rsidRPr="004E16EB" w:rsidRDefault="00A62B63" w:rsidP="00A62B63">
      <w:pPr>
        <w:widowControl w:val="0"/>
        <w:spacing w:after="0" w:line="240" w:lineRule="auto"/>
        <w:ind w:firstLine="720"/>
        <w:jc w:val="both"/>
        <w:rPr>
          <w:rFonts w:ascii="Times New Roman" w:hAnsi="Times New Roman"/>
          <w:sz w:val="24"/>
          <w:szCs w:val="24"/>
        </w:rPr>
      </w:pPr>
      <w:r w:rsidRPr="004E16EB">
        <w:rPr>
          <w:rFonts w:ascii="Times New Roman" w:hAnsi="Times New Roman"/>
          <w:b/>
          <w:bCs/>
          <w:i/>
          <w:iCs/>
          <w:sz w:val="24"/>
          <w:szCs w:val="24"/>
        </w:rPr>
        <w:t>First</w:t>
      </w:r>
      <w:r w:rsidRPr="004E16EB">
        <w:rPr>
          <w:rFonts w:ascii="Times New Roman" w:hAnsi="Times New Roman"/>
          <w:b/>
          <w:bCs/>
          <w:sz w:val="24"/>
          <w:szCs w:val="24"/>
        </w:rPr>
        <w:t xml:space="preserve">, </w:t>
      </w:r>
      <w:r w:rsidR="00C20B9B">
        <w:rPr>
          <w:rFonts w:ascii="Times New Roman" w:hAnsi="Times New Roman"/>
          <w:b/>
          <w:bCs/>
          <w:sz w:val="24"/>
          <w:szCs w:val="24"/>
        </w:rPr>
        <w:t>prospective customers are identified to determine</w:t>
      </w:r>
      <w:r w:rsidRPr="004E16EB">
        <w:rPr>
          <w:rFonts w:ascii="Times New Roman" w:hAnsi="Times New Roman"/>
          <w:sz w:val="24"/>
          <w:szCs w:val="24"/>
        </w:rPr>
        <w:t xml:space="preserve"> the suitability of the program's target criteria, such as the distance of residence, type, and place of business. </w:t>
      </w:r>
      <w:r w:rsidRPr="004E16EB">
        <w:rPr>
          <w:rFonts w:ascii="Times New Roman" w:hAnsi="Times New Roman"/>
          <w:b/>
          <w:bCs/>
          <w:i/>
          <w:iCs/>
          <w:sz w:val="24"/>
          <w:szCs w:val="24"/>
        </w:rPr>
        <w:t>Second</w:t>
      </w:r>
      <w:r w:rsidRPr="004E16EB">
        <w:rPr>
          <w:rFonts w:ascii="Times New Roman" w:hAnsi="Times New Roman"/>
          <w:b/>
          <w:bCs/>
          <w:sz w:val="24"/>
          <w:szCs w:val="24"/>
        </w:rPr>
        <w:t xml:space="preserve">, MWB socialization </w:t>
      </w:r>
      <w:r w:rsidR="00C20B9B">
        <w:rPr>
          <w:rFonts w:ascii="Times New Roman" w:hAnsi="Times New Roman"/>
          <w:b/>
          <w:bCs/>
          <w:sz w:val="24"/>
          <w:szCs w:val="24"/>
        </w:rPr>
        <w:t>in</w:t>
      </w:r>
      <w:r w:rsidRPr="004E16EB">
        <w:rPr>
          <w:rFonts w:ascii="Times New Roman" w:hAnsi="Times New Roman"/>
          <w:b/>
          <w:bCs/>
          <w:sz w:val="24"/>
          <w:szCs w:val="24"/>
        </w:rPr>
        <w:t xml:space="preserve"> the community </w:t>
      </w:r>
      <w:r w:rsidRPr="004E16EB">
        <w:rPr>
          <w:rFonts w:ascii="Times New Roman" w:hAnsi="Times New Roman"/>
          <w:sz w:val="24"/>
          <w:szCs w:val="24"/>
        </w:rPr>
        <w:t xml:space="preserve">is carried out through maternal recitation, social gatherings, and Family Welfare Empowerment (FEW). The socialization aims to disseminate information about the conception, stages of formation, participation requirements, and CBGIBSI activities. </w:t>
      </w:r>
      <w:r w:rsidRPr="004E16EB">
        <w:rPr>
          <w:rFonts w:ascii="Times New Roman" w:hAnsi="Times New Roman"/>
          <w:b/>
          <w:bCs/>
          <w:i/>
          <w:iCs/>
          <w:sz w:val="24"/>
          <w:szCs w:val="24"/>
        </w:rPr>
        <w:t xml:space="preserve">The third process </w:t>
      </w:r>
      <w:r w:rsidRPr="004E16EB">
        <w:rPr>
          <w:rFonts w:ascii="Times New Roman" w:hAnsi="Times New Roman"/>
          <w:b/>
          <w:bCs/>
          <w:sz w:val="24"/>
          <w:szCs w:val="24"/>
        </w:rPr>
        <w:t xml:space="preserve">is a survey </w:t>
      </w:r>
      <w:r w:rsidRPr="004E16EB">
        <w:rPr>
          <w:rFonts w:ascii="Times New Roman" w:hAnsi="Times New Roman"/>
          <w:sz w:val="24"/>
          <w:szCs w:val="24"/>
        </w:rPr>
        <w:t xml:space="preserve">of potential customers. </w:t>
      </w:r>
      <w:r w:rsidRPr="004E16EB">
        <w:rPr>
          <w:rFonts w:ascii="Times New Roman" w:hAnsi="Times New Roman"/>
          <w:b/>
          <w:bCs/>
          <w:i/>
          <w:iCs/>
          <w:sz w:val="24"/>
          <w:szCs w:val="24"/>
        </w:rPr>
        <w:t>Fourth, testing</w:t>
      </w:r>
      <w:r w:rsidRPr="004E16EB">
        <w:rPr>
          <w:rFonts w:ascii="Times New Roman" w:hAnsi="Times New Roman"/>
          <w:b/>
          <w:bCs/>
          <w:sz w:val="24"/>
          <w:szCs w:val="24"/>
        </w:rPr>
        <w:t xml:space="preserve"> </w:t>
      </w:r>
      <w:r w:rsidRPr="004E16EB">
        <w:rPr>
          <w:rFonts w:ascii="Times New Roman" w:hAnsi="Times New Roman"/>
          <w:sz w:val="24"/>
          <w:szCs w:val="24"/>
        </w:rPr>
        <w:t xml:space="preserve">is carried out on the eligibility of potential customers. Referring to interviews with </w:t>
      </w:r>
      <w:proofErr w:type="spellStart"/>
      <w:r w:rsidRPr="004E16EB">
        <w:rPr>
          <w:rFonts w:ascii="Times New Roman" w:hAnsi="Times New Roman"/>
          <w:sz w:val="24"/>
          <w:szCs w:val="24"/>
        </w:rPr>
        <w:t>Dafril</w:t>
      </w:r>
      <w:proofErr w:type="spellEnd"/>
      <w:r w:rsidRPr="004E16EB">
        <w:rPr>
          <w:rFonts w:ascii="Times New Roman" w:hAnsi="Times New Roman"/>
          <w:sz w:val="24"/>
          <w:szCs w:val="24"/>
        </w:rPr>
        <w:t xml:space="preserve"> (2019) and </w:t>
      </w:r>
      <w:proofErr w:type="spellStart"/>
      <w:r w:rsidRPr="004E16EB">
        <w:rPr>
          <w:rFonts w:ascii="Times New Roman" w:hAnsi="Times New Roman"/>
          <w:sz w:val="24"/>
          <w:szCs w:val="24"/>
        </w:rPr>
        <w:t>Safitri</w:t>
      </w:r>
      <w:proofErr w:type="spellEnd"/>
      <w:r w:rsidRPr="004E16EB">
        <w:rPr>
          <w:rFonts w:ascii="Times New Roman" w:hAnsi="Times New Roman"/>
          <w:sz w:val="24"/>
          <w:szCs w:val="24"/>
        </w:rPr>
        <w:t xml:space="preserve"> (2019), Trustees of MWB </w:t>
      </w:r>
      <w:proofErr w:type="spellStart"/>
      <w:r w:rsidRPr="004E16EB">
        <w:rPr>
          <w:rFonts w:ascii="Times New Roman" w:hAnsi="Times New Roman"/>
          <w:sz w:val="24"/>
          <w:szCs w:val="24"/>
        </w:rPr>
        <w:t>AlKautsar</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Payakumbuh</w:t>
      </w:r>
      <w:proofErr w:type="spellEnd"/>
      <w:r w:rsidRPr="004E16EB">
        <w:rPr>
          <w:rFonts w:ascii="Times New Roman" w:hAnsi="Times New Roman"/>
          <w:sz w:val="24"/>
          <w:szCs w:val="24"/>
        </w:rPr>
        <w:t xml:space="preserve"> and MWB UNISA Yogyakarta, the feasibility test clarified the correctness of </w:t>
      </w:r>
      <w:r w:rsidR="00C20B9B">
        <w:rPr>
          <w:rFonts w:ascii="Times New Roman" w:hAnsi="Times New Roman"/>
          <w:sz w:val="24"/>
          <w:szCs w:val="24"/>
        </w:rPr>
        <w:t>low-income</w:t>
      </w:r>
      <w:r w:rsidRPr="004E16EB">
        <w:rPr>
          <w:rFonts w:ascii="Times New Roman" w:hAnsi="Times New Roman"/>
          <w:sz w:val="24"/>
          <w:szCs w:val="24"/>
        </w:rPr>
        <w:t xml:space="preserve"> family data from identification activities and assisted in the selection of prospective participants. The feasibility study involves an in-person visit to the residence to see the condition of the home and to obtain economic and business data.</w:t>
      </w:r>
    </w:p>
    <w:p w14:paraId="2D12867A" w14:textId="7DC20A9A" w:rsidR="00A62B63" w:rsidRPr="004E16EB" w:rsidRDefault="00A62B63" w:rsidP="00A62B63">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b/>
          <w:bCs/>
          <w:i/>
          <w:iCs/>
          <w:sz w:val="24"/>
          <w:szCs w:val="24"/>
        </w:rPr>
        <w:t xml:space="preserve">Fifth, </w:t>
      </w:r>
      <w:r w:rsidRPr="004E16EB">
        <w:rPr>
          <w:rFonts w:ascii="Times New Roman" w:hAnsi="Times New Roman"/>
          <w:b/>
          <w:bCs/>
          <w:sz w:val="24"/>
          <w:szCs w:val="24"/>
        </w:rPr>
        <w:t xml:space="preserve"> Group Mandatory Pre-Training (GCP) </w:t>
      </w:r>
      <w:r w:rsidRPr="004E16EB">
        <w:rPr>
          <w:rFonts w:ascii="Times New Roman" w:hAnsi="Times New Roman"/>
          <w:sz w:val="24"/>
          <w:szCs w:val="24"/>
        </w:rPr>
        <w:t xml:space="preserve">is carried out before implementing CGT for prospective customers. </w:t>
      </w:r>
      <w:r w:rsidR="00C20B9B">
        <w:rPr>
          <w:rFonts w:ascii="Times New Roman" w:hAnsi="Times New Roman"/>
          <w:sz w:val="24"/>
          <w:szCs w:val="24"/>
        </w:rPr>
        <w:t>Facilitators and prospective CBGIBSI members carried out the activity</w:t>
      </w:r>
      <w:r w:rsidRPr="004E16EB">
        <w:rPr>
          <w:rFonts w:ascii="Times New Roman" w:hAnsi="Times New Roman"/>
          <w:sz w:val="24"/>
          <w:szCs w:val="24"/>
        </w:rPr>
        <w:t>. The goal is to strengthen the group's determination and interest to participate in the MWB program, form CBGIBSI, and introduce financing distribution mechanisms. This activity prepares the group to participate in the implementation of the program (BSM, 2017a). Further details are shown in Figure 1.</w:t>
      </w:r>
    </w:p>
    <w:p w14:paraId="3ABDBD47" w14:textId="62245593" w:rsidR="00A62B63" w:rsidRPr="004E16EB" w:rsidRDefault="00A62B63" w:rsidP="00A62B63">
      <w:pPr>
        <w:pStyle w:val="ListParagraph"/>
        <w:widowControl w:val="0"/>
        <w:spacing w:before="120"/>
        <w:jc w:val="both"/>
        <w:rPr>
          <w:rFonts w:ascii="Times New Roman" w:hAnsi="Times New Roman" w:cs="Times New Roman"/>
        </w:rPr>
      </w:pPr>
      <w:r>
        <w:rPr>
          <w:rFonts w:ascii="Times New Roman" w:hAnsi="Times New Roman" w:cs="Times New Roman"/>
        </w:rPr>
        <w:br w:type="column"/>
      </w:r>
      <w:r w:rsidRPr="004E16EB">
        <w:rPr>
          <w:rFonts w:ascii="Times New Roman" w:hAnsi="Times New Roman" w:cs="Times New Roman"/>
        </w:rPr>
        <w:lastRenderedPageBreak/>
        <w:t xml:space="preserve">Figure 1. </w:t>
      </w:r>
      <w:r w:rsidRPr="004E16EB">
        <w:rPr>
          <w:rFonts w:ascii="Times New Roman" w:hAnsi="Times New Roman"/>
        </w:rPr>
        <w:t>Stages of Women's Empowerment in MWB</w:t>
      </w:r>
    </w:p>
    <w:p w14:paraId="1C132729" w14:textId="77777777" w:rsidR="00A62B63" w:rsidRPr="004E16EB" w:rsidRDefault="00A62B63" w:rsidP="00A62B63">
      <w:pPr>
        <w:pStyle w:val="ListParagraph"/>
        <w:widowControl w:val="0"/>
        <w:jc w:val="both"/>
        <w:rPr>
          <w:rFonts w:ascii="Times New Roman" w:hAnsi="Times New Roman" w:cs="Times New Roman"/>
        </w:rPr>
      </w:pPr>
    </w:p>
    <w:p w14:paraId="25D2059F" w14:textId="77777777" w:rsidR="00A62B63" w:rsidRPr="004E16EB" w:rsidRDefault="00A62B63" w:rsidP="00A62B63">
      <w:pPr>
        <w:widowControl w:val="0"/>
        <w:spacing w:after="0" w:line="240" w:lineRule="auto"/>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74CC8EAD" wp14:editId="668A6647">
            <wp:extent cx="5731510" cy="2310765"/>
            <wp:effectExtent l="0" t="0" r="2540" b="0"/>
            <wp:docPr id="104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9" cstate="print"/>
                    <a:srcRect/>
                    <a:stretch/>
                  </pic:blipFill>
                  <pic:spPr>
                    <a:xfrm>
                      <a:off x="0" y="0"/>
                      <a:ext cx="5731510" cy="2310765"/>
                    </a:xfrm>
                    <a:prstGeom prst="rect">
                      <a:avLst/>
                    </a:prstGeom>
                  </pic:spPr>
                </pic:pic>
              </a:graphicData>
            </a:graphic>
          </wp:inline>
        </w:drawing>
      </w:r>
    </w:p>
    <w:p w14:paraId="052E614F" w14:textId="77777777" w:rsidR="00A62B63" w:rsidRPr="004E16EB" w:rsidRDefault="00A62B63" w:rsidP="00A62B63">
      <w:pPr>
        <w:pStyle w:val="ListParagraph"/>
        <w:widowControl w:val="0"/>
        <w:jc w:val="both"/>
        <w:rPr>
          <w:rFonts w:ascii="Times New Roman" w:hAnsi="Times New Roman" w:cs="Times New Roman"/>
        </w:rPr>
      </w:pPr>
    </w:p>
    <w:p w14:paraId="5F57BE2F" w14:textId="77777777" w:rsidR="00A62B63" w:rsidRPr="004E16EB" w:rsidRDefault="00A62B63" w:rsidP="00A62B63">
      <w:pPr>
        <w:widowControl w:val="0"/>
        <w:spacing w:after="0" w:line="240" w:lineRule="auto"/>
        <w:contextualSpacing/>
        <w:jc w:val="both"/>
        <w:rPr>
          <w:rFonts w:ascii="Times New Roman" w:hAnsi="Times New Roman" w:cs="Times New Roman"/>
          <w:sz w:val="24"/>
          <w:szCs w:val="24"/>
        </w:rPr>
      </w:pPr>
    </w:p>
    <w:p w14:paraId="4427EA8A" w14:textId="26F3D247" w:rsidR="00A62B63" w:rsidRPr="00A62B63" w:rsidRDefault="00A62B63" w:rsidP="00A62B63">
      <w:pPr>
        <w:widowControl w:val="0"/>
        <w:jc w:val="both"/>
        <w:rPr>
          <w:rFonts w:ascii="Times New Roman" w:hAnsi="Times New Roman" w:cs="Times New Roman"/>
          <w:b/>
        </w:rPr>
      </w:pPr>
      <w:r w:rsidRPr="00A62B63">
        <w:rPr>
          <w:rFonts w:ascii="Times New Roman" w:hAnsi="Times New Roman"/>
          <w:b/>
        </w:rPr>
        <w:t>Women's Empowerment Model in Sharia Microfinance Institutions of Micro Waqf Banks (SMI MWB)</w:t>
      </w:r>
    </w:p>
    <w:p w14:paraId="4A5D8553" w14:textId="3CEA1407" w:rsidR="00A62B63" w:rsidRPr="004E16EB" w:rsidRDefault="00A62B63" w:rsidP="00A62B63">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Women are empowered through CGT, provision of financing, and customer assistance. </w:t>
      </w:r>
      <w:r w:rsidRPr="004E16EB">
        <w:rPr>
          <w:rFonts w:ascii="Times New Roman" w:hAnsi="Times New Roman"/>
          <w:b/>
          <w:i/>
          <w:sz w:val="24"/>
        </w:rPr>
        <w:t>First</w:t>
      </w:r>
      <w:r w:rsidRPr="004E16EB">
        <w:rPr>
          <w:rFonts w:ascii="Times New Roman" w:hAnsi="Times New Roman"/>
          <w:b/>
          <w:sz w:val="24"/>
        </w:rPr>
        <w:t xml:space="preserve">, CGT </w:t>
      </w:r>
      <w:r w:rsidRPr="004E16EB">
        <w:rPr>
          <w:rFonts w:ascii="Times New Roman" w:hAnsi="Times New Roman"/>
          <w:sz w:val="24"/>
          <w:szCs w:val="24"/>
        </w:rPr>
        <w:t xml:space="preserve">is the initial stage of the empowerment program carried out by MWB for women who do not have a bank account. Management emphasizes the character of potential customers, including discipline, trust, responsibility, and concern for others. CGT is held after a minimum of three groups consisting of five members are formed. This is done for 1 hour on five consecutive days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Mikro","type":"chapter"},"uris":["http://www.mendeley.com/documents/?uuid=51694528-45ad-46b9-978a-96bef72fa688"]}],"mendeley":{"formattedCitation":"(BSM, 2017a)","plainTextFormattedCitation":"(BSM, 2017a)","previouslyFormattedCitation":"(BSM, 2017a)"},"properties":{"noteIndex":0},"schema":"https://github.com/citation-style-language/schema/raw/master/csl-citation.json"}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as shown in Table 1</w:t>
      </w:r>
      <w:r w:rsidRPr="004E16EB">
        <w:rPr>
          <w:rFonts w:ascii="Times New Roman" w:hAnsi="Times New Roman" w:cs="Times New Roman"/>
          <w:sz w:val="24"/>
          <w:szCs w:val="24"/>
        </w:rPr>
        <w:t xml:space="preserve">: </w:t>
      </w:r>
    </w:p>
    <w:p w14:paraId="00D0AF27" w14:textId="77777777" w:rsidR="00A62B63" w:rsidRPr="004E16EB" w:rsidRDefault="00A62B63" w:rsidP="00A62B63">
      <w:pPr>
        <w:spacing w:before="120"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Table 1. </w:t>
      </w:r>
      <w:r w:rsidRPr="004E16EB">
        <w:rPr>
          <w:rFonts w:ascii="Times New Roman" w:hAnsi="Times New Roman"/>
          <w:sz w:val="24"/>
          <w:szCs w:val="24"/>
        </w:rPr>
        <w:t>CGT Material</w:t>
      </w:r>
    </w:p>
    <w:tbl>
      <w:tblPr>
        <w:tblStyle w:val="TableGrid"/>
        <w:tblW w:w="0" w:type="auto"/>
        <w:tblLook w:val="04A0" w:firstRow="1" w:lastRow="0" w:firstColumn="1" w:lastColumn="0" w:noHBand="0" w:noVBand="1"/>
      </w:tblPr>
      <w:tblGrid>
        <w:gridCol w:w="1005"/>
        <w:gridCol w:w="8021"/>
      </w:tblGrid>
      <w:tr w:rsidR="00A62B63" w:rsidRPr="004E16EB" w14:paraId="71E10491" w14:textId="77777777" w:rsidTr="00476C03">
        <w:tc>
          <w:tcPr>
            <w:tcW w:w="1008" w:type="dxa"/>
            <w:tcBorders>
              <w:top w:val="single" w:sz="4" w:space="0" w:color="auto"/>
              <w:left w:val="nil"/>
              <w:bottom w:val="single" w:sz="4" w:space="0" w:color="auto"/>
              <w:right w:val="nil"/>
            </w:tcBorders>
          </w:tcPr>
          <w:p w14:paraId="60DC1128"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Day</w:t>
            </w:r>
          </w:p>
        </w:tc>
        <w:tc>
          <w:tcPr>
            <w:tcW w:w="8234" w:type="dxa"/>
            <w:tcBorders>
              <w:top w:val="single" w:sz="4" w:space="0" w:color="auto"/>
              <w:left w:val="nil"/>
              <w:bottom w:val="single" w:sz="4" w:space="0" w:color="auto"/>
              <w:right w:val="nil"/>
            </w:tcBorders>
          </w:tcPr>
          <w:p w14:paraId="758B08E4" w14:textId="77777777" w:rsidR="00A62B63" w:rsidRPr="004E16EB" w:rsidRDefault="00A62B63" w:rsidP="00476C03">
            <w:pPr>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A62B63" w:rsidRPr="004E16EB" w14:paraId="56101746" w14:textId="77777777" w:rsidTr="00476C03">
        <w:tc>
          <w:tcPr>
            <w:tcW w:w="1008" w:type="dxa"/>
            <w:tcBorders>
              <w:top w:val="single" w:sz="4" w:space="0" w:color="auto"/>
              <w:left w:val="nil"/>
              <w:bottom w:val="single" w:sz="4" w:space="0" w:color="auto"/>
              <w:right w:val="nil"/>
            </w:tcBorders>
          </w:tcPr>
          <w:p w14:paraId="607924B0"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First</w:t>
            </w:r>
          </w:p>
        </w:tc>
        <w:tc>
          <w:tcPr>
            <w:tcW w:w="8234" w:type="dxa"/>
            <w:tcBorders>
              <w:top w:val="single" w:sz="4" w:space="0" w:color="auto"/>
              <w:left w:val="nil"/>
              <w:bottom w:val="single" w:sz="4" w:space="0" w:color="auto"/>
              <w:right w:val="nil"/>
            </w:tcBorders>
          </w:tcPr>
          <w:p w14:paraId="22815113"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sz w:val="24"/>
                <w:szCs w:val="24"/>
              </w:rPr>
              <w:t>1) Explanation of CGT, 2) Introduction to MWB. 3) Introduction and principles of CBGIBSI membership, Introduction of CGT participants, 4) Introduction of pledges, 5) Motivational materials</w:t>
            </w:r>
            <w:r w:rsidRPr="004E16EB">
              <w:rPr>
                <w:rFonts w:ascii="Times New Roman" w:hAnsi="Times New Roman" w:cs="Times New Roman"/>
                <w:sz w:val="24"/>
                <w:szCs w:val="24"/>
              </w:rPr>
              <w:t>.</w:t>
            </w:r>
          </w:p>
        </w:tc>
      </w:tr>
      <w:tr w:rsidR="00A62B63" w:rsidRPr="004E16EB" w14:paraId="3A34E366" w14:textId="77777777" w:rsidTr="00476C03">
        <w:tc>
          <w:tcPr>
            <w:tcW w:w="1008" w:type="dxa"/>
            <w:tcBorders>
              <w:top w:val="single" w:sz="4" w:space="0" w:color="auto"/>
              <w:left w:val="nil"/>
              <w:bottom w:val="single" w:sz="4" w:space="0" w:color="auto"/>
              <w:right w:val="nil"/>
            </w:tcBorders>
          </w:tcPr>
          <w:p w14:paraId="4259BC4F"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Second</w:t>
            </w:r>
          </w:p>
        </w:tc>
        <w:tc>
          <w:tcPr>
            <w:tcW w:w="8234" w:type="dxa"/>
            <w:tcBorders>
              <w:top w:val="single" w:sz="4" w:space="0" w:color="auto"/>
              <w:left w:val="nil"/>
              <w:bottom w:val="single" w:sz="4" w:space="0" w:color="auto"/>
              <w:right w:val="nil"/>
            </w:tcBorders>
          </w:tcPr>
          <w:p w14:paraId="079A016A"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Capacity building materials, 6) Rights and obligations of members, 7) Election of group leaders and deputy leaders, 8) Discussion of the responsibilities of leaders, secretaries, and group members</w:t>
            </w:r>
            <w:r w:rsidRPr="004E16EB">
              <w:rPr>
                <w:rFonts w:ascii="Times New Roman" w:hAnsi="Times New Roman" w:cs="Times New Roman"/>
                <w:sz w:val="24"/>
                <w:szCs w:val="24"/>
              </w:rPr>
              <w:t>.</w:t>
            </w:r>
          </w:p>
        </w:tc>
      </w:tr>
      <w:tr w:rsidR="00A62B63" w:rsidRPr="004E16EB" w14:paraId="3EBDB059" w14:textId="77777777" w:rsidTr="00476C03">
        <w:tc>
          <w:tcPr>
            <w:tcW w:w="1008" w:type="dxa"/>
            <w:tcBorders>
              <w:top w:val="single" w:sz="4" w:space="0" w:color="auto"/>
              <w:left w:val="nil"/>
              <w:bottom w:val="single" w:sz="4" w:space="0" w:color="auto"/>
              <w:right w:val="nil"/>
            </w:tcBorders>
          </w:tcPr>
          <w:p w14:paraId="1A049A1F"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Third</w:t>
            </w:r>
          </w:p>
        </w:tc>
        <w:tc>
          <w:tcPr>
            <w:tcW w:w="8234" w:type="dxa"/>
            <w:tcBorders>
              <w:top w:val="single" w:sz="4" w:space="0" w:color="auto"/>
              <w:left w:val="nil"/>
              <w:bottom w:val="single" w:sz="4" w:space="0" w:color="auto"/>
              <w:right w:val="nil"/>
            </w:tcBorders>
          </w:tcPr>
          <w:p w14:paraId="3D99577A"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guarantees, 2) Introduction of contracts and financing procedures and installment payments, 3) Stories and how to create a business profile</w:t>
            </w:r>
            <w:r w:rsidRPr="004E16EB">
              <w:rPr>
                <w:rFonts w:ascii="Times New Roman" w:hAnsi="Times New Roman" w:cs="Times New Roman"/>
                <w:sz w:val="24"/>
                <w:szCs w:val="24"/>
              </w:rPr>
              <w:t xml:space="preserve">. </w:t>
            </w:r>
          </w:p>
        </w:tc>
      </w:tr>
      <w:tr w:rsidR="00A62B63" w:rsidRPr="004E16EB" w14:paraId="6C7B62BA" w14:textId="77777777" w:rsidTr="00476C03">
        <w:tc>
          <w:tcPr>
            <w:tcW w:w="1008" w:type="dxa"/>
            <w:tcBorders>
              <w:top w:val="single" w:sz="4" w:space="0" w:color="auto"/>
              <w:left w:val="nil"/>
              <w:bottom w:val="single" w:sz="4" w:space="0" w:color="auto"/>
              <w:right w:val="nil"/>
            </w:tcBorders>
          </w:tcPr>
          <w:p w14:paraId="0E2315AF"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Fourth</w:t>
            </w:r>
          </w:p>
        </w:tc>
        <w:tc>
          <w:tcPr>
            <w:tcW w:w="8234" w:type="dxa"/>
            <w:tcBorders>
              <w:top w:val="single" w:sz="4" w:space="0" w:color="auto"/>
              <w:left w:val="nil"/>
              <w:bottom w:val="single" w:sz="4" w:space="0" w:color="auto"/>
              <w:right w:val="nil"/>
            </w:tcBorders>
          </w:tcPr>
          <w:p w14:paraId="73039BC2"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Giving the name and number of CBGIBSI, 3) Election of leaders and deputy leaders, 4) Discussion of the responsibilities of leaders, deputy leaders, and members, and 5) discussion of WH.</w:t>
            </w:r>
          </w:p>
        </w:tc>
      </w:tr>
      <w:tr w:rsidR="00A62B63" w:rsidRPr="004E16EB" w14:paraId="1FC5C09A" w14:textId="77777777" w:rsidTr="00476C03">
        <w:tc>
          <w:tcPr>
            <w:tcW w:w="1008" w:type="dxa"/>
            <w:tcBorders>
              <w:top w:val="single" w:sz="4" w:space="0" w:color="auto"/>
              <w:left w:val="nil"/>
              <w:bottom w:val="single" w:sz="4" w:space="0" w:color="auto"/>
              <w:right w:val="nil"/>
            </w:tcBorders>
          </w:tcPr>
          <w:p w14:paraId="54876025"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Fifth</w:t>
            </w:r>
          </w:p>
        </w:tc>
        <w:tc>
          <w:tcPr>
            <w:tcW w:w="8234" w:type="dxa"/>
            <w:tcBorders>
              <w:top w:val="single" w:sz="4" w:space="0" w:color="auto"/>
              <w:left w:val="nil"/>
              <w:bottom w:val="single" w:sz="4" w:space="0" w:color="auto"/>
              <w:right w:val="nil"/>
            </w:tcBorders>
          </w:tcPr>
          <w:p w14:paraId="68805EE7" w14:textId="77777777" w:rsidR="00A62B63" w:rsidRPr="004E16EB" w:rsidRDefault="00A62B63" w:rsidP="00476C03">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the pledge, 2) Review of CGT material, 3) CBGIBSI validation test.</w:t>
            </w:r>
          </w:p>
        </w:tc>
      </w:tr>
    </w:tbl>
    <w:p w14:paraId="007A9104" w14:textId="46864317" w:rsidR="00A62B63" w:rsidRPr="004E16EB" w:rsidRDefault="00A62B63" w:rsidP="00A62B63">
      <w:pPr>
        <w:spacing w:after="12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Syariah","type":"chapter"},"uris":["http://www.mendeley.com/documents/?uuid=17ef43c2-b56c-4f73-913c-9533b0e14bc6"]}],"mendeley":{"formattedCitation":"(BSM, 2017b)","plainTextFormattedCitation":"(BSM, 2017b)","previouslyFormattedCitation":"(BSM, 2017b)"},"properties":{"noteIndex":0},"schema":"https://github.com/citation-style-language/schema/raw/master/csl-citation.json"}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p>
    <w:p w14:paraId="7919FB59" w14:textId="0D32123E" w:rsidR="00A62B63" w:rsidRDefault="00A62B63" w:rsidP="00A62B63">
      <w:pPr>
        <w:widowControl w:val="0"/>
        <w:spacing w:after="0" w:line="240" w:lineRule="auto"/>
        <w:ind w:firstLine="450"/>
        <w:contextualSpacing/>
        <w:jc w:val="both"/>
        <w:rPr>
          <w:rFonts w:ascii="Times New Roman" w:hAnsi="Times New Roman"/>
          <w:sz w:val="24"/>
          <w:szCs w:val="24"/>
        </w:rPr>
      </w:pPr>
      <w:r w:rsidRPr="004E16EB">
        <w:rPr>
          <w:rFonts w:ascii="Times New Roman" w:hAnsi="Times New Roman"/>
          <w:sz w:val="24"/>
          <w:szCs w:val="24"/>
        </w:rPr>
        <w:t xml:space="preserve">The uniqueness of this training is the character testing of potential customers. According to Sari (2019) and </w:t>
      </w:r>
      <w:proofErr w:type="spellStart"/>
      <w:r w:rsidRPr="004E16EB">
        <w:rPr>
          <w:rFonts w:ascii="Times New Roman" w:hAnsi="Times New Roman"/>
          <w:sz w:val="24"/>
          <w:szCs w:val="24"/>
        </w:rPr>
        <w:t>Dafril</w:t>
      </w:r>
      <w:proofErr w:type="spellEnd"/>
      <w:r w:rsidRPr="004E16EB">
        <w:rPr>
          <w:rFonts w:ascii="Times New Roman" w:hAnsi="Times New Roman"/>
          <w:sz w:val="24"/>
          <w:szCs w:val="24"/>
        </w:rPr>
        <w:t xml:space="preserve"> (2019), the participants of MWB Al </w:t>
      </w:r>
      <w:proofErr w:type="spellStart"/>
      <w:r w:rsidRPr="004E16EB">
        <w:rPr>
          <w:rFonts w:ascii="Times New Roman" w:hAnsi="Times New Roman"/>
          <w:sz w:val="24"/>
          <w:szCs w:val="24"/>
        </w:rPr>
        <w:t>Kautsar</w:t>
      </w:r>
      <w:proofErr w:type="spellEnd"/>
      <w:r w:rsidRPr="004E16EB">
        <w:rPr>
          <w:rFonts w:ascii="Times New Roman" w:hAnsi="Times New Roman"/>
          <w:sz w:val="24"/>
          <w:szCs w:val="24"/>
        </w:rPr>
        <w:t xml:space="preserve"> Lima </w:t>
      </w:r>
      <w:proofErr w:type="spellStart"/>
      <w:r w:rsidRPr="004E16EB">
        <w:rPr>
          <w:rFonts w:ascii="Times New Roman" w:hAnsi="Times New Roman"/>
          <w:sz w:val="24"/>
          <w:szCs w:val="24"/>
        </w:rPr>
        <w:t>Puluh</w:t>
      </w:r>
      <w:proofErr w:type="spellEnd"/>
      <w:r w:rsidRPr="004E16EB">
        <w:rPr>
          <w:rFonts w:ascii="Times New Roman" w:hAnsi="Times New Roman"/>
          <w:sz w:val="24"/>
          <w:szCs w:val="24"/>
        </w:rPr>
        <w:t xml:space="preserve"> Kota West Sumatra and MWB UNISA Yogyakarta collected </w:t>
      </w:r>
      <w:r w:rsidR="00C20B9B">
        <w:rPr>
          <w:rFonts w:ascii="Times New Roman" w:hAnsi="Times New Roman"/>
          <w:sz w:val="24"/>
          <w:szCs w:val="24"/>
        </w:rPr>
        <w:t xml:space="preserve">a </w:t>
      </w:r>
      <w:r w:rsidRPr="004E16EB">
        <w:rPr>
          <w:rFonts w:ascii="Times New Roman" w:hAnsi="Times New Roman"/>
          <w:sz w:val="24"/>
          <w:szCs w:val="24"/>
        </w:rPr>
        <w:t>s</w:t>
      </w:r>
      <w:r w:rsidR="00C20B9B">
        <w:rPr>
          <w:rFonts w:ascii="Times New Roman" w:hAnsi="Times New Roman"/>
          <w:sz w:val="24"/>
          <w:szCs w:val="24"/>
        </w:rPr>
        <w:t>light</w:t>
      </w:r>
      <w:r w:rsidRPr="004E16EB">
        <w:rPr>
          <w:rFonts w:ascii="Times New Roman" w:hAnsi="Times New Roman"/>
          <w:sz w:val="24"/>
          <w:szCs w:val="24"/>
        </w:rPr>
        <w:t xml:space="preserve"> change of Rp 2,000 on the first day. The supervisor notes and entrusts the serial number to the participants who sit in the back. The next day, the supervisor asked for the deposited money to check the serial number. The participants are declared trustworthy when the serial number has not been changed, and vice versa. Supervisors emphasize the importance of believing </w:t>
      </w:r>
      <w:proofErr w:type="spellStart"/>
      <w:r w:rsidRPr="004E16EB">
        <w:rPr>
          <w:rFonts w:ascii="Times New Roman" w:hAnsi="Times New Roman"/>
          <w:sz w:val="24"/>
          <w:szCs w:val="24"/>
        </w:rPr>
        <w:t>behavior</w:t>
      </w:r>
      <w:proofErr w:type="spellEnd"/>
      <w:r w:rsidRPr="004E16EB">
        <w:rPr>
          <w:rFonts w:ascii="Times New Roman" w:hAnsi="Times New Roman"/>
          <w:sz w:val="24"/>
          <w:szCs w:val="24"/>
        </w:rPr>
        <w:t xml:space="preserve">. After the meeting on the second day, the supervisor collected </w:t>
      </w:r>
      <w:r w:rsidR="00C20B9B">
        <w:rPr>
          <w:rFonts w:ascii="Times New Roman" w:hAnsi="Times New Roman"/>
          <w:sz w:val="24"/>
          <w:szCs w:val="24"/>
        </w:rPr>
        <w:t xml:space="preserve">a </w:t>
      </w:r>
      <w:r w:rsidRPr="004E16EB">
        <w:rPr>
          <w:rFonts w:ascii="Times New Roman" w:hAnsi="Times New Roman"/>
          <w:sz w:val="24"/>
          <w:szCs w:val="24"/>
        </w:rPr>
        <w:t>s</w:t>
      </w:r>
      <w:r w:rsidR="00C20B9B">
        <w:rPr>
          <w:rFonts w:ascii="Times New Roman" w:hAnsi="Times New Roman"/>
          <w:sz w:val="24"/>
          <w:szCs w:val="24"/>
        </w:rPr>
        <w:t>light</w:t>
      </w:r>
      <w:r w:rsidRPr="004E16EB">
        <w:rPr>
          <w:rFonts w:ascii="Times New Roman" w:hAnsi="Times New Roman"/>
          <w:sz w:val="24"/>
          <w:szCs w:val="24"/>
        </w:rPr>
        <w:t xml:space="preserve"> change of Rp 2,000 and recorded the sequence </w:t>
      </w:r>
      <w:r w:rsidRPr="004E16EB">
        <w:rPr>
          <w:rFonts w:ascii="Times New Roman" w:hAnsi="Times New Roman"/>
          <w:sz w:val="24"/>
          <w:szCs w:val="24"/>
        </w:rPr>
        <w:lastRenderedPageBreak/>
        <w:t>number. The number was handed over to participants who sat in the second row from the back and front.</w:t>
      </w:r>
    </w:p>
    <w:p w14:paraId="4660A7DA" w14:textId="77777777" w:rsidR="00A62B63" w:rsidRPr="004E16EB" w:rsidRDefault="00A62B63" w:rsidP="00A62B63">
      <w:pPr>
        <w:widowControl w:val="0"/>
        <w:spacing w:after="0" w:line="240" w:lineRule="auto"/>
        <w:ind w:firstLine="450"/>
        <w:contextualSpacing/>
        <w:jc w:val="both"/>
        <w:rPr>
          <w:rFonts w:ascii="Times New Roman" w:hAnsi="Times New Roman"/>
          <w:sz w:val="24"/>
          <w:szCs w:val="24"/>
        </w:rPr>
      </w:pPr>
    </w:p>
    <w:p w14:paraId="6111F1FD" w14:textId="77777777" w:rsidR="00A62B63" w:rsidRPr="00A62B63" w:rsidRDefault="00A62B63" w:rsidP="00A62B63">
      <w:pPr>
        <w:widowControl w:val="0"/>
        <w:jc w:val="both"/>
        <w:rPr>
          <w:rFonts w:ascii="Times New Roman" w:hAnsi="Times New Roman" w:cs="Times New Roman"/>
          <w:b/>
          <w:bCs/>
        </w:rPr>
      </w:pPr>
      <w:proofErr w:type="spellStart"/>
      <w:r w:rsidRPr="00A62B63">
        <w:rPr>
          <w:rFonts w:ascii="Times New Roman" w:hAnsi="Times New Roman"/>
          <w:b/>
          <w:bCs/>
          <w:i/>
          <w:iCs/>
        </w:rPr>
        <w:t>Halaqoh</w:t>
      </w:r>
      <w:proofErr w:type="spellEnd"/>
      <w:r w:rsidRPr="00A62B63">
        <w:rPr>
          <w:rFonts w:ascii="Times New Roman" w:hAnsi="Times New Roman"/>
          <w:b/>
          <w:bCs/>
          <w:i/>
          <w:iCs/>
        </w:rPr>
        <w:t xml:space="preserve"> </w:t>
      </w:r>
      <w:r w:rsidRPr="00A62B63">
        <w:rPr>
          <w:rFonts w:ascii="Times New Roman" w:hAnsi="Times New Roman"/>
          <w:b/>
          <w:bCs/>
        </w:rPr>
        <w:t>at SMI MWB</w:t>
      </w:r>
    </w:p>
    <w:p w14:paraId="087D5B8B" w14:textId="625D48DA" w:rsidR="00A62B63" w:rsidRDefault="00A62B63" w:rsidP="00A62B63">
      <w:pPr>
        <w:widowControl w:val="0"/>
        <w:spacing w:after="0" w:line="240" w:lineRule="auto"/>
        <w:ind w:firstLine="540"/>
        <w:contextualSpacing/>
        <w:jc w:val="both"/>
        <w:rPr>
          <w:rFonts w:ascii="Times New Roman" w:hAnsi="Times New Roman"/>
          <w:sz w:val="24"/>
          <w:szCs w:val="24"/>
        </w:rPr>
      </w:pPr>
      <w:r w:rsidRPr="004E16EB">
        <w:rPr>
          <w:rFonts w:ascii="Times New Roman" w:hAnsi="Times New Roman"/>
          <w:sz w:val="24"/>
          <w:szCs w:val="24"/>
        </w:rPr>
        <w:t xml:space="preserve">Each customer pays off the loan weekly at the WH meeting to qualify for further financing. The empowerment model applied to MWB in the form of WH is carried out at the house of the group chairman or CBGIBSI. WH is a customer assistance activity where all participants and supervisors sit cross-legged on the floor. They consisted of several CBGIBSI who sat in a row facing the supervisor. </w:t>
      </w:r>
      <w:proofErr w:type="spellStart"/>
      <w:r w:rsidRPr="004E16EB">
        <w:rPr>
          <w:rFonts w:ascii="Times New Roman" w:hAnsi="Times New Roman"/>
          <w:sz w:val="24"/>
          <w:szCs w:val="24"/>
        </w:rPr>
        <w:t>Puguh</w:t>
      </w:r>
      <w:proofErr w:type="spellEnd"/>
      <w:r w:rsidRPr="004E16EB">
        <w:rPr>
          <w:rFonts w:ascii="Times New Roman" w:hAnsi="Times New Roman"/>
          <w:sz w:val="24"/>
          <w:szCs w:val="24"/>
        </w:rPr>
        <w:t xml:space="preserve"> (2019), manager of MWB Tebu </w:t>
      </w:r>
      <w:proofErr w:type="spellStart"/>
      <w:r w:rsidRPr="004E16EB">
        <w:rPr>
          <w:rFonts w:ascii="Times New Roman" w:hAnsi="Times New Roman"/>
          <w:sz w:val="24"/>
          <w:szCs w:val="24"/>
        </w:rPr>
        <w:t>Ireng</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Jombang</w:t>
      </w:r>
      <w:proofErr w:type="spellEnd"/>
      <w:r w:rsidRPr="004E16EB">
        <w:rPr>
          <w:rFonts w:ascii="Times New Roman" w:hAnsi="Times New Roman"/>
          <w:sz w:val="24"/>
          <w:szCs w:val="24"/>
        </w:rPr>
        <w:t>, East Java, stated that the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model </w:t>
      </w:r>
      <w:r w:rsidRPr="004E16EB">
        <w:rPr>
          <w:rFonts w:ascii="Times New Roman" w:hAnsi="Times New Roman"/>
          <w:sz w:val="24"/>
          <w:szCs w:val="24"/>
        </w:rPr>
        <w:t xml:space="preserve">fosters the mental attitude of customers.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 activities are carried out regularly once a week and must be followed by every customer. This activity builds customer attitudes, a sense of togetherness, commitment, and discipline. It also builds an attitude of solidarity, responsibility, and group</w:t>
      </w:r>
      <w:r w:rsidR="00C20B9B">
        <w:rPr>
          <w:rFonts w:ascii="Times New Roman" w:hAnsi="Times New Roman"/>
          <w:sz w:val="24"/>
          <w:szCs w:val="24"/>
        </w:rPr>
        <w:t xml:space="preserve"> </w:t>
      </w:r>
      <w:r w:rsidRPr="004E16EB">
        <w:rPr>
          <w:rFonts w:ascii="Times New Roman" w:hAnsi="Times New Roman"/>
          <w:sz w:val="24"/>
          <w:szCs w:val="24"/>
        </w:rPr>
        <w:t xml:space="preserve">work through shared responsibility in paying loan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was carried out for 1 hour accompanied by </w:t>
      </w:r>
      <w:r w:rsidR="00C20B9B">
        <w:rPr>
          <w:rFonts w:ascii="Times New Roman" w:hAnsi="Times New Roman"/>
          <w:sz w:val="24"/>
          <w:szCs w:val="24"/>
        </w:rPr>
        <w:t xml:space="preserve">the </w:t>
      </w:r>
      <w:r w:rsidRPr="004E16EB">
        <w:rPr>
          <w:rFonts w:ascii="Times New Roman" w:hAnsi="Times New Roman"/>
          <w:sz w:val="24"/>
          <w:szCs w:val="24"/>
        </w:rPr>
        <w:t>MWB supervisor with an agenda, as explained in Table 2.</w:t>
      </w:r>
    </w:p>
    <w:p w14:paraId="70DA2E14" w14:textId="77777777" w:rsidR="00A62B63" w:rsidRPr="004E16EB" w:rsidRDefault="00A62B63" w:rsidP="00A62B63">
      <w:pPr>
        <w:widowControl w:val="0"/>
        <w:spacing w:after="0" w:line="240" w:lineRule="auto"/>
        <w:ind w:firstLine="540"/>
        <w:contextualSpacing/>
        <w:jc w:val="both"/>
        <w:rPr>
          <w:rFonts w:ascii="Times New Roman" w:hAnsi="Times New Roman" w:cs="Times New Roman"/>
          <w:sz w:val="24"/>
          <w:szCs w:val="24"/>
        </w:rPr>
      </w:pPr>
    </w:p>
    <w:p w14:paraId="4C2D94CC" w14:textId="77777777" w:rsidR="00A62B63" w:rsidRPr="004E16EB" w:rsidRDefault="00A62B63" w:rsidP="00A62B63">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Table 2. </w:t>
      </w:r>
      <w:proofErr w:type="spellStart"/>
      <w:r w:rsidRPr="004E16EB">
        <w:rPr>
          <w:rFonts w:ascii="Times New Roman" w:hAnsi="Times New Roman" w:cs="Times New Roman"/>
          <w:i/>
          <w:sz w:val="24"/>
          <w:szCs w:val="24"/>
        </w:rPr>
        <w:t>Halaqoh</w:t>
      </w:r>
      <w:proofErr w:type="spellEnd"/>
      <w:r w:rsidRPr="004E16EB">
        <w:rPr>
          <w:rFonts w:ascii="Times New Roman" w:hAnsi="Times New Roman" w:cs="Times New Roman"/>
          <w:i/>
          <w:sz w:val="24"/>
          <w:szCs w:val="24"/>
        </w:rPr>
        <w:t xml:space="preserve"> Agenda </w:t>
      </w:r>
      <w:r w:rsidRPr="004E16EB">
        <w:rPr>
          <w:rFonts w:ascii="Times New Roman" w:hAnsi="Times New Roman" w:cs="Times New Roman"/>
          <w:sz w:val="24"/>
          <w:szCs w:val="24"/>
        </w:rPr>
        <w:t xml:space="preserve"> at MWB</w:t>
      </w:r>
    </w:p>
    <w:tbl>
      <w:tblPr>
        <w:tblStyle w:val="TableGrid"/>
        <w:tblW w:w="0" w:type="auto"/>
        <w:tblLook w:val="04A0" w:firstRow="1" w:lastRow="0" w:firstColumn="1" w:lastColumn="0" w:noHBand="0" w:noVBand="1"/>
      </w:tblPr>
      <w:tblGrid>
        <w:gridCol w:w="576"/>
        <w:gridCol w:w="7158"/>
      </w:tblGrid>
      <w:tr w:rsidR="00A62B63" w:rsidRPr="004E16EB" w14:paraId="2C99A096" w14:textId="77777777" w:rsidTr="00476C03">
        <w:tc>
          <w:tcPr>
            <w:tcW w:w="510" w:type="dxa"/>
            <w:tcBorders>
              <w:top w:val="single" w:sz="4" w:space="0" w:color="auto"/>
              <w:left w:val="nil"/>
              <w:bottom w:val="single" w:sz="4" w:space="0" w:color="auto"/>
              <w:right w:val="nil"/>
            </w:tcBorders>
          </w:tcPr>
          <w:p w14:paraId="0BB243E2"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Not</w:t>
            </w:r>
          </w:p>
        </w:tc>
        <w:tc>
          <w:tcPr>
            <w:tcW w:w="7158" w:type="dxa"/>
            <w:tcBorders>
              <w:top w:val="single" w:sz="4" w:space="0" w:color="auto"/>
              <w:left w:val="nil"/>
              <w:bottom w:val="single" w:sz="4" w:space="0" w:color="auto"/>
              <w:right w:val="nil"/>
            </w:tcBorders>
          </w:tcPr>
          <w:p w14:paraId="50E2EC8C" w14:textId="77777777" w:rsidR="00A62B63" w:rsidRPr="004E16EB" w:rsidRDefault="00A62B63" w:rsidP="00476C03">
            <w:pPr>
              <w:widowControl w:val="0"/>
              <w:contextualSpacing/>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A62B63" w:rsidRPr="004E16EB" w14:paraId="10F45216" w14:textId="77777777" w:rsidTr="00476C03">
        <w:tc>
          <w:tcPr>
            <w:tcW w:w="510" w:type="dxa"/>
            <w:tcBorders>
              <w:top w:val="single" w:sz="4" w:space="0" w:color="auto"/>
              <w:left w:val="nil"/>
              <w:bottom w:val="nil"/>
              <w:right w:val="nil"/>
            </w:tcBorders>
          </w:tcPr>
          <w:p w14:paraId="1CB25949"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1</w:t>
            </w:r>
          </w:p>
        </w:tc>
        <w:tc>
          <w:tcPr>
            <w:tcW w:w="7158" w:type="dxa"/>
            <w:tcBorders>
              <w:top w:val="single" w:sz="4" w:space="0" w:color="auto"/>
              <w:left w:val="nil"/>
              <w:bottom w:val="nil"/>
              <w:right w:val="nil"/>
            </w:tcBorders>
          </w:tcPr>
          <w:p w14:paraId="0118013E"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Mouth</w:t>
            </w:r>
          </w:p>
        </w:tc>
      </w:tr>
      <w:tr w:rsidR="00A62B63" w:rsidRPr="004E16EB" w14:paraId="0C4AF69F" w14:textId="77777777" w:rsidTr="00476C03">
        <w:tc>
          <w:tcPr>
            <w:tcW w:w="510" w:type="dxa"/>
            <w:tcBorders>
              <w:top w:val="nil"/>
              <w:left w:val="nil"/>
              <w:bottom w:val="nil"/>
              <w:right w:val="nil"/>
            </w:tcBorders>
          </w:tcPr>
          <w:p w14:paraId="07FDD011"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2</w:t>
            </w:r>
          </w:p>
        </w:tc>
        <w:tc>
          <w:tcPr>
            <w:tcW w:w="7158" w:type="dxa"/>
            <w:tcBorders>
              <w:top w:val="nil"/>
              <w:left w:val="nil"/>
              <w:bottom w:val="nil"/>
              <w:right w:val="nil"/>
            </w:tcBorders>
          </w:tcPr>
          <w:p w14:paraId="2F23D263"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Reading of the pledge</w:t>
            </w:r>
          </w:p>
        </w:tc>
      </w:tr>
      <w:tr w:rsidR="00A62B63" w:rsidRPr="004E16EB" w14:paraId="676BBC01" w14:textId="77777777" w:rsidTr="00476C03">
        <w:tc>
          <w:tcPr>
            <w:tcW w:w="510" w:type="dxa"/>
            <w:tcBorders>
              <w:top w:val="nil"/>
              <w:left w:val="nil"/>
              <w:bottom w:val="nil"/>
              <w:right w:val="nil"/>
            </w:tcBorders>
          </w:tcPr>
          <w:p w14:paraId="32E3FB01"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3</w:t>
            </w:r>
          </w:p>
        </w:tc>
        <w:tc>
          <w:tcPr>
            <w:tcW w:w="7158" w:type="dxa"/>
            <w:tcBorders>
              <w:top w:val="nil"/>
              <w:left w:val="nil"/>
              <w:bottom w:val="nil"/>
              <w:right w:val="nil"/>
            </w:tcBorders>
          </w:tcPr>
          <w:p w14:paraId="6F213143"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Member attendance reports</w:t>
            </w:r>
          </w:p>
        </w:tc>
      </w:tr>
      <w:tr w:rsidR="00A62B63" w:rsidRPr="004E16EB" w14:paraId="02541BBF" w14:textId="77777777" w:rsidTr="00476C03">
        <w:tc>
          <w:tcPr>
            <w:tcW w:w="510" w:type="dxa"/>
            <w:tcBorders>
              <w:top w:val="nil"/>
              <w:left w:val="nil"/>
              <w:bottom w:val="nil"/>
              <w:right w:val="nil"/>
            </w:tcBorders>
          </w:tcPr>
          <w:p w14:paraId="2B1860BC"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4</w:t>
            </w:r>
          </w:p>
        </w:tc>
        <w:tc>
          <w:tcPr>
            <w:tcW w:w="7158" w:type="dxa"/>
            <w:tcBorders>
              <w:top w:val="nil"/>
              <w:left w:val="nil"/>
              <w:bottom w:val="nil"/>
              <w:right w:val="nil"/>
            </w:tcBorders>
          </w:tcPr>
          <w:p w14:paraId="6143D520"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Disbursement of financing</w:t>
            </w:r>
          </w:p>
        </w:tc>
      </w:tr>
      <w:tr w:rsidR="00A62B63" w:rsidRPr="004E16EB" w14:paraId="179C6484" w14:textId="77777777" w:rsidTr="00476C03">
        <w:tc>
          <w:tcPr>
            <w:tcW w:w="510" w:type="dxa"/>
            <w:tcBorders>
              <w:top w:val="nil"/>
              <w:left w:val="nil"/>
              <w:bottom w:val="nil"/>
              <w:right w:val="nil"/>
            </w:tcBorders>
          </w:tcPr>
          <w:p w14:paraId="6FB9302C"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5</w:t>
            </w:r>
          </w:p>
        </w:tc>
        <w:tc>
          <w:tcPr>
            <w:tcW w:w="7158" w:type="dxa"/>
            <w:tcBorders>
              <w:top w:val="nil"/>
              <w:left w:val="nil"/>
              <w:bottom w:val="nil"/>
              <w:right w:val="nil"/>
            </w:tcBorders>
          </w:tcPr>
          <w:p w14:paraId="2E79F442"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Customer Support</w:t>
            </w:r>
          </w:p>
        </w:tc>
      </w:tr>
      <w:tr w:rsidR="00A62B63" w:rsidRPr="004E16EB" w14:paraId="5AA4B3FB" w14:textId="77777777" w:rsidTr="00476C03">
        <w:tc>
          <w:tcPr>
            <w:tcW w:w="510" w:type="dxa"/>
            <w:tcBorders>
              <w:top w:val="nil"/>
              <w:left w:val="nil"/>
              <w:bottom w:val="nil"/>
              <w:right w:val="nil"/>
            </w:tcBorders>
          </w:tcPr>
          <w:p w14:paraId="65C8DBF1"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6</w:t>
            </w:r>
          </w:p>
        </w:tc>
        <w:tc>
          <w:tcPr>
            <w:tcW w:w="7158" w:type="dxa"/>
            <w:tcBorders>
              <w:top w:val="nil"/>
              <w:left w:val="nil"/>
              <w:bottom w:val="nil"/>
              <w:right w:val="nil"/>
            </w:tcBorders>
          </w:tcPr>
          <w:p w14:paraId="65AA8B09"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Installment payment</w:t>
            </w:r>
          </w:p>
        </w:tc>
      </w:tr>
      <w:tr w:rsidR="00A62B63" w:rsidRPr="004E16EB" w14:paraId="36126B5E" w14:textId="77777777" w:rsidTr="00476C03">
        <w:tc>
          <w:tcPr>
            <w:tcW w:w="510" w:type="dxa"/>
            <w:tcBorders>
              <w:top w:val="nil"/>
              <w:left w:val="nil"/>
              <w:bottom w:val="single" w:sz="4" w:space="0" w:color="auto"/>
              <w:right w:val="nil"/>
            </w:tcBorders>
          </w:tcPr>
          <w:p w14:paraId="7B998A9B"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7</w:t>
            </w:r>
          </w:p>
        </w:tc>
        <w:tc>
          <w:tcPr>
            <w:tcW w:w="7158" w:type="dxa"/>
            <w:tcBorders>
              <w:top w:val="nil"/>
              <w:left w:val="nil"/>
              <w:bottom w:val="single" w:sz="4" w:space="0" w:color="auto"/>
              <w:right w:val="nil"/>
            </w:tcBorders>
          </w:tcPr>
          <w:p w14:paraId="4C676820" w14:textId="77777777" w:rsidR="00A62B63" w:rsidRPr="004E16EB" w:rsidRDefault="00A62B63" w:rsidP="00476C03">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Prayer and closing</w:t>
            </w:r>
          </w:p>
        </w:tc>
      </w:tr>
    </w:tbl>
    <w:p w14:paraId="7BADC385" w14:textId="5C459C4E" w:rsidR="00A62B63" w:rsidRDefault="00A62B63" w:rsidP="00A62B63">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Mikro","type":"chapter"},"uris":["http://www.mendeley.com/documents/?uuid=51694528-45ad-46b9-978a-96bef72fa688"]}],"mendeley":{"formattedCitation":"(BSM, 2017a)","plainTextFormattedCitation":"(BSM, 2017a)","previouslyFormattedCitation":"(BSM, 2017a)"},"properties":{"noteIndex":0},"schema":"https://github.com/citation-style-language/schema/raw/master/csl-citation.json"}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p>
    <w:p w14:paraId="5065D5D7" w14:textId="77777777" w:rsidR="00A62B63" w:rsidRPr="004E16EB" w:rsidRDefault="00A62B63" w:rsidP="00A62B63">
      <w:pPr>
        <w:widowControl w:val="0"/>
        <w:spacing w:after="0" w:line="240" w:lineRule="auto"/>
        <w:ind w:firstLine="540"/>
        <w:contextualSpacing/>
        <w:jc w:val="both"/>
        <w:rPr>
          <w:rFonts w:ascii="Times New Roman" w:hAnsi="Times New Roman" w:cs="Times New Roman"/>
          <w:sz w:val="24"/>
          <w:szCs w:val="24"/>
        </w:rPr>
      </w:pPr>
    </w:p>
    <w:p w14:paraId="5432C55E" w14:textId="0F6D36D7" w:rsidR="00A62B63" w:rsidRPr="004E16EB" w:rsidRDefault="00A62B63" w:rsidP="00A62B63">
      <w:pPr>
        <w:widowControl w:val="0"/>
        <w:spacing w:after="0" w:line="240" w:lineRule="auto"/>
        <w:ind w:firstLine="540"/>
        <w:contextualSpacing/>
        <w:jc w:val="both"/>
        <w:rPr>
          <w:rFonts w:ascii="Times New Roman" w:hAnsi="Times New Roman"/>
          <w:sz w:val="24"/>
          <w:szCs w:val="24"/>
        </w:rPr>
      </w:pPr>
      <w:r w:rsidRPr="004E16EB">
        <w:rPr>
          <w:rFonts w:ascii="Times New Roman" w:hAnsi="Times New Roman"/>
          <w:sz w:val="24"/>
          <w:szCs w:val="24"/>
        </w:rPr>
        <w:t xml:space="preserve">Assistance is provided directly by supervisors or external resource persons </w:t>
      </w:r>
      <w:r w:rsidR="00C20B9B">
        <w:rPr>
          <w:rFonts w:ascii="Times New Roman" w:hAnsi="Times New Roman"/>
          <w:sz w:val="24"/>
          <w:szCs w:val="24"/>
        </w:rPr>
        <w:t>through</w:t>
      </w:r>
      <w:r w:rsidRPr="004E16EB">
        <w:rPr>
          <w:rFonts w:ascii="Times New Roman" w:hAnsi="Times New Roman"/>
          <w:sz w:val="24"/>
          <w:szCs w:val="24"/>
        </w:rPr>
        <w:t xml:space="preserve"> HALMI Akbar (WH Agung). This was acknowledged by </w:t>
      </w:r>
      <w:proofErr w:type="spellStart"/>
      <w:r w:rsidRPr="004E16EB">
        <w:rPr>
          <w:rFonts w:ascii="Times New Roman" w:hAnsi="Times New Roman"/>
          <w:sz w:val="24"/>
          <w:szCs w:val="24"/>
        </w:rPr>
        <w:t>Zuhri</w:t>
      </w:r>
      <w:proofErr w:type="spellEnd"/>
      <w:r w:rsidRPr="004E16EB">
        <w:rPr>
          <w:rFonts w:ascii="Times New Roman" w:hAnsi="Times New Roman"/>
          <w:sz w:val="24"/>
          <w:szCs w:val="24"/>
        </w:rPr>
        <w:t xml:space="preserve"> (2019), the supervisor of MWB </w:t>
      </w:r>
      <w:proofErr w:type="spellStart"/>
      <w:r w:rsidRPr="004E16EB">
        <w:rPr>
          <w:rFonts w:ascii="Times New Roman" w:hAnsi="Times New Roman"/>
          <w:sz w:val="24"/>
          <w:szCs w:val="24"/>
        </w:rPr>
        <w:t>Alpansa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Klaten</w:t>
      </w:r>
      <w:proofErr w:type="spellEnd"/>
      <w:r w:rsidRPr="004E16EB">
        <w:rPr>
          <w:rFonts w:ascii="Times New Roman" w:hAnsi="Times New Roman"/>
          <w:sz w:val="24"/>
          <w:szCs w:val="24"/>
        </w:rPr>
        <w:t xml:space="preserve"> Yogyakarta. Customer assistance is carried out through</w:t>
      </w:r>
      <w:r w:rsidR="00C20B9B">
        <w:rPr>
          <w:rFonts w:ascii="Times New Roman" w:hAnsi="Times New Roman"/>
          <w:sz w:val="24"/>
          <w:szCs w:val="24"/>
        </w:rPr>
        <w:t xml:space="preserve"> religious and spiritual guidance,</w:t>
      </w:r>
      <w:r w:rsidRPr="004E16EB">
        <w:rPr>
          <w:rFonts w:ascii="Times New Roman" w:hAnsi="Times New Roman"/>
          <w:sz w:val="24"/>
          <w:szCs w:val="24"/>
        </w:rPr>
        <w:t xml:space="preserve"> which is filled with studies by </w:t>
      </w:r>
      <w:proofErr w:type="spellStart"/>
      <w:r w:rsidRPr="004E16EB">
        <w:rPr>
          <w:rFonts w:ascii="Times New Roman" w:hAnsi="Times New Roman"/>
          <w:i/>
          <w:iCs/>
          <w:sz w:val="24"/>
          <w:szCs w:val="24"/>
        </w:rPr>
        <w:t>ustadz</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or </w:t>
      </w:r>
      <w:proofErr w:type="spellStart"/>
      <w:r w:rsidRPr="004E16EB">
        <w:rPr>
          <w:rFonts w:ascii="Times New Roman" w:hAnsi="Times New Roman"/>
          <w:i/>
          <w:iCs/>
          <w:sz w:val="24"/>
          <w:szCs w:val="24"/>
        </w:rPr>
        <w:t>ustazah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from Islamic boarding schools. </w:t>
      </w:r>
      <w:r w:rsidRPr="004E16EB">
        <w:rPr>
          <w:rFonts w:ascii="Times New Roman" w:hAnsi="Times New Roman"/>
          <w:b/>
          <w:sz w:val="24"/>
        </w:rPr>
        <w:t xml:space="preserve">The second stage </w:t>
      </w:r>
      <w:r w:rsidRPr="004E16EB">
        <w:rPr>
          <w:rFonts w:ascii="Times New Roman" w:hAnsi="Times New Roman"/>
          <w:sz w:val="24"/>
          <w:szCs w:val="24"/>
        </w:rPr>
        <w:t xml:space="preserve">is household financial management. SMI provides assistance and family development through financial management to create </w:t>
      </w:r>
      <w:r w:rsidRPr="004E16EB">
        <w:rPr>
          <w:rFonts w:ascii="Times New Roman" w:hAnsi="Times New Roman"/>
          <w:i/>
          <w:sz w:val="24"/>
        </w:rPr>
        <w:t xml:space="preserve">a </w:t>
      </w:r>
      <w:r w:rsidR="00C20B9B">
        <w:rPr>
          <w:rFonts w:ascii="Times New Roman" w:hAnsi="Times New Roman"/>
          <w:i/>
          <w:sz w:val="24"/>
        </w:rPr>
        <w:t>S</w:t>
      </w:r>
      <w:r w:rsidRPr="004E16EB">
        <w:rPr>
          <w:rFonts w:ascii="Times New Roman" w:hAnsi="Times New Roman"/>
          <w:i/>
          <w:sz w:val="24"/>
        </w:rPr>
        <w:t>akinah family</w:t>
      </w:r>
      <w:r w:rsidRPr="004E16EB">
        <w:rPr>
          <w:rFonts w:ascii="Times New Roman" w:hAnsi="Times New Roman"/>
          <w:sz w:val="24"/>
          <w:szCs w:val="24"/>
        </w:rPr>
        <w:t xml:space="preserve">. </w:t>
      </w:r>
      <w:r w:rsidRPr="004E16EB">
        <w:rPr>
          <w:rFonts w:ascii="Times New Roman" w:hAnsi="Times New Roman"/>
          <w:b/>
          <w:sz w:val="24"/>
        </w:rPr>
        <w:t>Third</w:t>
      </w:r>
      <w:r w:rsidRPr="004E16EB">
        <w:rPr>
          <w:rFonts w:ascii="Times New Roman" w:hAnsi="Times New Roman"/>
          <w:sz w:val="24"/>
          <w:szCs w:val="24"/>
        </w:rPr>
        <w:t xml:space="preserve">, customer business development assistance is provided through mentoring and entrepreneurial assistance. This includes marketing management, bookkeeping training, service, and business expansion through food product packaging training and product quality improvement. In addition, MWB </w:t>
      </w:r>
      <w:r w:rsidR="00C20B9B">
        <w:rPr>
          <w:rFonts w:ascii="Times New Roman" w:hAnsi="Times New Roman"/>
          <w:sz w:val="24"/>
          <w:szCs w:val="24"/>
        </w:rPr>
        <w:t>helps customers market</w:t>
      </w:r>
      <w:r w:rsidRPr="004E16EB">
        <w:rPr>
          <w:rFonts w:ascii="Times New Roman" w:hAnsi="Times New Roman"/>
          <w:sz w:val="24"/>
          <w:szCs w:val="24"/>
        </w:rPr>
        <w:t xml:space="preserve"> their products online and guides them in creating an online buying and selling account. This also helps customers sell products at certain events, as conveyed by Hayati (2019), a customer of MWB Al-Kausar Sari Lamak, Harau Lima </w:t>
      </w:r>
      <w:proofErr w:type="spellStart"/>
      <w:r w:rsidRPr="004E16EB">
        <w:rPr>
          <w:rFonts w:ascii="Times New Roman" w:hAnsi="Times New Roman"/>
          <w:sz w:val="24"/>
          <w:szCs w:val="24"/>
        </w:rPr>
        <w:t>Sepuluh</w:t>
      </w:r>
      <w:proofErr w:type="spellEnd"/>
      <w:r w:rsidRPr="004E16EB">
        <w:rPr>
          <w:rFonts w:ascii="Times New Roman" w:hAnsi="Times New Roman"/>
          <w:sz w:val="24"/>
          <w:szCs w:val="24"/>
        </w:rPr>
        <w:t xml:space="preserve"> Kota District.</w:t>
      </w:r>
    </w:p>
    <w:p w14:paraId="3ACA9153" w14:textId="2C2AB3DB" w:rsidR="00A62B63" w:rsidRPr="004E16EB" w:rsidRDefault="00A62B63" w:rsidP="00A62B63">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MWB uses group-based financing, where the group determines loan approval and guarantees the financing payment of each member. This group-based pattern uses a shared responsibility financing system, as affirmed by Eni (2019), Chairman of MWB Almuna Krapyak Yogyakarta. These groups assure MWB that they are liable to members who are in arrears in paying installments. Members help each other by donating and contributing to overcoming arrears. Therefore, they must have a shared responsibility </w:t>
      </w:r>
      <w:r w:rsidR="00C20B9B">
        <w:rPr>
          <w:rFonts w:ascii="Times New Roman" w:hAnsi="Times New Roman"/>
          <w:sz w:val="24"/>
          <w:szCs w:val="24"/>
        </w:rPr>
        <w:t xml:space="preserve">for </w:t>
      </w:r>
      <w:r w:rsidRPr="004E16EB">
        <w:rPr>
          <w:rFonts w:ascii="Times New Roman" w:hAnsi="Times New Roman"/>
          <w:sz w:val="24"/>
          <w:szCs w:val="24"/>
        </w:rPr>
        <w:t xml:space="preserve">savings managed by the group leader. The savings are a group guarantee in the event of installment arrears from CBGIBSI members. The financing installments are taken from the group's shared responsibility savings to settle arrears. Members replace their arrears the following week at a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meeting </w:t>
      </w:r>
      <w:r w:rsidRPr="004E16EB">
        <w:rPr>
          <w:rFonts w:ascii="Times New Roman" w:hAnsi="Times New Roman"/>
          <w:sz w:val="24"/>
          <w:szCs w:val="24"/>
        </w:rPr>
        <w:t>with the group leader</w:t>
      </w:r>
      <w:r w:rsidRPr="004E16EB">
        <w:rPr>
          <w:rFonts w:ascii="Times New Roman" w:hAnsi="Times New Roman" w:cs="Times New Roman"/>
          <w:sz w:val="24"/>
          <w:szCs w:val="24"/>
        </w:rPr>
        <w:t>.</w:t>
      </w:r>
    </w:p>
    <w:p w14:paraId="53910D0B" w14:textId="77777777" w:rsidR="00A62B63" w:rsidRDefault="00A62B63" w:rsidP="00A62B63">
      <w:pPr>
        <w:rPr>
          <w:rFonts w:ascii="Times New Roman" w:hAnsi="Times New Roman" w:cs="Times New Roman"/>
          <w:b/>
          <w:bCs/>
          <w:i/>
          <w:iCs/>
          <w:sz w:val="24"/>
          <w:szCs w:val="24"/>
        </w:rPr>
      </w:pPr>
    </w:p>
    <w:p w14:paraId="00F5D5A3" w14:textId="7EAE3409" w:rsidR="002103D5" w:rsidRDefault="00A62B63" w:rsidP="00A62B63">
      <w:pPr>
        <w:rPr>
          <w:rFonts w:ascii="Times New Roman" w:hAnsi="Times New Roman" w:cs="Times New Roman"/>
          <w:b/>
          <w:bCs/>
          <w:i/>
          <w:iCs/>
          <w:sz w:val="24"/>
          <w:szCs w:val="24"/>
        </w:rPr>
      </w:pPr>
      <w:r w:rsidRPr="00A62B63">
        <w:rPr>
          <w:rFonts w:ascii="Times New Roman" w:hAnsi="Times New Roman" w:cs="Times New Roman"/>
          <w:b/>
          <w:bCs/>
          <w:i/>
          <w:iCs/>
          <w:sz w:val="24"/>
          <w:szCs w:val="24"/>
        </w:rPr>
        <w:t>Discussion</w:t>
      </w:r>
    </w:p>
    <w:p w14:paraId="70A4B20B" w14:textId="77777777" w:rsidR="00A62B63" w:rsidRPr="00A62B63" w:rsidRDefault="00A62B63" w:rsidP="00A62B63">
      <w:pPr>
        <w:widowControl w:val="0"/>
        <w:jc w:val="both"/>
        <w:rPr>
          <w:rFonts w:ascii="Times New Roman" w:hAnsi="Times New Roman" w:cs="Times New Roman"/>
        </w:rPr>
      </w:pPr>
      <w:r w:rsidRPr="00A62B63">
        <w:rPr>
          <w:rFonts w:ascii="Times New Roman" w:hAnsi="Times New Roman"/>
          <w:b/>
        </w:rPr>
        <w:t>Women's Economic Empowerment in Sharia Microfinance Institutions of Micro Waqf Banks (SMI MWB)</w:t>
      </w:r>
    </w:p>
    <w:p w14:paraId="794F3A9E" w14:textId="7FEE6550" w:rsidR="00A62B63" w:rsidRPr="004E16EB" w:rsidRDefault="00A62B63" w:rsidP="00A62B63">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As SMI, MWB is a financial institution oriented to improving the welfare of the community around Islamic boarding schools, especially for productive poor women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{"citationItems":[{"id":"ITEM-1","itemData":{"DOI":"10.2991/ASSEHR.K.200225.001","abstract":"This research aims to study and improve the benefits of micro waqf banks as Islamic microfinance institutions that have only been pioneered since 2017 in Indonesia. The research method used was qualitative research using normative juridical through interview and literature study methods, and analyzed using descriptive analysis. The results of this study indicate that a micro waqf bank stands as a sharia cooperative, but from its naming aspect that uses the term 'waqf' does not make it a waqf institution. Micro waqf banks are institutions that represent financial institutions, the Indonesian government and Islamic boarding schools as the basis of Indonesian Muslims. The purpose of this micro waqf bank is to be able to reduce poverty by providing financing to the poor through routine assistance programs, allegedly the target of this program is the poor who cannot access formal financial institutions to help the capital aspects of community small businesses.","author":[{"dropping-particle":"","family":"Sulistiani","given":"Siska Lis","non-dropping-particle":"","parse-names":false,"suffix":""},{"dropping-particle":"","family":"Yunus","given":"Muhammad","non-dropping-particle":"","parse-names":false,"suffix":""},{"dropping-particle":"","family":"Bayuni","given":"Eva Misfah","non-dropping-particle":"","parse-names":false,"suffix":""}],"container-title":"Advances in Social Science, Education and Humanities Research","id":"ITEM-1","issued":{"date-parts":[["2020","3"]]},"page":"1-4","publisher":"Atlantis Press","title":"Micro Waqf Bank: New Sharia Financial Instruments in Indonesia","type":"article-journal","volume":"409"},"uris":["http://www.mendeley.com/documents/?uuid=099ad4a4-2fd1-4d23-87b8-9e221dd0ada3"]}],"mendeley":{"formattedCitation":"(Sulistiani et al., 2020)","manualFormatting":"(SL Sulistiani dkk., 2020)","plainTextFormattedCitation":"(Sulistiani et al., 2020)","previouslyFormattedCitation":"(S. L. Sulistiani et al.,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(SL Sulistiani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It provides financing and assistance to women micro and small businesses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Indonesia","type":"article-journal","volume":"10"},"uris":["http://www.mendeley.com/documents/?uuid=63e925e4-5f32-42c5-8eb5-dd142f557929"]}],"mendeley":{"formattedCitation":"(Soemitra et al., 2022)","manualFormatting":"(Soemitra dkk., 2022)","plainTextFormattedCitation":"(Soemitra et al., 2022)","previouslyFormattedCitation":"(Soemitra et al., 2022)"},"properties":{"noteIndex":0},"schema":"https://github.com/citation-style-language/schema/raw/master/csl-citation.json"}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 SMI market segment is women who do not have bank accounts or micro business actors who do not have access to financing from banks because they are considered unsuitable. This is because women are considered able to commit to discipline by attending WH meetings regularly. They are also seen as more able to manage family finances and business capital. Therefore, women can develop their businesses through financial assistance of only Rp 1,000,000.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Bangladesh","type":"article-journal","volume":"44"},"uris":["http://www.mendeley.com/documents/?uuid=517b9124-6aa0-4c1a-baf1-45e4ebb50b85"]}],"mendeley":{"formattedCitation":"(Rahman et al., 2017)","manualFormatting":"(Rahman dkk., 2017)","plainTextFormattedCitation":"(Rahman et al., 2017)","previouslyFormattedCitation":"(Rahman et al., 2017)"},"properties":{"noteIndex":0},"schema":"https://github.com/citation-style-language/schema/raw/master/csl-citation.json"}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(Rahman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C20B9B">
        <w:rPr>
          <w:rFonts w:ascii="Times New Roman" w:hAnsi="Times New Roman" w:cs="Times New Roman"/>
          <w:sz w:val="24"/>
          <w:szCs w:val="24"/>
        </w:rPr>
        <w:t>S</w:t>
      </w:r>
      <w:r w:rsidRPr="004E16EB">
        <w:rPr>
          <w:rFonts w:ascii="Times New Roman" w:hAnsi="Times New Roman" w:cs="Times New Roman"/>
          <w:sz w:val="24"/>
          <w:szCs w:val="24"/>
        </w:rPr>
        <w:t xml:space="preserve">tates that </w:t>
      </w:r>
      <w:r w:rsidRPr="004E16EB">
        <w:rPr>
          <w:rFonts w:ascii="Times New Roman" w:hAnsi="Times New Roman"/>
          <w:sz w:val="24"/>
          <w:szCs w:val="24"/>
        </w:rPr>
        <w:t>Microfinance programs target women because they have more problems getting credit. They have limited access to the labor market and higher loan repayment rates than men</w:t>
      </w:r>
      <w:r w:rsidRPr="004E16EB">
        <w:rPr>
          <w:rFonts w:ascii="Times New Roman" w:hAnsi="Times New Roman" w:cs="Times New Roman"/>
          <w:sz w:val="24"/>
          <w:szCs w:val="24"/>
        </w:rPr>
        <w:t xml:space="preserve">. </w:t>
      </w:r>
    </w:p>
    <w:p w14:paraId="5BC3F729" w14:textId="6408286D" w:rsidR="00A62B63" w:rsidRPr="004E16EB" w:rsidRDefault="00A62B63" w:rsidP="00A62B63">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Grameen Bank's model has been replicated and modified in many Sharia microfinance programs in Indonesia, including Sharia microfinance </w:t>
      </w:r>
      <w:r w:rsidRPr="004E16EB">
        <w:rPr>
          <w:rFonts w:ascii="Times New Roman" w:hAnsi="Times New Roman"/>
          <w:i/>
          <w:iCs/>
          <w:sz w:val="24"/>
          <w:szCs w:val="24"/>
        </w:rPr>
        <w:t xml:space="preserve">Waqf </w:t>
      </w:r>
      <w:r w:rsidRPr="004E16EB">
        <w:rPr>
          <w:rFonts w:ascii="Times New Roman" w:hAnsi="Times New Roman"/>
          <w:sz w:val="24"/>
          <w:szCs w:val="24"/>
        </w:rPr>
        <w:t xml:space="preserve">Bank. Most Sharia microfinance is designed as ultra-micro financing as achieved by </w:t>
      </w:r>
      <w:proofErr w:type="spellStart"/>
      <w:r w:rsidRPr="004E16EB">
        <w:rPr>
          <w:rFonts w:ascii="Times New Roman" w:hAnsi="Times New Roman"/>
          <w:i/>
          <w:sz w:val="24"/>
          <w:szCs w:val="24"/>
        </w:rPr>
        <w:t>Permodalna</w:t>
      </w:r>
      <w:proofErr w:type="spellEnd"/>
      <w:r w:rsidRPr="004E16EB">
        <w:rPr>
          <w:rFonts w:ascii="Times New Roman" w:hAnsi="Times New Roman"/>
          <w:i/>
          <w:sz w:val="24"/>
          <w:szCs w:val="24"/>
        </w:rPr>
        <w:t xml:space="preserve"> Nasional </w:t>
      </w:r>
      <w:proofErr w:type="spellStart"/>
      <w:r w:rsidRPr="004E16EB">
        <w:rPr>
          <w:rFonts w:ascii="Times New Roman" w:hAnsi="Times New Roman"/>
          <w:i/>
          <w:sz w:val="24"/>
          <w:szCs w:val="24"/>
        </w:rPr>
        <w:t>Madani</w:t>
      </w:r>
      <w:proofErr w:type="spellEnd"/>
      <w:r w:rsidRPr="004E16EB">
        <w:rPr>
          <w:rFonts w:ascii="Times New Roman" w:hAnsi="Times New Roman"/>
          <w:sz w:val="24"/>
          <w:szCs w:val="24"/>
        </w:rPr>
        <w:t xml:space="preserve"> (PNM) since 2015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{"citationItems":[{"id":"ITEM-1","itemData":{"ISSN":"2623-0402","abstract":"The community requires financial literacy to manage finances in order to accomplish optimal goals and to make decisions about how to use financial institutions. A descriptive qualitative approach is used in this study, using a sample of 7 informants interviewed. Data is gathered through interviews, observations, and documentation. The credibility technique is used in the data validity technique.  Internal validity (internal validity), exterior validity (external validity), dependability (reliability), and trustworthiness (objectivity). According to the findings of this study, the degree of Islamic education in the United States is at an all-time high. The fishing community in Dusun Kuala Jaya still has a poor level of financial literacy. In the meantime, the level of Islamic financial inclusion in the fishing community in the United States has increased. Dusun Kuala Jaya is a fantastic restaurant. Account ownership and saving are indicators of this. and traditional financial entities' financing","author":[{"dropping-particle":"","family":"Musta'anah","given":"Ana","non-dropping-particle":"","parse-names":false,"suffix":""},{"dropping-particle":"","family":"Bina Buono","given":"Kulup","non-dropping-particle":"","parse-names":false,"suffix":""},{"dropping-particle":"","family":"Atika","given":"Ria","non-dropping-particle":"","parse-names":false,"suffix":""},{"dropping-particle":"","family":"Noviarita","given":"Heni","non-dropping-particle":"","parse-names":false,"suffix":""},{"dropping-particle":"","family":"Islam","given":"Universitas","non-dropping-particle":"","parse-names":false,"suffix":""},{"dropping-particle":"","family":"Raden","given":"Negeri","non-dropping-particle":"","parse-names":false,"suffix":""},{"dropping-particle":"","family":"Lampung","given":"Intan","non-dropping-particle":"","parse-names":false,"suffix":""}],"container-title":"Journal of Islamic Business and Economic Review","id":"ITEM-1","issue":"2","issued":{"date-parts":[["2021","7"]]},"page":"97-101","title":"Analysis of Sharia Literacy Level and Sharia Financial Inclusion PNM Mekaar Sharia in Increasing Income Public (Study on the Fishing Community of Kuala Jaya Hamlet, South Lampung Regency)","type":"article-journal","volume":"4"},"uris":["http://www.mendeley.com/documents/?uuid=f12aa4d0-b53b-48d9-9587-1b48dd898146"]}],"mendeley":{"formattedCitation":"(Musta’anah et al., 2021)","manualFormatting":"(Musta'anah dkk., 2021)","plainTextFormattedCitation":"(Musta’anah et al., 2021)","previouslyFormattedCitation":"(Musta’anah et al., 2021)"},"properties":{"noteIndex":0},"schema":"https://github.com/citation-style-language/schema/raw/master/csl-citation.json"}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(Musta'anah et al., 2021)</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Similarly, BTPN Syariah has focused on the economic empowerment of productive</w:t>
      </w:r>
      <w:r w:rsidR="00C20B9B">
        <w:rPr>
          <w:rFonts w:ascii="Times New Roman" w:hAnsi="Times New Roman"/>
          <w:sz w:val="24"/>
          <w:szCs w:val="24"/>
        </w:rPr>
        <w:t>,</w:t>
      </w:r>
      <w:r w:rsidRPr="004E16EB">
        <w:rPr>
          <w:rFonts w:ascii="Times New Roman" w:hAnsi="Times New Roman"/>
          <w:sz w:val="24"/>
          <w:szCs w:val="24"/>
        </w:rPr>
        <w:t xml:space="preserve"> underprivileged women since 2010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{"citationItems":[{"id":"ITEM-1","itemData":{"DOI":"10.2991/AEBMR.K.200522.045","ISBN":"978-94-6252-973-1","ISSN":"2352-5428","abstract":"… Spirituality in Workplace, Individual Spirituality and Work Behaviour: The Studi of Higher Education in Indonesia” SSRN Working Paper Series … (Bank Jatim Syariah) Kantor Cabang Surabaya,” Jurnal Ekonomi Islam, vol … [9] AJ Ali and A. Owaihan, “Islamic Work Ethics : a critical …","author":[{"dropping-particle":"","family":"Fanggidae","given":"Rolland Epafras","non-dropping-particle":"","parse-names":false,"suffix":""},{"dropping-particle":"","family":"Kurniawati","given":"Merlyn","non-dropping-particle":"","parse-names":false,"suffix":""},{"dropping-particle":"","family":"Bahweres","given":"Hawyah","non-dropping-particle":"","parse-names":false,"suffix":""}],"container-title":"Atlantes Press","id":"ITEM-1","issued":{"date-parts":[["2020","5"]]},"page":"234-239","publisher":"Atlantis Press","title":"The Effect of Workplace Spirituality and Employee Performance (Perspective of Islamic Work Ethics Case Study on BTPN Syariah, Kupang)","type":"article-journal"},"uris":["http://www.mendeley.com/documents/?uuid=e5a0b73f-8fad-4988-9648-452fdce80238"]}],"mendeley":{"formattedCitation":"(Fanggidae et al., 2020)","manualFormatting":"(Fanggidae dkk., 2020)","plainTextFormattedCitation":"(Fanggidae et al., 2020)","previouslyFormattedCitation":"(Fanggidae et al.,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(Fanggidae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These financial institution programs have </w:t>
      </w:r>
      <w:r w:rsidR="00C20B9B">
        <w:rPr>
          <w:rFonts w:ascii="Times New Roman" w:hAnsi="Times New Roman"/>
          <w:sz w:val="24"/>
          <w:szCs w:val="24"/>
        </w:rPr>
        <w:t>specific</w:t>
      </w:r>
      <w:r w:rsidRPr="004E16EB">
        <w:rPr>
          <w:rFonts w:ascii="Times New Roman" w:hAnsi="Times New Roman"/>
          <w:sz w:val="24"/>
          <w:szCs w:val="24"/>
        </w:rPr>
        <w:t xml:space="preserve"> characteristics, such as community empowerment and microfinance services. They are group-based and specifically aimed at women from poor or low-income families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Indonesia","type":"article-journal"},"uris":["http://www.mendeley.com/documents/?uuid=67d3d1bc-ee30-4487-8251-55da6fec1de9"]}],"mendeley":{"formattedCitation":"(Yaumidin et al., 2017)","manualFormatting":"(Yaumidin dkk., 2017)","plainTextFormattedCitation":"(Yaumidin et al., 2017)","previouslyFormattedCitation":"(Yaumidin et al., 2017)"},"properties":{"noteIndex":0},"schema":"https://github.com/citation-style-language/schema/raw/master/csl-citation.json"}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(Yaumidin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Muhammad Yunus stated that </w:t>
      </w:r>
      <w:r w:rsidRPr="004E16EB">
        <w:rPr>
          <w:rFonts w:ascii="Times New Roman" w:hAnsi="Times New Roman"/>
          <w:sz w:val="24"/>
          <w:szCs w:val="24"/>
        </w:rPr>
        <w:t xml:space="preserve">Microfinance institutions that provide financial services to stimulate small businesses can empower women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{"citationItems":[{"id":"ITEM-1","itemData":{"DOI":"10.1016/j.wsif.2019.102300","ISSN":"02775395","abstract":"This paper investigates the effects of female financial inclusion on inclusive economic development. Financial inclusion, understood as the access to and usage of a diverse range of quality financial products and services, can have a positive effect on the reduction of income inequality. Specifically, when women participate in the financial system, the inequality gap decreases, enabling higher economic development, which also increases both physical and social wellbeing. An instrumental variable analysis is conducted on a sample of 91 countries, comprising both developed and emerging countries, using data from the Global Findex (2015) database and the World Bank DataBank. Our results effectively provide evidence attesting to the fact that greater financial inclusion of women, measured as access to a bank account and access to credit cards, has a positive effect on economic development. However, bank loans did not show any significance when explaining economic development.","author":[{"dropping-particle":"","family":"Cabeza-García","given":"Laura","non-dropping-particle":"","parse-names":false,"suffix":""},{"dropping-particle":"","family":"Brio","given":"Esther B.","non-dropping-particle":"Del","parse-names":false,"suffix":""},{"dropping-particle":"","family":"Oscanoa-Victorio","given":"Mery Luz","non-dropping-particle":"","parse-names":false,"suffix":""}],"container-title":"Women's Studies International Forum","id":"ITEM-1","issue":"October","issued":{"date-parts":[["2019"]]},"page":"102300","publisher":"Elsevier","title":"Female financial inclusion and its impacts on inclusive economic development","type":"article-journal","volume":"77"},"uris":["http://www.mendeley.com/documents/?uuid=d79604a2-c2be-45b8-aa02-7e5f76e90807"]}],"mendeley":{"formattedCitation":"(Cabeza-García et al., 2019)","manualFormatting":"(Cabeza-García dkk., 2019)","plainTextFormattedCitation":"(Cabeza-García et al., 2019)","previouslyFormattedCitation":"(Cabeza-García et al., 2019)"},"properties":{"noteIndex":0},"schema":"https://github.com/citation-style-language/schema/raw/master/csl-citation.json"}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(Cabeza-García et al., 2019)</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pacing w:val="5"/>
          <w:sz w:val="24"/>
          <w:szCs w:val="24"/>
        </w:rPr>
        <w:t xml:space="preserve">Bank Mit Ghramr was established for small business loans, and 97% of its customers are women </w:t>
      </w:r>
      <w:r w:rsidRPr="004E16EB">
        <w:rPr>
          <w:rFonts w:ascii="Times New Roman" w:hAnsi="Times New Roman" w:cs="Times New Roman"/>
          <w:spacing w:val="5"/>
          <w:sz w:val="24"/>
          <w:szCs w:val="24"/>
        </w:rPr>
        <w:fldChar w:fldCharType="begin" w:fldLock="1"/>
      </w:r>
      <w:r>
        <w:rPr>
          <w:rFonts w:ascii="Times New Roman" w:hAnsi="Times New Roman" w:cs="Times New Roman"/>
          <w:spacing w:val="5"/>
          <w:sz w:val="24"/>
          <w:szCs w:val="24"/>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ENTREPRENEURSHIP","type":"report","volume":"1"},"uris":["http://www.mendeley.com/documents/?uuid=4f44eb36-87ed-48be-bd7b-50020d2f844a"]}],"mendeley":{"formattedCitation":"(Yunus, 2005)","plainTextFormattedCitation":"(Yunus, 2005)","previouslyFormattedCitation":"(M. Yunus, 2005)"},"properties":{"noteIndex":0},"schema":"https://github.com/citation-style-language/schema/raw/master/csl-citation.json"}</w:instrText>
      </w:r>
      <w:r w:rsidRPr="004E16EB">
        <w:rPr>
          <w:rFonts w:ascii="Times New Roman" w:hAnsi="Times New Roman" w:cs="Times New Roman"/>
          <w:spacing w:val="5"/>
          <w:sz w:val="24"/>
          <w:szCs w:val="24"/>
        </w:rPr>
        <w:fldChar w:fldCharType="separate"/>
      </w:r>
      <w:r w:rsidRPr="00A62B63">
        <w:rPr>
          <w:rFonts w:ascii="Times New Roman" w:hAnsi="Times New Roman" w:cs="Times New Roman"/>
          <w:noProof/>
          <w:spacing w:val="5"/>
          <w:sz w:val="24"/>
          <w:szCs w:val="24"/>
        </w:rPr>
        <w:t>(Yunus, 2005)</w:t>
      </w:r>
      <w:r w:rsidRPr="004E16EB">
        <w:rPr>
          <w:rFonts w:ascii="Times New Roman" w:hAnsi="Times New Roman" w:cs="Times New Roman"/>
          <w:spacing w:val="5"/>
          <w:sz w:val="24"/>
          <w:szCs w:val="24"/>
        </w:rPr>
        <w:fldChar w:fldCharType="end"/>
      </w:r>
      <w:r w:rsidRPr="004E16EB">
        <w:rPr>
          <w:rFonts w:ascii="Times New Roman" w:hAnsi="Times New Roman" w:cs="Times New Roman"/>
          <w:spacing w:val="5"/>
          <w:sz w:val="24"/>
          <w:szCs w:val="24"/>
        </w:rPr>
        <w:t xml:space="preserve">. </w:t>
      </w:r>
      <w:r w:rsidRPr="004E16EB">
        <w:rPr>
          <w:rFonts w:ascii="Times New Roman" w:hAnsi="Times New Roman"/>
          <w:sz w:val="24"/>
          <w:szCs w:val="24"/>
        </w:rPr>
        <w:t xml:space="preserve">Empowerment using </w:t>
      </w:r>
      <w:r w:rsidR="00C20B9B">
        <w:rPr>
          <w:rFonts w:ascii="Times New Roman" w:hAnsi="Times New Roman"/>
          <w:sz w:val="24"/>
          <w:szCs w:val="24"/>
        </w:rPr>
        <w:t>the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Model</w:t>
      </w:r>
      <w:r w:rsidRPr="004E16EB">
        <w:rPr>
          <w:rFonts w:ascii="Times New Roman" w:hAnsi="Times New Roman"/>
          <w:sz w:val="24"/>
          <w:szCs w:val="24"/>
        </w:rPr>
        <w:t xml:space="preserve">, the key to women's economic empowerment, has not been </w:t>
      </w:r>
      <w:r w:rsidR="00C20B9B">
        <w:rPr>
          <w:rFonts w:ascii="Times New Roman" w:hAnsi="Times New Roman"/>
          <w:sz w:val="24"/>
          <w:szCs w:val="24"/>
        </w:rPr>
        <w:t>entire</w:t>
      </w:r>
      <w:r w:rsidRPr="004E16EB">
        <w:rPr>
          <w:rFonts w:ascii="Times New Roman" w:hAnsi="Times New Roman"/>
          <w:sz w:val="24"/>
          <w:szCs w:val="24"/>
        </w:rPr>
        <w:t>ly successful. The customer does not fully use the financing disbursed by MWB for business capital. Interviews with group leaders (AS, 2021) revealed that some customers use funds for consumptive purposes or to pay off debts (WT. 2021). This condition results in group members being in arrears of financing installments (R, 2021), which should have been covered through group savings. This shows that the assistance provided by MWB is not only in the form of weekly halaqoh. Therefore, field assistance should involve supervision of the customer's place of business</w:t>
      </w:r>
      <w:r w:rsidRPr="004E16EB">
        <w:rPr>
          <w:rFonts w:ascii="Times New Roman" w:hAnsi="Times New Roman" w:cs="Times New Roman"/>
          <w:sz w:val="24"/>
          <w:szCs w:val="24"/>
        </w:rPr>
        <w:t xml:space="preserve">. </w:t>
      </w:r>
    </w:p>
    <w:p w14:paraId="07EDCD98" w14:textId="77777777" w:rsidR="00A62B63" w:rsidRPr="004E16EB" w:rsidRDefault="00A62B63" w:rsidP="00A62B63">
      <w:pPr>
        <w:widowControl w:val="0"/>
        <w:spacing w:after="0" w:line="240" w:lineRule="auto"/>
        <w:jc w:val="both"/>
      </w:pPr>
    </w:p>
    <w:p w14:paraId="6F88AB84" w14:textId="48F4F0B2" w:rsidR="00A62B63" w:rsidRDefault="00A62B63" w:rsidP="00A62B63">
      <w:pPr>
        <w:ind w:firstLine="720"/>
      </w:pPr>
    </w:p>
    <w:p w14:paraId="7C0F43B0" w14:textId="77777777" w:rsidR="00A62B63" w:rsidRPr="00A62B63" w:rsidRDefault="00A62B63" w:rsidP="00A62B63">
      <w:pPr>
        <w:rPr>
          <w:rFonts w:ascii="Times New Roman" w:hAnsi="Times New Roman" w:cs="Times New Roman"/>
          <w:b/>
          <w:bCs/>
          <w:sz w:val="24"/>
          <w:szCs w:val="24"/>
        </w:rPr>
      </w:pPr>
    </w:p>
    <w:p w14:paraId="215C57A3" w14:textId="0DD254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Conclusion</w:t>
      </w:r>
    </w:p>
    <w:p w14:paraId="1469EB75" w14:textId="66AFBC39" w:rsidR="00A62B63" w:rsidRPr="004E16EB" w:rsidRDefault="00A62B63" w:rsidP="00A62B63">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t xml:space="preserve">Empowerment is carried out by MWB through financing and mentoring potentially productive but poor women who live around Islamic boarding schools as their market segment. Loans are distributed </w:t>
      </w:r>
      <w:r w:rsidR="00C20B9B">
        <w:rPr>
          <w:rFonts w:ascii="Times New Roman" w:hAnsi="Times New Roman"/>
          <w:sz w:val="24"/>
          <w:szCs w:val="24"/>
        </w:rPr>
        <w:t>using</w:t>
      </w:r>
      <w:r w:rsidRPr="004E16EB">
        <w:rPr>
          <w:rFonts w:ascii="Times New Roman" w:hAnsi="Times New Roman"/>
          <w:sz w:val="24"/>
          <w:szCs w:val="24"/>
        </w:rPr>
        <w:t xml:space="preserve"> a group approach with a shared responsibility system. The empowerment model is carried out starting from GCO</w:t>
      </w:r>
      <w:r w:rsidR="00C20B9B">
        <w:rPr>
          <w:rFonts w:ascii="Times New Roman" w:hAnsi="Times New Roman"/>
          <w:sz w:val="24"/>
          <w:szCs w:val="24"/>
        </w:rPr>
        <w:t xml:space="preserve"> and GCT and going</w:t>
      </w:r>
      <w:r w:rsidRPr="004E16EB">
        <w:rPr>
          <w:rFonts w:ascii="Times New Roman" w:hAnsi="Times New Roman"/>
          <w:sz w:val="24"/>
          <w:szCs w:val="24"/>
        </w:rPr>
        <w:t xml:space="preserve"> to mentoring using</w:t>
      </w:r>
      <w:r w:rsidRPr="004E16EB">
        <w:rPr>
          <w:rFonts w:ascii="Times New Roman" w:hAnsi="Times New Roman"/>
          <w:i/>
          <w:iCs/>
          <w:sz w:val="24"/>
          <w:szCs w:val="24"/>
        </w:rPr>
        <w:t xml:space="preserve"> 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model</w:t>
      </w:r>
      <w:r w:rsidRPr="004E16EB">
        <w:rPr>
          <w:rFonts w:ascii="Times New Roman" w:hAnsi="Times New Roman"/>
          <w:sz w:val="24"/>
          <w:szCs w:val="24"/>
        </w:rPr>
        <w:t>. Participants sit cross-legged on the floor, facing the supervisor in a semicircle. Participants who need the most financing sit at the back, group leaders sit at the front, and those who receive funding come last.</w:t>
      </w:r>
    </w:p>
    <w:p w14:paraId="3E7A925D" w14:textId="7AAF9F0B" w:rsidR="00A62B63" w:rsidRPr="004E16EB" w:rsidRDefault="00A62B63" w:rsidP="00A62B63">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t xml:space="preserve">The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implemented by MWB improves women's economic welfare through </w:t>
      </w:r>
      <w:r w:rsidRPr="004E16EB">
        <w:rPr>
          <w:rFonts w:ascii="Times New Roman" w:hAnsi="Times New Roman"/>
          <w:sz w:val="24"/>
          <w:szCs w:val="24"/>
        </w:rPr>
        <w:lastRenderedPageBreak/>
        <w:t>micro</w:t>
      </w:r>
      <w:r w:rsidR="00C20B9B">
        <w:rPr>
          <w:rFonts w:ascii="Times New Roman" w:hAnsi="Times New Roman"/>
          <w:sz w:val="24"/>
          <w:szCs w:val="24"/>
        </w:rPr>
        <w:t>-</w:t>
      </w:r>
      <w:r w:rsidRPr="004E16EB">
        <w:rPr>
          <w:rFonts w:ascii="Times New Roman" w:hAnsi="Times New Roman"/>
          <w:sz w:val="24"/>
          <w:szCs w:val="24"/>
        </w:rPr>
        <w:t xml:space="preserve">financing. Women receive the development of </w:t>
      </w:r>
      <w:r w:rsidR="00C20B9B">
        <w:rPr>
          <w:rFonts w:ascii="Times New Roman" w:hAnsi="Times New Roman"/>
          <w:sz w:val="24"/>
          <w:szCs w:val="24"/>
        </w:rPr>
        <w:t>S</w:t>
      </w:r>
      <w:r w:rsidRPr="004E16EB">
        <w:rPr>
          <w:rFonts w:ascii="Times New Roman" w:hAnsi="Times New Roman"/>
          <w:sz w:val="24"/>
          <w:szCs w:val="24"/>
        </w:rPr>
        <w:t xml:space="preserve">haria business character at GCT based on discipline, honesty, trust, concern for others, and financial responsibility. They also receive Islamic assistance, household financial management, and business development at regular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meetings.</w:t>
      </w:r>
    </w:p>
    <w:p w14:paraId="7F4DCFB9" w14:textId="77777777" w:rsidR="00A62B63" w:rsidRPr="004E16EB" w:rsidRDefault="00A62B63" w:rsidP="00A62B63">
      <w:pPr>
        <w:widowControl w:val="0"/>
        <w:spacing w:after="0" w:line="240" w:lineRule="auto"/>
        <w:ind w:firstLine="567"/>
        <w:jc w:val="both"/>
        <w:rPr>
          <w:rFonts w:ascii="Times New Roman" w:hAnsi="Times New Roman" w:cs="Times New Roman"/>
          <w:sz w:val="24"/>
          <w:szCs w:val="24"/>
        </w:rPr>
      </w:pPr>
      <w:r w:rsidRPr="004E16EB">
        <w:rPr>
          <w:rFonts w:ascii="Times New Roman" w:hAnsi="Times New Roman"/>
          <w:sz w:val="24"/>
          <w:szCs w:val="24"/>
        </w:rPr>
        <w:t>SMI's MWB program can be replicated and expanded in its founding areas to improve access to microfinance and empower women's economies. The study is expected to involve government and non-government policies to promote women's empowerment through easy access to financial institutions. However, it only examines the women's empowerment model carried out by MWB, not the risk management side of group-based financing. This is an opportunity for future studies to review financing risk management in MWB</w:t>
      </w:r>
      <w:r w:rsidRPr="004E16EB">
        <w:rPr>
          <w:rFonts w:ascii="Times New Roman" w:hAnsi="Times New Roman" w:cs="Times New Roman"/>
          <w:sz w:val="24"/>
          <w:szCs w:val="24"/>
        </w:rPr>
        <w:t>.</w:t>
      </w:r>
    </w:p>
    <w:p w14:paraId="066794C2" w14:textId="3B16C323" w:rsidR="002103D5" w:rsidRPr="00B91E92" w:rsidRDefault="00A62B63" w:rsidP="00A62B63">
      <w:pPr>
        <w:ind w:firstLine="720"/>
        <w:jc w:val="both"/>
        <w:rPr>
          <w:rFonts w:ascii="Times New Roman" w:hAnsi="Times New Roman" w:cs="Times New Roman"/>
          <w:sz w:val="24"/>
          <w:szCs w:val="24"/>
        </w:rPr>
      </w:pPr>
      <w:r w:rsidRPr="004E16EB">
        <w:rPr>
          <w:rFonts w:ascii="Times New Roman" w:hAnsi="Times New Roman"/>
          <w:sz w:val="24"/>
          <w:szCs w:val="24"/>
        </w:rPr>
        <w:t xml:space="preserve">A new insight from this study is that the </w:t>
      </w:r>
      <w:proofErr w:type="spellStart"/>
      <w:r w:rsidRPr="004E16EB">
        <w:rPr>
          <w:rFonts w:ascii="Times New Roman" w:hAnsi="Times New Roman"/>
          <w:sz w:val="24"/>
          <w:szCs w:val="24"/>
        </w:rPr>
        <w:t>halaqoh</w:t>
      </w:r>
      <w:proofErr w:type="spellEnd"/>
      <w:r w:rsidRPr="004E16EB">
        <w:rPr>
          <w:rFonts w:ascii="Times New Roman" w:hAnsi="Times New Roman"/>
          <w:sz w:val="24"/>
          <w:szCs w:val="24"/>
        </w:rPr>
        <w:t xml:space="preserve"> model is very suitable for use in the empowerment of women who do not have bank accounts. At weekly </w:t>
      </w:r>
      <w:proofErr w:type="spellStart"/>
      <w:r w:rsidRPr="004E16EB">
        <w:rPr>
          <w:rFonts w:ascii="Times New Roman" w:hAnsi="Times New Roman"/>
          <w:sz w:val="24"/>
          <w:szCs w:val="24"/>
        </w:rPr>
        <w:t>halaqah</w:t>
      </w:r>
      <w:proofErr w:type="spellEnd"/>
      <w:r w:rsidRPr="004E16EB">
        <w:rPr>
          <w:rFonts w:ascii="Times New Roman" w:hAnsi="Times New Roman"/>
          <w:sz w:val="24"/>
          <w:szCs w:val="24"/>
        </w:rPr>
        <w:t xml:space="preserve"> meetings, fostering customers' mental attitudes, sense of togetherness, commitment, discipline, building solidarity, responsibility, and group</w:t>
      </w:r>
      <w:r w:rsidR="00C20B9B">
        <w:rPr>
          <w:rFonts w:ascii="Times New Roman" w:hAnsi="Times New Roman"/>
          <w:sz w:val="24"/>
          <w:szCs w:val="24"/>
        </w:rPr>
        <w:t xml:space="preserve"> </w:t>
      </w:r>
      <w:r w:rsidRPr="004E16EB">
        <w:rPr>
          <w:rFonts w:ascii="Times New Roman" w:hAnsi="Times New Roman"/>
          <w:sz w:val="24"/>
          <w:szCs w:val="24"/>
        </w:rPr>
        <w:t xml:space="preserve">work are seen as more effective. The study also offers some practical implications. First, the government needs to make SMI MWB the basis for </w:t>
      </w:r>
      <w:r w:rsidR="00C20B9B">
        <w:rPr>
          <w:rFonts w:ascii="Times New Roman" w:hAnsi="Times New Roman"/>
          <w:sz w:val="24"/>
          <w:szCs w:val="24"/>
        </w:rPr>
        <w:t xml:space="preserve">the </w:t>
      </w:r>
      <w:r w:rsidRPr="004E16EB">
        <w:rPr>
          <w:rFonts w:ascii="Times New Roman" w:hAnsi="Times New Roman"/>
          <w:sz w:val="24"/>
          <w:szCs w:val="24"/>
        </w:rPr>
        <w:t xml:space="preserve">economic empowerment of women who do not have bank accounts </w:t>
      </w:r>
      <w:r w:rsidR="00C20B9B">
        <w:rPr>
          <w:rFonts w:ascii="Times New Roman" w:hAnsi="Times New Roman"/>
          <w:sz w:val="24"/>
          <w:szCs w:val="24"/>
        </w:rPr>
        <w:t>and</w:t>
      </w:r>
      <w:r w:rsidRPr="004E16EB">
        <w:rPr>
          <w:rFonts w:ascii="Times New Roman" w:hAnsi="Times New Roman"/>
          <w:sz w:val="24"/>
          <w:szCs w:val="24"/>
        </w:rPr>
        <w:t xml:space="preserve"> cannot access banking services so that they can actively participate in economic activities and improve the welfare of their families. Second, the results of this study can be an inspiration for women micro and small entrepreneurs to continue to fight against marginalization in the financial aspect</w:t>
      </w:r>
      <w:r w:rsidR="00C20B9B">
        <w:rPr>
          <w:rFonts w:ascii="Times New Roman" w:hAnsi="Times New Roman"/>
          <w:sz w:val="24"/>
          <w:szCs w:val="24"/>
        </w:rPr>
        <w:t>.</w:t>
      </w:r>
    </w:p>
    <w:p w14:paraId="2A430FF5" w14:textId="2F48A691"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Acknowledgment</w:t>
      </w:r>
    </w:p>
    <w:p w14:paraId="173F6D8E" w14:textId="77777777" w:rsidR="00A62B63" w:rsidRPr="004E16EB" w:rsidRDefault="00A62B63" w:rsidP="00A62B63">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The authors are grateful to the leaders and mentors of the IA Scholar Foundation for providing direction in completing this research.</w:t>
      </w:r>
    </w:p>
    <w:p w14:paraId="74BB60F6" w14:textId="1D04D7A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References</w:t>
      </w:r>
    </w:p>
    <w:p w14:paraId="5F8FE572" w14:textId="2CA4648C"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A62B63">
        <w:rPr>
          <w:rFonts w:ascii="Times New Roman" w:hAnsi="Times New Roman" w:cs="Times New Roman"/>
          <w:noProof/>
          <w:sz w:val="24"/>
          <w:szCs w:val="24"/>
        </w:rPr>
        <w:t xml:space="preserve">Acheampong, K., &amp; Disman, D. (2024). Empowering the poor through financial and social inclusion in Africa an Islamic perspective. By Abdelrahman Elzahi SaaidAli (Ed.), Switzerland: Springer Nature. 2022. £130.00 (pbk). ISBN: 9783031009259. </w:t>
      </w:r>
      <w:r w:rsidRPr="00A62B63">
        <w:rPr>
          <w:rFonts w:ascii="Times New Roman" w:hAnsi="Times New Roman" w:cs="Times New Roman"/>
          <w:i/>
          <w:iCs/>
          <w:noProof/>
          <w:sz w:val="24"/>
          <w:szCs w:val="24"/>
        </w:rPr>
        <w:t>Social Policy &amp; Administration</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58</w:t>
      </w:r>
      <w:r w:rsidRPr="00A62B63">
        <w:rPr>
          <w:rFonts w:ascii="Times New Roman" w:hAnsi="Times New Roman" w:cs="Times New Roman"/>
          <w:noProof/>
          <w:sz w:val="24"/>
          <w:szCs w:val="24"/>
        </w:rPr>
        <w:t>(3), 543–544. https://doi.org/10.1111/spol.12952</w:t>
      </w:r>
    </w:p>
    <w:p w14:paraId="2E623995"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Binsuwadan, J., Elhaj, M., Bousrih, J., Mabrouk, F., &amp; Alofaysan, H. (2024). The Relationship between Financial Inclusion and Women's Financial Worries: Evidence from Saudi Arabia. </w:t>
      </w:r>
      <w:r w:rsidRPr="00A62B63">
        <w:rPr>
          <w:rFonts w:ascii="Times New Roman" w:hAnsi="Times New Roman" w:cs="Times New Roman"/>
          <w:i/>
          <w:iCs/>
          <w:noProof/>
          <w:sz w:val="24"/>
          <w:szCs w:val="24"/>
        </w:rPr>
        <w:t>Sustainability</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16</w:t>
      </w:r>
      <w:r w:rsidRPr="00A62B63">
        <w:rPr>
          <w:rFonts w:ascii="Times New Roman" w:hAnsi="Times New Roman" w:cs="Times New Roman"/>
          <w:noProof/>
          <w:sz w:val="24"/>
          <w:szCs w:val="24"/>
        </w:rPr>
        <w:t>(19), 8317. https://doi.org/10.3390/su16198317</w:t>
      </w:r>
    </w:p>
    <w:p w14:paraId="0947C394"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BSM, L. (2017a). </w:t>
      </w:r>
      <w:r w:rsidRPr="00A62B63">
        <w:rPr>
          <w:rFonts w:ascii="Times New Roman" w:hAnsi="Times New Roman" w:cs="Times New Roman"/>
          <w:i/>
          <w:iCs/>
          <w:noProof/>
          <w:sz w:val="24"/>
          <w:szCs w:val="24"/>
        </w:rPr>
        <w:t>"SOP &amp; SOM Standard Operating Procedures and Management for Sharia MFIs-Micro Waqf Banks</w:t>
      </w:r>
      <w:r w:rsidRPr="00A62B63">
        <w:rPr>
          <w:rFonts w:ascii="Times New Roman" w:hAnsi="Times New Roman" w:cs="Times New Roman"/>
          <w:noProof/>
          <w:sz w:val="24"/>
          <w:szCs w:val="24"/>
        </w:rPr>
        <w:t xml:space="preserve"> (p. 8). LAZNAS BSM.</w:t>
      </w:r>
    </w:p>
    <w:p w14:paraId="2126ABF5"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BSM, L. (2017b). </w:t>
      </w:r>
      <w:r w:rsidRPr="00A62B63">
        <w:rPr>
          <w:rFonts w:ascii="Times New Roman" w:hAnsi="Times New Roman" w:cs="Times New Roman"/>
          <w:i/>
          <w:iCs/>
          <w:noProof/>
          <w:sz w:val="24"/>
          <w:szCs w:val="24"/>
        </w:rPr>
        <w:t>Management of Sharia Microfinance Institutions</w:t>
      </w:r>
      <w:r w:rsidRPr="00A62B63">
        <w:rPr>
          <w:rFonts w:ascii="Times New Roman" w:hAnsi="Times New Roman" w:cs="Times New Roman"/>
          <w:noProof/>
          <w:sz w:val="24"/>
          <w:szCs w:val="24"/>
        </w:rPr>
        <w:t>. LAZNAS BSM.</w:t>
      </w:r>
    </w:p>
    <w:p w14:paraId="639F8967"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BWM. (2019). </w:t>
      </w:r>
      <w:r w:rsidRPr="00A62B63">
        <w:rPr>
          <w:rFonts w:ascii="Times New Roman" w:hAnsi="Times New Roman" w:cs="Times New Roman"/>
          <w:i/>
          <w:iCs/>
          <w:noProof/>
          <w:sz w:val="24"/>
          <w:szCs w:val="24"/>
        </w:rPr>
        <w:t>LKMS-BWM</w:t>
      </w:r>
      <w:r w:rsidRPr="00A62B63">
        <w:rPr>
          <w:rFonts w:ascii="Times New Roman" w:hAnsi="Times New Roman" w:cs="Times New Roman"/>
          <w:noProof/>
          <w:sz w:val="24"/>
          <w:szCs w:val="24"/>
        </w:rPr>
        <w:t>. Http://Www.Lkmsbwm.Id/.</w:t>
      </w:r>
    </w:p>
    <w:p w14:paraId="7A67257B"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Cabeza-García, L., Del Brio, E. B., &amp; Oscanoa-Victorio, M. L. (2019). Female financial inclusion and its impacts on inclusive economic development. </w:t>
      </w:r>
      <w:r w:rsidRPr="00A62B63">
        <w:rPr>
          <w:rFonts w:ascii="Times New Roman" w:hAnsi="Times New Roman" w:cs="Times New Roman"/>
          <w:i/>
          <w:iCs/>
          <w:noProof/>
          <w:sz w:val="24"/>
          <w:szCs w:val="24"/>
        </w:rPr>
        <w:t>Women's Studies International Forum</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77</w:t>
      </w:r>
      <w:r w:rsidRPr="00A62B63">
        <w:rPr>
          <w:rFonts w:ascii="Times New Roman" w:hAnsi="Times New Roman" w:cs="Times New Roman"/>
          <w:noProof/>
          <w:sz w:val="24"/>
          <w:szCs w:val="24"/>
        </w:rPr>
        <w:t>(October), 102300. https://doi.org/10.1016/j.wsif.2019.102300</w:t>
      </w:r>
    </w:p>
    <w:p w14:paraId="6215E38E"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Del Sarto, N., Bocchialini, E., Gai, L., &amp; Ielasi, F. (2023). Microfinance, Microcredit, and Women's Empowerment: An Exploration of the Grameen Bank Experience for Social Inclusion. </w:t>
      </w:r>
      <w:r w:rsidRPr="00A62B63">
        <w:rPr>
          <w:rFonts w:ascii="Times New Roman" w:hAnsi="Times New Roman" w:cs="Times New Roman"/>
          <w:i/>
          <w:iCs/>
          <w:noProof/>
          <w:sz w:val="24"/>
          <w:szCs w:val="24"/>
        </w:rPr>
        <w:t>Journal of Accounting and Finance</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23</w:t>
      </w:r>
      <w:r w:rsidRPr="00A62B63">
        <w:rPr>
          <w:rFonts w:ascii="Times New Roman" w:hAnsi="Times New Roman" w:cs="Times New Roman"/>
          <w:noProof/>
          <w:sz w:val="24"/>
          <w:szCs w:val="24"/>
        </w:rPr>
        <w:t>(5). https://doi.org/10.33423/jaf.v23i5.6590</w:t>
      </w:r>
    </w:p>
    <w:p w14:paraId="7CC7B2CC"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lastRenderedPageBreak/>
        <w:t xml:space="preserve">Fanggidae, R. E., Kurniawati, M., &amp; Bahweres, H. (2020). The Effect of Workplace Spirituality and Employee Performance (Perspective of Islamic Work Ethics Case Study on BTPN Syariah, Kupang). </w:t>
      </w:r>
      <w:r w:rsidRPr="00A62B63">
        <w:rPr>
          <w:rFonts w:ascii="Times New Roman" w:hAnsi="Times New Roman" w:cs="Times New Roman"/>
          <w:i/>
          <w:iCs/>
          <w:noProof/>
          <w:sz w:val="24"/>
          <w:szCs w:val="24"/>
        </w:rPr>
        <w:t>Atlantes Press</w:t>
      </w:r>
      <w:r w:rsidRPr="00A62B63">
        <w:rPr>
          <w:rFonts w:ascii="Times New Roman" w:hAnsi="Times New Roman" w:cs="Times New Roman"/>
          <w:noProof/>
          <w:sz w:val="24"/>
          <w:szCs w:val="24"/>
        </w:rPr>
        <w:t>, 234–239. https://doi.org/10.2991/AEBMR.K.200522.045</w:t>
      </w:r>
    </w:p>
    <w:p w14:paraId="142331C0"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Fianto, B. A., Maulida, H., &amp; Laila, N. (2019). Determining factors of non-performing financing in Islamic microfinance institutions. </w:t>
      </w:r>
      <w:r w:rsidRPr="00A62B63">
        <w:rPr>
          <w:rFonts w:ascii="Times New Roman" w:hAnsi="Times New Roman" w:cs="Times New Roman"/>
          <w:i/>
          <w:iCs/>
          <w:noProof/>
          <w:sz w:val="24"/>
          <w:szCs w:val="24"/>
        </w:rPr>
        <w:t>Heliyon</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5</w:t>
      </w:r>
      <w:r w:rsidRPr="00A62B63">
        <w:rPr>
          <w:rFonts w:ascii="Times New Roman" w:hAnsi="Times New Roman" w:cs="Times New Roman"/>
          <w:noProof/>
          <w:sz w:val="24"/>
          <w:szCs w:val="24"/>
        </w:rPr>
        <w:t>(8), e02301. https://doi.org/10.1016/J.HELIYON.2019.E02301</w:t>
      </w:r>
    </w:p>
    <w:p w14:paraId="25384D1F"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Fitriatinnisa, D., &amp; Khoirunurrofik, K. (2021). Financial Inclusion, Poverty, Inequality: Empirical Evidence from Provincial in Indonesia. </w:t>
      </w:r>
      <w:r w:rsidRPr="00A62B63">
        <w:rPr>
          <w:rFonts w:ascii="Times New Roman" w:hAnsi="Times New Roman" w:cs="Times New Roman"/>
          <w:i/>
          <w:iCs/>
          <w:noProof/>
          <w:sz w:val="24"/>
          <w:szCs w:val="24"/>
        </w:rPr>
        <w:t>Economics Development Analysis Journal</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10</w:t>
      </w:r>
      <w:r w:rsidRPr="00A62B63">
        <w:rPr>
          <w:rFonts w:ascii="Times New Roman" w:hAnsi="Times New Roman" w:cs="Times New Roman"/>
          <w:noProof/>
          <w:sz w:val="24"/>
          <w:szCs w:val="24"/>
        </w:rPr>
        <w:t>(2), 205–220. https://doi.org/10.15294/EDAJ.V10I2.44483</w:t>
      </w:r>
    </w:p>
    <w:p w14:paraId="7BF364D7"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IFC. (2021). </w:t>
      </w:r>
      <w:r w:rsidRPr="00A62B63">
        <w:rPr>
          <w:rFonts w:ascii="Times New Roman" w:hAnsi="Times New Roman" w:cs="Times New Roman"/>
          <w:i/>
          <w:iCs/>
          <w:noProof/>
          <w:sz w:val="24"/>
          <w:szCs w:val="24"/>
        </w:rPr>
        <w:t>Mobile Banking in Indonesia Assessing the MArket PotentiAl for Mobile technology to extend bAnking to the UnbAnked And UnderbAnked</w:t>
      </w:r>
      <w:r w:rsidRPr="00A62B63">
        <w:rPr>
          <w:rFonts w:ascii="Times New Roman" w:hAnsi="Times New Roman" w:cs="Times New Roman"/>
          <w:noProof/>
          <w:sz w:val="24"/>
          <w:szCs w:val="24"/>
        </w:rPr>
        <w:t>.</w:t>
      </w:r>
    </w:p>
    <w:p w14:paraId="4370905B"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Macqueen, K. M., Guest, G., &amp; Namey, E. (2005). </w:t>
      </w:r>
      <w:r w:rsidRPr="00A62B63">
        <w:rPr>
          <w:rFonts w:ascii="Times New Roman" w:hAnsi="Times New Roman" w:cs="Times New Roman"/>
          <w:i/>
          <w:iCs/>
          <w:noProof/>
          <w:sz w:val="24"/>
          <w:szCs w:val="24"/>
        </w:rPr>
        <w:t>Qualitative Research Methods: A DATA COLLECTOR'S FIELD GUIDE NATASHA MACK • CYNTHIA WOODSONG.</w:t>
      </w:r>
    </w:p>
    <w:p w14:paraId="505EBD76"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Malik, R. S. (2013). QUALITATIVE RESEARCH METHODOLOGY IN EDUCATION. </w:t>
      </w:r>
      <w:r w:rsidRPr="00A62B63">
        <w:rPr>
          <w:rFonts w:ascii="Times New Roman" w:hAnsi="Times New Roman" w:cs="Times New Roman"/>
          <w:i/>
          <w:iCs/>
          <w:noProof/>
          <w:sz w:val="24"/>
          <w:szCs w:val="24"/>
        </w:rPr>
        <w:t>Journal of Edubio Tropika</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1</w:t>
      </w:r>
      <w:r w:rsidRPr="00A62B63">
        <w:rPr>
          <w:rFonts w:ascii="Times New Roman" w:hAnsi="Times New Roman" w:cs="Times New Roman"/>
          <w:noProof/>
          <w:sz w:val="24"/>
          <w:szCs w:val="24"/>
        </w:rPr>
        <w:t>(2).</w:t>
      </w:r>
    </w:p>
    <w:p w14:paraId="5D973FDE"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Musta'anah, A., Bina Buono, K., Atika, R., Noviarita, H., Islam, U., Raden, N., &amp; Lampung, I. (2021). Analysis of Sharia Literacy Level and Sharia Financial Inclusion PNM Mekaar Sharia in Increasing Income Public (Study on the Fishing Community of Kuala Jaya Hamlet, South Lampung Regency). </w:t>
      </w:r>
      <w:r w:rsidRPr="00A62B63">
        <w:rPr>
          <w:rFonts w:ascii="Times New Roman" w:hAnsi="Times New Roman" w:cs="Times New Roman"/>
          <w:i/>
          <w:iCs/>
          <w:noProof/>
          <w:sz w:val="24"/>
          <w:szCs w:val="24"/>
        </w:rPr>
        <w:t>Journal of Islamic Business and Economic Review</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4</w:t>
      </w:r>
      <w:r w:rsidRPr="00A62B63">
        <w:rPr>
          <w:rFonts w:ascii="Times New Roman" w:hAnsi="Times New Roman" w:cs="Times New Roman"/>
          <w:noProof/>
          <w:sz w:val="24"/>
          <w:szCs w:val="24"/>
        </w:rPr>
        <w:t>(2), 97–101.</w:t>
      </w:r>
    </w:p>
    <w:p w14:paraId="0E7A05FD"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Nugroho, W., &amp; Hilal, F. N. (2019). Micro Waqf Bank in Indonesia: Analysis of The Constitution Concept According to The Maqashid Sharia. </w:t>
      </w:r>
      <w:r w:rsidRPr="00A62B63">
        <w:rPr>
          <w:rFonts w:ascii="Times New Roman" w:hAnsi="Times New Roman" w:cs="Times New Roman"/>
          <w:i/>
          <w:iCs/>
          <w:noProof/>
          <w:sz w:val="24"/>
          <w:szCs w:val="24"/>
        </w:rPr>
        <w:t>Al-Iktisab: Journal of Islamic Economic Law</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3</w:t>
      </w:r>
      <w:r w:rsidRPr="00A62B63">
        <w:rPr>
          <w:rFonts w:ascii="Times New Roman" w:hAnsi="Times New Roman" w:cs="Times New Roman"/>
          <w:noProof/>
          <w:sz w:val="24"/>
          <w:szCs w:val="24"/>
        </w:rPr>
        <w:t>(1). https://doi.org/10.21111/AL-IKTISAB.V3I1.3905</w:t>
      </w:r>
    </w:p>
    <w:p w14:paraId="7A446252"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Patton, M. Q. (2005). Qualitative Research. </w:t>
      </w:r>
      <w:r w:rsidRPr="00A62B63">
        <w:rPr>
          <w:rFonts w:ascii="Times New Roman" w:hAnsi="Times New Roman" w:cs="Times New Roman"/>
          <w:i/>
          <w:iCs/>
          <w:noProof/>
          <w:sz w:val="24"/>
          <w:szCs w:val="24"/>
        </w:rPr>
        <w:t>Encyclopedia of Statistics in Behavioral Science</w:t>
      </w:r>
      <w:r w:rsidRPr="00A62B63">
        <w:rPr>
          <w:rFonts w:ascii="Times New Roman" w:hAnsi="Times New Roman" w:cs="Times New Roman"/>
          <w:noProof/>
          <w:sz w:val="24"/>
          <w:szCs w:val="24"/>
        </w:rPr>
        <w:t>. https://doi.org/10.1002/0470013192.BSA514</w:t>
      </w:r>
    </w:p>
    <w:p w14:paraId="2C7CD276"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Rahman, M. M., Khanam, R., &amp; Nghiem, S. (2017). The effects of microfinance on women's empowerment: New evidence from Bangladesh. </w:t>
      </w:r>
      <w:r w:rsidRPr="00A62B63">
        <w:rPr>
          <w:rFonts w:ascii="Times New Roman" w:hAnsi="Times New Roman" w:cs="Times New Roman"/>
          <w:i/>
          <w:iCs/>
          <w:noProof/>
          <w:sz w:val="24"/>
          <w:szCs w:val="24"/>
        </w:rPr>
        <w:t>International Journal of Social Economics</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44</w:t>
      </w:r>
      <w:r w:rsidRPr="00A62B63">
        <w:rPr>
          <w:rFonts w:ascii="Times New Roman" w:hAnsi="Times New Roman" w:cs="Times New Roman"/>
          <w:noProof/>
          <w:sz w:val="24"/>
          <w:szCs w:val="24"/>
        </w:rPr>
        <w:t>(12), 1745–1757. https://doi.org/10.1108/IJSE-02-2016-0070/FULL/HTML</w:t>
      </w:r>
    </w:p>
    <w:p w14:paraId="4BA2B748"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Razzaq, A., Qin, S., Zhou, Y., Mahmood, I., &amp; Alnafissa, M. (2024). Determinants of financial inclusion gaps in Pakistan and implications for achieving SDGs. </w:t>
      </w:r>
      <w:r w:rsidRPr="00A62B63">
        <w:rPr>
          <w:rFonts w:ascii="Times New Roman" w:hAnsi="Times New Roman" w:cs="Times New Roman"/>
          <w:i/>
          <w:iCs/>
          <w:noProof/>
          <w:sz w:val="24"/>
          <w:szCs w:val="24"/>
        </w:rPr>
        <w:t>Scientific Reports</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14</w:t>
      </w:r>
      <w:r w:rsidRPr="00A62B63">
        <w:rPr>
          <w:rFonts w:ascii="Times New Roman" w:hAnsi="Times New Roman" w:cs="Times New Roman"/>
          <w:noProof/>
          <w:sz w:val="24"/>
          <w:szCs w:val="24"/>
        </w:rPr>
        <w:t>(1), 13667. https://doi.org/10.1038/s41598-024-63445-6</w:t>
      </w:r>
    </w:p>
    <w:p w14:paraId="3C5E2AC2"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Rizvi Jafree, S., Ahsan, H., &amp; Mustafa, M. (2023). The low odds of poor women with small business loans emerging from poverty: Critical social policy implications for Pakistan. </w:t>
      </w:r>
      <w:r w:rsidRPr="00A62B63">
        <w:rPr>
          <w:rFonts w:ascii="Times New Roman" w:hAnsi="Times New Roman" w:cs="Times New Roman"/>
          <w:i/>
          <w:iCs/>
          <w:noProof/>
          <w:sz w:val="24"/>
          <w:szCs w:val="24"/>
        </w:rPr>
        <w:t>Poverty &amp; Public Policy</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15</w:t>
      </w:r>
      <w:r w:rsidRPr="00A62B63">
        <w:rPr>
          <w:rFonts w:ascii="Times New Roman" w:hAnsi="Times New Roman" w:cs="Times New Roman"/>
          <w:noProof/>
          <w:sz w:val="24"/>
          <w:szCs w:val="24"/>
        </w:rPr>
        <w:t>(3), 308–331. https://doi.org/10.1002/pop4.380</w:t>
      </w:r>
    </w:p>
    <w:p w14:paraId="039B3A02"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Saluja, O. B., Singh, P., &amp; Kumar, H. (2023). Barriers and interventions on the way to empower women through financial inclusion: a 2 decades systematic review (2000–2020). </w:t>
      </w:r>
      <w:r w:rsidRPr="00A62B63">
        <w:rPr>
          <w:rFonts w:ascii="Times New Roman" w:hAnsi="Times New Roman" w:cs="Times New Roman"/>
          <w:i/>
          <w:iCs/>
          <w:noProof/>
          <w:sz w:val="24"/>
          <w:szCs w:val="24"/>
        </w:rPr>
        <w:t>Humanities and Social Sciences Communications</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10</w:t>
      </w:r>
      <w:r w:rsidRPr="00A62B63">
        <w:rPr>
          <w:rFonts w:ascii="Times New Roman" w:hAnsi="Times New Roman" w:cs="Times New Roman"/>
          <w:noProof/>
          <w:sz w:val="24"/>
          <w:szCs w:val="24"/>
        </w:rPr>
        <w:t>(1), 148. https://doi.org/10.1057/s41599-023-01640-y</w:t>
      </w:r>
    </w:p>
    <w:p w14:paraId="750D16EB"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lastRenderedPageBreak/>
        <w:t xml:space="preserve">Soemitra, A., Kusmilawaty, &amp; Rahma, T. I. F. (2022). The Role of Micro Waqf Bank in Women' s Micro-Business Empowerment through Islamic Social Finance: Mixed-Method Evidence from Mawaridussalam Indonesia. </w:t>
      </w:r>
      <w:r w:rsidRPr="00A62B63">
        <w:rPr>
          <w:rFonts w:ascii="Times New Roman" w:hAnsi="Times New Roman" w:cs="Times New Roman"/>
          <w:i/>
          <w:iCs/>
          <w:noProof/>
          <w:sz w:val="24"/>
          <w:szCs w:val="24"/>
        </w:rPr>
        <w:t>Economies 2022, Vol. 10, Page 157</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10</w:t>
      </w:r>
      <w:r w:rsidRPr="00A62B63">
        <w:rPr>
          <w:rFonts w:ascii="Times New Roman" w:hAnsi="Times New Roman" w:cs="Times New Roman"/>
          <w:noProof/>
          <w:sz w:val="24"/>
          <w:szCs w:val="24"/>
        </w:rPr>
        <w:t>(7), 157. https://doi.org/10.3390/ECONOMIES10070157</w:t>
      </w:r>
    </w:p>
    <w:p w14:paraId="12353E6B"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Sulistiani, S. L., Yunus, M., &amp; Bayuni, E. M. (2020). Micro Waqf Bank: New Sharia Financial Instruments in Indonesia. </w:t>
      </w:r>
      <w:r w:rsidRPr="00A62B63">
        <w:rPr>
          <w:rFonts w:ascii="Times New Roman" w:hAnsi="Times New Roman" w:cs="Times New Roman"/>
          <w:i/>
          <w:iCs/>
          <w:noProof/>
          <w:sz w:val="24"/>
          <w:szCs w:val="24"/>
        </w:rPr>
        <w:t>Advances in Social Science, Education and Humanities Research</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409</w:t>
      </w:r>
      <w:r w:rsidRPr="00A62B63">
        <w:rPr>
          <w:rFonts w:ascii="Times New Roman" w:hAnsi="Times New Roman" w:cs="Times New Roman"/>
          <w:noProof/>
          <w:sz w:val="24"/>
          <w:szCs w:val="24"/>
        </w:rPr>
        <w:t>, 1–4. https://doi.org/10.2991/ASSEHR.K.200225.001</w:t>
      </w:r>
    </w:p>
    <w:p w14:paraId="1FA84AE4"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Thorne, S., Kirkham, S. R., &amp; O'Flynn-Magee, K. (2017). The Analytic Challenge in Interpretive Description. </w:t>
      </w:r>
      <w:r w:rsidRPr="00A62B63">
        <w:rPr>
          <w:rFonts w:ascii="Times New Roman" w:hAnsi="Times New Roman" w:cs="Times New Roman"/>
          <w:i/>
          <w:iCs/>
          <w:noProof/>
          <w:sz w:val="24"/>
          <w:szCs w:val="24"/>
        </w:rPr>
        <w:t>International Journal of Qualitative Methods</w:t>
      </w:r>
      <w:r w:rsidRPr="00A62B63">
        <w:rPr>
          <w:rFonts w:ascii="Times New Roman" w:hAnsi="Times New Roman" w:cs="Times New Roman"/>
          <w:noProof/>
          <w:sz w:val="24"/>
          <w:szCs w:val="24"/>
        </w:rPr>
        <w:t xml:space="preserve">, </w:t>
      </w:r>
      <w:r w:rsidRPr="00A62B63">
        <w:rPr>
          <w:rFonts w:ascii="Times New Roman" w:hAnsi="Times New Roman" w:cs="Times New Roman"/>
          <w:i/>
          <w:iCs/>
          <w:noProof/>
          <w:sz w:val="24"/>
          <w:szCs w:val="24"/>
        </w:rPr>
        <w:t>3</w:t>
      </w:r>
      <w:r w:rsidRPr="00A62B63">
        <w:rPr>
          <w:rFonts w:ascii="Times New Roman" w:hAnsi="Times New Roman" w:cs="Times New Roman"/>
          <w:noProof/>
          <w:sz w:val="24"/>
          <w:szCs w:val="24"/>
        </w:rPr>
        <w:t>(1), 1–11. https://doi.org/10.1177/160940690400300101</w:t>
      </w:r>
    </w:p>
    <w:p w14:paraId="164DD343"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A62B63">
        <w:rPr>
          <w:rFonts w:ascii="Times New Roman" w:hAnsi="Times New Roman" w:cs="Times New Roman"/>
          <w:noProof/>
          <w:sz w:val="24"/>
          <w:szCs w:val="24"/>
        </w:rPr>
        <w:t xml:space="preserve">Yaumidin, U. K., Suhodo, D. S., Yuniarti, P. I., &amp; Hidayatina, A. (2017). Financial Inclusion for Women: Impact Evaluation on Islamic Microfinance to Women's Empowerment in Indonesia. </w:t>
      </w:r>
      <w:r w:rsidRPr="00A62B63">
        <w:rPr>
          <w:rFonts w:ascii="Times New Roman" w:hAnsi="Times New Roman" w:cs="Times New Roman"/>
          <w:i/>
          <w:iCs/>
          <w:noProof/>
          <w:sz w:val="24"/>
          <w:szCs w:val="24"/>
        </w:rPr>
        <w:t>Financial Inclusion and Poverty Alleviation</w:t>
      </w:r>
      <w:r w:rsidRPr="00A62B63">
        <w:rPr>
          <w:rFonts w:ascii="Times New Roman" w:hAnsi="Times New Roman" w:cs="Times New Roman"/>
          <w:noProof/>
          <w:sz w:val="24"/>
          <w:szCs w:val="24"/>
        </w:rPr>
        <w:t>, 81–140. https://doi.org/10.1007/978-3-319-69799-4_3</w:t>
      </w:r>
    </w:p>
    <w:p w14:paraId="42AE814A" w14:textId="77777777" w:rsidR="00A62B63" w:rsidRPr="00A62B63" w:rsidRDefault="00A62B63" w:rsidP="00A62B63">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A62B63">
        <w:rPr>
          <w:rFonts w:ascii="Times New Roman" w:hAnsi="Times New Roman" w:cs="Times New Roman"/>
          <w:noProof/>
          <w:sz w:val="24"/>
          <w:szCs w:val="24"/>
        </w:rPr>
        <w:t xml:space="preserve">Yunus, M. (2005). ELIMINATING POVERTY THROUGH MARKET-BASED SOCIAL ENTREPRENEURSHIP. In </w:t>
      </w:r>
      <w:r w:rsidRPr="00A62B63">
        <w:rPr>
          <w:rFonts w:ascii="Times New Roman" w:hAnsi="Times New Roman" w:cs="Times New Roman"/>
          <w:i/>
          <w:iCs/>
          <w:noProof/>
          <w:sz w:val="24"/>
          <w:szCs w:val="24"/>
        </w:rPr>
        <w:t>Global Urban Development</w:t>
      </w:r>
      <w:r w:rsidRPr="00A62B63">
        <w:rPr>
          <w:rFonts w:ascii="Times New Roman" w:hAnsi="Times New Roman" w:cs="Times New Roman"/>
          <w:noProof/>
          <w:sz w:val="24"/>
          <w:szCs w:val="24"/>
        </w:rPr>
        <w:t xml:space="preserve"> (Vol. 1).</w:t>
      </w:r>
    </w:p>
    <w:p w14:paraId="64C9976D" w14:textId="2BE288BC" w:rsidR="007F7796" w:rsidRPr="00B91E92" w:rsidRDefault="00A62B63" w:rsidP="004B5F79">
      <w:pPr>
        <w:spacing w:before="240" w:after="120"/>
        <w:rPr>
          <w:rFonts w:ascii="Times New Roman" w:hAnsi="Times New Roman" w:cs="Times New Roman"/>
          <w:b/>
          <w:bCs/>
          <w:sz w:val="24"/>
          <w:szCs w:val="24"/>
        </w:rPr>
      </w:pPr>
      <w:r>
        <w:rPr>
          <w:rFonts w:ascii="Times New Roman" w:hAnsi="Times New Roman" w:cs="Times New Roman"/>
          <w:b/>
          <w:bCs/>
          <w:sz w:val="24"/>
          <w:szCs w:val="24"/>
        </w:rPr>
        <w:fldChar w:fldCharType="end"/>
      </w:r>
    </w:p>
    <w:p w14:paraId="535F01C3" w14:textId="68A83213" w:rsidR="00CC5B43" w:rsidRPr="001B6A13" w:rsidRDefault="00CC5B43" w:rsidP="008A01A1">
      <w:pPr>
        <w:rPr>
          <w:rFonts w:ascii="Times New Roman" w:hAnsi="Times New Roman" w:cs="Times New Roman"/>
          <w:sz w:val="24"/>
          <w:szCs w:val="24"/>
        </w:rPr>
      </w:pPr>
    </w:p>
    <w:sectPr w:rsidR="00CC5B43" w:rsidRPr="001B6A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A868E" w14:textId="77777777" w:rsidR="00616053" w:rsidRPr="00B91E92" w:rsidRDefault="00616053" w:rsidP="00515749">
      <w:pPr>
        <w:spacing w:after="0" w:line="240" w:lineRule="auto"/>
      </w:pPr>
      <w:r w:rsidRPr="00B91E92">
        <w:separator/>
      </w:r>
    </w:p>
  </w:endnote>
  <w:endnote w:type="continuationSeparator" w:id="0">
    <w:p w14:paraId="7F1B88F0" w14:textId="77777777" w:rsidR="00616053" w:rsidRPr="00B91E92" w:rsidRDefault="00616053" w:rsidP="00515749">
      <w:pPr>
        <w:spacing w:after="0" w:line="240" w:lineRule="auto"/>
      </w:pPr>
      <w:r w:rsidRPr="00B91E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Sans-Regular">
    <w:altName w:val="MS Gothic"/>
    <w:charset w:val="80"/>
    <w:family w:val="auto"/>
    <w:pitch w:val="default"/>
    <w:sig w:usb0="00000000" w:usb1="0000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38E2A" w14:textId="77777777" w:rsidR="00616053" w:rsidRPr="00B91E92" w:rsidRDefault="00616053" w:rsidP="00515749">
      <w:pPr>
        <w:spacing w:after="0" w:line="240" w:lineRule="auto"/>
      </w:pPr>
      <w:r w:rsidRPr="00B91E92">
        <w:separator/>
      </w:r>
    </w:p>
  </w:footnote>
  <w:footnote w:type="continuationSeparator" w:id="0">
    <w:p w14:paraId="02F7EB78" w14:textId="77777777" w:rsidR="00616053" w:rsidRPr="00B91E92" w:rsidRDefault="00616053" w:rsidP="00515749">
      <w:pPr>
        <w:spacing w:after="0" w:line="240" w:lineRule="auto"/>
      </w:pPr>
      <w:r w:rsidRPr="00B91E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CA42A73"/>
    <w:lvl w:ilvl="0">
      <w:start w:val="4"/>
      <w:numFmt w:val="decimal"/>
      <w:lvlText w:val="%1"/>
      <w:lvlJc w:val="left"/>
      <w:pPr>
        <w:ind w:left="360" w:hanging="360"/>
      </w:pPr>
      <w:rPr>
        <w:rFonts w:cs="Arial" w:hint="default"/>
        <w:b/>
      </w:rPr>
    </w:lvl>
    <w:lvl w:ilvl="1">
      <w:start w:val="1"/>
      <w:numFmt w:val="decimal"/>
      <w:lvlText w:val="%1.%2"/>
      <w:lvlJc w:val="left"/>
      <w:pPr>
        <w:ind w:left="786" w:hanging="360"/>
      </w:pPr>
      <w:rPr>
        <w:rFonts w:cs="Arial" w:hint="default"/>
        <w:b/>
      </w:rPr>
    </w:lvl>
    <w:lvl w:ilvl="2">
      <w:start w:val="1"/>
      <w:numFmt w:val="decimal"/>
      <w:lvlText w:val="%1.%2.%3"/>
      <w:lvlJc w:val="left"/>
      <w:pPr>
        <w:ind w:left="1572" w:hanging="720"/>
      </w:pPr>
      <w:rPr>
        <w:rFonts w:cs="Arial" w:hint="default"/>
        <w:b/>
      </w:rPr>
    </w:lvl>
    <w:lvl w:ilvl="3">
      <w:start w:val="1"/>
      <w:numFmt w:val="decimal"/>
      <w:lvlText w:val="%1.%2.%3.%4"/>
      <w:lvlJc w:val="left"/>
      <w:pPr>
        <w:ind w:left="1998" w:hanging="720"/>
      </w:pPr>
      <w:rPr>
        <w:rFonts w:cs="Arial" w:hint="default"/>
        <w:b/>
      </w:rPr>
    </w:lvl>
    <w:lvl w:ilvl="4">
      <w:start w:val="1"/>
      <w:numFmt w:val="decimal"/>
      <w:lvlText w:val="%1.%2.%3.%4.%5"/>
      <w:lvlJc w:val="left"/>
      <w:pPr>
        <w:ind w:left="2784" w:hanging="1080"/>
      </w:pPr>
      <w:rPr>
        <w:rFonts w:cs="Arial" w:hint="default"/>
        <w:b/>
      </w:rPr>
    </w:lvl>
    <w:lvl w:ilvl="5">
      <w:start w:val="1"/>
      <w:numFmt w:val="decimal"/>
      <w:lvlText w:val="%1.%2.%3.%4.%5.%6"/>
      <w:lvlJc w:val="left"/>
      <w:pPr>
        <w:ind w:left="3210" w:hanging="1080"/>
      </w:pPr>
      <w:rPr>
        <w:rFonts w:cs="Arial" w:hint="default"/>
        <w:b/>
      </w:rPr>
    </w:lvl>
    <w:lvl w:ilvl="6">
      <w:start w:val="1"/>
      <w:numFmt w:val="decimal"/>
      <w:lvlText w:val="%1.%2.%3.%4.%5.%6.%7"/>
      <w:lvlJc w:val="left"/>
      <w:pPr>
        <w:ind w:left="3996" w:hanging="1440"/>
      </w:pPr>
      <w:rPr>
        <w:rFonts w:cs="Arial" w:hint="default"/>
        <w:b/>
      </w:rPr>
    </w:lvl>
    <w:lvl w:ilvl="7">
      <w:start w:val="1"/>
      <w:numFmt w:val="decimal"/>
      <w:lvlText w:val="%1.%2.%3.%4.%5.%6.%7.%8"/>
      <w:lvlJc w:val="left"/>
      <w:pPr>
        <w:ind w:left="4422" w:hanging="1440"/>
      </w:pPr>
      <w:rPr>
        <w:rFonts w:cs="Arial" w:hint="default"/>
        <w:b/>
      </w:rPr>
    </w:lvl>
    <w:lvl w:ilvl="8">
      <w:start w:val="1"/>
      <w:numFmt w:val="decimal"/>
      <w:lvlText w:val="%1.%2.%3.%4.%5.%6.%7.%8.%9"/>
      <w:lvlJc w:val="left"/>
      <w:pPr>
        <w:ind w:left="5208" w:hanging="1800"/>
      </w:pPr>
      <w:rPr>
        <w:rFonts w:cs="Arial" w:hint="default"/>
        <w:b/>
      </w:rPr>
    </w:lvl>
  </w:abstractNum>
  <w:abstractNum w:abstractNumId="1" w15:restartNumberingAfterBreak="0">
    <w:nsid w:val="00000003"/>
    <w:multiLevelType w:val="multilevel"/>
    <w:tmpl w:val="677D05A6"/>
    <w:lvl w:ilvl="0">
      <w:start w:val="1"/>
      <w:numFmt w:val="decimal"/>
      <w:lvlText w:val="%1."/>
      <w:lvlJc w:val="left"/>
      <w:pPr>
        <w:ind w:left="720" w:hanging="360"/>
      </w:pPr>
      <w:rPr>
        <w:rFonts w:hint="default"/>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4"/>
    <w:multiLevelType w:val="multilevel"/>
    <w:tmpl w:val="77BA7F5B"/>
    <w:lvl w:ilvl="0">
      <w:start w:val="2"/>
      <w:numFmt w:val="decimal"/>
      <w:lvlText w:val="%1."/>
      <w:lvlJc w:val="left"/>
      <w:pPr>
        <w:ind w:left="360" w:hanging="360"/>
      </w:pPr>
      <w:rPr>
        <w:rFonts w:hint="default"/>
        <w:i w:val="0"/>
      </w:rPr>
    </w:lvl>
    <w:lvl w:ilvl="1">
      <w:start w:val="1"/>
      <w:numFmt w:val="decimal"/>
      <w:lvlText w:val="%1.%2."/>
      <w:lvlJc w:val="left"/>
      <w:pPr>
        <w:ind w:left="72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i/>
      </w:rPr>
    </w:lvl>
    <w:lvl w:ilvl="3">
      <w:start w:val="1"/>
      <w:numFmt w:val="decimal"/>
      <w:lvlText w:val="%1.%2.%3.%4."/>
      <w:lvlJc w:val="left"/>
      <w:pPr>
        <w:ind w:left="2880" w:hanging="72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4680" w:hanging="108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480" w:hanging="1440"/>
      </w:pPr>
      <w:rPr>
        <w:rFonts w:hint="default"/>
        <w:i/>
      </w:rPr>
    </w:lvl>
    <w:lvl w:ilvl="8">
      <w:start w:val="1"/>
      <w:numFmt w:val="decimal"/>
      <w:lvlText w:val="%1.%2.%3.%4.%5.%6.%7.%8.%9."/>
      <w:lvlJc w:val="left"/>
      <w:pPr>
        <w:ind w:left="7560" w:hanging="1800"/>
      </w:pPr>
      <w:rPr>
        <w:rFonts w:hint="default"/>
        <w:i/>
      </w:rPr>
    </w:lvl>
  </w:abstractNum>
  <w:abstractNum w:abstractNumId="3" w15:restartNumberingAfterBreak="0">
    <w:nsid w:val="12F2086D"/>
    <w:multiLevelType w:val="hybridMultilevel"/>
    <w:tmpl w:val="C8004C40"/>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4" w15:restartNumberingAfterBreak="0">
    <w:nsid w:val="255D12F1"/>
    <w:multiLevelType w:val="hybridMultilevel"/>
    <w:tmpl w:val="9F82AE88"/>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5" w15:restartNumberingAfterBreak="0">
    <w:nsid w:val="3E410C07"/>
    <w:multiLevelType w:val="hybridMultilevel"/>
    <w:tmpl w:val="4D94AD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3D9038C"/>
    <w:multiLevelType w:val="hybridMultilevel"/>
    <w:tmpl w:val="BFFEFC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EB64DB"/>
    <w:multiLevelType w:val="hybridMultilevel"/>
    <w:tmpl w:val="DB909B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63D5A84"/>
    <w:multiLevelType w:val="hybridMultilevel"/>
    <w:tmpl w:val="8ACEA37E"/>
    <w:lvl w:ilvl="0" w:tplc="FFFFFFFF">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num w:numId="1">
    <w:abstractNumId w:val="6"/>
  </w:num>
  <w:num w:numId="2">
    <w:abstractNumId w:val="7"/>
  </w:num>
  <w:num w:numId="3">
    <w:abstractNumId w:val="8"/>
  </w:num>
  <w:num w:numId="4">
    <w:abstractNumId w:val="4"/>
  </w:num>
  <w:num w:numId="5">
    <w:abstractNumId w:val="5"/>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wMjMwNTc0NLYwsDRU0lEKTi0uzszPAykwNK8FACW4oJ8tAAAA"/>
  </w:docVars>
  <w:rsids>
    <w:rsidRoot w:val="00515749"/>
    <w:rsid w:val="000006C5"/>
    <w:rsid w:val="000050EB"/>
    <w:rsid w:val="00006AF6"/>
    <w:rsid w:val="00015829"/>
    <w:rsid w:val="00052CF7"/>
    <w:rsid w:val="00054786"/>
    <w:rsid w:val="00090499"/>
    <w:rsid w:val="000A293A"/>
    <w:rsid w:val="000E042C"/>
    <w:rsid w:val="00116634"/>
    <w:rsid w:val="0012516F"/>
    <w:rsid w:val="00125B68"/>
    <w:rsid w:val="0013398D"/>
    <w:rsid w:val="00141D95"/>
    <w:rsid w:val="00182083"/>
    <w:rsid w:val="00182B69"/>
    <w:rsid w:val="001868E5"/>
    <w:rsid w:val="001A67B6"/>
    <w:rsid w:val="001B6A13"/>
    <w:rsid w:val="001F225F"/>
    <w:rsid w:val="002103D5"/>
    <w:rsid w:val="00225692"/>
    <w:rsid w:val="0023416C"/>
    <w:rsid w:val="00236C29"/>
    <w:rsid w:val="00252474"/>
    <w:rsid w:val="00292441"/>
    <w:rsid w:val="002C1224"/>
    <w:rsid w:val="003168CD"/>
    <w:rsid w:val="003419E6"/>
    <w:rsid w:val="003704B5"/>
    <w:rsid w:val="003B3E4D"/>
    <w:rsid w:val="003D4BC7"/>
    <w:rsid w:val="003E4FD0"/>
    <w:rsid w:val="00410719"/>
    <w:rsid w:val="00412247"/>
    <w:rsid w:val="00415739"/>
    <w:rsid w:val="004B5F79"/>
    <w:rsid w:val="004C2445"/>
    <w:rsid w:val="004D68AD"/>
    <w:rsid w:val="004F2CEC"/>
    <w:rsid w:val="0050233F"/>
    <w:rsid w:val="00515749"/>
    <w:rsid w:val="00531D2E"/>
    <w:rsid w:val="00571041"/>
    <w:rsid w:val="00582E66"/>
    <w:rsid w:val="005D0030"/>
    <w:rsid w:val="005D345E"/>
    <w:rsid w:val="005E3EF3"/>
    <w:rsid w:val="005F62AE"/>
    <w:rsid w:val="00616053"/>
    <w:rsid w:val="006219ED"/>
    <w:rsid w:val="006323C4"/>
    <w:rsid w:val="006329CB"/>
    <w:rsid w:val="00643890"/>
    <w:rsid w:val="00673607"/>
    <w:rsid w:val="006801D0"/>
    <w:rsid w:val="0068137C"/>
    <w:rsid w:val="00684431"/>
    <w:rsid w:val="00684B91"/>
    <w:rsid w:val="006E06D9"/>
    <w:rsid w:val="006E27EB"/>
    <w:rsid w:val="006F66B1"/>
    <w:rsid w:val="00761B5A"/>
    <w:rsid w:val="007807B5"/>
    <w:rsid w:val="00796C60"/>
    <w:rsid w:val="007A6BE3"/>
    <w:rsid w:val="007B7F20"/>
    <w:rsid w:val="007F7796"/>
    <w:rsid w:val="00821D44"/>
    <w:rsid w:val="00894A3B"/>
    <w:rsid w:val="0089639F"/>
    <w:rsid w:val="008A01A1"/>
    <w:rsid w:val="008B6941"/>
    <w:rsid w:val="008B7B94"/>
    <w:rsid w:val="008D7351"/>
    <w:rsid w:val="0090016A"/>
    <w:rsid w:val="00920B1F"/>
    <w:rsid w:val="009612E0"/>
    <w:rsid w:val="00964B6A"/>
    <w:rsid w:val="00983F85"/>
    <w:rsid w:val="00993BED"/>
    <w:rsid w:val="00994D41"/>
    <w:rsid w:val="009966D3"/>
    <w:rsid w:val="009B23B3"/>
    <w:rsid w:val="00A25BE8"/>
    <w:rsid w:val="00A62B63"/>
    <w:rsid w:val="00A75FCE"/>
    <w:rsid w:val="00A91172"/>
    <w:rsid w:val="00AF7AA9"/>
    <w:rsid w:val="00B331F3"/>
    <w:rsid w:val="00B46623"/>
    <w:rsid w:val="00B60F8E"/>
    <w:rsid w:val="00B62967"/>
    <w:rsid w:val="00B87A5C"/>
    <w:rsid w:val="00B91E92"/>
    <w:rsid w:val="00B92769"/>
    <w:rsid w:val="00BB2095"/>
    <w:rsid w:val="00BB7578"/>
    <w:rsid w:val="00BC2E6A"/>
    <w:rsid w:val="00BE013B"/>
    <w:rsid w:val="00C01CFE"/>
    <w:rsid w:val="00C13F9E"/>
    <w:rsid w:val="00C20B9B"/>
    <w:rsid w:val="00C21AD2"/>
    <w:rsid w:val="00C27114"/>
    <w:rsid w:val="00C50657"/>
    <w:rsid w:val="00C61393"/>
    <w:rsid w:val="00C61C98"/>
    <w:rsid w:val="00C81239"/>
    <w:rsid w:val="00CC5B43"/>
    <w:rsid w:val="00CD02BF"/>
    <w:rsid w:val="00CE7D43"/>
    <w:rsid w:val="00CF65E4"/>
    <w:rsid w:val="00D10564"/>
    <w:rsid w:val="00D15A33"/>
    <w:rsid w:val="00D20849"/>
    <w:rsid w:val="00D25303"/>
    <w:rsid w:val="00D3171B"/>
    <w:rsid w:val="00D331A6"/>
    <w:rsid w:val="00D42F53"/>
    <w:rsid w:val="00D550AD"/>
    <w:rsid w:val="00D56823"/>
    <w:rsid w:val="00D767AA"/>
    <w:rsid w:val="00D77E8E"/>
    <w:rsid w:val="00D95C14"/>
    <w:rsid w:val="00E17AAF"/>
    <w:rsid w:val="00E25392"/>
    <w:rsid w:val="00E8638E"/>
    <w:rsid w:val="00E87F53"/>
    <w:rsid w:val="00EC2BC6"/>
    <w:rsid w:val="00F03413"/>
    <w:rsid w:val="00F679AB"/>
    <w:rsid w:val="00FC69BB"/>
    <w:rsid w:val="00FE7A40"/>
    <w:rsid w:val="00FF20A5"/>
    <w:rsid w:val="00FF5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A06ED"/>
  <w15:chartTrackingRefBased/>
  <w15:docId w15:val="{7C403CB5-CDDD-4493-9818-C7844FAF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157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5749"/>
    <w:rPr>
      <w:sz w:val="20"/>
      <w:szCs w:val="20"/>
    </w:rPr>
  </w:style>
  <w:style w:type="character" w:styleId="FootnoteReference">
    <w:name w:val="footnote reference"/>
    <w:basedOn w:val="DefaultParagraphFont"/>
    <w:uiPriority w:val="99"/>
    <w:semiHidden/>
    <w:unhideWhenUsed/>
    <w:rsid w:val="00515749"/>
    <w:rPr>
      <w:vertAlign w:val="superscript"/>
    </w:rPr>
  </w:style>
  <w:style w:type="character" w:styleId="Hyperlink">
    <w:name w:val="Hyperlink"/>
    <w:basedOn w:val="DefaultParagraphFont"/>
    <w:uiPriority w:val="99"/>
    <w:unhideWhenUsed/>
    <w:rsid w:val="008A01A1"/>
    <w:rPr>
      <w:color w:val="0563C1" w:themeColor="hyperlink"/>
      <w:u w:val="single"/>
    </w:rPr>
  </w:style>
  <w:style w:type="character" w:styleId="UnresolvedMention">
    <w:name w:val="Unresolved Mention"/>
    <w:basedOn w:val="DefaultParagraphFont"/>
    <w:uiPriority w:val="99"/>
    <w:semiHidden/>
    <w:unhideWhenUsed/>
    <w:rsid w:val="008A01A1"/>
    <w:rPr>
      <w:color w:val="605E5C"/>
      <w:shd w:val="clear" w:color="auto" w:fill="E1DFDD"/>
    </w:rPr>
  </w:style>
  <w:style w:type="paragraph" w:styleId="ListParagraph">
    <w:name w:val="List Paragraph"/>
    <w:basedOn w:val="Normal"/>
    <w:link w:val="ListParagraphChar"/>
    <w:uiPriority w:val="34"/>
    <w:qFormat/>
    <w:rsid w:val="00994D41"/>
    <w:pPr>
      <w:spacing w:after="0" w:line="240" w:lineRule="auto"/>
      <w:ind w:left="720"/>
      <w:contextualSpacing/>
    </w:pPr>
    <w:rPr>
      <w:sz w:val="24"/>
      <w:szCs w:val="24"/>
    </w:rPr>
  </w:style>
  <w:style w:type="character" w:customStyle="1" w:styleId="ts-alignment-element">
    <w:name w:val="ts-alignment-element"/>
    <w:basedOn w:val="DefaultParagraphFont"/>
    <w:rsid w:val="00994D41"/>
  </w:style>
  <w:style w:type="character" w:styleId="EndnoteReference">
    <w:name w:val="endnote reference"/>
    <w:basedOn w:val="DefaultParagraphFont"/>
    <w:uiPriority w:val="99"/>
    <w:semiHidden/>
    <w:unhideWhenUsed/>
    <w:rsid w:val="00582E66"/>
    <w:rPr>
      <w:vertAlign w:val="superscript"/>
    </w:rPr>
  </w:style>
  <w:style w:type="paragraph" w:styleId="NormalWeb">
    <w:name w:val="Normal (Web)"/>
    <w:basedOn w:val="Normal"/>
    <w:uiPriority w:val="99"/>
    <w:semiHidden/>
    <w:unhideWhenUsed/>
    <w:rsid w:val="001A67B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A62B63"/>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62B63"/>
    <w:rPr>
      <w:rFonts w:ascii="Times New Roman" w:eastAsia="Times New Roman" w:hAnsi="Times New Roman" w:cs="Times New Roman"/>
      <w:sz w:val="24"/>
      <w:szCs w:val="24"/>
      <w:lang w:val="en-US"/>
    </w:rPr>
  </w:style>
  <w:style w:type="table" w:styleId="TableGrid">
    <w:name w:val="Table Grid"/>
    <w:basedOn w:val="TableNormal"/>
    <w:uiPriority w:val="59"/>
    <w:rsid w:val="00A62B63"/>
    <w:pPr>
      <w:spacing w:after="0" w:line="240" w:lineRule="auto"/>
    </w:pPr>
    <w:rPr>
      <w:rFonts w:ascii="Calibri" w:eastAsia="SimSun" w:hAnsi="Calibri"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A62B63"/>
    <w:rPr>
      <w:sz w:val="24"/>
      <w:szCs w:val="24"/>
    </w:rPr>
  </w:style>
  <w:style w:type="character" w:styleId="PlaceholderText">
    <w:name w:val="Placeholder Text"/>
    <w:basedOn w:val="DefaultParagraphFont"/>
    <w:uiPriority w:val="99"/>
    <w:semiHidden/>
    <w:rsid w:val="00C20B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6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zalinda@uinib.ac.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CC0CF5-D9E9-4800-8894-A389EA672618}">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chicago-fullnote-bibliography-short-title-subsequent&quot;,&quot;title&quot;:&quot;Chicago Manual of Style 17th edition (full note, short title subsequent)&quot;,&quot;format&quot;:&quot;no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5249-422C-48C5-AF67-072D0525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11073</Words>
  <Characters>63119</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Rumah Scopus</dc:creator>
  <cp:keywords/>
  <dc:description/>
  <cp:lastModifiedBy>DELL L-7400</cp:lastModifiedBy>
  <cp:revision>1</cp:revision>
  <dcterms:created xsi:type="dcterms:W3CDTF">2024-11-27T23:10:00Z</dcterms:created>
  <dcterms:modified xsi:type="dcterms:W3CDTF">2025-03-06T17:11:00Z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http://www.zotero.org/styles/cardiff-university-vancouver</vt:lpwstr>
  </property>
  <property fmtid="{D5CDD505-2E9C-101B-9397-08002B2CF9AE}" pid="5" name="Mendeley Recent Style Name 1_1">
    <vt:lpwstr>Cardiff University - Vancouver</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http://www.zotero.org/styles/mary-ann-liebert-vancouver</vt:lpwstr>
  </property>
  <property fmtid="{D5CDD505-2E9C-101B-9397-08002B2CF9AE}" pid="11" name="Mendeley Recent Style Name 4_1">
    <vt:lpwstr>Mary Ann Liebert - Vancouver</vt:lpwstr>
  </property>
  <property fmtid="{D5CDD505-2E9C-101B-9397-08002B2CF9AE}" pid="12" name="Mendeley Recent Style Id 5_1">
    <vt:lpwstr>http://www.zotero.org/styles/medizinische-universitat-innsbruck-vancouver</vt:lpwstr>
  </property>
  <property fmtid="{D5CDD505-2E9C-101B-9397-08002B2CF9AE}" pid="13" name="Mendeley Recent Style Name 5_1">
    <vt:lpwstr>Medizinische Universität Innsbruck - Vancouver (Deutsch)</vt:lpwstr>
  </property>
  <property fmtid="{D5CDD505-2E9C-101B-9397-08002B2CF9AE}" pid="14" name="Mendeley Recent Style Id 6_1">
    <vt:lpwstr>http://www.zotero.org/styles/taylor-and-francis-vancouver-national-library-of-medicine</vt:lpwstr>
  </property>
  <property fmtid="{D5CDD505-2E9C-101B-9397-08002B2CF9AE}" pid="15" name="Mendeley Recent Style Name 6_1">
    <vt:lpwstr>Taylor &amp; Francis - Vancouver/National Library of Medicine</vt:lpwstr>
  </property>
  <property fmtid="{D5CDD505-2E9C-101B-9397-08002B2CF9AE}" pid="16" name="Mendeley Recent Style Id 7_1">
    <vt:lpwstr>http://www.zotero.org/styles/turabian-fullnote-bibliography-no-ibid</vt:lpwstr>
  </property>
  <property fmtid="{D5CDD505-2E9C-101B-9397-08002B2CF9AE}" pid="17" name="Mendeley Recent Style Name 7_1">
    <vt:lpwstr>Turabian 8th edition (full note, no ibid)</vt:lpwstr>
  </property>
  <property fmtid="{D5CDD505-2E9C-101B-9397-08002B2CF9AE}" pid="18" name="Mendeley Recent Style Id 8_1">
    <vt:lpwstr>http://www.zotero.org/styles/vancouver-superscript-only-year</vt:lpwstr>
  </property>
  <property fmtid="{D5CDD505-2E9C-101B-9397-08002B2CF9AE}" pid="19" name="Mendeley Recent Style Name 8_1">
    <vt:lpwstr>Vancouver (superscript, only year in date, no issue numbers)</vt:lpwstr>
  </property>
  <property fmtid="{D5CDD505-2E9C-101B-9397-08002B2CF9AE}" pid="20" name="Mendeley Recent Style Id 9_1">
    <vt:lpwstr>http://www.zotero.org/styles/serbian-archives-of-medicine</vt:lpwstr>
  </property>
  <property fmtid="{D5CDD505-2E9C-101B-9397-08002B2CF9AE}" pid="21" name="Mendeley Recent Style Name 9_1">
    <vt:lpwstr>Vancouver - Serbian Archives of Medicine</vt:lpwstr>
  </property>
  <property fmtid="{D5CDD505-2E9C-101B-9397-08002B2CF9AE}" pid="22" name="Mendeley Document_1">
    <vt:lpwstr>True</vt:lpwstr>
  </property>
  <property fmtid="{D5CDD505-2E9C-101B-9397-08002B2CF9AE}" pid="23" name="Mendeley Unique User Id_1">
    <vt:lpwstr>44edda58-23dc-33ce-88f0-bda49c8bae74</vt:lpwstr>
  </property>
  <property fmtid="{D5CDD505-2E9C-101B-9397-08002B2CF9AE}" pid="24" name="Mendeley Citation Style_1">
    <vt:lpwstr>http://www.zotero.org/styles/apa</vt:lpwstr>
  </property>
</Properties>
</file>