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6D0330" w14:textId="77777777" w:rsidR="00542D66" w:rsidRDefault="00542D66" w:rsidP="00542D66">
      <w:pPr>
        <w:jc w:val="center"/>
        <w:rPr>
          <w:rFonts w:ascii="Times New Roman" w:hAnsi="Times New Roman" w:cs="Times New Roman"/>
          <w:b/>
          <w:bCs/>
          <w:sz w:val="28"/>
          <w:szCs w:val="28"/>
        </w:rPr>
      </w:pPr>
      <w:r w:rsidRPr="00E472AE">
        <w:rPr>
          <w:rFonts w:ascii="Times New Roman" w:hAnsi="Times New Roman" w:cs="Times New Roman"/>
          <w:b/>
          <w:bCs/>
          <w:sz w:val="28"/>
          <w:szCs w:val="28"/>
        </w:rPr>
        <w:t>UNBANKED WOMEN: ECONOMIC EMPOWERMENT USING HALAQOH MODEL IN SHARIA MICRO FINANCIAL INSTITUTIONS IN INDONESIA</w:t>
      </w:r>
    </w:p>
    <w:p w14:paraId="2B1FE7C2" w14:textId="77777777" w:rsidR="00542D66" w:rsidRPr="00B91E92" w:rsidRDefault="00542D66" w:rsidP="00542D66">
      <w:pPr>
        <w:jc w:val="center"/>
        <w:rPr>
          <w:rFonts w:ascii="Times New Roman" w:hAnsi="Times New Roman" w:cs="Times New Roman"/>
          <w:b/>
          <w:bCs/>
          <w:sz w:val="24"/>
          <w:szCs w:val="24"/>
          <w:vertAlign w:val="superscript"/>
        </w:rPr>
      </w:pPr>
      <w:r w:rsidRPr="00E472AE">
        <w:rPr>
          <w:rFonts w:ascii="Times New Roman" w:hAnsi="Times New Roman" w:cs="Times New Roman"/>
          <w:b/>
          <w:bCs/>
          <w:sz w:val="24"/>
          <w:szCs w:val="24"/>
        </w:rPr>
        <w:t>Rozalinda</w:t>
      </w:r>
      <w:r w:rsidRPr="00B91E92">
        <w:rPr>
          <w:rFonts w:ascii="Times New Roman" w:hAnsi="Times New Roman" w:cs="Times New Roman"/>
          <w:b/>
          <w:bCs/>
          <w:sz w:val="24"/>
          <w:szCs w:val="24"/>
          <w:vertAlign w:val="superscript"/>
        </w:rPr>
        <w:t>1</w:t>
      </w:r>
      <w:r>
        <w:rPr>
          <w:rFonts w:ascii="Times New Roman" w:hAnsi="Times New Roman" w:cs="Times New Roman"/>
          <w:b/>
          <w:bCs/>
          <w:sz w:val="24"/>
          <w:szCs w:val="24"/>
          <w:vertAlign w:val="superscript"/>
        </w:rPr>
        <w:t>*</w:t>
      </w:r>
      <w:r w:rsidRPr="00B91E92">
        <w:rPr>
          <w:rFonts w:ascii="Times New Roman" w:hAnsi="Times New Roman" w:cs="Times New Roman"/>
          <w:b/>
          <w:bCs/>
          <w:sz w:val="24"/>
          <w:szCs w:val="24"/>
        </w:rPr>
        <w:t xml:space="preserve">, </w:t>
      </w:r>
      <w:r w:rsidRPr="00E472AE">
        <w:rPr>
          <w:rFonts w:ascii="Times New Roman" w:hAnsi="Times New Roman" w:cs="Times New Roman"/>
          <w:b/>
          <w:bCs/>
          <w:sz w:val="24"/>
          <w:szCs w:val="24"/>
        </w:rPr>
        <w:t>Nurhasnah</w:t>
      </w:r>
      <w:r w:rsidRPr="00B91E92">
        <w:rPr>
          <w:rFonts w:ascii="Times New Roman" w:hAnsi="Times New Roman" w:cs="Times New Roman"/>
          <w:b/>
          <w:bCs/>
          <w:sz w:val="24"/>
          <w:szCs w:val="24"/>
          <w:vertAlign w:val="superscript"/>
        </w:rPr>
        <w:t>2</w:t>
      </w:r>
      <w:r w:rsidRPr="00B91E92">
        <w:rPr>
          <w:rFonts w:ascii="Times New Roman" w:hAnsi="Times New Roman" w:cs="Times New Roman"/>
          <w:b/>
          <w:bCs/>
          <w:sz w:val="24"/>
          <w:szCs w:val="24"/>
        </w:rPr>
        <w:t xml:space="preserve">, </w:t>
      </w:r>
      <w:r w:rsidRPr="00E472AE">
        <w:rPr>
          <w:rFonts w:ascii="Times New Roman" w:hAnsi="Times New Roman" w:cs="Times New Roman"/>
          <w:b/>
          <w:bCs/>
          <w:sz w:val="24"/>
          <w:szCs w:val="24"/>
        </w:rPr>
        <w:t>Rizda Octaviani</w:t>
      </w:r>
      <w:r w:rsidRPr="00B91E92">
        <w:rPr>
          <w:rFonts w:ascii="Times New Roman" w:hAnsi="Times New Roman" w:cs="Times New Roman"/>
          <w:b/>
          <w:bCs/>
          <w:sz w:val="24"/>
          <w:szCs w:val="24"/>
          <w:vertAlign w:val="superscript"/>
        </w:rPr>
        <w:t>3</w:t>
      </w:r>
    </w:p>
    <w:p w14:paraId="020AD47A" w14:textId="77777777" w:rsidR="00542D66" w:rsidRPr="00B91E92" w:rsidRDefault="00542D66" w:rsidP="00542D66">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1</w:t>
      </w:r>
      <w:r w:rsidRPr="00E472AE">
        <w:rPr>
          <w:rFonts w:ascii="Times New Roman" w:hAnsi="Times New Roman" w:cs="Times New Roman"/>
          <w:sz w:val="24"/>
          <w:szCs w:val="24"/>
        </w:rPr>
        <w:t>Faculty of Islamic Economics and Business, Imam Bonjol Padang State University, Indonesia.</w:t>
      </w:r>
    </w:p>
    <w:p w14:paraId="7485EC03" w14:textId="77777777" w:rsidR="00542D66" w:rsidRPr="00B91E92" w:rsidRDefault="00542D66" w:rsidP="00542D66">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2</w:t>
      </w:r>
      <w:r w:rsidRPr="00E472AE">
        <w:rPr>
          <w:rFonts w:ascii="Times New Roman" w:hAnsi="Times New Roman" w:cs="Times New Roman"/>
          <w:sz w:val="24"/>
          <w:szCs w:val="24"/>
        </w:rPr>
        <w:t>Faculty of Sharia, Imam Bonjol State Islamic University, Padang, Indonesia.</w:t>
      </w:r>
    </w:p>
    <w:p w14:paraId="50BC28ED" w14:textId="77777777" w:rsidR="00542D66" w:rsidRDefault="00542D66" w:rsidP="00542D66">
      <w:pPr>
        <w:spacing w:after="0" w:line="240" w:lineRule="auto"/>
        <w:jc w:val="center"/>
        <w:rPr>
          <w:rFonts w:ascii="Times New Roman" w:hAnsi="Times New Roman" w:cs="Times New Roman"/>
          <w:sz w:val="24"/>
          <w:szCs w:val="24"/>
        </w:rPr>
      </w:pPr>
      <w:r w:rsidRPr="00B91E92">
        <w:rPr>
          <w:rFonts w:ascii="Times New Roman" w:hAnsi="Times New Roman" w:cs="Times New Roman"/>
          <w:sz w:val="24"/>
          <w:szCs w:val="24"/>
          <w:vertAlign w:val="superscript"/>
        </w:rPr>
        <w:t>3</w:t>
      </w:r>
      <w:r w:rsidRPr="00E472AE">
        <w:rPr>
          <w:rFonts w:ascii="Times New Roman" w:hAnsi="Times New Roman" w:cs="Times New Roman"/>
          <w:sz w:val="24"/>
          <w:szCs w:val="24"/>
        </w:rPr>
        <w:t>Manna Wa Salwa College of Sharia Economics, Padang Panjang, West Sumatra, Indonesia.</w:t>
      </w:r>
    </w:p>
    <w:p w14:paraId="5D7AE3FD" w14:textId="3CE6930F" w:rsidR="00542D66" w:rsidRPr="0012516F" w:rsidRDefault="00542D66" w:rsidP="00542D66">
      <w:pPr>
        <w:spacing w:before="120" w:after="0" w:line="240" w:lineRule="auto"/>
        <w:jc w:val="center"/>
        <w:rPr>
          <w:rFonts w:ascii="Times New Roman" w:hAnsi="Times New Roman" w:cs="Times New Roman"/>
          <w:sz w:val="20"/>
          <w:szCs w:val="20"/>
        </w:rPr>
      </w:pPr>
      <w:r w:rsidRPr="0012516F">
        <w:rPr>
          <w:rFonts w:ascii="Times New Roman" w:hAnsi="Times New Roman" w:cs="Times New Roman"/>
          <w:sz w:val="20"/>
          <w:szCs w:val="20"/>
        </w:rPr>
        <w:t>*Corresponding Author</w:t>
      </w:r>
      <w:r>
        <w:rPr>
          <w:rFonts w:ascii="Times New Roman" w:hAnsi="Times New Roman" w:cs="Times New Roman"/>
          <w:sz w:val="20"/>
          <w:szCs w:val="20"/>
        </w:rPr>
        <w:t xml:space="preserve">: </w:t>
      </w:r>
      <w:r w:rsidRPr="00BA0D45">
        <w:rPr>
          <w:rFonts w:ascii="Times New Roman" w:hAnsi="Times New Roman" w:cs="Times New Roman"/>
          <w:sz w:val="20"/>
          <w:szCs w:val="20"/>
        </w:rPr>
        <w:t>Rozalinda, rozalinda@uinib.ac.id</w:t>
      </w:r>
    </w:p>
    <w:p w14:paraId="4E893D39" w14:textId="77777777" w:rsidR="00542D66" w:rsidRDefault="00542D66" w:rsidP="00542D66">
      <w:pPr>
        <w:jc w:val="center"/>
        <w:rPr>
          <w:rFonts w:ascii="Times New Roman" w:hAnsi="Times New Roman" w:cs="Times New Roman"/>
          <w:b/>
          <w:bCs/>
          <w:i/>
          <w:iCs/>
          <w:sz w:val="24"/>
          <w:szCs w:val="24"/>
        </w:rPr>
      </w:pPr>
    </w:p>
    <w:p w14:paraId="01FE8528" w14:textId="77777777" w:rsidR="00542D66" w:rsidRDefault="00542D66" w:rsidP="00542D66">
      <w:pPr>
        <w:jc w:val="center"/>
        <w:rPr>
          <w:rFonts w:ascii="Times New Roman" w:hAnsi="Times New Roman" w:cs="Times New Roman"/>
          <w:sz w:val="24"/>
          <w:szCs w:val="24"/>
        </w:rPr>
      </w:pPr>
      <w:r w:rsidRPr="00B91E92">
        <w:rPr>
          <w:rFonts w:ascii="Times New Roman" w:hAnsi="Times New Roman" w:cs="Times New Roman"/>
          <w:b/>
          <w:bCs/>
          <w:i/>
          <w:iCs/>
          <w:sz w:val="24"/>
          <w:szCs w:val="24"/>
        </w:rPr>
        <w:t xml:space="preserve">Abstract </w:t>
      </w:r>
    </w:p>
    <w:p w14:paraId="1C471405" w14:textId="138D9E6B" w:rsidR="00542D66" w:rsidRPr="00E472AE" w:rsidRDefault="00542D66" w:rsidP="00542D66">
      <w:pPr>
        <w:jc w:val="both"/>
        <w:rPr>
          <w:rFonts w:ascii="Times New Roman" w:hAnsi="Times New Roman" w:cs="Times New Roman"/>
          <w:sz w:val="24"/>
          <w:szCs w:val="24"/>
        </w:rPr>
      </w:pPr>
      <w:r w:rsidRPr="00E472AE">
        <w:rPr>
          <w:rFonts w:ascii="Times New Roman" w:hAnsi="Times New Roman" w:cs="Times New Roman"/>
          <w:sz w:val="24"/>
          <w:szCs w:val="24"/>
        </w:rPr>
        <w:t xml:space="preserve">This study explores the women's economic empowerment model applied by Bank Waqf Mikro (BWM), a </w:t>
      </w:r>
      <w:r w:rsidR="004405E1">
        <w:rPr>
          <w:rFonts w:ascii="Times New Roman" w:hAnsi="Times New Roman" w:cs="Times New Roman"/>
          <w:sz w:val="24"/>
          <w:szCs w:val="24"/>
        </w:rPr>
        <w:t>S</w:t>
      </w:r>
      <w:r w:rsidRPr="00E472AE">
        <w:rPr>
          <w:rFonts w:ascii="Times New Roman" w:hAnsi="Times New Roman" w:cs="Times New Roman"/>
          <w:sz w:val="24"/>
          <w:szCs w:val="24"/>
        </w:rPr>
        <w:t>haria microfinance institution in Indonesia established in 2017 to provide financial access for poor women around Islamic boarding schools. Using a descriptive qualitative approach, data was collected through in-depth interviews and observations of BWM customers, leaders, and assistants in several provinces</w:t>
      </w:r>
      <w:r w:rsidR="004405E1">
        <w:rPr>
          <w:rFonts w:ascii="Times New Roman" w:hAnsi="Times New Roman" w:cs="Times New Roman"/>
          <w:sz w:val="24"/>
          <w:szCs w:val="24"/>
        </w:rPr>
        <w:t>,</w:t>
      </w:r>
      <w:r w:rsidRPr="00E472AE">
        <w:rPr>
          <w:rFonts w:ascii="Times New Roman" w:hAnsi="Times New Roman" w:cs="Times New Roman"/>
          <w:sz w:val="24"/>
          <w:szCs w:val="24"/>
        </w:rPr>
        <w:t xml:space="preserve"> such as Yogyakarta, West Sumatra, Central Java, and East Java. BWM applies an empowerment model through group training, funding, and mentoring with the halaqoh method, which means "circle" and is a traditional learning method in Islam. The empowerment process begins with potential customer identification, socialization, surveys, feasibility tests, and pre-group training, followed by funding and mentoring through weekly halaqoh meetings. This model has proven effective in improving women's economic well-being by providing access to capital, entrepreneurship training, and household financial management. However, challenges such as improper use of funds for consumptive purposes or debt payments are still encountered, which lead to delays in instalment payments. The study concludes that the BWM model has the potential to be replicated and expanded to improve women's financial inclusion and economic empowerment, especially for those who do not have access to formal banking services. The practical implications of this study are the need for the government and non-governmental institutions to utilize the BWM model as a basic framework </w:t>
      </w:r>
      <w:r w:rsidR="004405E1">
        <w:rPr>
          <w:rFonts w:ascii="Times New Roman" w:hAnsi="Times New Roman" w:cs="Times New Roman"/>
          <w:sz w:val="24"/>
          <w:szCs w:val="24"/>
        </w:rPr>
        <w:t>for</w:t>
      </w:r>
      <w:r w:rsidRPr="00E472AE">
        <w:rPr>
          <w:rFonts w:ascii="Times New Roman" w:hAnsi="Times New Roman" w:cs="Times New Roman"/>
          <w:sz w:val="24"/>
          <w:szCs w:val="24"/>
        </w:rPr>
        <w:t xml:space="preserve"> women's economic empowerment</w:t>
      </w:r>
      <w:r w:rsidR="004405E1">
        <w:rPr>
          <w:rFonts w:ascii="Times New Roman" w:hAnsi="Times New Roman" w:cs="Times New Roman"/>
          <w:sz w:val="24"/>
          <w:szCs w:val="24"/>
        </w:rPr>
        <w:t xml:space="preserve"> and</w:t>
      </w:r>
      <w:r w:rsidRPr="00E472AE">
        <w:rPr>
          <w:rFonts w:ascii="Times New Roman" w:hAnsi="Times New Roman" w:cs="Times New Roman"/>
          <w:sz w:val="24"/>
          <w:szCs w:val="24"/>
        </w:rPr>
        <w:t xml:space="preserve"> encourage women's active participation in economic activities to improve family welfare. The study also opens up opportunities for further research on risk management in group-based funding at BWM.</w:t>
      </w:r>
    </w:p>
    <w:p w14:paraId="56D9F3DB" w14:textId="6DD7B80B" w:rsidR="00542D66" w:rsidRDefault="00542D66" w:rsidP="00542D66">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Keywords:</w:t>
      </w:r>
      <w:r w:rsidRPr="00B91E92">
        <w:rPr>
          <w:rFonts w:ascii="Times New Roman" w:hAnsi="Times New Roman" w:cs="Times New Roman"/>
          <w:sz w:val="24"/>
          <w:szCs w:val="24"/>
        </w:rPr>
        <w:t xml:space="preserve"> </w:t>
      </w:r>
      <w:r w:rsidRPr="00BA0D45">
        <w:rPr>
          <w:rFonts w:ascii="Times New Roman" w:hAnsi="Times New Roman" w:cs="Times New Roman"/>
          <w:sz w:val="24"/>
          <w:szCs w:val="24"/>
        </w:rPr>
        <w:t>Women's Economic Empowerment, Micro Waqf Bank (BWM), Halaqoh, Financial Inclusion, Sharia Microfinance Institutions</w:t>
      </w:r>
    </w:p>
    <w:p w14:paraId="193F42C5" w14:textId="31D1C0B0" w:rsidR="00DC68B2"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Introduction</w:t>
      </w:r>
    </w:p>
    <w:p w14:paraId="2AF1445A" w14:textId="2F234F09" w:rsidR="00DC68B2" w:rsidRDefault="00DC68B2" w:rsidP="00DC68B2">
      <w:pPr>
        <w:ind w:firstLine="720"/>
        <w:jc w:val="both"/>
        <w:rPr>
          <w:rFonts w:ascii="Times New Roman" w:hAnsi="Times New Roman" w:cs="Times New Roman"/>
          <w:sz w:val="24"/>
          <w:szCs w:val="24"/>
        </w:rPr>
      </w:pPr>
      <w:r w:rsidRPr="0053637C">
        <w:rPr>
          <w:rFonts w:ascii="Times New Roman" w:hAnsi="Times New Roman" w:cs="Times New Roman"/>
          <w:sz w:val="24"/>
          <w:szCs w:val="24"/>
        </w:rPr>
        <w:t xml:space="preserve">Women face significant financial marginalization in various aspects of life, which is influenced by a combination of systemic, cultural, and socioeconomic factors. Gender discrimination is a significant barrier to financial inclusion for women in Indonesia. Studies show that men have easier access to funds from family, banks, and angel investors </w:t>
      </w:r>
      <w:r w:rsidR="0034009A">
        <w:rPr>
          <w:rFonts w:ascii="Times New Roman" w:hAnsi="Times New Roman" w:cs="Times New Roman"/>
          <w:sz w:val="24"/>
          <w:szCs w:val="24"/>
        </w:rPr>
        <w:t>than</w:t>
      </w:r>
      <w:r w:rsidRPr="0053637C">
        <w:rPr>
          <w:rFonts w:ascii="Times New Roman" w:hAnsi="Times New Roman" w:cs="Times New Roman"/>
          <w:sz w:val="24"/>
          <w:szCs w:val="24"/>
        </w:rPr>
        <w:t xml:space="preserve"> women </w:t>
      </w:r>
      <w:r w:rsidRPr="0053637C">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{"citationItems":[{"id":"ITEM-1","itemData":{"DOI":"10.1163/15685314-04801003","ISSN":"1568-4849","abstract":"This study identifies what similar aspects determine access to financial capital for female entrepreneurs both in Denmark and Indonesia. Departing from a structuralist constructivist perspective (including the concepts of symbolic violence, social similarity, female otherness), we identify the impact of gender-discrimination, nationality, and further variables. The sample comprises 124 female respondents and, for reasons of comparison, 86 male respondents from Denmark and Indonesia. Binary logistic regressions and t-tests show that financial discrepancies between male and female entrepreneurs ( FE s) were larger in Indonesia than in Denmark. However, findings also suggest that gender discrimination prevails in both countries, as men have easier access to funds from family, banks, and angel investors. This study provides evidence of gender bias prevailing in both a maturing and a matured economy with a strong discourse on gender equality. We propose explaining the similarities in gender discrimination with veiled, structural discrimination being able to linger in both post-feminist, legally equality-granting, as well as in legally less egalitarian societies.","author":[{"dropping-particle":"","family":"Lueg","given":"Klarissa","non-dropping-particle":"","parse-names":false,"suffix":""},{"dropping-particle":"","family":"Ni","given":"Amanda","non-dropping-particle":"","parse-names":false,"suffix":""}],"container-title":"Asian Journal of Social Science","id":"ITEM-1","issue":"1-2","issued":{"date-parts":[["2020","5","8"]]},"page":"15-43","title":"Female Entrepreneurs and Access to Financial Capital","type":"article-journal","volume":"48"},"uris":["http://www.mendeley.com/documents/?uuid=dacfc274-527f-4e7d-80b7-4a555ba84440"]}],"mendeley":{"formattedCitation":"(Lueg &amp; Ni, 2020)","plainTextFormattedCitation":"(Lueg &amp; Ni, 2020)","previouslyFormattedCitation":"(Lueg &amp; Ni, 2020)"},"properties":{"noteIndex":0},"schema":"https://github.com/citation-style-language/schema/raw/master/csl-citation.json"}</w:instrText>
      </w:r>
      <w:r w:rsidRPr="0053637C">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(Lueg &amp; Ni, 2020)</w:t>
      </w:r>
      <w:r w:rsidRPr="0053637C">
        <w:rPr>
          <w:rFonts w:ascii="Times New Roman" w:hAnsi="Times New Roman" w:cs="Times New Roman"/>
          <w:sz w:val="24"/>
          <w:szCs w:val="24"/>
        </w:rPr>
        <w:fldChar w:fldCharType="end"/>
      </w:r>
      <w:r>
        <w:rPr>
          <w:rFonts w:ascii="Times New Roman" w:hAnsi="Times New Roman" w:cs="Times New Roman"/>
          <w:sz w:val="24"/>
          <w:szCs w:val="24"/>
        </w:rPr>
        <w:t xml:space="preserve">. This gender gap affects significant economic vulnerability, especially during personal or family crises and economic shocks </w:t>
      </w:r>
      <w:r w:rsidRPr="0053637C">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10.1108/IJSE-02-2023-0090","ISSN":"0306-8293","author":[{"dropping-particle":"","family":"Ackah","given":"Charles","non-dropping-particle":"","parse-names":false,"suffix":""},{"dropping-particle":"","family":"Torvikey","given":"Gertrude Dzifa","non-dropping-particle":"","parse-names":false,"suffix":""},{"dropping-particle":"","family":"Obeng Adomaa","given":"Faustina","non-dropping-particle":"","parse-names":false,"suffix":""},{"dropping-particle":"","family":"Asante","given":"Kofi Takyi","non-dropping-particle":"","parse-names":false,"suffix":""}],"container-title":"International Journal of Social Economics","id":"ITEM-1","issue":"7","issued":{"date-parts":[["2024","6","20"]]},"page":"870-883","title":"“You cannot rely on bank loans to expand your business”: aversion to formal credit among female micro-entrepreneurs in Ghana","type":"article-journal","volume":"51"},"uris":["http://www.mendeley.com/documents/?uuid=8efa2cb3-ec03-4503-bf4e-e4f36ba2e4f9"]}],"mendeley":{"formattedCitation":"(Ackah et al., 2024)","plainTextFormattedCitation":"(Ackah et al., 2024)","previouslyFormattedCitation":"(Ackah et al., 2024)"},"properties":{"noteIndex":0},"schema":"https://github.com/citation-style-language/schema/raw/master/csl-citation.json"}</w:instrText>
      </w:r>
      <w:r w:rsidRPr="0053637C">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(Ackah et al., 2024)</w:t>
      </w:r>
      <w:r w:rsidRPr="0053637C">
        <w:rPr>
          <w:rFonts w:ascii="Times New Roman" w:hAnsi="Times New Roman" w:cs="Times New Roman"/>
          <w:sz w:val="24"/>
          <w:szCs w:val="24"/>
        </w:rPr>
        <w:fldChar w:fldCharType="end"/>
      </w:r>
      <w:r w:rsidRPr="0053637C">
        <w:rPr>
          <w:rFonts w:ascii="Times New Roman" w:hAnsi="Times New Roman" w:cs="Times New Roman"/>
          <w:sz w:val="24"/>
          <w:szCs w:val="24"/>
        </w:rPr>
        <w:t xml:space="preserve">. Programs such as </w:t>
      </w:r>
      <w:r w:rsidRPr="0053637C">
        <w:rPr>
          <w:rFonts w:ascii="Times New Roman" w:hAnsi="Times New Roman" w:cs="Times New Roman"/>
          <w:sz w:val="24"/>
          <w:szCs w:val="24"/>
        </w:rPr>
        <w:lastRenderedPageBreak/>
        <w:t xml:space="preserve">microfinance and digital financial services have shown promise in empowering women by providing easier access to financial products </w:t>
      </w:r>
      <w:r w:rsidRPr="0053637C">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{"citationItems":[{"id":"ITEM-1","itemData":{"DOI":"10.3390/su151310253","ISSN":"2071-1050","abstract":"Financial inclusion (FI) for vulnerable populations, such as women, is critical for achieving gender equality, women’s empowerment, and thereby, inclusive growth. Sustainable development goal 5 considers gender equality as a fundamental right and views the empowerment of women as a necessary step. Access to finance is a significant means to empower a person. In this regard, the use of digital financial services is of particular significance for women as it allows them easier access to financial products for business and household needs. For implementing policies to reduce financial exclusion of women, it is necessary to first measure the extent of FI in society. While there are several attempts to measure FI for the general population, there is limited literature on the gender-based measurement of FI. This paper fills this important research gap by developing a gender-based FI index (GFII) focusing particularly on digital services and evaluating the performance of countries across the globe (by considering 109 countries based on data availability) in terms of a gender-based FI measure developed by us. This index is developed using two separate indices, a digital financial service usage index (DFI) and a conventional financial service usage index (CFI). We calculate it for different countries for 2011, 2014, 2017, and 2021 using the Global Findex databaseIt helps us to investigate the performance of different countries over the years in ensuring the financial inclusion of women and how digital services are penetrating over the years. One contribution of the paper is to relate the Gender Development Index (GDI) and Gender Inequality Index (GII) of countries, two well-known measures of inclusive and sustainable development, with GFII and DFI for female (DFIF). This exercise shows that while there is a positive correlation between these two sets of indicators, there are a number of countries that are high (or low) in gender development (or inequality) that need to improve their digital FI. Interestingly, using the Global Findex database and the Feasible Generalized Least Squares (FGLS) and instrumental variable panel data model, we show that health, education, labour force participation rate, and political empowerment of women significantly impact the digital financial inclusion of women. The paper brings out relevant policy suggestions for improving women’s digital financial access and thereby enhancing gender empowerment for faster and more inclusive growth.","author":[{"dropping-particle":"","family":"Tripathi","given":"Sabyasachi","non-dropping-particle":"","parse-names":false,"suffix":""},{"dropping-particle":"","family":"Rajeev","given":"Meenakshi","non-dropping-particle":"","parse-names":false,"suffix":""}],"container-title":"Sustainability","id":"ITEM-1","issue":"13","issued":{"date-parts":[["2023","6","28"]]},"page":"10253","title":"Gender-Inclusive Development through Fintech: Studying Gender-Based Digital Financial Inclusion in a Cross-Country Setting","type":"article-journal","volume":"15"},"uris":["http://www.mendeley.com/documents/?uuid=7d73ab85-a335-4ea6-8362-92ddd4826747"]}],"mendeley":{"formattedCitation":"(Tripathi &amp; Rajeev, 2023)","plainTextFormattedCitation":"(Tripathi &amp; Rajeev, 2023)","previouslyFormattedCitation":"(Tripathi &amp; Rajeev, 2023)"},"properties":{"noteIndex":0},"schema":"https://github.com/citation-style-language/schema/raw/master/csl-citation.json"}</w:instrText>
      </w:r>
      <w:r w:rsidRPr="0053637C">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(Tripathi &amp; Rajeev, 2023)</w:t>
      </w:r>
      <w:r w:rsidRPr="0053637C">
        <w:rPr>
          <w:rFonts w:ascii="Times New Roman" w:hAnsi="Times New Roman" w:cs="Times New Roman"/>
          <w:sz w:val="24"/>
          <w:szCs w:val="24"/>
        </w:rPr>
        <w:fldChar w:fldCharType="end"/>
      </w:r>
      <w:r w:rsidRPr="0053637C">
        <w:rPr>
          <w:rFonts w:ascii="Times New Roman" w:hAnsi="Times New Roman" w:cs="Times New Roman"/>
          <w:sz w:val="24"/>
          <w:szCs w:val="24"/>
        </w:rPr>
        <w:t>.</w:t>
      </w:r>
    </w:p>
    <w:p w14:paraId="04D800CC" w14:textId="30DDED71" w:rsidR="00DC68B2" w:rsidRPr="00095B2A" w:rsidRDefault="0034009A" w:rsidP="00DC68B2">
      <w:pPr>
        <w:ind w:firstLine="720"/>
        <w:jc w:val="both"/>
        <w:rPr>
          <w:rFonts w:ascii="Times New Roman" w:hAnsi="Times New Roman" w:cs="Times New Roman"/>
          <w:sz w:val="24"/>
          <w:szCs w:val="24"/>
        </w:rPr>
      </w:pPr>
      <w:r>
        <w:rPr>
          <w:rFonts w:ascii="Times New Roman" w:hAnsi="Times New Roman" w:cs="Times New Roman"/>
          <w:sz w:val="24"/>
          <w:szCs w:val="24"/>
        </w:rPr>
        <w:t>A lack of access to formal finance often causes the marginalization faced by poor women</w:t>
      </w:r>
      <w:r w:rsidR="00DC68B2" w:rsidRPr="00095B2A">
        <w:rPr>
          <w:rFonts w:ascii="Times New Roman" w:hAnsi="Times New Roman" w:cs="Times New Roman"/>
          <w:sz w:val="24"/>
          <w:szCs w:val="24"/>
        </w:rPr>
        <w:t xml:space="preserve">. According to </w:t>
      </w:r>
      <w:r w:rsidR="00DC68B2" w:rsidRPr="00056F40">
        <w:rPr>
          <w:rFonts w:ascii="Times New Roman" w:hAnsi="Times New Roman" w:cs="Times New Roman"/>
          <w:noProof/>
          <w:sz w:val="24"/>
          <w:szCs w:val="24"/>
        </w:rPr>
        <w:t xml:space="preserve">Rana et al. </w:t>
      </w:r>
      <w:r w:rsidR="00DC68B2">
        <w:rPr>
          <w:rStyle w:val="FootnoteReference"/>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{"citationItems":[{"id":"ITEM-1","itemData":{"DOI":"10.3390/soc14110234","ISSN":"2075-4698","abstract":"Gender equality continues to be a global issue, with significant disparities in attention and action between developed and developing nations. Women, in particular, face unique challenges when transitioning from higher education (HE) to empowerment compared to their male counterparts. In many developing countries, barriers to accessing formal education are prevalent, while, in others, despite access to education, women struggle to leverage their learning for societal advancement. This paper adopts the development theory approach by exploring the role of gender equality in fostering sustainable development, emphasizing how women’s empowerment is integral to overall societal progress. This study focuses on Brazil, where, despite high levels of female educational attainment, women still encounter substantial obstacles in transforming their education into meaningful societal empowerment. These challenges include restricted freedom and mobility, deeply ingrained gender norms, violence and harassment, cultural and societal expectations, economic limitations, and family obligations. Survey data were collated from 192 students, alumni, and staff at three academic higher education (HE) institutions in Brazil, utilizing a range of descriptive and inferential statistical analyses to uncover the most significant barriers. This study concludes with policy recommendations aimed at various stakeholders, including government bodies, employers, and other organizations, to support a smoother transition for women from higher education to empowerment. These recommendations include improving workplace policies, enhancing legal protections, and promoting gender equality in leadership roles, all of which are essential to narrowing the gender gap in Brazil.","author":[{"dropping-particle":"","family":"Rana","given":"Muhammad Qasim","non-dropping-particle":"","parse-names":false,"suffix":""},{"dropping-particle":"","family":"Lee","given":"Angela","non-dropping-particle":"","parse-names":false,"suffix":""},{"dropping-particle":"","family":"Rodrigues Bezerra","given":"José Fernando","non-dropping-particle":"","parse-names":false,"suffix":""},{"dropping-particle":"","family":"Villas Boas","given":"Guilherme Hissa","non-dropping-particle":"","parse-names":false,"suffix":""}],"container-title":"Societies","id":"ITEM-1","issue":"11","issued":{"date-parts":[["2024","11","12"]]},"page":"234","title":"Empowerment and Sustainability: Investigating Barriers to Women’s Transition from Higher Education to Empowerment in Brazil","type":"article-journal","volume":"14"},"suppress-author":1,"uris":["http://www.mendeley.com/documents/?uuid=cbf6c28f-dd6a-423a-8a7e-c8a505d87174"]}],"mendeley":{"formattedCitation":"(2024)","plainTextFormattedCitation":"(2024)","previouslyFormattedCitation":"(2024)"},"properties":{"noteIndex":0},"schema":"https://github.com/citation-style-language/schema/raw/master/csl-citation.json"}</w:instrText>
      </w:r>
      <w:r w:rsidR="00DC68B2">
        <w:rPr>
          <w:rStyle w:val="FootnoteReference"/>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(2024)</w:t>
      </w:r>
      <w:r w:rsidR="00DC68B2">
        <w:rPr>
          <w:rStyle w:val="FootnoteReference"/>
          <w:rFonts w:ascii="Times New Roman" w:hAnsi="Times New Roman" w:cs="Times New Roman"/>
          <w:sz w:val="24"/>
          <w:szCs w:val="24"/>
        </w:rPr>
        <w:fldChar w:fldCharType="end"/>
      </w:r>
      <w:r>
        <w:rPr>
          <w:rFonts w:ascii="Times New Roman" w:hAnsi="Times New Roman" w:cs="Times New Roman"/>
          <w:sz w:val="24"/>
          <w:szCs w:val="24"/>
        </w:rPr>
        <w:t>,</w:t>
      </w:r>
      <w:r w:rsidR="00DC68B2" w:rsidRPr="00095B2A">
        <w:rPr>
          <w:rFonts w:ascii="Times New Roman" w:hAnsi="Times New Roman" w:cs="Times New Roman"/>
          <w:sz w:val="24"/>
          <w:szCs w:val="24"/>
        </w:rPr>
        <w:t xml:space="preserve"> Education is one way to empower women and fight marginalization. MWB focuses on the economic empowerment of productive women through training, financing, and mentoring. This makes </w:t>
      </w:r>
      <w:r>
        <w:rPr>
          <w:rFonts w:ascii="Times New Roman" w:hAnsi="Times New Roman" w:cs="Times New Roman"/>
          <w:sz w:val="24"/>
          <w:szCs w:val="24"/>
        </w:rPr>
        <w:t>studying</w:t>
      </w:r>
      <w:r w:rsidR="00DC68B2" w:rsidRPr="00095B2A">
        <w:rPr>
          <w:rFonts w:ascii="Times New Roman" w:hAnsi="Times New Roman" w:cs="Times New Roman"/>
          <w:sz w:val="24"/>
          <w:szCs w:val="24"/>
        </w:rPr>
        <w:t xml:space="preserve"> women's economic empowerment in Sharia Microfinance Institutions very important.</w:t>
      </w:r>
    </w:p>
    <w:p w14:paraId="6DA34C40" w14:textId="7291FFE2" w:rsidR="00DC68B2" w:rsidRDefault="00DC68B2" w:rsidP="00DC68B2">
      <w:pPr>
        <w:ind w:firstLine="720"/>
        <w:jc w:val="both"/>
        <w:rPr>
          <w:rFonts w:ascii="Times New Roman" w:hAnsi="Times New Roman" w:cs="Times New Roman"/>
          <w:sz w:val="24"/>
          <w:szCs w:val="24"/>
        </w:rPr>
      </w:pPr>
      <w:r w:rsidRPr="00095B2A">
        <w:rPr>
          <w:rFonts w:ascii="Times New Roman" w:hAnsi="Times New Roman" w:cs="Times New Roman"/>
          <w:sz w:val="24"/>
          <w:szCs w:val="24"/>
        </w:rPr>
        <w:t xml:space="preserve">Women's empowerment through SMEs is an effective strategy to improve family welfare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{"citationItems":[{"id":"ITEM-1","itemData":{"DOI":"10.31893/multiscience.2023031","ISSN":"2675-1240","abstract":"Women play a role in the domestic sphere as housewives and also have a big role in the public sphere. Women become strategic actors in the community (public), especially in socio-economic development. The opportunity for women to take part in the public sphere, especially in the economic field to improve the social welfare of the family, still has an imbalance. This research is to answer the problem of how the demographic characteristics of socio-economic vulnerable women, forms of empowerment are given to socio-economic vulnerable women, how is the mobility of women to increase family income through productive economic enterprises, and the constraints and support faced by socio-economic vulnerable women in developing a productive economy to improve family welfare. The approach used is qualitative with a descriptive method. Subject targets were determined purposively, namely, women who were vulnerable to socio-economic issues and who had been empowered. The research locations were determined purposively in three provinces, namely Pekanbaru City, Riau Archipelago Province, West Bandung Regency, West Java Province, and Malang Regency, East Java Province. The results of the research can describe the empowerment and mobility of women from the domestic space to the public space to improve family welfare. Research innovations mainly lie in village and urban locations. In rural locations, it can be seen that the condition of women is weaker in terms of education, income, and involvement in the business world. In contrast to those in urban areas, the conditions of education, income, and the existence of corporate social responsibility involvement are the business world in urban areas.","author":[{"dropping-particle":"","family":"Andari","given":"Soetji","non-dropping-particle":"","parse-names":false,"suffix":""},{"dropping-particle":"","family":"Yusuf","given":"Husmiati","non-dropping-particle":"","parse-names":false,"suffix":""},{"dropping-particle":"","family":"Kuntjorowati","given":"Elly","non-dropping-particle":"","parse-names":false,"suffix":""},{"dropping-particle":"","family":"Purnama","given":"Akhmad","non-dropping-particle":"","parse-names":false,"suffix":""},{"dropping-particle":"","family":"Listyawati","given":"Listyawati","non-dropping-particle":"","parse-names":false,"suffix":""},{"dropping-particle":"","family":"Febriyandi Y. S.","given":"Febby","non-dropping-particle":"","parse-names":false,"suffix":""},{"dropping-particle":"","family":"Martino","given":"Martino","non-dropping-particle":"","parse-names":false,"suffix":""},{"dropping-particle":"","family":"Murdiyanto","given":"Murdiyanto","non-dropping-particle":"","parse-names":false,"suffix":""}],"container-title":"Multidisciplinary Science Journal","id":"ITEM-1","issued":{"date-parts":[["2023","5","18"]]},"page":"2023031","title":"Empowerment and mobility of women from domestic to public spaces in improving family welfare","type":"article-journal","volume":"5"},"uris":["http://www.mendeley.com/documents/?uuid=6c428967-b77f-4198-9189-fb02a9cc344d"]},{"id":"ITEM-2","itemData":{"DOI":"10.1177/0973005219866588","ISSN":"0973-0052","abstract":"Micro, small and medium enterprises play a pivotal role in the country which can contribute to women empowerment providing them employment opportunity. It is a key force in improving the economic condition of women providing employment to highly qualified as well as less qualified women for their overall development and helps to recognize their inherent ability to be engaged in the non-agricultural sector when employment in the agricultural sector is static. The present study attempts to assess the socio-economic empowerment of women through entrepreneurship and identify several problems faced by them in managing the enterprise. A total of 100 samples were surveyed for the purpose of the study. Simple random sampling has been used to collect data from 30 registered entrepreneurs. Through snowball sampling, 70 unregistered entrepreneurs were interviewed in the area. Both quantitative and qualitative data have been collected through a structured questionnaire using direct interview method. OLS regression and ordered logistic regression models have been used to explore the determinants of empowerment. Again, different constraints the entrepreneurs confronted during initiation and current management have been explored. The key economic variables are income, expenditure and enterprise decision making that are likely to increase the economic empowerment scores. All social empowerment variables except physical mobility are likely to increase social empowerment scores. The prime constituents of obtaining high overall empowerment status are income, self-employment, participation in domestic decision-making, independently managing personal matters, credit management, leisure, unpaid work, confidence in one’s own self, and social recognition. The study found that finance is the key challenge in start-ups and running expenses of enterprises. In addition, work-life and family imbalance, and marketing are recognized as prominent, followed by lack of lucrative price and heavy workloads.","author":[{"dropping-particle":"","family":"Senapati","given":"Asis Kumar","non-dropping-particle":"","parse-names":false,"suffix":""},{"dropping-particle":"","family":"Ojha","given":"Kalpana","non-dropping-particle":"","parse-names":false,"suffix":""}],"container-title":"International Journal of Rural Management","id":"ITEM-2","issue":"2","issued":{"date-parts":[["2019","10","11"]]},"page":"159-184","title":"Socio-economic Empowerment of Women Through Micro-entrepreneurship: Evidence from Odisha, India","type":"article-journal","volume":"15"},"uris":["http://www.mendeley.com/documents/?uuid=e8d10468-edb1-4f60-bb99-7a7fcf6b03ec"]}],"mendeley":{"formattedCitation":"(Andari et al., 2023; Senapati &amp; Ojha, 2019)","plainTextFormattedCitation":"(Andari et al., 2023; Senapati &amp; Ojha, 2019)","previouslyFormattedCitation":"(Andari et al., 2023; Senapati &amp; Ojha, 2019)"},"properties":{"noteIndex":0},"schema":"https://github.com/citation-style-language/schema/raw/master/csl-citation.json"}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(Andari et al., 2023; Senapati &amp; Ojha, 2019)</w:t>
      </w:r>
      <w:r>
        <w:rPr>
          <w:rFonts w:ascii="Times New Roman" w:hAnsi="Times New Roman" w:cs="Times New Roman"/>
          <w:sz w:val="24"/>
          <w:szCs w:val="24"/>
        </w:rPr>
        <w:fldChar w:fldCharType="end"/>
      </w:r>
      <w:r w:rsidRPr="00095B2A">
        <w:rPr>
          <w:rFonts w:ascii="Times New Roman" w:hAnsi="Times New Roman" w:cs="Times New Roman"/>
          <w:sz w:val="24"/>
          <w:szCs w:val="24"/>
        </w:rPr>
        <w:t xml:space="preserve">. MWB provides easy access to finance, creates jobs, increases income, and improves family living standards. With the increasing trend of financial inclusion, MWB is expected to carry out this function effectively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{"citationItems":[{"id":"ITEM-1","itemData":{"DOI":"10.1080/1331677X.2021.1989319","ISSN":"1331-677X","author":[{"dropping-particle":"","family":"Niaz","given":"Muhammad Umer","non-dropping-particle":"","parse-names":false,"suffix":""}],"container-title":"Economic Research-Ekonomska Istraživanja","id":"ITEM-1","issue":"1","issued":{"date-parts":[["2022","12","31"]]},"page":"3243-3275","title":"Socio-Economic development and sustainable development goals: a roadmap from vulnerability to sustainability through financial inclusion","type":"article-journal","volume":"35"},"uris":["http://www.mendeley.com/documents/?uuid=37ad467a-48df-40d4-9c69-1651b3d3500b"]}],"mendeley":{"formattedCitation":"(Niaz, 2022)","plainTextFormattedCitation":"(Niaz, 2022)","previouslyFormattedCitation":"(Niaz, 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(Niaz, 2022)</w:t>
      </w:r>
      <w:r>
        <w:rPr>
          <w:rFonts w:ascii="Times New Roman" w:hAnsi="Times New Roman" w:cs="Times New Roman"/>
          <w:sz w:val="24"/>
          <w:szCs w:val="24"/>
        </w:rPr>
        <w:fldChar w:fldCharType="end"/>
      </w:r>
      <w:r w:rsidRPr="00095B2A">
        <w:rPr>
          <w:rFonts w:ascii="Times New Roman" w:hAnsi="Times New Roman" w:cs="Times New Roman"/>
          <w:sz w:val="24"/>
          <w:szCs w:val="24"/>
        </w:rPr>
        <w:t>.</w:t>
      </w:r>
    </w:p>
    <w:p w14:paraId="2CB131A8" w14:textId="3963E49C" w:rsidR="00DC68B2" w:rsidRDefault="00DC68B2" w:rsidP="00DC68B2">
      <w:pPr>
        <w:ind w:firstLine="720"/>
        <w:jc w:val="both"/>
        <w:rPr>
          <w:rFonts w:ascii="Times New Roman" w:hAnsi="Times New Roman" w:cs="Times New Roman"/>
          <w:sz w:val="24"/>
          <w:szCs w:val="24"/>
        </w:rPr>
      </w:pPr>
      <w:r w:rsidRPr="00095B2A">
        <w:rPr>
          <w:rFonts w:ascii="Times New Roman" w:hAnsi="Times New Roman" w:cs="Times New Roman"/>
          <w:sz w:val="24"/>
          <w:szCs w:val="24"/>
        </w:rPr>
        <w:t xml:space="preserve">Women-owned micro and small businesses face difficulties in obtaining financing or credit from banks because they are considered to have no bank accounts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{"citationItems":[{"id":"ITEM-1","itemData":{"DOI":"10.1371/journal.pone.0286482","ISSN":"1932-6203","abstract":"Low-income communities have limited capital and access to money or loans from formal financial institutions. To solve the problems, the government provides solutions, one of them is by forming a microfinance program, namely Rural Agribusiness Business Development (PUAP). PUAP program is one of the grant activities to farmer group association (Gapoktan) with a total capital assistance of IDR 100 million. The problem with the 52,186 Gapoktan units that participated in PUAP activities, only 7,703 units (15%) were transformed into Agribusiness Microfinance Institutions (LKMA). This paper differs from others as it briefly explains the PUAP/MFI’s institutional transformation and the factors that affect its sustainability, which is so far still limited discussed. The paper aims to see what transformations Gapoktan becomes an inclusive LKMA and the level of sustainability of the LKMA. The research was conducted in Kendal Regency, Central Java- Indonesia, in 2022 on 5 LKMA. The process of transforming LKMA into an inclusive financial institution is analyzed descriptively. LKMA sustainability levels were analyzed using a multidimensional scaling (MDS) approach with the Rapfish application. So far, MDS with the Rapfish application is still very limited for microfinance analysis. MDS analysis is employed because it is relatively simple and effective for looking at sensitive attributes in improving sustainability and generating leverage attributes that can be used for policy-making. The result study shows that the transformation of PUAP into LKMA is driven by the ability to improve legality, financial governance and diversify the customer’s business field. The five LKMAs have a sustainability status of ’sufficient’ in running their business, with an index value of more than 50%. The study recommends 1) the Indonesian government could assist LKMA in improving its legality and 2) LKMA’s management should get training by experts to improve its financial capability to manage the cost saving.","author":[{"dropping-particle":"","family":"Darwis","given":"Valeriana","non-dropping-particle":"","parse-names":false,"suffix":""},{"dropping-particle":"","family":"Rachmawati","given":"Rika R.","non-dropping-particle":"","parse-names":false,"suffix":""},{"dropping-particle":"","family":"Muslim","given":"Chairul","non-dropping-particle":"","parse-names":false,"suffix":""},{"dropping-particle":"","family":"Chanifah","given":"","non-dropping-particle":"","parse-names":false,"suffix":""},{"dropping-particle":"","family":"Sembiring","given":"Asma","non-dropping-particle":"","parse-names":false,"suffix":""},{"dropping-particle":"","family":"Ilham","given":"Nyak","non-dropping-particle":"","parse-names":false,"suffix":""},{"dropping-particle":"","family":"Mufidah","given":"Lyli","non-dropping-particle":"","parse-names":false,"suffix":""},{"dropping-particle":"","family":"Suhartini","given":"Sri H.","non-dropping-particle":"","parse-names":false,"suffix":""},{"dropping-particle":"","family":"Basuki","given":"Rofik S.","non-dropping-particle":"","parse-names":false,"suffix":""},{"dropping-particle":"","family":"Rina","given":"Yanti","non-dropping-particle":"","parse-names":false,"suffix":""},{"dropping-particle":"","family":"Suharyon","given":"","non-dropping-particle":"","parse-names":false,"suffix":""},{"dropping-particle":"","family":"Nurdin","given":"Maryam","non-dropping-particle":"","parse-names":false,"suffix":""},{"dropping-particle":"","family":"Dahya","given":"","non-dropping-particle":"","parse-names":false,"suffix":""},{"dropping-particle":"","family":"Damanik","given":"Mario","non-dropping-particle":"","parse-names":false,"suffix":""},{"dropping-particle":"","family":"Dewi","given":"Dina O.","non-dropping-particle":"","parse-names":false,"suffix":""}],"container-title":"PLOS ONE","editor":[{"dropping-particle":"","family":"Trinh","given":"Vu Quang","non-dropping-particle":"","parse-names":false,"suffix":""}],"id":"ITEM-1","issue":"6","issued":{"date-parts":[["2023","6","23"]]},"page":"e0286482","title":"Transformation of financial institutions grants from the government to inclusive financial institutions in Indonesia","type":"article-journal","volume":"18"},"uris":["http://www.mendeley.com/documents/?uuid=fd96ab3f-4a21-48e1-a971-50a7db1b64f9"]}],"mendeley":{"formattedCitation":"(Darwis et al., 2023)","plainTextFormattedCitation":"(Darwis et al., 2023)","previouslyFormattedCitation":"(Darwis et al., 2023)"},"properties":{"noteIndex":0},"schema":"https://github.com/citation-style-language/schema/raw/master/csl-citation.json"}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(Darwis et al., 2023)</w:t>
      </w:r>
      <w:r>
        <w:rPr>
          <w:rFonts w:ascii="Times New Roman" w:hAnsi="Times New Roman" w:cs="Times New Roman"/>
          <w:sz w:val="24"/>
          <w:szCs w:val="24"/>
        </w:rPr>
        <w:fldChar w:fldCharType="end"/>
      </w:r>
      <w:r>
        <w:rPr>
          <w:rFonts w:ascii="Times New Roman" w:hAnsi="Times New Roman" w:cs="Times New Roman"/>
          <w:sz w:val="24"/>
          <w:szCs w:val="24"/>
        </w:rPr>
        <w:t xml:space="preserve">. These barriers can prevent women from participating in economic activities and improve family well-being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{"citationItems":[{"id":"ITEM-1","itemData":{"DOI":"10.1080/08276331.2022.2121517","ISSN":"0827-6331","author":[{"dropping-particle":"","family":"Zogning","given":"Félix","non-dropping-particle":"","parse-names":false,"suffix":""}],"container-title":"Journal of Small Business &amp; Entrepreneurship","id":"ITEM-1","issue":"1","issued":{"date-parts":[["2023","1","2"]]},"page":"1-7","title":"Inclusion financière, entrepreneuriat inclusif et modèles alternatifs de financement","type":"article-journal","volume":"35"},"uris":["http://www.mendeley.com/documents/?uuid=153d9d45-0b56-4399-a71b-c8c9645382f1"]}],"mendeley":{"formattedCitation":"(Zogning, 2023)","plainTextFormattedCitation":"(Zogning, 2023)","previouslyFormattedCitation":"(Zogning, 2023)"},"properties":{"noteIndex":0},"schema":"https://github.com/citation-style-language/schema/raw/master/csl-citation.json"}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(Zogning, 2023)</w:t>
      </w:r>
      <w:r>
        <w:rPr>
          <w:rFonts w:ascii="Times New Roman" w:hAnsi="Times New Roman" w:cs="Times New Roman"/>
          <w:sz w:val="24"/>
          <w:szCs w:val="24"/>
        </w:rPr>
        <w:fldChar w:fldCharType="end"/>
      </w:r>
      <w:r w:rsidRPr="00095B2A">
        <w:rPr>
          <w:rFonts w:ascii="Times New Roman" w:hAnsi="Times New Roman" w:cs="Times New Roman"/>
          <w:sz w:val="24"/>
          <w:szCs w:val="24"/>
        </w:rPr>
        <w:t xml:space="preserve">. Many poor people in Indonesia are also unable to access formal financial services. In the face of this situation, the Financial Services Authority established the Micro Waqf Bank (MWB) in 2017 to provide financial access for poor women.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{"citationItems":[{"id":"ITEM-1","itemData":{"DOI":"10.4102/hts.v79i1.8213","ISSN":"2072-8050","abstract":"This study aimed to analyse the contribution of infaq funds to the social and economic resilience of the community during the COVID-19 pandemic in West Papua, Indonesia. This study uses a mixed-method approach, combining qualitative and quantitative studies. Qualitative data were collected through focus group discussions with administrators, Dai [Islamic preacher] and mosque congregations to obtain information about the form and mechanism for disbursing infaq funds. Furthermore, the state of distribution of infaq funds is confirmed to the recipient community with an online survey as quantitative data. The data obtained were tabulated and analysed with descriptive and inferential statistics using multiple linear regression assisted by SPSS software 25 version. The research findings show that: firstly, the form of the social-economic contribution of infaq funds is carried out by: (1) financial assistance, (2) social assistance, and (3) health assistance. Secondly, infaq, an instrument of Islamic economics, can contribute to tackling the social and economic impacts of the community amid the COVID-19 outbreak. Thirdly, of the three forms of assistance provided, the health assistance aspect contributed 38.320%, the financial assistance aspect amounted to 37.173% and 24.339% to social assistance. This study shows that the community most needed health and financial assistance from infaq funds during the COVID-19 pandemic.Contribution: This study complements the existing literature and provides a new scientific treasure. That the infaq fund, as a philanthropy, turned out to be able to contribute to realising the social-economic resilience of the community during a disease outbreak. The form of health, financial and social assistance from infaq funds is a priority in accelerating the community’s economic recovery. It can be a countermeasure to socio-economic impacts during disasters and disease outbreaks.","author":[{"dropping-particle":"","family":"Hamzah","given":"Hamzah","non-dropping-particle":"","parse-names":false,"suffix":""},{"dropping-particle":"","family":"Yudiawan","given":"Agus","non-dropping-particle":"","parse-names":false,"suffix":""}],"container-title":"HTS Teologiese Studies / Theological Studies","id":"ITEM-1","issue":"1","issued":{"date-parts":[["2023","3","3"]]},"title":"The contribution of infaq funds to socio-economic resilience during COVID-19 pandemic: An Islamic economics insight from Indonesia","type":"article-journal","volume":"79"},"uris":["http://www.mendeley.com/documents/?uuid=c465f4b7-b364-419a-be43-48612f3f1d8c"]}],"mendeley":{"formattedCitation":"(Hamzah &amp; Yudiawan, 2023)","plainTextFormattedCitation":"(Hamzah &amp; Yudiawan, 2023)","previouslyFormattedCitation":"(Hamzah &amp; Yudiawan, 2023)"},"properties":{"noteIndex":0},"schema":"https://github.com/citation-style-language/schema/raw/master/csl-citation.json"}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(Hamzah &amp; Yudiawan, 2023)</w:t>
      </w:r>
      <w:r>
        <w:rPr>
          <w:rFonts w:ascii="Times New Roman" w:hAnsi="Times New Roman" w:cs="Times New Roman"/>
          <w:sz w:val="24"/>
          <w:szCs w:val="24"/>
        </w:rPr>
        <w:fldChar w:fldCharType="end"/>
      </w:r>
      <w:r>
        <w:rPr>
          <w:rFonts w:ascii="Times New Roman" w:hAnsi="Times New Roman" w:cs="Times New Roman"/>
          <w:sz w:val="24"/>
          <w:szCs w:val="24"/>
        </w:rPr>
        <w:t>.</w:t>
      </w:r>
    </w:p>
    <w:p w14:paraId="24CABDFE" w14:textId="1DFE5C7C" w:rsidR="00DC68B2" w:rsidRDefault="00DC68B2" w:rsidP="00DC68B2">
      <w:pPr>
        <w:ind w:firstLine="720"/>
        <w:jc w:val="both"/>
        <w:rPr>
          <w:rFonts w:ascii="Times New Roman" w:hAnsi="Times New Roman" w:cs="Times New Roman"/>
          <w:sz w:val="24"/>
          <w:szCs w:val="24"/>
        </w:rPr>
      </w:pPr>
      <w:r w:rsidRPr="00095B2A">
        <w:rPr>
          <w:rFonts w:ascii="Times New Roman" w:hAnsi="Times New Roman" w:cs="Times New Roman"/>
          <w:sz w:val="24"/>
          <w:szCs w:val="24"/>
        </w:rPr>
        <w:t xml:space="preserve">This study aims to examine the economic empowerment model applied by MWB </w:t>
      </w:r>
      <w:r w:rsidR="0034009A">
        <w:rPr>
          <w:rFonts w:ascii="Times New Roman" w:hAnsi="Times New Roman" w:cs="Times New Roman"/>
          <w:sz w:val="24"/>
          <w:szCs w:val="24"/>
        </w:rPr>
        <w:t>to support</w:t>
      </w:r>
      <w:r w:rsidRPr="00095B2A">
        <w:rPr>
          <w:rFonts w:ascii="Times New Roman" w:hAnsi="Times New Roman" w:cs="Times New Roman"/>
          <w:sz w:val="24"/>
          <w:szCs w:val="24"/>
        </w:rPr>
        <w:t xml:space="preserve"> productive women who are in poor conditions. Th</w:t>
      </w:r>
      <w:r w:rsidR="0034009A">
        <w:rPr>
          <w:rFonts w:ascii="Times New Roman" w:hAnsi="Times New Roman" w:cs="Times New Roman"/>
          <w:sz w:val="24"/>
          <w:szCs w:val="24"/>
        </w:rPr>
        <w:t>is study's uniqueness lies in applying the halaqah model in women's economic empowerment in MWB, which is expected to significantly contribute to</w:t>
      </w:r>
      <w:r w:rsidRPr="00095B2A">
        <w:rPr>
          <w:rFonts w:ascii="Times New Roman" w:hAnsi="Times New Roman" w:cs="Times New Roman"/>
          <w:sz w:val="24"/>
          <w:szCs w:val="24"/>
        </w:rPr>
        <w:t xml:space="preserve"> overcoming the marginalization of women in the financial sector. By understanding how MWB empowers women through training, financing, and mentoring, it is hoped that this research can provide new insights into effective economic empowerment strategies in the context of Sharia Microfinance Institutions.</w:t>
      </w:r>
    </w:p>
    <w:p w14:paraId="10E78973" w14:textId="77777777" w:rsidR="00DC68B2" w:rsidRPr="00095B2A" w:rsidRDefault="00DC68B2" w:rsidP="00DC68B2">
      <w:pPr>
        <w:spacing w:before="240" w:after="120"/>
        <w:rPr>
          <w:rFonts w:ascii="Times New Roman" w:hAnsi="Times New Roman" w:cs="Times New Roman"/>
          <w:b/>
          <w:bCs/>
          <w:sz w:val="24"/>
          <w:szCs w:val="24"/>
        </w:rPr>
      </w:pPr>
      <w:r w:rsidRPr="00095B2A">
        <w:rPr>
          <w:rFonts w:ascii="Times New Roman" w:hAnsi="Times New Roman" w:cs="Times New Roman"/>
          <w:b/>
          <w:bCs/>
          <w:sz w:val="24"/>
          <w:szCs w:val="24"/>
        </w:rPr>
        <w:t>Literature Review</w:t>
      </w:r>
    </w:p>
    <w:p w14:paraId="1D90C1E4" w14:textId="77777777" w:rsidR="00DC68B2" w:rsidRPr="000A0572" w:rsidRDefault="00DC68B2" w:rsidP="00276F31">
      <w:pPr>
        <w:ind w:firstLine="720"/>
        <w:jc w:val="both"/>
        <w:rPr>
          <w:rFonts w:ascii="Times New Roman" w:hAnsi="Times New Roman" w:cs="Times New Roman"/>
          <w:b/>
          <w:bCs/>
          <w:sz w:val="24"/>
          <w:szCs w:val="24"/>
        </w:rPr>
      </w:pPr>
      <w:r w:rsidRPr="000A0572">
        <w:rPr>
          <w:rFonts w:ascii="Times New Roman" w:hAnsi="Times New Roman" w:cs="Times New Roman"/>
          <w:b/>
          <w:bCs/>
          <w:sz w:val="24"/>
          <w:szCs w:val="24"/>
        </w:rPr>
        <w:t>Halaqoh</w:t>
      </w:r>
    </w:p>
    <w:p w14:paraId="556B1BBF" w14:textId="5C3172B5" w:rsidR="00DC68B2" w:rsidRPr="00BC02D8"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In the context of Islam, halaqoh refers to religious gatherings that aim to study Islam and the Qur'an. </w:t>
      </w:r>
      <w:r w:rsidR="0034009A">
        <w:rPr>
          <w:rFonts w:ascii="Times New Roman" w:hAnsi="Times New Roman" w:cs="Times New Roman"/>
          <w:sz w:val="24"/>
          <w:szCs w:val="24"/>
        </w:rPr>
        <w:t>H</w:t>
      </w:r>
      <w:r w:rsidRPr="00BC02D8">
        <w:rPr>
          <w:rFonts w:ascii="Times New Roman" w:hAnsi="Times New Roman" w:cs="Times New Roman"/>
          <w:sz w:val="24"/>
          <w:szCs w:val="24"/>
        </w:rPr>
        <w:t xml:space="preserve">alaqoh means "circle"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{"citationItems":[{"id":"ITEM-1","itemData":{"DOI":"10.18326/ijims.v11i1.185-207","ISSN":"2406-825X","abstract":"There is a gap between ideal Islam and real Islam. Ideal Islam means peace, greeting, safety, salvation, and conceptually means absolute submission to God`s Will. Real Islam resembles unresolved conflicts in some communities and unpleasant meanings to some non-Muslims. To minimize the gap, it is important to socialize peaceful Islamic values in the community through education. This study aims to explain Pendidikan Perdamaian Berbasis Islam (PPBI, the Islam-based Peace Education) program initiated by Pusat Studi Budaya dan Perubahan Sosial (PSB-PS, the Center for the Study of Culture and Social Change) at Universitas Muhammadiyah Surakarta (UMS). This participatory action research is especially to reveal Islamic values identified in the PPBI program in terms of its uniqueness, implementation, reflection, and implication. Based on the Sirah of the Prophet and the Al-Qur’an, the PPBI program has identified 15 Islamic values which contribute to peacebuilding. Those values were used as core contents of PPBI’s handbook and classroom program. The program has been implemented through series of activities ranging from seminars, FGDs, workshops, training of teachers, publication of books, and classroom implementation. PPBI program based on nonviolence and peacebuilding assumptions, i.e. to build a culture of peace, is designed as the formal peace education through learning materials and classroom processes either in any existing course or co-curricular activities.","author":[{"dropping-particle":"","family":"Santoso","given":"M Abdul Fattah","non-dropping-particle":"","parse-names":false,"suffix":""},{"dropping-particle":"","family":"Khisbiyah","given":"Yayah","non-dropping-particle":"","parse-names":false,"suffix":""}],"container-title":"Indonesian Journal of Islam and Muslim Societies","id":"ITEM-1","issue":"1","issued":{"date-parts":[["2021","6","26"]]},"page":"185-207","title":"Islam-based peace education: values, program, reflection and implication","type":"article-journal","volume":"11"},"uris":["http://www.mendeley.com/documents/?uuid=0d88e3d3-142e-4a3b-81ad-587c9c5a5ecf"]}],"mendeley":{"formattedCitation":"(Santoso &amp; Khisbiyah, 2021)","plainTextFormattedCitation":"(Santoso &amp; Khisbiyah, 2021)","previouslyFormattedCitation":"(Santoso &amp; Khisbiyah, 2021)"},"properties":{"noteIndex":0},"schema":"https://github.com/citation-style-language/schema/raw/master/csl-citation.json"}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(Santoso &amp; Khisbiyah, 2021)</w:t>
      </w:r>
      <w:r>
        <w:rPr>
          <w:rFonts w:ascii="Times New Roman" w:hAnsi="Times New Roman" w:cs="Times New Roman"/>
          <w:sz w:val="24"/>
          <w:szCs w:val="24"/>
        </w:rPr>
        <w:fldChar w:fldCharType="end"/>
      </w:r>
      <w:r>
        <w:rPr>
          <w:rFonts w:ascii="Times New Roman" w:hAnsi="Times New Roman" w:cs="Times New Roman"/>
          <w:sz w:val="24"/>
          <w:szCs w:val="24"/>
        </w:rPr>
        <w:t xml:space="preserve">. According to </w:t>
      </w:r>
      <w:r w:rsidRPr="00096839">
        <w:rPr>
          <w:rFonts w:ascii="Times New Roman" w:hAnsi="Times New Roman" w:cs="Times New Roman"/>
          <w:noProof/>
          <w:sz w:val="24"/>
          <w:szCs w:val="24"/>
        </w:rPr>
        <w:t xml:space="preserve">Sibbald et al.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{"citationItems":[{"id":"ITEM-1","itemData":{"DOI":"10.1186/s12961-022-00897-0","ISSN":"1478-4505","author":[{"dropping-particle":"","family":"Sibbald","given":"Shannon L.","non-dropping-particle":"","parse-names":false,"suffix":""},{"dropping-particle":"","family":"Burnet","given":"Maddison L.","non-dropping-particle":"","parse-names":false,"suffix":""},{"dropping-particle":"","family":"Callery","given":"Bill","non-dropping-particle":"","parse-names":false,"suffix":""},{"dropping-particle":"","family":"Mitchell","given":"Jonathan I.","non-dropping-particle":"","parse-names":false,"suffix":""}],"container-title":"Health Research Policy and Systems","id":"ITEM-1","issue":"1","issued":{"date-parts":[["2022","9","1"]]},"page":"95","title":"Building a virtual community of practice: experience from the Canadian foundation for healthcare improvement’s policy circle","type":"article-journal","volume":"20"},"suppress-author":1,"uris":["http://www.mendeley.com/documents/?uuid=9b279710-6177-4cca-9861-a8e2df812fb1"]}],"mendeley":{"formattedCitation":"(2022)","plainTextFormattedCitation":"(2022)","previouslyFormattedCitation":"(2022)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(2022)</w:t>
      </w:r>
      <w:r>
        <w:rPr>
          <w:rFonts w:ascii="Times New Roman" w:hAnsi="Times New Roman" w:cs="Times New Roman"/>
          <w:sz w:val="24"/>
          <w:szCs w:val="24"/>
        </w:rPr>
        <w:fldChar w:fldCharType="end"/>
      </w:r>
      <w:r w:rsidR="0034009A">
        <w:rPr>
          <w:rFonts w:ascii="Times New Roman" w:hAnsi="Times New Roman" w:cs="Times New Roman"/>
          <w:sz w:val="24"/>
          <w:szCs w:val="24"/>
        </w:rPr>
        <w:t>,</w:t>
      </w:r>
      <w:r w:rsidRPr="00BC02D8">
        <w:rPr>
          <w:rFonts w:ascii="Times New Roman" w:hAnsi="Times New Roman" w:cs="Times New Roman"/>
          <w:sz w:val="24"/>
          <w:szCs w:val="24"/>
        </w:rPr>
        <w:t xml:space="preserve"> This term can be interpreted as a 'circle of knowledge' or 'learning community'. This learning community includes interaction between two or more people who discuss Islamic science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{"citationItems":[{"id":"ITEM-1","itemData":{"DOI":"10.1080/02691728.2019.1672824","ISSN":"0269-1728","author":[{"dropping-particle":"","family":"Zengin Arslan","given":"Berna","non-dropping-particle":"","parse-names":false,"suffix":""}],"container-title":"Social Epistemology","id":"ITEM-1","issue":"3","issued":{"date-parts":[["2020","5","3"]]},"page":"265-280","title":"Reading the Universe with Heart and Practicing Science as Religious Ethics: Reconciling Islam and Science in Contemporary Turkey","type":"article-journal","volume":"34"},"uris":["http://www.mendeley.com/documents/?uuid=7a8ba0b6-f63c-42bb-909e-1005c1fd4027"]}],"mendeley":{"formattedCitation":"(Zengin Arslan, 2020)","plainTextFormattedCitation":"(Zengin Arslan, 2020)","previouslyFormattedCitation":"(Zengin Arslan, 2020)"},"properties":{"noteIndex":0},"schema":"https://github.com/citation-style-language/schema/raw/master/csl-citation.json"}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(Zengin Arslan, 2020)</w:t>
      </w:r>
      <w:r>
        <w:rPr>
          <w:rFonts w:ascii="Times New Roman" w:hAnsi="Times New Roman" w:cs="Times New Roman"/>
          <w:sz w:val="24"/>
          <w:szCs w:val="24"/>
        </w:rPr>
        <w:fldChar w:fldCharType="end"/>
      </w:r>
      <w:r w:rsidRPr="00BC02D8">
        <w:rPr>
          <w:rFonts w:ascii="Times New Roman" w:hAnsi="Times New Roman" w:cs="Times New Roman"/>
          <w:sz w:val="24"/>
          <w:szCs w:val="24"/>
        </w:rPr>
        <w:t xml:space="preserve">. In halaqoh, participants usually sit in a circle to communicate with each other. Halaqoh is a gathering place for people to learn about Islam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{"citationItems":[{"id":"ITEM-1","itemData":{"DOI":"10.18326/ijtihad.v24i1.71-95","ISSN":"2477-8036","abstract":"This paper explains the dynamics of thought in the Halaqah Fikih Peradaban (Fiqh of Civilization Halaqah, HFP) at pesantren (Islamic boarding school) ideologically affiliated with NU. The spirit of fiqh contextualization developed in the Fiqh of Civilization Halaqah is a key idea of PBNU in initiating civilization fiqh as a new approach to understanding and studying Islamic heritage. This paper elaborates on two aspects. First, why PBNU initiated the Fiqh of Civilization Halaqah and how the dynamics of thought occur within it. Second, how pesantren affiliated with NU discuss one of the main focuses of the Fiqh of Civilization Halaqah related to nationality and statehood. The authors use the theory of Islamic Law Sociology to explain the reciprocal relationship between the socio-religious topics discussed in the Fiqh of Civilization Halaqah and the dynamic and critical way of thinking. This paper uses qualitative research. The primary data was obtained through interviews with several sources and five caretakers who conducted the Fiqh of Civilization Halaqah in five pesantrens. Supporting data was obtained from documents and other news sources that review the Fiqh of Civilization Halaqah. The research results show that the reason for the Fiqh of Civilization Halaqah initiated by PBNU is to create a discourse space for contextualizing progressive fiqh understanding and developing a dynamic way of thinking. Through this approach, fiqh can be used as an inclusive perspective in understanding social change and the development of the times. This study also shows that the theme of nationality and statehood (fiqh siyāsah) discussed in the Fiqh of Civilization Halaqah in five Pondok Pesantren (Islamic boarding school) promotes dynamic and progressive thinking while critiquing fiqh siyāsah studies limited to the khilāfah. This attitude aligns with the spirit of civilization fiqh initiated by PBNU, which emphasizes a dialectical perspective in studying Islamic heritage.","author":[{"dropping-particle":"","family":"Fathorrahman","given":"","non-dropping-particle":"","parse-names":false,"suffix":""},{"dropping-particle":"","family":"A Hashfi Luthfi","given":"","non-dropping-particle":"","parse-names":false,"suffix":""},{"dropping-particle":"","family":"Riyanta","given":"","non-dropping-particle":"","parse-names":false,"suffix":""},{"dropping-particle":"","family":"Ach Fatayillah Mursyidi","given":"","non-dropping-particle":"","parse-names":false,"suffix":""}],"container-title":"Ijtihad : Jurnal Wacana Hukum Islam dan Kemanusiaan","id":"ITEM-1","issue":"1","issued":{"date-parts":[["2024","7","23"]]},"page":"71-95","title":"Dynamics of Thought in the Fiqh of Civilization Halaqah at Pesantren Affiliated with Nahdlatul Ulama (NU) in Yogyakarta","type":"article-journal","volume":"24"},"uris":["http://www.mendeley.com/documents/?uuid=4fc45a7b-0547-4322-832e-dcdd27e63b5c"]}],"mendeley":{"formattedCitation":"(Fathorrahman et al., 2024)","plainTextFormattedCitation":"(Fathorrahman et al., 2024)","previouslyFormattedCitation":"(Fathorrahman et al., 2024)"},"properties":{"noteIndex":0},"schema":"https://github.com/citation-style-language/schema/raw/master/csl-citation.json"}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(Fathorrahman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Therefore, halaqoh serves as a means of education for small groups of Murabbi (teachers) and several mutarabbis (guided students). This educational process is carried out </w:t>
      </w:r>
      <w:r w:rsidR="0034009A">
        <w:rPr>
          <w:rFonts w:ascii="Times New Roman" w:hAnsi="Times New Roman" w:cs="Times New Roman"/>
          <w:sz w:val="24"/>
          <w:szCs w:val="24"/>
        </w:rPr>
        <w:t>clearly and regularly</w:t>
      </w:r>
      <w:r>
        <w:rPr>
          <w:rFonts w:ascii="Times New Roman" w:hAnsi="Times New Roman" w:cs="Times New Roman"/>
          <w:sz w:val="24"/>
          <w:szCs w:val="24"/>
        </w:rPr>
        <w:t xml:space="preserve">. Halaqoh is often held in mosques or prayer rooms. At the Al-Haram Mosque in Makkah and Medina, halaqoh is held daily and guided by the Masses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{"citationItems":[{"id":"ITEM-1","itemData":{"DOI":"10.18860/jia.v8i1.21729","ISSN":"2356-4644","abstract":"The Wapauwe ancient mosque in Maluku is historically and culturally significant, symbolizing the enduring bond between religion and the local community. This qualitative archaeological study examines the mosque's architectural aspects to explore this connection. The mosque is considered a result of careful thought and reflects origin-related factors and human behavior through its architectural elements. The Wapauwe Mosque shares similarities with ancient mosques found throughout the archipelago. Its three-tiered roof typology, supported by four pillars and a distinctive peak, represents the three stages of Islamic development, showcasing the integration of Islamic principles with local culture. The two-tiered roof of the Wapauwe Kaitetu mosque signifies an ongoing dialogue between religious scholars and the indigenous people, leading to architectural adaptations. Furthermore, the mosque's design elements carry symbolic meanings. The peak symbolizes monotheism and male fertility, while the pineapple-shaped pegs embody the fusion of animal carvings and flora. The rectangular plan signifies the influence of customs and religion, and the mimbar type reinforces the growth and development of religious traditions. Architecturally, the Wapauwe mosque features 12 supporting pillars, corresponding to the 12 fundamental values of Islamic teachings—comprising the five pillars of Islam, six pillars of faith, and Ihsan. This alignment also mirrors the concept of deliberative custom, which includes 12 institutional structures. These structures coexist and interact with the religious hierarchy and its apparatus, demonstrating a balanced and inclusive relationship between religion and locality within the governance of Maluku. Ultimately, the typology of the Wapauwe mosque emphasizes the deep connection between Islam and local culture. It serves as a testament to the culturally inclusive religious character of the community. This cultural Islamic society respects differences and embraces diversity as an integral aspect of religious teachings","author":[{"dropping-particle":"","family":"Handoko","given":"Wuri","non-dropping-particle":"","parse-names":false,"suffix":""},{"dropping-particle":"","family":"Nasution","given":"Isman Pratama","non-dropping-particle":"","parse-names":false,"suffix":""},{"dropping-particle":"","family":"Wahyudi","given":"Wanny Raharjo","non-dropping-particle":"","parse-names":false,"suffix":""},{"dropping-particle":"","family":"Yogaswara","given":"Herry","non-dropping-particle":"","parse-names":false,"suffix":""},{"dropping-particle":"","family":"Subair","given":"Muh.","non-dropping-particle":"","parse-names":false,"suffix":""},{"dropping-particle":"","family":"Kholis","given":"Nurman","non-dropping-particle":"","parse-names":false,"suffix":""},{"dropping-particle":"","family":"Massoweang","given":"Kadir","non-dropping-particle":"","parse-names":false,"suffix":""},{"dropping-particle":"","family":"Firmanto","given":"Alfan","non-dropping-particle":"","parse-names":false,"suffix":""},{"dropping-particle":"","family":"Akbar","given":"Ali","non-dropping-particle":"","parse-names":false,"suffix":""}],"container-title":"Journal of Islamic Architecture","id":"ITEM-1","issue":"1","issued":{"date-parts":[["2024","6","20"]]},"page":"184-198","title":"The Relationship of Islam and Locality in the Architecture of the Wapauwe Ancient Mosque in Maluku","type":"article-journal","volume":"8"},"uris":["http://www.mendeley.com/documents/?uuid=cd4e9ee3-3706-4e0b-bd18-9bb69ee110e9"]}],"mendeley":{"formattedCitation":"(Handoko et al., 2024)","plainTextFormattedCitation":"(Handoko et al., 2024)","previouslyFormattedCitation":"(Handoko et al., 2024)"},"properties":{"noteIndex":0},"schema":"https://github.com/citation-style-language/schema/raw/master/csl-citation.json"}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(Handoko et al., 2024)</w:t>
      </w:r>
      <w:r>
        <w:rPr>
          <w:rFonts w:ascii="Times New Roman" w:hAnsi="Times New Roman" w:cs="Times New Roman"/>
          <w:sz w:val="24"/>
          <w:szCs w:val="24"/>
        </w:rPr>
        <w:fldChar w:fldCharType="end"/>
      </w:r>
      <w:r w:rsidRPr="00BC02D8">
        <w:rPr>
          <w:rFonts w:ascii="Times New Roman" w:hAnsi="Times New Roman" w:cs="Times New Roman"/>
          <w:sz w:val="24"/>
          <w:szCs w:val="24"/>
        </w:rPr>
        <w:t>.</w:t>
      </w:r>
    </w:p>
    <w:p w14:paraId="09145903" w14:textId="3A9202B2" w:rsidR="00DC68B2" w:rsidRPr="00BC02D8"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Muslims also hold halaqoh in various places, such as at home or in the park. In this system, the speaker sits in the middle of the forum, surrounded by other members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{"citationItems":[{"id":"ITEM-1","itemData":{"DOI":"10.4324/9780429441677-53","author":[{"dropping-particle":"","family":"Ahmed","given":"Farah","non-dropping-particle":"","parse-names":false,"suffix":""}],"container-title":"The Routledge International Handbook of Research on Dialogic Education","id":"ITEM-1","issued":{"date-parts":[["2019","9","26"]]},"page":"647-659","publisher":"Routledge","publisher-place":"Abingdon, Oxon; New York, NY: Routledge, 2020.","title":"The potential of halaqah to be a transformative Islamic dialogic pedagogy","type":"chapter"},"uris":["http://www.mendeley.com/documents/?uuid=336af47d-62d5-4444-b599-4c45e8a8f8af"]}],"mendeley":{"formattedCitation":"(F. Ahmed, 2019)","plainTextFormattedCitation":"(F. Ahmed, 2019)","previouslyFormattedCitation":"(F. Ahmed, 2019)"},"properties":{"noteIndex":0},"schema":"https://github.com/citation-style-language/schema/raw/master/csl-citation.json"}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(F. Ahmed, 2019)</w:t>
      </w:r>
      <w:r>
        <w:rPr>
          <w:rFonts w:ascii="Times New Roman" w:hAnsi="Times New Roman" w:cs="Times New Roman"/>
          <w:sz w:val="24"/>
          <w:szCs w:val="24"/>
        </w:rPr>
        <w:fldChar w:fldCharType="end"/>
      </w:r>
      <w:r>
        <w:rPr>
          <w:rFonts w:ascii="Times New Roman" w:hAnsi="Times New Roman" w:cs="Times New Roman"/>
          <w:sz w:val="24"/>
          <w:szCs w:val="24"/>
        </w:rPr>
        <w:t xml:space="preserve">. This format is a method commonly used in Islamic boarding schools and has been applied in the archipelago since the arrival of Islam, categorized as a traditional learning </w:t>
      </w:r>
      <w:r>
        <w:rPr>
          <w:rFonts w:ascii="Times New Roman" w:hAnsi="Times New Roman" w:cs="Times New Roman"/>
          <w:sz w:val="24"/>
          <w:szCs w:val="24"/>
        </w:rPr>
        <w:lastRenderedPageBreak/>
        <w:t xml:space="preserve">system. Halaqoh is a place to discuss religion and </w:t>
      </w:r>
      <w:r w:rsidR="0034009A">
        <w:rPr>
          <w:rFonts w:ascii="Times New Roman" w:hAnsi="Times New Roman" w:cs="Times New Roman"/>
          <w:sz w:val="24"/>
          <w:szCs w:val="24"/>
        </w:rPr>
        <w:t>self-reflect</w:t>
      </w:r>
      <w:r>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{"citationItems":[{"id":"ITEM-1","itemData":{"DOI":"10.15575/jpi.v0i0.35124","ISSN":"2460-8149","abstract":"The article scrutinizes the teacher-student respected relationship within the talaqqÈ‹ and á¸¥alaqa traditions of Salafis Boarding Schools. The purpose of the study is to explore the psychological dimensions of this relationship, specifically recognized in Acehnese society as â€œTa'zhim keu Gureeâ€ (respect to the teacher) as the main Ã¢dÃ¢b (virtues) within this bond, focusing on the principle of respect. This study employed a participatory action research methodology, using in-depth interviews and participant observation as the primary research instruments, conducted at the Dayah Nurul Hikam Al-Waliyah in Kota Langsa, Aceh Province. The study found that the teacher-student relationship within the talaqqÈ‹ and á¸¥alaqa tradition acts as a dynamic channel for fostering emotional well-being and psychological growth among students. The respectful bond emerging from this relationship nurtures well-rounded individuals committed to intellectual and moral growth. áº¨dÃ¢b, as an Islamic cornerstone, epitomizes respect, humility, and gratitude, bolstering emotional well-being and ethics. The findings suggest that these traditions can be a valuable model for educational institutions aiming to promote emotional well-being, psychological growth, moral ethics, and alignment with Islamic teachings. Additionally, Ã¢dÃ¢b is highlighted as a valuable tool for promoting positive social change in communities.","author":[{"dropping-particle":"","family":"Ismail","given":"Sulaiman","non-dropping-particle":"","parse-names":false,"suffix":""},{"dropping-particle":"","family":"Sabri","given":"Hatta","non-dropping-particle":"","parse-names":false,"suffix":""},{"dropping-particle":"","family":"Asari","given":"Hasan","non-dropping-particle":"","parse-names":false,"suffix":""},{"dropping-particle":"","family":"Yamin","given":"Martinis","non-dropping-particle":"","parse-names":false,"suffix":""},{"dropping-particle":"","family":"Yunus","given":"Marzudi Muhammad","non-dropping-particle":"","parse-names":false,"suffix":""}],"container-title":"Jurnal Pendidikan Islam","id":"ITEM-1","issue":"1","issued":{"date-parts":[["2024","6","18"]]},"page":"13-24","title":"Fostering Emotional and Moral Development in Islamic Boarding Schools: The Impact of TalaqqÃ® and á¸¤alaqa Traditions","type":"article-journal","volume":"10"},"uris":["http://www.mendeley.com/documents/?uuid=17bb5e8c-66a6-4950-a0ec-27387703180e"]}],"mendeley":{"formattedCitation":"(Ismail et al., 2024)","plainTextFormattedCitation":"(Ismail et al., 2024)","previouslyFormattedCitation":"(Ismail et al., 2024)"},"properties":{"noteIndex":0},"schema":"https://github.com/citation-style-language/schema/raw/master/csl-citation.json"}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(Ismail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Although halaqoh is a traditional learning model, it </w:t>
      </w:r>
      <w:r w:rsidR="0034009A">
        <w:rPr>
          <w:rFonts w:ascii="Times New Roman" w:hAnsi="Times New Roman" w:cs="Times New Roman"/>
          <w:sz w:val="24"/>
          <w:szCs w:val="24"/>
        </w:rPr>
        <w:t>shapes</w:t>
      </w:r>
      <w:r>
        <w:rPr>
          <w:rFonts w:ascii="Times New Roman" w:hAnsi="Times New Roman" w:cs="Times New Roman"/>
          <w:sz w:val="24"/>
          <w:szCs w:val="24"/>
        </w:rPr>
        <w:t xml:space="preserve"> students' beliefs, morals, worship character, and scientific insights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{"citationItems":[{"id":"ITEM-1","itemData":{"DOI":"10.26803/ijlter.20.11.8","ISSN":"16942493","abstract":"The social distancing policy in the COVID-19 outbreak has influenced the non-holistic learning process, causing several moral problems. The learning process tends to promote the cognitive aspect, while the affective aspect tends to be neglected. This research aims at offering a learning model that promotes religious ethical values through religious education in junior high schools (SMP/Sekolah Menengah Pertama) in an effort to develop effective attitudes. The development of the model is carried out in five stages of research, namely analysis, design, development, implementation, and evaluation (ADDIE). This research involved two groups of participants consisting of 376 students and 45 Islamic Education (PAI/Pendidikan Agama Islam) teachers in junior high schools in West Java. The research results explore the PAI learning model that develops religious ethical values as learning objectives. The process of internalizing these values is developed through the processes of knowing, of doing, and of being. Religious ethical values that are developed in students are the crystallization of four prophetic characters, namely fathonah, siddiq, amanah, and tabligh. The test results of two junior high schools, both public schools and religious-based schools, concluded that the application of the religious ethical learning model was able to improve students' religious ethical character at a high level. This research contributes to the development of PAI learning designs in the pandemic era based on the development of prophetic characters. In addition, this research can be a guideline for teachers or academics in developing research related to student character within the framework of character education.","author":[{"dropping-particle":"","family":"Taja","given":"Nadri","non-dropping-particle":"","parse-names":false,"suffix":""},{"dropping-particle":"","family":"Nurdin","given":"Encep Syarief","non-dropping-particle":"","parse-names":false,"suffix":""},{"dropping-particle":"","family":"Kosasih","given":"Aceng","non-dropping-particle":"","parse-names":false,"suffix":""},{"dropping-particle":"","family":"Suresman","given":"Edi","non-dropping-particle":"","parse-names":false,"suffix":""},{"dropping-particle":"","family":"Supriyadi","given":"Tedi","non-dropping-particle":"","parse-names":false,"suffix":""}],"container-title":"International Journal of Learning, Teaching and Educational Research","id":"ITEM-1","issue":"11","issued":{"date-parts":[["2021","11","30"]]},"page":"132-153","title":"Character Education in the Pandemic Era: A Religious Ethical Learning Model through Islamic Education","type":"article-journal","volume":"20"},"uris":["http://www.mendeley.com/documents/?uuid=bc1126f2-986a-4e6d-8d4f-8d295692facd"]}],"mendeley":{"formattedCitation":"(Taja et al., 2021)","plainTextFormattedCitation":"(Taja et al., 2021)","previouslyFormattedCitation":"(Taja et al., 2021)"},"properties":{"noteIndex":0},"schema":"https://github.com/citation-style-language/schema/raw/master/csl-citation.json"}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(Taja et al., 2021)</w:t>
      </w:r>
      <w:r>
        <w:rPr>
          <w:rFonts w:ascii="Times New Roman" w:hAnsi="Times New Roman" w:cs="Times New Roman"/>
          <w:sz w:val="24"/>
          <w:szCs w:val="24"/>
        </w:rPr>
        <w:fldChar w:fldCharType="end"/>
      </w:r>
      <w:r>
        <w:rPr>
          <w:rFonts w:ascii="Times New Roman" w:hAnsi="Times New Roman" w:cs="Times New Roman"/>
          <w:sz w:val="24"/>
          <w:szCs w:val="24"/>
        </w:rPr>
        <w:t>.</w:t>
      </w:r>
    </w:p>
    <w:p w14:paraId="6CA78DC5" w14:textId="77777777" w:rsidR="00DC68B2" w:rsidRPr="000A0572" w:rsidRDefault="00DC68B2" w:rsidP="00276F31">
      <w:pPr>
        <w:ind w:firstLine="720"/>
        <w:jc w:val="both"/>
        <w:rPr>
          <w:rFonts w:ascii="Times New Roman" w:hAnsi="Times New Roman" w:cs="Times New Roman"/>
          <w:b/>
          <w:bCs/>
          <w:sz w:val="24"/>
          <w:szCs w:val="24"/>
        </w:rPr>
      </w:pPr>
      <w:r w:rsidRPr="000A0572">
        <w:rPr>
          <w:rFonts w:ascii="Times New Roman" w:hAnsi="Times New Roman" w:cs="Times New Roman"/>
          <w:b/>
          <w:bCs/>
          <w:sz w:val="24"/>
          <w:szCs w:val="24"/>
        </w:rPr>
        <w:t>Women's Empowerment</w:t>
      </w:r>
    </w:p>
    <w:p w14:paraId="72F6BBEB" w14:textId="0E7E3079" w:rsidR="00DC68B2" w:rsidRPr="00BC02D8"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Empowerment means creating strength within individuals by promoting, motivating, and increasing awareness of their potential and development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{"citationItems":[{"id":"ITEM-1","itemData":{"DOI":"10.1002/jcop.22257","ISSN":"0090-4392","abstract":"Empowerment is defined as a process by which marginalized groups gain mastery over issues of concern to them. One such population is racial and ethnic minority college students. These students experience academic disparities while simultaneously relying on higher education to facilitate more equitable social outcomes for themselves and ultimately to strengthen U.S. society for all. Nonetheless, nearly four decades after Rappaport's introduction of the empowerment construct, we still have no core constructs or measure of them for understanding and assessing the empowerment of underrepresented students on college campuses. As an initial step to understand and evaluate empowerment for this important population, this study drew from previous qualitative research to create and field‐test a quantitative measure with racial/ethnic minority college students. Exploratory factor analyses in independent samples identified 4 factors of empowerment: Self‐Efficacy/Control, University Environment, Financial Confidence, and Student Racial/Ethnic Identity. Confirmatory factor analyses illustrated relationships between factors. Findings revealed that the measure, the College Student Empowerment Scales for Racial/Ethnic Minorities (CSES), is valid and reliable. Results emphasize internalized influences on psychological empowerment through an individual's identity within empowering university and societal contexts. Future directions are discussed, including research using this measure and opportunities for intervention in universities.","author":[{"dropping-particle":"","family":"Back","given":"Lindsey T.","non-dropping-particle":"","parse-names":false,"suffix":""},{"dropping-particle":"","family":"Keys","given":"Christopher B.","non-dropping-particle":"","parse-names":false,"suffix":""}],"container-title":"Journal of Community Psychology","id":"ITEM-1","issue":"2","issued":{"date-parts":[["2020","3","6"]]},"page":"482-502","title":"Developing and testing the College Student Empowerment Scales for Racial/Ethnic Minorities","type":"article-journal","volume":"48"},"uris":["http://www.mendeley.com/documents/?uuid=3004c77f-e5fe-4908-96c7-a9a3364e6010"]}],"mendeley":{"formattedCitation":"(Back &amp; Keys, 2020)","plainTextFormattedCitation":"(Back &amp; Keys, 2020)","previouslyFormattedCitation":"(Back &amp; Keys, 2020)"},"properties":{"noteIndex":0},"schema":"https://github.com/citation-style-language/schema/raw/master/csl-citation.json"}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(Back &amp; Keys, 2020)</w:t>
      </w:r>
      <w:r>
        <w:rPr>
          <w:rFonts w:ascii="Times New Roman" w:hAnsi="Times New Roman" w:cs="Times New Roman"/>
          <w:sz w:val="24"/>
          <w:szCs w:val="24"/>
        </w:rPr>
        <w:fldChar w:fldCharType="end"/>
      </w:r>
      <w:r w:rsidRPr="00BC02D8">
        <w:rPr>
          <w:rFonts w:ascii="Times New Roman" w:hAnsi="Times New Roman" w:cs="Times New Roman"/>
          <w:sz w:val="24"/>
          <w:szCs w:val="24"/>
        </w:rPr>
        <w:t xml:space="preserve">. The goal is to give strength to those who are less fortunate. The term includes planning, processes, and efforts to strengthen weak individuals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10.1108/IJEBR-10-2021-0806","ISSN":"1355-2554","author":[{"dropping-particle":"","family":"Richey","given":"Michelle","non-dropping-particle":"","parse-names":false,"suffix":""},{"dropping-particle":"","family":"Brooks","given":"Jade","non-dropping-particle":"","parse-names":false,"suffix":""},{"dropping-particle":"","family":"Ravishankar","given":"M. N.","non-dropping-particle":"","parse-names":false,"suffix":""}],"container-title":"International Journal of Entrepreneurial Behavior &amp; Research","id":"ITEM-1","issue":"7","issued":{"date-parts":[["2022","10","28"]]},"page":"1828-1850","title":"Building self-determination of disadvantaged groups: insights from an entrepreneurship focused program for refugees","type":"article-journal","volume":"28"},"uris":["http://www.mendeley.com/documents/?uuid=f7fa7af1-8281-43a1-bad6-61fc71c38ed6"]}],"mendeley":{"formattedCitation":"(Richey et al., 2022)","plainTextFormattedCitation":"(Richey et al., 2022)","previouslyFormattedCitation":"(Richey et al., 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(Richey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Empowerment is related to improving the ability of a person, family, or group towards better conditions. These efforts involve individual change that includes increased willpower and capacity across multiple dimensions, including economic, socio-cultural, family, legal, political, and psychological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10.1089/chi.2021.0049","ISSN":"2153-2168","author":[{"dropping-particle":"","family":"Earle","given":"Renae","non-dropping-particle":"","parse-names":false,"suffix":""},{"dropping-particle":"","family":"Littlewood","given":"Robyn","non-dropping-particle":"","parse-names":false,"suffix":""},{"dropping-particle":"","family":"Nalatu","given":"Simone","non-dropping-particle":"","parse-names":false,"suffix":""},{"dropping-particle":"","family":"Walker","given":"Jacqueline","non-dropping-particle":"","parse-names":false,"suffix":""}],"container-title":"Childhood Obesity","id":"ITEM-1","issue":"1","issued":{"date-parts":[["2022","1","1"]]},"page":"2-30","title":"Empowerment Approaches in Childhood Weight Management: A Systematic Review","type":"article-journal","volume":"18"},"uris":["http://www.mendeley.com/documents/?uuid=485e8c27-65a2-46bf-afd1-652a7ae19241"]}],"mendeley":{"formattedCitation":"(Earle et al., 2022)","plainTextFormattedCitation":"(Earle et al., 2022)","previouslyFormattedCitation":"(Earle et al., 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(Earle et al., 2022)</w:t>
      </w:r>
      <w:r>
        <w:rPr>
          <w:rFonts w:ascii="Times New Roman" w:hAnsi="Times New Roman" w:cs="Times New Roman"/>
          <w:sz w:val="24"/>
          <w:szCs w:val="24"/>
        </w:rPr>
        <w:fldChar w:fldCharType="end"/>
      </w:r>
      <w:r>
        <w:rPr>
          <w:rFonts w:ascii="Times New Roman" w:hAnsi="Times New Roman" w:cs="Times New Roman"/>
          <w:sz w:val="24"/>
          <w:szCs w:val="24"/>
        </w:rPr>
        <w:t xml:space="preserve">. Women's empowerment is essential for national growth and development. According to </w:t>
      </w:r>
      <w:r w:rsidRPr="004216FC">
        <w:rPr>
          <w:rFonts w:ascii="Times New Roman" w:hAnsi="Times New Roman" w:cs="Times New Roman"/>
          <w:noProof/>
          <w:sz w:val="24"/>
          <w:szCs w:val="24"/>
        </w:rPr>
        <w:t xml:space="preserve">Eggers del Campo &amp; Steinert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{"citationItems":[{"id":"ITEM-1","itemData":{"DOI":"10.1177/1524838020976088","ISSN":"1524-8380","abstract":"Women’s economic empowerment is an essential component of the United Nations Sustainable Development Goals. Not only is it an end in itself but it has further been promoted for its potential to create positive externalities, including the reduction of intimate partner violence (IPV). However, the link between economic empowerment and the risk of IPV remains theoretically ambiguous. Marital dependency theory predicts that women with more financial resources hold higher bargaining power and are in a better position to leave potentially abusive relationships. Conversely, Resource theory posits that an increase in women’s financial resources may clash with traditional gender roles, which may prompt their partner to reassert their status through violent means. In light of this debate, we conducted a meta-analysis of 19 randomized controlled trials assessing the impact of economic empowerment interventions on IPV. Based on a total sample size of 44,772 participants and robust variance estimation, our meta-analysis shows that women’s economic empowerment was associated with a significant reduction in the pooled measure of emotional, sexual, and physical IPV. We further documented tentative evidence suggesting that these effects may be amplified when additional gender sensitization training is included in such programs. Despite the overall positive effects, some included studies reported increases in IPV, primarily in the form of partners exerting controlling behavior and dominance over financial resources. Our results therefore emphasize a need to prioritize women’s safety in the process of designing economic empowerment programs and to closely monitor the potential risk of conflict and violence within beneficiaries’ households.","author":[{"dropping-particle":"","family":"Eggers del Campo","given":"Isabel","non-dropping-particle":"","parse-names":false,"suffix":""},{"dropping-particle":"","family":"Steinert","given":"Janina Isabel","non-dropping-particle":"","parse-names":false,"suffix":""}],"container-title":"Trauma, Violence, &amp; Abuse","id":"ITEM-1","issue":"3","issued":{"date-parts":[["2022","7","8"]]},"page":"810-826","title":"The Effect of Female Economic Empowerment Interventions on the Risk of Intimate Partner Violence: A Systematic Review and Meta-Analysis","type":"article-journal","volume":"23"},"suppress-author":1,"uris":["http://www.mendeley.com/documents/?uuid=d251eb60-a5d2-404b-9ce1-e4269fbe3e36"]}],"mendeley":{"formattedCitation":"(2022)","plainTextFormattedCitation":"(2022)","previouslyFormattedCitation":"(2022)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(2022)</w:t>
      </w:r>
      <w:r>
        <w:rPr>
          <w:rFonts w:ascii="Times New Roman" w:hAnsi="Times New Roman" w:cs="Times New Roman"/>
          <w:sz w:val="24"/>
          <w:szCs w:val="24"/>
        </w:rPr>
        <w:fldChar w:fldCharType="end"/>
      </w:r>
      <w:r w:rsidR="0034009A">
        <w:rPr>
          <w:rFonts w:ascii="Times New Roman" w:hAnsi="Times New Roman" w:cs="Times New Roman"/>
          <w:sz w:val="24"/>
          <w:szCs w:val="24"/>
        </w:rPr>
        <w:t>,</w:t>
      </w:r>
      <w:r>
        <w:rPr>
          <w:rFonts w:ascii="Times New Roman" w:hAnsi="Times New Roman" w:cs="Times New Roman"/>
          <w:sz w:val="24"/>
          <w:szCs w:val="24"/>
        </w:rPr>
        <w:t xml:space="preserve"> Women's social and economic development contributes to overall economic development.</w:t>
      </w:r>
    </w:p>
    <w:p w14:paraId="7E942239" w14:textId="6451CB6E" w:rsidR="00DC68B2" w:rsidRPr="00BC02D8"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Empowering women means improving their abilities and skills in the social, economic, and political fields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10.3368/jhr.57.3.0917-9083R2","ISSN":"0022-166X","author":[{"dropping-particle":"","family":"Lavy","given":"Victor","non-dropping-particle":"","parse-names":false,"suffix":""},{"dropping-particle":"","family":"Lotti","given":"Giulia","non-dropping-particle":"","parse-names":false,"suffix":""},{"dropping-particle":"","family":"Yan","given":"Zizhong","non-dropping-particle":"","parse-names":false,"suffix":""}],"container-title":"Journal of Human Resources","id":"ITEM-1","issue":"3","issued":{"date-parts":[["2022","5"]]},"page":"821-867","title":"Empowering Mothers and Enhancing Early Childhood Investment","type":"article-journal","volume":"57"},"uris":["http://www.mendeley.com/documents/?uuid=87db3991-6844-41e1-b766-f3a37b1a3c9a"]}],"mendeley":{"formattedCitation":"(Lavy et al., 2022)","plainTextFormattedCitation":"(Lavy et al., 2022)","previouslyFormattedCitation":"(Lavy et al., 2022)"},"properties":{"noteIndex":0},"schema":"https://github.com/citation-style-language/schema/raw/master/csl-citation.json"}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(Lavy et al., 2022)</w:t>
      </w:r>
      <w:r>
        <w:rPr>
          <w:rFonts w:ascii="Times New Roman" w:hAnsi="Times New Roman" w:cs="Times New Roman"/>
          <w:sz w:val="24"/>
          <w:szCs w:val="24"/>
        </w:rPr>
        <w:fldChar w:fldCharType="end"/>
      </w:r>
      <w:r w:rsidRPr="00BC02D8">
        <w:rPr>
          <w:rFonts w:ascii="Times New Roman" w:hAnsi="Times New Roman" w:cs="Times New Roman"/>
          <w:sz w:val="24"/>
          <w:szCs w:val="24"/>
        </w:rPr>
        <w:t xml:space="preserve">. This empowerment program involves productive economic, health, and educational activities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10.1093/eurpub/ckaa165.229","ISSN":"1101-1262","author":[{"dropping-particle":"","family":"Coan","given":"S","non-dropping-particle":"","parse-names":false,"suffix":""},{"dropping-particle":"","family":"Woodward","given":"J","non-dropping-particle":"","parse-names":false,"suffix":""},{"dropping-particle":"","family":"South","given":"J","non-dropping-particle":"","parse-names":false,"suffix":""},{"dropping-particle":"","family":"Bagnall","given":"A","non-dropping-particle":"","parse-names":false,"suffix":""},{"dropping-particle":"","family":"Southby","given":"K","non-dropping-particle":"","parse-names":false,"suffix":""},{"dropping-particle":"","family":"Button","given":"D","non-dropping-particle":"","parse-names":false,"suffix":""},{"dropping-particle":"","family":"Trigwell","given":"J","non-dropping-particle":"","parse-names":false,"suffix":""}],"container-title":"European Journal of Public Health","id":"ITEM-1","issue":"Supplement_5","issued":{"date-parts":[["2020","9","1"]]},"title":"Can a community empowerment intervention improve health and wellbeing in a post-industrial UK town?","type":"article-journal","volume":"30"},"uris":["http://www.mendeley.com/documents/?uuid=618f2ae9-06a4-434f-8d24-53af53c674de"]},{"id":"ITEM-2","itemData":{"DOI":"10.1186/s12889-019-8084-3","ISSN":"1471-2458","author":[{"dropping-particle":"","family":"Bapolisi","given":"Wyvine Ansima","non-dropping-particle":"","parse-names":false,"suffix":""},{"dropping-particle":"","family":"Ferrari","given":"Giovanfrancesco","non-dropping-particle":"","parse-names":false,"suffix":""},{"dropping-particle":"","family":"Blampain","given":"Clara","non-dropping-particle":"","parse-names":false,"suffix":""},{"dropping-particle":"","family":"Makelele","given":"Jean","non-dropping-particle":"","parse-names":false,"suffix":""},{"dropping-particle":"","family":"Kono-Tange","given":"Lenneke","non-dropping-particle":"","parse-names":false,"suffix":""},{"dropping-particle":"","family":"Bisimwa","given":"Ghislain","non-dropping-particle":"","parse-names":false,"suffix":""},{"dropping-particle":"","family":"Merten","given":"Sonja","non-dropping-particle":"","parse-names":false,"suffix":""}],"container-title":"BMC Public Health","id":"ITEM-2","issue":"1","issued":{"date-parts":[["2020","12","14"]]},"page":"51","title":"Impact of a complex gender-transformative intervention on maternal and child health outcomes in the eastern Democratic Republic of Congo: protocol of a longitudinal parallel mixed-methods study","type":"article-journal","volume":"20"},"uris":["http://www.mendeley.com/documents/?uuid=f9ac2c05-e876-4796-b1d5-bbf636b538a7"]}],"mendeley":{"formattedCitation":"(Bapolisi et al., 2020; Coan et al., 2020)","plainTextFormattedCitation":"(Bapolisi et al., 2020; Coan et al., 2020)","previouslyFormattedCitation":"(Bapolisi et al., 2020; Coan et al., 2020)"},"properties":{"noteIndex":0},"schema":"https://github.com/citation-style-language/schema/raw/master/csl-citation.json"}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(Bapolisi et al., 2020; Coan et al., 2020)</w:t>
      </w:r>
      <w:r>
        <w:rPr>
          <w:rFonts w:ascii="Times New Roman" w:hAnsi="Times New Roman" w:cs="Times New Roman"/>
          <w:sz w:val="24"/>
          <w:szCs w:val="24"/>
        </w:rPr>
        <w:fldChar w:fldCharType="end"/>
      </w:r>
      <w:r w:rsidRPr="00BC02D8">
        <w:rPr>
          <w:rFonts w:ascii="Times New Roman" w:hAnsi="Times New Roman" w:cs="Times New Roman"/>
          <w:sz w:val="24"/>
          <w:szCs w:val="24"/>
        </w:rPr>
        <w:t>. In the context of economic development, women's empowerment includes the ability to 1) earn, spend, and save income; 2) buy, own, and sell assets; 3) start and manag</w:t>
      </w:r>
      <w:r w:rsidR="0034009A">
        <w:rPr>
          <w:rFonts w:ascii="Times New Roman" w:hAnsi="Times New Roman" w:cs="Times New Roman"/>
          <w:sz w:val="24"/>
          <w:szCs w:val="24"/>
        </w:rPr>
        <w:t>e</w:t>
      </w:r>
      <w:r w:rsidRPr="00BC02D8">
        <w:rPr>
          <w:rFonts w:ascii="Times New Roman" w:hAnsi="Times New Roman" w:cs="Times New Roman"/>
          <w:sz w:val="24"/>
          <w:szCs w:val="24"/>
        </w:rPr>
        <w:t xml:space="preserve"> a business; 4) open a bank account or get credit; and 5) participate in or lead trade unions and other economic activities. Therefore, </w:t>
      </w:r>
      <w:r w:rsidR="0034009A">
        <w:rPr>
          <w:rFonts w:ascii="Times New Roman" w:hAnsi="Times New Roman" w:cs="Times New Roman"/>
          <w:sz w:val="24"/>
          <w:szCs w:val="24"/>
        </w:rPr>
        <w:t>empowerment aim</w:t>
      </w:r>
      <w:r w:rsidRPr="00BC02D8">
        <w:rPr>
          <w:rFonts w:ascii="Times New Roman" w:hAnsi="Times New Roman" w:cs="Times New Roman"/>
          <w:sz w:val="24"/>
          <w:szCs w:val="24"/>
        </w:rPr>
        <w:t>s to enable women to participate, contribute, and benefit from the development process by respecting their value</w:t>
      </w:r>
      <w:r w:rsidR="0034009A">
        <w:rPr>
          <w:rFonts w:ascii="Times New Roman" w:hAnsi="Times New Roman" w:cs="Times New Roman"/>
          <w:sz w:val="24"/>
          <w:szCs w:val="24"/>
        </w:rPr>
        <w:t>s</w:t>
      </w:r>
      <w:r w:rsidRPr="00BC02D8">
        <w:rPr>
          <w:rFonts w:ascii="Times New Roman" w:hAnsi="Times New Roman" w:cs="Times New Roman"/>
          <w:sz w:val="24"/>
          <w:szCs w:val="24"/>
        </w:rPr>
        <w:t xml:space="preserve"> and dignity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10.1080/19452829.2021.1890005","ISSN":"1945-2829","author":[{"dropping-particle":"","family":"Pizzamiglio","given":"Raffaella","non-dropping-particle":"","parse-names":false,"suffix":""},{"dropping-particle":"","family":"Kovacs","given":"Pamela","non-dropping-particle":"","parse-names":false,"suffix":""}],"container-title":"Journal of Human Development and Capabilities","id":"ITEM-1","issue":"3","issued":{"date-parts":[["2021","7","3"]]},"page":"517-526","title":"Accelerating Women’s Empowerment Through Legal Empowerment and Social Accountability Strategies","type":"article-journal","volume":"22"},"uris":["http://www.mendeley.com/documents/?uuid=2d101b8d-ac24-4870-9e3c-cee728870c96"]}],"mendeley":{"formattedCitation":"(Pizzamiglio &amp; Kovacs, 2021)","plainTextFormattedCitation":"(Pizzamiglio &amp; Kovacs, 2021)","previouslyFormattedCitation":"(Pizzamiglio &amp; Kovacs, 2021)"},"properties":{"noteIndex":0},"schema":"https://github.com/citation-style-language/schema/raw/master/csl-citation.json"}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(Pizzamiglio &amp; Kovacs, 2021)</w:t>
      </w:r>
      <w:r>
        <w:rPr>
          <w:rFonts w:ascii="Times New Roman" w:hAnsi="Times New Roman" w:cs="Times New Roman"/>
          <w:sz w:val="24"/>
          <w:szCs w:val="24"/>
        </w:rPr>
        <w:fldChar w:fldCharType="end"/>
      </w:r>
      <w:r w:rsidRPr="00BC02D8">
        <w:rPr>
          <w:rFonts w:ascii="Times New Roman" w:hAnsi="Times New Roman" w:cs="Times New Roman"/>
          <w:sz w:val="24"/>
          <w:szCs w:val="24"/>
        </w:rPr>
        <w:t>. It also increases women's self-awareness and ability to be independent.</w:t>
      </w:r>
    </w:p>
    <w:p w14:paraId="13F1EEA7" w14:textId="77777777" w:rsidR="00DC68B2" w:rsidRPr="000A0572" w:rsidRDefault="00DC68B2" w:rsidP="00276F31">
      <w:pPr>
        <w:ind w:firstLine="720"/>
        <w:jc w:val="both"/>
        <w:rPr>
          <w:rFonts w:ascii="Times New Roman" w:hAnsi="Times New Roman" w:cs="Times New Roman"/>
          <w:b/>
          <w:bCs/>
          <w:sz w:val="24"/>
          <w:szCs w:val="24"/>
        </w:rPr>
      </w:pPr>
      <w:r w:rsidRPr="000A0572">
        <w:rPr>
          <w:rFonts w:ascii="Times New Roman" w:hAnsi="Times New Roman" w:cs="Times New Roman"/>
          <w:b/>
          <w:bCs/>
          <w:sz w:val="24"/>
          <w:szCs w:val="24"/>
        </w:rPr>
        <w:t>Sharia Microfinance Institution Bank Waqf Mikro (SMI MWB)</w:t>
      </w:r>
    </w:p>
    <w:p w14:paraId="435D3F94" w14:textId="5CFF7EF3" w:rsidR="00DC68B2" w:rsidRPr="00BC02D8"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MWB is a </w:t>
      </w:r>
      <w:r w:rsidR="0034009A">
        <w:rPr>
          <w:rFonts w:ascii="Times New Roman" w:hAnsi="Times New Roman" w:cs="Times New Roman"/>
          <w:sz w:val="24"/>
          <w:szCs w:val="24"/>
        </w:rPr>
        <w:t>S</w:t>
      </w:r>
      <w:r w:rsidRPr="00BC02D8">
        <w:rPr>
          <w:rFonts w:ascii="Times New Roman" w:hAnsi="Times New Roman" w:cs="Times New Roman"/>
          <w:sz w:val="24"/>
          <w:szCs w:val="24"/>
        </w:rPr>
        <w:t xml:space="preserve">haria microfinance institution that aims to provide microfinance to the community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10.1108/IJOES-09-2021-0165","ISSN":"2514-9369","author":[{"dropping-particle":"","family":"Nurasyiah","given":"Aas","non-dropping-particle":"","parse-names":false,"suffix":""},{"dropping-particle":"","family":"Syamputri","given":"Dhealika","non-dropping-particle":"","parse-names":false,"suffix":""},{"dropping-particle":"","family":"Adawiyah","given":"Rumaisah Azizah","non-dropping-particle":"Al","parse-names":false,"suffix":""},{"dropping-particle":"","family":"Mahri","given":"A. Jajang Warya","non-dropping-particle":"","parse-names":false,"suffix":""},{"dropping-particle":"","family":"Ismail","given":"Abdul Ghafar","non-dropping-particle":"","parse-names":false,"suffix":""}],"container-title":"International Journal of Ethics and Systems","id":"ITEM-1","issue":"1","issued":{"date-parts":[["2024","1","23"]]},"page":"189-211","title":"Islamic wealth management: ensuring the prosperity of Muslim households of MSMEs during Covid-19","type":"article-journal","volume":"40"},"uris":["http://www.mendeley.com/documents/?uuid=4c937725-7c15-41c1-8aa1-1d0c9eb981a3"]}],"mendeley":{"formattedCitation":"(Nurasyiah et al., 2024)","plainTextFormattedCitation":"(Nurasyiah et al., 2024)","previouslyFormattedCitation":"(Nurasyiah et al., 2024)"},"properties":{"noteIndex":0},"schema":"https://github.com/citation-style-language/schema/raw/master/csl-citation.json"}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(Nurasyiah et al., 2024)</w:t>
      </w:r>
      <w:r>
        <w:rPr>
          <w:rFonts w:ascii="Times New Roman" w:hAnsi="Times New Roman" w:cs="Times New Roman"/>
          <w:sz w:val="24"/>
          <w:szCs w:val="24"/>
        </w:rPr>
        <w:fldChar w:fldCharType="end"/>
      </w:r>
      <w:r w:rsidRPr="00BC02D8">
        <w:rPr>
          <w:rFonts w:ascii="Times New Roman" w:hAnsi="Times New Roman" w:cs="Times New Roman"/>
          <w:sz w:val="24"/>
          <w:szCs w:val="24"/>
        </w:rPr>
        <w:t xml:space="preserve">. The government is committed to expanding financial access for people in Islamic boarding schools that are not connected to formal financial institutions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Indonesia","type":"article-journal","volume":"11"},"uris":["http://www.mendeley.com/documents/?uuid=b8a1f9d2-97f7-3473-a22b-e1a8de5f7800","http://www.mendeley.com/documents/?uuid=7e8733a4-4e0c-4577-9eeb-8118a246a0bc"]}],"mendeley":{"formattedCitation":"(Hasiba et al., 2021)","plainTextFormattedCitation":"(Hasiba et al., 2021)","previouslyFormattedCitation":"(Hasiba et al., 2021)"},"properties":{"noteIndex":0},"schema":"https://github.com/citation-style-language/schema/raw/master/csl-citation.json"}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(Hasiba et al., 2021)</w:t>
      </w:r>
      <w:r w:rsidRPr="004E16EB">
        <w:rPr>
          <w:rFonts w:ascii="Times New Roman" w:hAnsi="Times New Roman" w:cs="Times New Roman"/>
          <w:sz w:val="24"/>
          <w:szCs w:val="24"/>
        </w:rPr>
        <w:fldChar w:fldCharType="end"/>
      </w:r>
      <w:r w:rsidRPr="00BC02D8">
        <w:rPr>
          <w:rFonts w:ascii="Times New Roman" w:hAnsi="Times New Roman" w:cs="Times New Roman"/>
          <w:sz w:val="24"/>
          <w:szCs w:val="24"/>
        </w:rPr>
        <w:t xml:space="preserve">. MWB does not collect or manage public savings funds (Non-Deposit Taking). </w:t>
      </w:r>
      <w:r w:rsidR="0034009A">
        <w:rPr>
          <w:rFonts w:ascii="Times New Roman" w:hAnsi="Times New Roman" w:cs="Times New Roman"/>
          <w:sz w:val="24"/>
          <w:szCs w:val="24"/>
        </w:rPr>
        <w:t>According to Sharia principles, this institution only provides assistance and financing to poor women who have productive potential around Islamic boarding school</w:t>
      </w:r>
      <w:r w:rsidRPr="00BC02D8">
        <w:rPr>
          <w:rFonts w:ascii="Times New Roman" w:hAnsi="Times New Roman" w:cs="Times New Roman"/>
          <w:sz w:val="24"/>
          <w:szCs w:val="24"/>
        </w:rPr>
        <w:t xml:space="preserve">s. Financing distribution is carried out with a group approach and a shared responsibility system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{"citationItems":[{"id":"ITEM-1","itemData":{"author":[{"dropping-particle":"","family":"Rozalinda","given":"","non-dropping-particle":"","parse-names":false,"suffix":""}],"container-title":"Islam Realitas: Journal of Islamic and Social Studies","id":"ITEM-1","issue":"1","issued":{"date-parts":[["2020"]]},"page":"47-60","title":"Bank Wakaf Mikro: Its Operations and Its Role in Empowering Communities Surrounding Islamic Boarding Schools in Indonesia","type":"article-journal","volume":"6"},"uris":["http://www.mendeley.com/documents/?uuid=d7c9bd3e-539b-3576-8b04-dfeaa0a473a5","http://www.mendeley.com/documents/?uuid=bdde64cf-07cd-4d06-bc42-c6399521a45a"]}],"mendeley":{"formattedCitation":"(Rozalinda, 2020)","plainTextFormattedCitation":"(Rozalinda, 2020)","previouslyFormattedCitation":"(Rozalinda, 2020)"},"properties":{"noteIndex":0},"schema":"https://github.com/citation-style-language/schema/raw/master/csl-citation.json"}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(Rozalinda, 2020)</w:t>
      </w:r>
      <w:r w:rsidRPr="004E16EB">
        <w:rPr>
          <w:rFonts w:ascii="Times New Roman" w:hAnsi="Times New Roman" w:cs="Times New Roman"/>
          <w:sz w:val="24"/>
          <w:szCs w:val="24"/>
        </w:rPr>
        <w:fldChar w:fldCharType="end"/>
      </w:r>
      <w:r>
        <w:rPr>
          <w:rFonts w:ascii="Times New Roman" w:hAnsi="Times New Roman" w:cs="Times New Roman"/>
          <w:sz w:val="24"/>
          <w:szCs w:val="24"/>
        </w:rPr>
        <w:t>.</w:t>
      </w:r>
    </w:p>
    <w:p w14:paraId="6B5CF278" w14:textId="5989BC28" w:rsidR="00DC68B2" w:rsidRPr="0053637C" w:rsidRDefault="00DC68B2" w:rsidP="00DC68B2">
      <w:pPr>
        <w:ind w:firstLine="720"/>
        <w:jc w:val="both"/>
        <w:rPr>
          <w:rFonts w:ascii="Times New Roman" w:hAnsi="Times New Roman" w:cs="Times New Roman"/>
          <w:sz w:val="24"/>
          <w:szCs w:val="24"/>
        </w:rPr>
      </w:pPr>
      <w:r w:rsidRPr="00BC02D8">
        <w:rPr>
          <w:rFonts w:ascii="Times New Roman" w:hAnsi="Times New Roman" w:cs="Times New Roman"/>
          <w:sz w:val="24"/>
          <w:szCs w:val="24"/>
        </w:rPr>
        <w:t xml:space="preserve">MWB was established with several objectives, namely: 1) improving the welfare of the community around the pesantren through assistance and training for customers, 2) improving the living standards of the productive poor, 3) maximizing the role of the pesantren as an educational institution adjacent to socio-religious life to empower women through the Weekly Halaqoh (WH) for each group member, and 4) building and strengthening professional socio-economic institutions,  accountable, and independent by growing Community Business Groups around Islamic Boarding Schools in Indonesia (CBGIBSI). Institutionally, MWB is a cooperative legal entity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{"citationItems":[{"id":"ITEM-1","itemData":{"DOI":"10.31603/variajusticia.v16i1.3205","ISSN":"1907-3216","abstract":"The presence of types of financial institutions in Indonesia makes it easy for people to choose which financial services they need. Micro Waqf Bank is one of the Microfinance Institutions that applies sharia principles that are currently growing and developing. However, there are legal issues related to arrangements for organizing a Micro Waqf Bank with a cooperative legal entity, namely, there are two overlapping regulations, namely the Microfinance Institution legislation, and Cooperative regulations. The purpose of this study is necessary to find out whether the legal consequences arising in the process of establishment, implementation, or if there are problems encountered by Mikro Waqf Banks as a Sharia Microfinance Institution incorporated as a cooperative. This study uses a normative legal research method with a statutory approach and conceptual approach. This study shows that the dualism of Micro Waqf Bank arrangements gives rise to contradictions in the arrangements for the establishment, guidance, and supervision. The existence of this dualism of regulation also gives rise to legal consequences in the establishment of a Micro Waqf Bank incorporated as a cooperative. The legal consequences are related to the broader aspects of business activities based on MFI regulations compared to cooperative regulations. Legal consequences related to capital aspects that require Micro Waqf Banks have a certain amount of capital by MFI regulations. Then from the aspect of coaching and supervision in which there are an examination and evaluation, there is also a dualism which in the regulation of the function of the cooperative is carried out by the Ministry of Cooperatives but the existence of the MFI regulation of the fostering and supervision function is under the authority of the Financial Services Authority.","author":[{"dropping-particle":"","family":"Paramita","given":"","non-dropping-particle":"","parse-names":false,"suffix":""},{"dropping-particle":"","family":"Prananingtyas","given":"Hari Sutra Disemadi","non-dropping-particle":"","parse-names":false,"suffix":""}],"container-title":"Varia Justicia","id":"ITEM-1","issue":"1","issued":{"date-parts":[["2020","4"]]},"page":"1-14","publisher":"Universitas Muhammadiyah Magelang","title":"Legal Consequences of Dualism Regulations on Micro Waqf Bank as a Sharia Microfinance Institutions in Indonesia","type":"article-journal","volume":"16"},"uris":["http://www.mendeley.com/documents/?uuid=c298e79a-aa7e-3e93-81d3-a24989badb84","http://www.mendeley.com/documents/?uuid=3a0906dd-91ba-4e9e-93e6-5b7441b1a9c5"]}],"mendeley":{"formattedCitation":"(Paramita &amp; Prananingtyas, 2020)","plainTextFormattedCitation":"(Paramita &amp; Prananingtyas, 2020)","previouslyFormattedCitation":"(Paramita &amp; Prananingtyas, 2020)"},"properties":{"noteIndex":0},"schema":"https://github.com/citation-style-language/schema/raw/master/csl-citation.json"}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(Paramita &amp; Prananingtyas, 2020)</w:t>
      </w:r>
      <w:r w:rsidRPr="004E16EB">
        <w:rPr>
          <w:rFonts w:ascii="Times New Roman" w:hAnsi="Times New Roman" w:cs="Times New Roman"/>
          <w:sz w:val="24"/>
          <w:szCs w:val="24"/>
        </w:rPr>
        <w:fldChar w:fldCharType="end"/>
      </w:r>
      <w:r w:rsidRPr="00BC02D8">
        <w:rPr>
          <w:rFonts w:ascii="Times New Roman" w:hAnsi="Times New Roman" w:cs="Times New Roman"/>
          <w:sz w:val="24"/>
          <w:szCs w:val="24"/>
        </w:rPr>
        <w:t xml:space="preserve"> which operates as a sharia microfinance institution licensed and supervised by the Financial Services Authority (OJK) </w:t>
      </w:r>
      <w:r>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{"citationItems":[{"id":"ITEM-1","itemData":{"DOI":"10.46799/JSS.V1I1.2","ISSN":"2721-5202","abstract":"This study aims to find out how the implementation ofmarketing at the Sharia Micro Typical Sharia Bank KempekCirebon and marketing strategies used by the Micro WaqfBank in increasing the number of corporate customers. Theresearch method used is a qualitative method. The marketingstrategy used by the Typical Sharia Micro Waqf Bank inKempek Cirebon is to use segmenting, targeting andpositioning. Applying the characteristics of sharia marketingin the form of God, realistic, moral and humanistic. Marketsegments determined by the Micro Islamic Waqf Bank aregeographical segments, demographic segments,psychographic segments, and behavioral segments.Customers at the Micro Islamic Waqf Bank each year haveincreased, which of course this institution continues toincrease turnover. Customers are very interested in theproducts owned by this institution because they have very lowmargins. Islamic Micro Waqf Bank has done a goodmarketing implementation, even has a marketing strategy.The name of the Micro-Islamic Waqf Bank is already greatbecause it carries the name Pondok Pesantren TypicalKempek.Keywords: Marketing Strategy, Micro Islamic Waqf Bank,Customers.","author":[{"dropping-particle":"","family":"Widyanti","given":"Asih","non-dropping-particle":"","parse-names":false,"suffix":""}],"container-title":"Journal of Social Science","id":"ITEM-1","issue":"1","issued":{"date-parts":[["2020","3"]]},"page":"1-9","title":"STRATEGY MARKETING OF SHARIA BANKS OF MICRO SHARIA WAKAF IN INCREASING THE NUMBER OF CUSTOMERS (Case Study: Typical Islamic Micro Waqf Bank Kempek Cirebon)","type":"article-journal","volume":"1"},"uris":["http://www.mendeley.com/documents/?uuid=de17bbbd-84aa-31bf-854a-5a0c588ac397","http://www.mendeley.com/documents/?uuid=ad1f95f9-072f-4d6f-a4f4-c4529d729c2a","http://www.mendeley.com/documents/?uuid=8132960b-2701-4387-883c-14e3ae2f73c9"]},{"id":"ITEM-2","itemData":{"ISSN":"2580-4251","abstract":"Waqf is a legal act of wakif (endower) for separating and transferring part of their wealth either permanently or for a specified period in accordance with their interests for purposes of worship and the general welfare according to sharia. Islamic law have two characters, it is normative (muhkamat) so that Islam have a unity of mind, feeling, and behavior for the people and make the people united, and temporal (mutashabihat) to open up the difference by space, time, and the condition of each with regard to the purposes of syara'. Waqf is a legal act of wakif (endower) for separating and/or transferring part of their wealth either permanently or for a specified period in accordance with their interests for purposes of worship and/or the general welfare according to sharia. Waqf or endowments often directed to unmovable objects, while waqf on moving objects is being developed lately. The idea to explore and develop the concept of waqf in Indonesia was began when Mustafa Edwin Nasution translating paper written by M. Abdul Mannan that revealed the practice of cash waqf (SIBL) in Bangladesh. The government try to do innovation in order to boost the Muslim's Economy particularly for those who are considered as a poor. The role of shariah bank and BWI and regulations is also considered ineffective, then the Government innovate by establishing institution called Micro Waqf Bank. Micro Waqf Bank is believed to increase financial inclusion, particularly in the public and small and micro businesses (SMEs) to have the easy capital. These agency is not allowed to take deposits from the public because it has focused in communities em-powerment through financing with business mentoring.","author":[{"dropping-particle":"","family":"Nugroho","given":"W","non-dropping-particle":"","parse-names":false,"suffix":""},{"dropping-particle":"","family":"Islamic","given":"FN Hilal - Al-Iktisab: Journal of","non-dropping-particle":"","parse-names":false,"suffix":""},{"dropping-particle":"","family":"2019","given":"undefined","non-dropping-particle":"","parse-names":false,"suffix":""}],"container-title":"ejournal.unida.gontor.ac.id","id":"ITEM-2","issue":"1","issued":{"date-parts":[["2019"]]},"title":"Micro Waqf Bank in Indonesia: Analysis of The Constitution Concept According to The Maqashid Sharia","type":"article-journal","volume":"3"},"uris":["http://www.mendeley.com/documents/?uuid=f95d0b1a-f1bc-3b74-97a8-e3149130b556","http://www.mendeley.com/documents/?uuid=cb348501-b18a-4ae7-a5fd-05d124534561","http://www.mendeley.com/documents/?uuid=4cb0e946-d003-4b96-9957-0248da38d8e4"]}],"mendeley":{"formattedCitation":"(Nugroho et al., 2019; Widyanti, 2020)","plainTextFormattedCitation":"(Nugroho et al., 2019; Widyanti, 2020)","previouslyFormattedCitation":"(Nugroho et al., 2019; Widyanti, 2020)"},"properties":{"noteIndex":0},"schema":"https://github.com/citation-style-language/schema/raw/master/csl-citation.json"}</w:instrText>
      </w:r>
      <w:r>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(Nugroho et al., 2019; Widyanti, 2020)</w:t>
      </w:r>
      <w:r>
        <w:rPr>
          <w:rFonts w:ascii="Times New Roman" w:hAnsi="Times New Roman" w:cs="Times New Roman"/>
          <w:sz w:val="24"/>
          <w:szCs w:val="24"/>
        </w:rPr>
        <w:fldChar w:fldCharType="end"/>
      </w:r>
      <w:r>
        <w:rPr>
          <w:rFonts w:ascii="Times New Roman" w:hAnsi="Times New Roman" w:cs="Times New Roman"/>
          <w:sz w:val="24"/>
          <w:szCs w:val="24"/>
        </w:rPr>
        <w:t xml:space="preserve">. Since its launch nationwide in 2017 until March 31, 2019, MWB has established 43 units throughout Indonesia, with a total of Rp 18,543,680,000 </w:t>
      </w:r>
      <w:r>
        <w:rPr>
          <w:rFonts w:ascii="Times New Roman" w:hAnsi="Times New Roman" w:cs="Times New Roman"/>
          <w:sz w:val="24"/>
          <w:szCs w:val="24"/>
        </w:rPr>
        <w:lastRenderedPageBreak/>
        <w:t xml:space="preserve">in financing disbursed and a total of 15,236 customers registered in 10,003 CBGIBSI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e99a964b-d87d-3aff-a414-914192f9cd5f","http://www.mendeley.com/documents/?uuid=1abc07c6-bdba-49d9-babe-1ba25b803fca"]}],"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(BWM, 2019)</w:t>
      </w:r>
      <w:r w:rsidRPr="004E16EB">
        <w:rPr>
          <w:rFonts w:ascii="Times New Roman" w:hAnsi="Times New Roman" w:cs="Times New Roman"/>
          <w:sz w:val="24"/>
          <w:szCs w:val="24"/>
        </w:rPr>
        <w:fldChar w:fldCharType="end"/>
      </w:r>
      <w:r w:rsidRPr="00BC02D8">
        <w:rPr>
          <w:rFonts w:ascii="Times New Roman" w:hAnsi="Times New Roman" w:cs="Times New Roman"/>
          <w:sz w:val="24"/>
          <w:szCs w:val="24"/>
        </w:rPr>
        <w:t>.</w:t>
      </w:r>
    </w:p>
    <w:p w14:paraId="67CEE066" w14:textId="77777777" w:rsidR="00DC68B2" w:rsidRPr="007E1CD8"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Research Method</w:t>
      </w:r>
    </w:p>
    <w:p w14:paraId="06839E2C" w14:textId="77777777" w:rsidR="00DC68B2" w:rsidRPr="004E16EB" w:rsidRDefault="00DC68B2" w:rsidP="00DC68B2">
      <w:pPr>
        <w:spacing w:after="120" w:line="240" w:lineRule="auto"/>
        <w:ind w:firstLine="720"/>
        <w:jc w:val="both"/>
        <w:rPr>
          <w:rFonts w:ascii="Times New Roman" w:hAnsi="Times New Roman" w:cs="Times New Roman"/>
          <w:sz w:val="24"/>
          <w:szCs w:val="24"/>
        </w:rPr>
      </w:pPr>
      <w:r w:rsidRPr="004E16EB">
        <w:rPr>
          <w:rFonts w:ascii="Times New Roman" w:hAnsi="Times New Roman"/>
          <w:sz w:val="24"/>
          <w:szCs w:val="24"/>
        </w:rPr>
        <w:t>This research was conducted in MWB in Yogyakarta Province, West Sumatra, and Central and East Java, Indonesia, as shown in Table 1.</w:t>
      </w:r>
    </w:p>
    <w:p w14:paraId="0257ADCB" w14:textId="77777777" w:rsidR="00DC68B2" w:rsidRPr="004E16EB" w:rsidRDefault="00DC68B2" w:rsidP="00DC68B2">
      <w:pPr>
        <w:spacing w:after="0" w:line="240" w:lineRule="auto"/>
        <w:jc w:val="both"/>
        <w:rPr>
          <w:rFonts w:ascii="Times New Roman" w:hAnsi="Times New Roman" w:cs="Times New Roman"/>
          <w:sz w:val="24"/>
          <w:szCs w:val="24"/>
        </w:rPr>
      </w:pPr>
      <w:r w:rsidRPr="004E16EB">
        <w:rPr>
          <w:rFonts w:ascii="Times New Roman" w:hAnsi="Times New Roman" w:cs="Times New Roman"/>
          <w:sz w:val="24"/>
          <w:szCs w:val="24"/>
        </w:rPr>
        <w:t>Table 1. Study Location</w:t>
      </w:r>
    </w:p>
    <w:tbl>
      <w:tblPr>
        <w:tblStyle w:val="TableGrid"/>
        <w:tblW w:w="0" w:type="auto"/>
        <w:tblLook w:val="04A0" w:firstRow="1" w:lastRow="0" w:firstColumn="1" w:lastColumn="0" w:noHBand="0" w:noVBand="1"/>
      </w:tblPr>
      <w:tblGrid>
        <w:gridCol w:w="1715"/>
        <w:gridCol w:w="7311"/>
      </w:tblGrid>
      <w:tr w:rsidR="00DC68B2" w:rsidRPr="004E16EB" w14:paraId="0F2EA00D" w14:textId="77777777" w:rsidTr="004A2AAB">
        <w:tc>
          <w:tcPr>
            <w:tcW w:w="1728" w:type="dxa"/>
            <w:tcBorders>
              <w:top w:val="single" w:sz="4" w:space="0" w:color="auto"/>
              <w:left w:val="nil"/>
              <w:bottom w:val="single" w:sz="4" w:space="0" w:color="auto"/>
              <w:right w:val="nil"/>
            </w:tcBorders>
          </w:tcPr>
          <w:p w14:paraId="78B2F3DF"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Province</w:t>
            </w:r>
          </w:p>
        </w:tc>
        <w:tc>
          <w:tcPr>
            <w:tcW w:w="7514" w:type="dxa"/>
            <w:tcBorders>
              <w:top w:val="single" w:sz="4" w:space="0" w:color="auto"/>
              <w:left w:val="nil"/>
              <w:bottom w:val="single" w:sz="4" w:space="0" w:color="auto"/>
              <w:right w:val="nil"/>
            </w:tcBorders>
          </w:tcPr>
          <w:p w14:paraId="0442BBE3" w14:textId="77777777" w:rsidR="00DC68B2" w:rsidRPr="004E16EB" w:rsidRDefault="00DC68B2" w:rsidP="004A2AAB">
            <w:pPr>
              <w:jc w:val="center"/>
              <w:rPr>
                <w:rFonts w:ascii="Times New Roman" w:hAnsi="Times New Roman" w:cs="Times New Roman"/>
                <w:sz w:val="24"/>
                <w:szCs w:val="24"/>
              </w:rPr>
            </w:pPr>
            <w:r w:rsidRPr="004E16EB">
              <w:rPr>
                <w:rFonts w:ascii="Times New Roman" w:hAnsi="Times New Roman" w:cs="Times New Roman"/>
                <w:sz w:val="24"/>
                <w:szCs w:val="24"/>
              </w:rPr>
              <w:t xml:space="preserve">SMI MWB </w:t>
            </w:r>
          </w:p>
        </w:tc>
      </w:tr>
      <w:tr w:rsidR="00DC68B2" w:rsidRPr="004E16EB" w14:paraId="49B8F3A7" w14:textId="77777777" w:rsidTr="004A2AAB">
        <w:tc>
          <w:tcPr>
            <w:tcW w:w="1728" w:type="dxa"/>
            <w:tcBorders>
              <w:top w:val="single" w:sz="4" w:space="0" w:color="auto"/>
              <w:left w:val="nil"/>
              <w:bottom w:val="nil"/>
              <w:right w:val="nil"/>
            </w:tcBorders>
          </w:tcPr>
          <w:p w14:paraId="0ABEC920"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West Sumatra</w:t>
            </w:r>
          </w:p>
        </w:tc>
        <w:tc>
          <w:tcPr>
            <w:tcW w:w="7514" w:type="dxa"/>
            <w:tcBorders>
              <w:top w:val="single" w:sz="4" w:space="0" w:color="auto"/>
              <w:left w:val="nil"/>
              <w:bottom w:val="nil"/>
              <w:right w:val="nil"/>
            </w:tcBorders>
          </w:tcPr>
          <w:p w14:paraId="54367F28"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Al Kausar Sari Lamak Kec. Harau, Lima Puluh Kota, West Sumatra</w:t>
            </w:r>
          </w:p>
        </w:tc>
      </w:tr>
      <w:tr w:rsidR="00DC68B2" w:rsidRPr="004E16EB" w14:paraId="1AC51793" w14:textId="77777777" w:rsidTr="004A2AAB">
        <w:tc>
          <w:tcPr>
            <w:tcW w:w="1728" w:type="dxa"/>
            <w:vMerge w:val="restart"/>
            <w:tcBorders>
              <w:top w:val="nil"/>
              <w:left w:val="nil"/>
              <w:bottom w:val="nil"/>
              <w:right w:val="nil"/>
            </w:tcBorders>
          </w:tcPr>
          <w:p w14:paraId="57682A81"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Yogyakarta</w:t>
            </w:r>
          </w:p>
        </w:tc>
        <w:tc>
          <w:tcPr>
            <w:tcW w:w="7514" w:type="dxa"/>
            <w:tcBorders>
              <w:top w:val="nil"/>
              <w:left w:val="nil"/>
              <w:bottom w:val="nil"/>
              <w:right w:val="nil"/>
            </w:tcBorders>
          </w:tcPr>
          <w:p w14:paraId="523372B9"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Usaha Mandiri Sakinah, Aisyiyah University (UNISA) Yogyakarta</w:t>
            </w:r>
          </w:p>
        </w:tc>
      </w:tr>
      <w:tr w:rsidR="00DC68B2" w:rsidRPr="004E16EB" w14:paraId="7222749C" w14:textId="77777777" w:rsidTr="004A2AAB">
        <w:tc>
          <w:tcPr>
            <w:tcW w:w="1728" w:type="dxa"/>
            <w:vMerge/>
            <w:tcBorders>
              <w:top w:val="nil"/>
              <w:left w:val="nil"/>
              <w:bottom w:val="nil"/>
              <w:right w:val="nil"/>
            </w:tcBorders>
          </w:tcPr>
          <w:p w14:paraId="16261941" w14:textId="77777777" w:rsidR="00DC68B2" w:rsidRPr="004E16EB" w:rsidRDefault="00DC68B2" w:rsidP="004A2AAB">
            <w:pPr>
              <w:jc w:val="both"/>
              <w:rPr>
                <w:rFonts w:ascii="Times New Roman" w:hAnsi="Times New Roman" w:cs="Times New Roman"/>
                <w:sz w:val="24"/>
                <w:szCs w:val="24"/>
              </w:rPr>
            </w:pPr>
          </w:p>
        </w:tc>
        <w:tc>
          <w:tcPr>
            <w:tcW w:w="7514" w:type="dxa"/>
            <w:tcBorders>
              <w:top w:val="nil"/>
              <w:left w:val="nil"/>
              <w:bottom w:val="nil"/>
              <w:right w:val="nil"/>
            </w:tcBorders>
          </w:tcPr>
          <w:p w14:paraId="4EA38497"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Almuna Berkah Mandiri, Al Munawwir Islamic Boarding School, Krapyak Yogyakarta</w:t>
            </w:r>
          </w:p>
        </w:tc>
      </w:tr>
      <w:tr w:rsidR="00DC68B2" w:rsidRPr="004E16EB" w14:paraId="109A14F8" w14:textId="77777777" w:rsidTr="004A2AAB">
        <w:tc>
          <w:tcPr>
            <w:tcW w:w="1728" w:type="dxa"/>
            <w:vMerge/>
            <w:tcBorders>
              <w:top w:val="nil"/>
              <w:left w:val="nil"/>
              <w:bottom w:val="nil"/>
              <w:right w:val="nil"/>
            </w:tcBorders>
          </w:tcPr>
          <w:p w14:paraId="2EE08A1F" w14:textId="77777777" w:rsidR="00DC68B2" w:rsidRPr="004E16EB" w:rsidRDefault="00DC68B2" w:rsidP="004A2AAB">
            <w:pPr>
              <w:jc w:val="both"/>
              <w:rPr>
                <w:rFonts w:ascii="Times New Roman" w:hAnsi="Times New Roman" w:cs="Times New Roman"/>
                <w:sz w:val="24"/>
                <w:szCs w:val="24"/>
              </w:rPr>
            </w:pPr>
          </w:p>
        </w:tc>
        <w:tc>
          <w:tcPr>
            <w:tcW w:w="7514" w:type="dxa"/>
            <w:tcBorders>
              <w:top w:val="nil"/>
              <w:left w:val="nil"/>
              <w:bottom w:val="nil"/>
              <w:right w:val="nil"/>
            </w:tcBorders>
          </w:tcPr>
          <w:p w14:paraId="771F8E11"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Al Manshur Barokahing Gusti, Klaten Regency, Yogyakarta</w:t>
            </w:r>
          </w:p>
        </w:tc>
      </w:tr>
      <w:tr w:rsidR="00DC68B2" w:rsidRPr="004E16EB" w14:paraId="27A29B34" w14:textId="77777777" w:rsidTr="004A2AAB">
        <w:tc>
          <w:tcPr>
            <w:tcW w:w="1728" w:type="dxa"/>
            <w:vMerge/>
            <w:tcBorders>
              <w:top w:val="nil"/>
              <w:left w:val="nil"/>
              <w:bottom w:val="nil"/>
              <w:right w:val="nil"/>
            </w:tcBorders>
          </w:tcPr>
          <w:p w14:paraId="02232C10" w14:textId="77777777" w:rsidR="00DC68B2" w:rsidRPr="004E16EB" w:rsidRDefault="00DC68B2" w:rsidP="004A2AAB">
            <w:pPr>
              <w:jc w:val="both"/>
              <w:rPr>
                <w:rFonts w:ascii="Times New Roman" w:hAnsi="Times New Roman" w:cs="Times New Roman"/>
                <w:sz w:val="24"/>
                <w:szCs w:val="24"/>
              </w:rPr>
            </w:pPr>
          </w:p>
        </w:tc>
        <w:tc>
          <w:tcPr>
            <w:tcW w:w="7514" w:type="dxa"/>
            <w:tcBorders>
              <w:top w:val="nil"/>
              <w:left w:val="nil"/>
              <w:bottom w:val="nil"/>
              <w:right w:val="nil"/>
            </w:tcBorders>
          </w:tcPr>
          <w:p w14:paraId="1A5E1D9C"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Bank Waqf Syariah Alpansa, Klaten Regency, Yogyakarta</w:t>
            </w:r>
          </w:p>
        </w:tc>
      </w:tr>
      <w:tr w:rsidR="00DC68B2" w:rsidRPr="004E16EB" w14:paraId="5E22D481" w14:textId="77777777" w:rsidTr="004A2AAB">
        <w:tc>
          <w:tcPr>
            <w:tcW w:w="1728" w:type="dxa"/>
            <w:vMerge w:val="restart"/>
            <w:tcBorders>
              <w:top w:val="nil"/>
              <w:left w:val="nil"/>
              <w:bottom w:val="single" w:sz="4" w:space="0" w:color="auto"/>
              <w:right w:val="nil"/>
            </w:tcBorders>
          </w:tcPr>
          <w:p w14:paraId="2428E6D8"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East Java</w:t>
            </w:r>
          </w:p>
        </w:tc>
        <w:tc>
          <w:tcPr>
            <w:tcW w:w="7514" w:type="dxa"/>
            <w:tcBorders>
              <w:top w:val="nil"/>
              <w:left w:val="nil"/>
              <w:bottom w:val="nil"/>
              <w:right w:val="nil"/>
            </w:tcBorders>
          </w:tcPr>
          <w:p w14:paraId="502CB4D9"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Alfitrah Wafa Mandiri, As-Salafi Al-Fithrah Islamic Boarding School, Kewall Surabaya, East Java</w:t>
            </w:r>
          </w:p>
        </w:tc>
      </w:tr>
      <w:tr w:rsidR="00DC68B2" w:rsidRPr="004E16EB" w14:paraId="69A7F94A" w14:textId="77777777" w:rsidTr="004A2AAB">
        <w:tc>
          <w:tcPr>
            <w:tcW w:w="1728" w:type="dxa"/>
            <w:vMerge/>
            <w:tcBorders>
              <w:top w:val="nil"/>
              <w:left w:val="nil"/>
              <w:bottom w:val="nil"/>
              <w:right w:val="nil"/>
            </w:tcBorders>
          </w:tcPr>
          <w:p w14:paraId="793F3360" w14:textId="77777777" w:rsidR="00DC68B2" w:rsidRPr="004E16EB" w:rsidRDefault="00DC68B2" w:rsidP="004A2AAB">
            <w:pPr>
              <w:jc w:val="both"/>
              <w:rPr>
                <w:rFonts w:ascii="Times New Roman" w:hAnsi="Times New Roman" w:cs="Times New Roman"/>
                <w:sz w:val="24"/>
                <w:szCs w:val="24"/>
              </w:rPr>
            </w:pPr>
          </w:p>
        </w:tc>
        <w:tc>
          <w:tcPr>
            <w:tcW w:w="7514" w:type="dxa"/>
            <w:tcBorders>
              <w:top w:val="nil"/>
              <w:left w:val="nil"/>
              <w:bottom w:val="nil"/>
              <w:right w:val="nil"/>
            </w:tcBorders>
          </w:tcPr>
          <w:p w14:paraId="08A2D3E7"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at Mambaul Maarif Islamic Boarding School, Denanyar, Jombang Regency, East Java</w:t>
            </w:r>
          </w:p>
        </w:tc>
      </w:tr>
      <w:tr w:rsidR="00DC68B2" w:rsidRPr="004E16EB" w14:paraId="3F56C015" w14:textId="77777777" w:rsidTr="004A2AAB">
        <w:tc>
          <w:tcPr>
            <w:tcW w:w="1728" w:type="dxa"/>
            <w:vMerge w:val="restart"/>
            <w:tcBorders>
              <w:top w:val="nil"/>
              <w:left w:val="nil"/>
              <w:bottom w:val="single" w:sz="4" w:space="0" w:color="auto"/>
              <w:right w:val="nil"/>
            </w:tcBorders>
          </w:tcPr>
          <w:p w14:paraId="6C138ACF"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Central Java</w:t>
            </w:r>
          </w:p>
        </w:tc>
        <w:tc>
          <w:tcPr>
            <w:tcW w:w="7514" w:type="dxa"/>
            <w:tcBorders>
              <w:top w:val="nil"/>
              <w:left w:val="nil"/>
              <w:bottom w:val="nil"/>
              <w:right w:val="nil"/>
            </w:tcBorders>
          </w:tcPr>
          <w:p w14:paraId="44C11BDD"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at Bahrul Ulum Islamic Boarding School, Rice Farm</w:t>
            </w:r>
          </w:p>
        </w:tc>
      </w:tr>
      <w:tr w:rsidR="00DC68B2" w:rsidRPr="004E16EB" w14:paraId="47CAAC3D" w14:textId="77777777" w:rsidTr="004A2AAB">
        <w:tc>
          <w:tcPr>
            <w:tcW w:w="1728" w:type="dxa"/>
            <w:vMerge/>
            <w:tcBorders>
              <w:top w:val="nil"/>
              <w:left w:val="nil"/>
              <w:bottom w:val="single" w:sz="4" w:space="0" w:color="auto"/>
              <w:right w:val="nil"/>
            </w:tcBorders>
          </w:tcPr>
          <w:p w14:paraId="7E13B473" w14:textId="77777777" w:rsidR="00DC68B2" w:rsidRPr="004E16EB" w:rsidRDefault="00DC68B2" w:rsidP="004A2AAB">
            <w:pPr>
              <w:jc w:val="both"/>
              <w:rPr>
                <w:rFonts w:ascii="Times New Roman" w:hAnsi="Times New Roman" w:cs="Times New Roman"/>
                <w:sz w:val="24"/>
                <w:szCs w:val="24"/>
              </w:rPr>
            </w:pPr>
          </w:p>
        </w:tc>
        <w:tc>
          <w:tcPr>
            <w:tcW w:w="7514" w:type="dxa"/>
            <w:tcBorders>
              <w:top w:val="nil"/>
              <w:left w:val="nil"/>
              <w:bottom w:val="single" w:sz="4" w:space="0" w:color="auto"/>
              <w:right w:val="nil"/>
            </w:tcBorders>
          </w:tcPr>
          <w:p w14:paraId="54FEA347" w14:textId="77777777" w:rsidR="00DC68B2" w:rsidRPr="004E16EB" w:rsidRDefault="00DC68B2" w:rsidP="00DC68B2">
            <w:pPr>
              <w:pStyle w:val="ListParagraph"/>
              <w:numPr>
                <w:ilvl w:val="0"/>
                <w:numId w:val="1"/>
              </w:numPr>
              <w:ind w:left="252"/>
              <w:jc w:val="both"/>
              <w:rPr>
                <w:rFonts w:ascii="Times New Roman" w:hAnsi="Times New Roman" w:cs="Times New Roman"/>
              </w:rPr>
            </w:pPr>
            <w:r w:rsidRPr="004E16EB">
              <w:rPr>
                <w:rFonts w:ascii="Times New Roman" w:hAnsi="Times New Roman" w:cs="Times New Roman"/>
              </w:rPr>
              <w:t>SMI MWB at Tebuireng Islamic Boarding School, Central Java</w:t>
            </w:r>
          </w:p>
        </w:tc>
      </w:tr>
    </w:tbl>
    <w:p w14:paraId="453E8B02" w14:textId="77777777" w:rsidR="00DC68B2" w:rsidRPr="004E16EB" w:rsidRDefault="00DC68B2" w:rsidP="00DC68B2">
      <w:pPr>
        <w:spacing w:after="0" w:line="240" w:lineRule="auto"/>
        <w:ind w:firstLine="720"/>
        <w:jc w:val="both"/>
        <w:rPr>
          <w:rFonts w:ascii="Times New Roman" w:hAnsi="Times New Roman" w:cs="Times New Roman"/>
          <w:sz w:val="24"/>
          <w:szCs w:val="24"/>
        </w:rPr>
      </w:pPr>
    </w:p>
    <w:p w14:paraId="0B67A652" w14:textId="74893D3B" w:rsidR="00DC68B2" w:rsidRPr="00A255D6" w:rsidRDefault="00DC68B2" w:rsidP="00DC68B2">
      <w:pPr>
        <w:ind w:firstLine="720"/>
        <w:jc w:val="both"/>
        <w:rPr>
          <w:rFonts w:ascii="Times New Roman" w:hAnsi="Times New Roman" w:cs="Times New Roman"/>
          <w:sz w:val="24"/>
          <w:szCs w:val="24"/>
        </w:rPr>
      </w:pPr>
      <w:r w:rsidRPr="00A255D6">
        <w:rPr>
          <w:rFonts w:ascii="Times New Roman" w:hAnsi="Times New Roman" w:cs="Times New Roman"/>
          <w:sz w:val="24"/>
          <w:szCs w:val="24"/>
        </w:rPr>
        <w:t xml:space="preserve">During this study, Micro Waqf Banks (MWB) have been established in forty-three Islamic boarding schools, of which thirty-four are located on the island of Java, seven in Sumatra, one in Kalimantan, one in Sulawesi, and one in Papua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author":[{"dropping-particle":"","family":"BWM","given":"","non-dropping-particle":"","parse-names":false,"suffix":""}],"container-title":"http://www.lkmsbwm.id/","id":"ITEM-1","issued":{"date-parts":[["2019"]]},"page":"1","title":"LKMS-BWM","type":"webpage"},"uris":["http://www.mendeley.com/documents/?uuid=1abc07c6-bdba-49d9-babe-1ba25b803fca","http://www.mendeley.com/documents/?uuid=e99a964b-d87d-3aff-a414-914192f9cd5f"]}],"mendeley":{"formattedCitation":"(BWM, 2019)","plainTextFormattedCitation":"(BWM, 2019)","previouslyFormattedCitation":"(BWM, 2019)"},"properties":{"noteIndex":0},"schema":"https://github.com/citation-style-language/schema/raw/master/csl-citation.json"}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(BWM, 2019)</w:t>
      </w:r>
      <w:r w:rsidRPr="004E16EB">
        <w:rPr>
          <w:rFonts w:ascii="Times New Roman" w:hAnsi="Times New Roman" w:cs="Times New Roman"/>
          <w:sz w:val="24"/>
          <w:szCs w:val="24"/>
        </w:rPr>
        <w:fldChar w:fldCharType="end"/>
      </w:r>
      <w:r w:rsidRPr="00A255D6">
        <w:rPr>
          <w:rFonts w:ascii="Times New Roman" w:hAnsi="Times New Roman" w:cs="Times New Roman"/>
          <w:sz w:val="24"/>
          <w:szCs w:val="24"/>
        </w:rPr>
        <w:t xml:space="preserve">. Java Island was chosen as the location of the study because it has the </w:t>
      </w:r>
      <w:r w:rsidR="0034009A">
        <w:rPr>
          <w:rFonts w:ascii="Times New Roman" w:hAnsi="Times New Roman" w:cs="Times New Roman"/>
          <w:sz w:val="24"/>
          <w:szCs w:val="24"/>
        </w:rPr>
        <w:t>most significan</w:t>
      </w:r>
      <w:r w:rsidRPr="00A255D6">
        <w:rPr>
          <w:rFonts w:ascii="Times New Roman" w:hAnsi="Times New Roman" w:cs="Times New Roman"/>
          <w:sz w:val="24"/>
          <w:szCs w:val="24"/>
        </w:rPr>
        <w:t>t number of MWBs, followed by Sumatra.</w:t>
      </w:r>
    </w:p>
    <w:p w14:paraId="22643C0E" w14:textId="7313A306" w:rsidR="00DC68B2" w:rsidRPr="00A255D6" w:rsidRDefault="00DC68B2" w:rsidP="00DC68B2">
      <w:pPr>
        <w:ind w:firstLine="720"/>
        <w:jc w:val="both"/>
        <w:rPr>
          <w:rFonts w:ascii="Times New Roman" w:hAnsi="Times New Roman" w:cs="Times New Roman"/>
          <w:sz w:val="24"/>
          <w:szCs w:val="24"/>
        </w:rPr>
      </w:pPr>
      <w:r w:rsidRPr="00A255D6">
        <w:rPr>
          <w:rFonts w:ascii="Times New Roman" w:hAnsi="Times New Roman" w:cs="Times New Roman"/>
          <w:sz w:val="24"/>
          <w:szCs w:val="24"/>
        </w:rPr>
        <w:t xml:space="preserve">This study uses a qualitative descriptive method to analyze the data thoroughly and provide information about the women's economic empowerment model. A qualitative descriptive approach is applied to explore the </w:t>
      </w:r>
      <w:r w:rsidR="0034009A">
        <w:rPr>
          <w:rFonts w:ascii="Times New Roman" w:hAnsi="Times New Roman" w:cs="Times New Roman"/>
          <w:sz w:val="24"/>
          <w:szCs w:val="24"/>
        </w:rPr>
        <w:t>women's economic empowerment model</w:t>
      </w:r>
      <w:r w:rsidRPr="00A255D6">
        <w:rPr>
          <w:rFonts w:ascii="Times New Roman" w:hAnsi="Times New Roman" w:cs="Times New Roman"/>
          <w:sz w:val="24"/>
          <w:szCs w:val="24"/>
        </w:rPr>
        <w:t xml:space="preserve"> in MWB aimed at productive poor women around Islamic boarding schools. Data is collected from MWB customers, leaders, and assistants. Informants consist of </w:t>
      </w:r>
      <w:r w:rsidR="0034009A">
        <w:rPr>
          <w:rFonts w:ascii="Times New Roman" w:hAnsi="Times New Roman" w:cs="Times New Roman"/>
          <w:sz w:val="24"/>
          <w:szCs w:val="24"/>
        </w:rPr>
        <w:t>directly involved individuals who</w:t>
      </w:r>
      <w:r w:rsidRPr="00A255D6">
        <w:rPr>
          <w:rFonts w:ascii="Times New Roman" w:hAnsi="Times New Roman" w:cs="Times New Roman"/>
          <w:sz w:val="24"/>
          <w:szCs w:val="24"/>
        </w:rPr>
        <w:t xml:space="preserve"> have an important role in the empowerment process. They </w:t>
      </w:r>
      <w:r w:rsidR="0034009A">
        <w:rPr>
          <w:rFonts w:ascii="Times New Roman" w:hAnsi="Times New Roman" w:cs="Times New Roman"/>
          <w:sz w:val="24"/>
          <w:szCs w:val="24"/>
        </w:rPr>
        <w:t>deeply understand</w:t>
      </w:r>
      <w:r w:rsidRPr="00A255D6">
        <w:rPr>
          <w:rFonts w:ascii="Times New Roman" w:hAnsi="Times New Roman" w:cs="Times New Roman"/>
          <w:sz w:val="24"/>
          <w:szCs w:val="24"/>
        </w:rPr>
        <w:t xml:space="preserve"> MWB's operations and its contribution to women's economic empowerment. The empowerment model was obtained through interviews and observations. This study also observes the required group training and customer mentoring process during the Halaqoh Weekly (WH) meeting. Interviews were conducted with MWB leaders, assistants, and customers to explore the empowered model applied. Structured interviews are conducted in a comfortable atmosphere to build good relationships with informants.</w:t>
      </w:r>
    </w:p>
    <w:p w14:paraId="7A60BBA0" w14:textId="77777777" w:rsidR="00DC68B2" w:rsidRPr="004E16EB" w:rsidRDefault="00DC68B2" w:rsidP="00276F31">
      <w:pPr>
        <w:pStyle w:val="BodyText"/>
        <w:ind w:right="138" w:firstLine="720"/>
        <w:jc w:val="both"/>
        <w:rPr>
          <w:b/>
        </w:rPr>
      </w:pPr>
      <w:r w:rsidRPr="004E16EB">
        <w:rPr>
          <w:b/>
        </w:rPr>
        <w:t>Socio-Demographic</w:t>
      </w:r>
    </w:p>
    <w:p w14:paraId="6C0AE175" w14:textId="2F2CD588" w:rsidR="00DC68B2" w:rsidRDefault="00DC68B2" w:rsidP="00DC68B2">
      <w:pPr>
        <w:spacing w:after="0"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study involved 95 women aged 30-39 (40%) and 40-49 (39%) to participate in in-depth interviews. Based on education level, 57% of respondents are high school graduates, while only nine </w:t>
      </w:r>
      <w:r w:rsidR="0034009A">
        <w:rPr>
          <w:rFonts w:ascii="Times New Roman" w:hAnsi="Times New Roman"/>
          <w:sz w:val="24"/>
          <w:szCs w:val="24"/>
        </w:rPr>
        <w:t xml:space="preserve">are </w:t>
      </w:r>
      <w:r w:rsidRPr="004E16EB">
        <w:rPr>
          <w:rFonts w:ascii="Times New Roman" w:hAnsi="Times New Roman"/>
          <w:sz w:val="24"/>
          <w:szCs w:val="24"/>
        </w:rPr>
        <w:t xml:space="preserve">college graduates. Most respondents (53%) have been in the business for 1-5 years and only 6% for </w:t>
      </w:r>
      <w:r w:rsidR="0034009A">
        <w:rPr>
          <w:rFonts w:ascii="Times New Roman" w:hAnsi="Times New Roman"/>
          <w:sz w:val="24"/>
          <w:szCs w:val="24"/>
        </w:rPr>
        <w:t>over</w:t>
      </w:r>
      <w:r w:rsidRPr="004E16EB">
        <w:rPr>
          <w:rFonts w:ascii="Times New Roman" w:hAnsi="Times New Roman"/>
          <w:sz w:val="24"/>
          <w:szCs w:val="24"/>
        </w:rPr>
        <w:t xml:space="preserve"> 15 years. In addition, 27 respondents (29%) had an income of </w:t>
      </w:r>
      <w:r w:rsidRPr="004E16EB">
        <w:rPr>
          <w:rFonts w:ascii="Times New Roman" w:hAnsi="Times New Roman"/>
          <w:sz w:val="24"/>
          <w:szCs w:val="24"/>
        </w:rPr>
        <w:lastRenderedPageBreak/>
        <w:t>less than 1.9 million rupiah, and 17 respondents had an income of more than 4 million rupiah, as shown in Table 1</w:t>
      </w:r>
      <w:r w:rsidRPr="004E16EB">
        <w:rPr>
          <w:rFonts w:ascii="Times New Roman" w:hAnsi="Times New Roman" w:cs="Times New Roman"/>
          <w:sz w:val="24"/>
          <w:szCs w:val="24"/>
        </w:rPr>
        <w:t>.</w:t>
      </w:r>
    </w:p>
    <w:p w14:paraId="78783AEA" w14:textId="77777777" w:rsidR="00DC68B2" w:rsidRPr="004E16EB" w:rsidRDefault="00DC68B2" w:rsidP="00DC68B2">
      <w:pPr>
        <w:spacing w:after="0" w:line="240" w:lineRule="auto"/>
        <w:ind w:firstLine="720"/>
        <w:jc w:val="both"/>
        <w:rPr>
          <w:rFonts w:ascii="Times New Roman" w:hAnsi="Times New Roman" w:cs="Times New Roman"/>
          <w:sz w:val="24"/>
          <w:szCs w:val="24"/>
        </w:rPr>
      </w:pPr>
    </w:p>
    <w:p w14:paraId="37791520" w14:textId="77777777" w:rsidR="00DC68B2" w:rsidRPr="004E16EB" w:rsidRDefault="00DC68B2" w:rsidP="00DC68B2">
      <w:pPr>
        <w:pStyle w:val="BodyText"/>
        <w:ind w:right="138"/>
        <w:jc w:val="both"/>
        <w:rPr>
          <w:spacing w:val="-5"/>
          <w:w w:val="104"/>
        </w:rPr>
      </w:pPr>
      <w:r w:rsidRPr="004E16EB">
        <w:rPr>
          <w:spacing w:val="-5"/>
          <w:w w:val="104"/>
        </w:rPr>
        <w:t>Table 1. Sociodemographics of respondents</w:t>
      </w:r>
    </w:p>
    <w:tbl>
      <w:tblPr>
        <w:tblW w:w="10975" w:type="dxa"/>
        <w:tblInd w:w="-973" w:type="dxa"/>
        <w:tblLook w:val="04A0" w:firstRow="1" w:lastRow="0" w:firstColumn="1" w:lastColumn="0" w:noHBand="0" w:noVBand="1"/>
      </w:tblPr>
      <w:tblGrid>
        <w:gridCol w:w="1209"/>
        <w:gridCol w:w="836"/>
        <w:gridCol w:w="583"/>
        <w:gridCol w:w="1271"/>
        <w:gridCol w:w="876"/>
        <w:gridCol w:w="583"/>
        <w:gridCol w:w="1192"/>
        <w:gridCol w:w="876"/>
        <w:gridCol w:w="580"/>
        <w:gridCol w:w="1445"/>
        <w:gridCol w:w="876"/>
        <w:gridCol w:w="648"/>
      </w:tblGrid>
      <w:tr w:rsidR="00DC68B2" w:rsidRPr="004E16EB" w14:paraId="2E98EAF5" w14:textId="77777777" w:rsidTr="004A2AAB">
        <w:trPr>
          <w:trHeight w:val="300"/>
        </w:trPr>
        <w:tc>
          <w:tcPr>
            <w:tcW w:w="2628" w:type="dxa"/>
            <w:gridSpan w:val="3"/>
            <w:tcBorders>
              <w:top w:val="single" w:sz="4" w:space="0" w:color="auto"/>
              <w:bottom w:val="single" w:sz="4" w:space="0" w:color="auto"/>
            </w:tcBorders>
            <w:shd w:val="clear" w:color="auto" w:fill="auto"/>
            <w:noWrap/>
            <w:vAlign w:val="center"/>
          </w:tcPr>
          <w:p w14:paraId="3B2C38AE" w14:textId="77777777" w:rsidR="00DC68B2" w:rsidRPr="004E16EB" w:rsidRDefault="00DC68B2" w:rsidP="004A2AA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2730" w:type="dxa"/>
            <w:gridSpan w:val="3"/>
            <w:tcBorders>
              <w:top w:val="single" w:sz="4" w:space="0" w:color="auto"/>
              <w:left w:val="nil"/>
              <w:bottom w:val="single" w:sz="4" w:space="0" w:color="auto"/>
            </w:tcBorders>
            <w:shd w:val="clear" w:color="auto" w:fill="auto"/>
            <w:noWrap/>
            <w:vAlign w:val="center"/>
          </w:tcPr>
          <w:p w14:paraId="2A872CB3" w14:textId="77777777" w:rsidR="00DC68B2" w:rsidRPr="004E16EB" w:rsidRDefault="00DC68B2" w:rsidP="004A2AA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2648" w:type="dxa"/>
            <w:gridSpan w:val="3"/>
            <w:tcBorders>
              <w:top w:val="single" w:sz="4" w:space="0" w:color="auto"/>
              <w:left w:val="nil"/>
              <w:bottom w:val="single" w:sz="4" w:space="0" w:color="auto"/>
            </w:tcBorders>
            <w:shd w:val="clear" w:color="auto" w:fill="auto"/>
            <w:noWrap/>
            <w:vAlign w:val="center"/>
          </w:tcPr>
          <w:p w14:paraId="1ECA9F6E" w14:textId="77777777" w:rsidR="00DC68B2" w:rsidRPr="004E16EB" w:rsidRDefault="00DC68B2" w:rsidP="004A2AAB">
            <w:pPr>
              <w:spacing w:after="0" w:line="240" w:lineRule="auto"/>
              <w:jc w:val="center"/>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2969" w:type="dxa"/>
            <w:gridSpan w:val="3"/>
            <w:tcBorders>
              <w:top w:val="single" w:sz="4" w:space="0" w:color="auto"/>
              <w:left w:val="nil"/>
              <w:bottom w:val="single" w:sz="4" w:space="0" w:color="auto"/>
            </w:tcBorders>
            <w:shd w:val="clear" w:color="auto" w:fill="auto"/>
            <w:noWrap/>
            <w:vAlign w:val="center"/>
          </w:tcPr>
          <w:p w14:paraId="5E52EE9D" w14:textId="77777777" w:rsidR="00DC68B2" w:rsidRPr="004E16EB" w:rsidRDefault="00DC68B2" w:rsidP="004A2AAB">
            <w:pPr>
              <w:spacing w:after="0" w:line="240" w:lineRule="auto"/>
              <w:jc w:val="center"/>
              <w:rPr>
                <w:rFonts w:ascii="Times New Roman" w:eastAsia="Times New Roman" w:hAnsi="Times New Roman" w:cs="Times New Roman"/>
                <w:color w:val="000000"/>
                <w:sz w:val="18"/>
                <w:szCs w:val="18"/>
              </w:rPr>
            </w:pPr>
            <w:r w:rsidRPr="004E16EB">
              <w:rPr>
                <w:rFonts w:ascii="Times New Roman" w:eastAsia="Times New Roman" w:hAnsi="Times New Roman"/>
                <w:color w:val="000000"/>
                <w:sz w:val="18"/>
                <w:szCs w:val="18"/>
              </w:rPr>
              <w:t>Income After Getting Financing</w:t>
            </w:r>
          </w:p>
        </w:tc>
      </w:tr>
      <w:tr w:rsidR="00DC68B2" w:rsidRPr="004E16EB" w14:paraId="0AF0EAA5" w14:textId="77777777" w:rsidTr="004A2AAB">
        <w:trPr>
          <w:trHeight w:val="300"/>
        </w:trPr>
        <w:tc>
          <w:tcPr>
            <w:tcW w:w="1209" w:type="dxa"/>
            <w:tcBorders>
              <w:top w:val="single" w:sz="4" w:space="0" w:color="auto"/>
              <w:bottom w:val="single" w:sz="4" w:space="0" w:color="auto"/>
            </w:tcBorders>
            <w:shd w:val="clear" w:color="auto" w:fill="auto"/>
            <w:noWrap/>
            <w:vAlign w:val="center"/>
          </w:tcPr>
          <w:p w14:paraId="3B7A7E63"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Education</w:t>
            </w:r>
          </w:p>
        </w:tc>
        <w:tc>
          <w:tcPr>
            <w:tcW w:w="836" w:type="dxa"/>
            <w:tcBorders>
              <w:top w:val="single" w:sz="4" w:space="0" w:color="auto"/>
              <w:bottom w:val="single" w:sz="4" w:space="0" w:color="auto"/>
            </w:tcBorders>
            <w:shd w:val="clear" w:color="auto" w:fill="auto"/>
            <w:noWrap/>
            <w:vAlign w:val="center"/>
          </w:tcPr>
          <w:p w14:paraId="654F7D72" w14:textId="77777777" w:rsidR="00DC68B2" w:rsidRPr="004E16EB" w:rsidRDefault="00DC68B2" w:rsidP="004A2AAB">
            <w:pPr>
              <w:spacing w:after="0" w:line="240" w:lineRule="auto"/>
              <w:ind w:left="-6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3" w:type="dxa"/>
            <w:tcBorders>
              <w:top w:val="single" w:sz="4" w:space="0" w:color="auto"/>
              <w:bottom w:val="single" w:sz="4" w:space="0" w:color="auto"/>
            </w:tcBorders>
            <w:shd w:val="clear" w:color="auto" w:fill="auto"/>
            <w:noWrap/>
            <w:vAlign w:val="center"/>
          </w:tcPr>
          <w:p w14:paraId="358C6451"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271" w:type="dxa"/>
            <w:tcBorders>
              <w:top w:val="single" w:sz="4" w:space="0" w:color="auto"/>
              <w:bottom w:val="single" w:sz="4" w:space="0" w:color="auto"/>
            </w:tcBorders>
            <w:shd w:val="clear" w:color="auto" w:fill="auto"/>
            <w:noWrap/>
            <w:vAlign w:val="center"/>
          </w:tcPr>
          <w:p w14:paraId="65F15276"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Age</w:t>
            </w:r>
          </w:p>
        </w:tc>
        <w:tc>
          <w:tcPr>
            <w:tcW w:w="876" w:type="dxa"/>
            <w:tcBorders>
              <w:top w:val="single" w:sz="4" w:space="0" w:color="auto"/>
              <w:bottom w:val="single" w:sz="4" w:space="0" w:color="auto"/>
            </w:tcBorders>
            <w:shd w:val="clear" w:color="auto" w:fill="auto"/>
            <w:noWrap/>
            <w:vAlign w:val="center"/>
          </w:tcPr>
          <w:p w14:paraId="75F56D4E" w14:textId="77777777" w:rsidR="00DC68B2" w:rsidRPr="004E16EB" w:rsidRDefault="00DC68B2" w:rsidP="004A2AA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3" w:type="dxa"/>
            <w:tcBorders>
              <w:top w:val="single" w:sz="4" w:space="0" w:color="auto"/>
              <w:bottom w:val="single" w:sz="4" w:space="0" w:color="auto"/>
            </w:tcBorders>
            <w:shd w:val="clear" w:color="auto" w:fill="auto"/>
            <w:noWrap/>
            <w:vAlign w:val="center"/>
          </w:tcPr>
          <w:p w14:paraId="636F2D83"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c>
          <w:tcPr>
            <w:tcW w:w="1192" w:type="dxa"/>
            <w:tcBorders>
              <w:top w:val="single" w:sz="4" w:space="0" w:color="auto"/>
              <w:bottom w:val="single" w:sz="4" w:space="0" w:color="auto"/>
            </w:tcBorders>
            <w:shd w:val="clear" w:color="auto" w:fill="auto"/>
            <w:noWrap/>
            <w:vAlign w:val="center"/>
          </w:tcPr>
          <w:p w14:paraId="3B31F540"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Length of business</w:t>
            </w:r>
          </w:p>
        </w:tc>
        <w:tc>
          <w:tcPr>
            <w:tcW w:w="876" w:type="dxa"/>
            <w:tcBorders>
              <w:top w:val="single" w:sz="4" w:space="0" w:color="auto"/>
              <w:bottom w:val="single" w:sz="4" w:space="0" w:color="auto"/>
            </w:tcBorders>
            <w:shd w:val="clear" w:color="auto" w:fill="auto"/>
            <w:noWrap/>
            <w:vAlign w:val="center"/>
          </w:tcPr>
          <w:p w14:paraId="069A58FE" w14:textId="77777777" w:rsidR="00DC68B2" w:rsidRPr="004E16EB" w:rsidRDefault="00DC68B2" w:rsidP="004A2AA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580" w:type="dxa"/>
            <w:tcBorders>
              <w:top w:val="single" w:sz="4" w:space="0" w:color="auto"/>
              <w:bottom w:val="single" w:sz="4" w:space="0" w:color="auto"/>
            </w:tcBorders>
            <w:shd w:val="clear" w:color="auto" w:fill="auto"/>
            <w:noWrap/>
            <w:vAlign w:val="center"/>
          </w:tcPr>
          <w:p w14:paraId="6A54B959" w14:textId="77777777" w:rsidR="00DC68B2" w:rsidRPr="004E16EB" w:rsidRDefault="00DC68B2" w:rsidP="004A2AAB">
            <w:pPr>
              <w:spacing w:after="0" w:line="240" w:lineRule="auto"/>
              <w:ind w:left="-26"/>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w:t>
            </w:r>
          </w:p>
        </w:tc>
        <w:tc>
          <w:tcPr>
            <w:tcW w:w="1445" w:type="dxa"/>
            <w:tcBorders>
              <w:top w:val="single" w:sz="4" w:space="0" w:color="auto"/>
              <w:bottom w:val="single" w:sz="4" w:space="0" w:color="auto"/>
            </w:tcBorders>
            <w:shd w:val="clear" w:color="auto" w:fill="auto"/>
            <w:noWrap/>
            <w:vAlign w:val="center"/>
          </w:tcPr>
          <w:p w14:paraId="4F578A8F" w14:textId="77777777" w:rsidR="00DC68B2" w:rsidRPr="004E16EB" w:rsidRDefault="00DC68B2" w:rsidP="004A2AAB">
            <w:pPr>
              <w:spacing w:after="0" w:line="240" w:lineRule="auto"/>
              <w:ind w:left="-28"/>
              <w:rPr>
                <w:rFonts w:ascii="Times New Roman" w:eastAsia="Times New Roman" w:hAnsi="Times New Roman" w:cs="Times New Roman"/>
                <w:color w:val="000000"/>
              </w:rPr>
            </w:pPr>
            <w:r w:rsidRPr="004E16EB">
              <w:rPr>
                <w:rFonts w:ascii="Times New Roman" w:eastAsia="Times New Roman" w:hAnsi="Times New Roman" w:cs="Times New Roman"/>
                <w:color w:val="000000"/>
              </w:rPr>
              <w:t>Income</w:t>
            </w:r>
          </w:p>
        </w:tc>
        <w:tc>
          <w:tcPr>
            <w:tcW w:w="876" w:type="dxa"/>
            <w:tcBorders>
              <w:top w:val="single" w:sz="4" w:space="0" w:color="auto"/>
              <w:bottom w:val="single" w:sz="4" w:space="0" w:color="auto"/>
            </w:tcBorders>
            <w:shd w:val="clear" w:color="auto" w:fill="auto"/>
            <w:noWrap/>
            <w:vAlign w:val="center"/>
          </w:tcPr>
          <w:p w14:paraId="6C6B7A1F" w14:textId="77777777" w:rsidR="00DC68B2" w:rsidRPr="004E16EB" w:rsidRDefault="00DC68B2" w:rsidP="004A2AAB">
            <w:pPr>
              <w:spacing w:after="0" w:line="240" w:lineRule="auto"/>
              <w:ind w:left="-25"/>
              <w:rPr>
                <w:rFonts w:ascii="Times New Roman" w:eastAsia="Times New Roman" w:hAnsi="Times New Roman" w:cs="Times New Roman"/>
                <w:color w:val="000000"/>
              </w:rPr>
            </w:pPr>
            <w:r w:rsidRPr="004E16EB">
              <w:rPr>
                <w:rFonts w:ascii="Times New Roman" w:eastAsia="Times New Roman" w:hAnsi="Times New Roman" w:cs="Times New Roman"/>
                <w:color w:val="000000"/>
              </w:rPr>
              <w:t>Entire</w:t>
            </w:r>
          </w:p>
        </w:tc>
        <w:tc>
          <w:tcPr>
            <w:tcW w:w="648" w:type="dxa"/>
            <w:tcBorders>
              <w:top w:val="single" w:sz="4" w:space="0" w:color="auto"/>
              <w:bottom w:val="single" w:sz="4" w:space="0" w:color="auto"/>
            </w:tcBorders>
            <w:shd w:val="clear" w:color="auto" w:fill="auto"/>
            <w:noWrap/>
            <w:vAlign w:val="center"/>
          </w:tcPr>
          <w:p w14:paraId="7238DFDC"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w:t>
            </w:r>
          </w:p>
        </w:tc>
      </w:tr>
      <w:tr w:rsidR="00DC68B2" w:rsidRPr="004E16EB" w14:paraId="7C874A84" w14:textId="77777777" w:rsidTr="004A2AAB">
        <w:trPr>
          <w:trHeight w:val="300"/>
        </w:trPr>
        <w:tc>
          <w:tcPr>
            <w:tcW w:w="1209" w:type="dxa"/>
            <w:tcBorders>
              <w:top w:val="single" w:sz="4" w:space="0" w:color="auto"/>
              <w:bottom w:val="single" w:sz="4" w:space="0" w:color="auto"/>
            </w:tcBorders>
            <w:shd w:val="clear" w:color="auto" w:fill="auto"/>
            <w:noWrap/>
            <w:vAlign w:val="center"/>
          </w:tcPr>
          <w:p w14:paraId="576668D3"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Higher Education</w:t>
            </w:r>
          </w:p>
        </w:tc>
        <w:tc>
          <w:tcPr>
            <w:tcW w:w="836" w:type="dxa"/>
            <w:tcBorders>
              <w:top w:val="single" w:sz="4" w:space="0" w:color="auto"/>
              <w:bottom w:val="single" w:sz="4" w:space="0" w:color="auto"/>
            </w:tcBorders>
            <w:shd w:val="clear" w:color="auto" w:fill="auto"/>
            <w:noWrap/>
            <w:vAlign w:val="center"/>
          </w:tcPr>
          <w:p w14:paraId="0ED038ED"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w:t>
            </w:r>
          </w:p>
        </w:tc>
        <w:tc>
          <w:tcPr>
            <w:tcW w:w="583" w:type="dxa"/>
            <w:tcBorders>
              <w:top w:val="single" w:sz="4" w:space="0" w:color="auto"/>
              <w:bottom w:val="single" w:sz="4" w:space="0" w:color="auto"/>
            </w:tcBorders>
            <w:shd w:val="clear" w:color="auto" w:fill="auto"/>
            <w:noWrap/>
            <w:vAlign w:val="center"/>
          </w:tcPr>
          <w:p w14:paraId="6524A081"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9%</w:t>
            </w:r>
          </w:p>
        </w:tc>
        <w:tc>
          <w:tcPr>
            <w:tcW w:w="1271" w:type="dxa"/>
            <w:tcBorders>
              <w:top w:val="single" w:sz="4" w:space="0" w:color="auto"/>
              <w:bottom w:val="single" w:sz="4" w:space="0" w:color="auto"/>
            </w:tcBorders>
            <w:shd w:val="clear" w:color="auto" w:fill="auto"/>
            <w:noWrap/>
            <w:vAlign w:val="center"/>
          </w:tcPr>
          <w:p w14:paraId="492E6ED9"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&gt;50 years</w:t>
            </w:r>
          </w:p>
        </w:tc>
        <w:tc>
          <w:tcPr>
            <w:tcW w:w="876" w:type="dxa"/>
            <w:tcBorders>
              <w:top w:val="single" w:sz="4" w:space="0" w:color="auto"/>
              <w:bottom w:val="single" w:sz="4" w:space="0" w:color="auto"/>
            </w:tcBorders>
            <w:shd w:val="clear" w:color="auto" w:fill="auto"/>
            <w:noWrap/>
            <w:vAlign w:val="center"/>
          </w:tcPr>
          <w:p w14:paraId="155F4996"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0396AF4D"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192" w:type="dxa"/>
            <w:tcBorders>
              <w:top w:val="single" w:sz="4" w:space="0" w:color="auto"/>
              <w:bottom w:val="single" w:sz="4" w:space="0" w:color="auto"/>
            </w:tcBorders>
            <w:shd w:val="clear" w:color="auto" w:fill="auto"/>
            <w:noWrap/>
            <w:vAlign w:val="center"/>
          </w:tcPr>
          <w:p w14:paraId="46CFCC1A"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1-5 years</w:t>
            </w:r>
          </w:p>
        </w:tc>
        <w:tc>
          <w:tcPr>
            <w:tcW w:w="876" w:type="dxa"/>
            <w:tcBorders>
              <w:top w:val="single" w:sz="4" w:space="0" w:color="auto"/>
              <w:bottom w:val="single" w:sz="4" w:space="0" w:color="auto"/>
            </w:tcBorders>
            <w:shd w:val="clear" w:color="auto" w:fill="auto"/>
            <w:noWrap/>
            <w:vAlign w:val="center"/>
          </w:tcPr>
          <w:p w14:paraId="2CD5E4F4"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50</w:t>
            </w:r>
          </w:p>
        </w:tc>
        <w:tc>
          <w:tcPr>
            <w:tcW w:w="580" w:type="dxa"/>
            <w:tcBorders>
              <w:top w:val="single" w:sz="4" w:space="0" w:color="auto"/>
              <w:bottom w:val="single" w:sz="4" w:space="0" w:color="auto"/>
            </w:tcBorders>
            <w:shd w:val="clear" w:color="auto" w:fill="auto"/>
            <w:noWrap/>
            <w:vAlign w:val="center"/>
          </w:tcPr>
          <w:p w14:paraId="24BD2083" w14:textId="77777777" w:rsidR="00DC68B2" w:rsidRPr="004E16EB" w:rsidRDefault="00DC68B2" w:rsidP="004A2AA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53%</w:t>
            </w:r>
          </w:p>
        </w:tc>
        <w:tc>
          <w:tcPr>
            <w:tcW w:w="1445" w:type="dxa"/>
            <w:tcBorders>
              <w:top w:val="single" w:sz="4" w:space="0" w:color="auto"/>
              <w:bottom w:val="single" w:sz="4" w:space="0" w:color="auto"/>
            </w:tcBorders>
            <w:shd w:val="clear" w:color="auto" w:fill="auto"/>
            <w:noWrap/>
            <w:vAlign w:val="center"/>
          </w:tcPr>
          <w:p w14:paraId="0694FA17" w14:textId="77777777" w:rsidR="00DC68B2" w:rsidRPr="004E16EB" w:rsidRDefault="00DC68B2" w:rsidP="004A2AAB">
            <w:pPr>
              <w:spacing w:line="240" w:lineRule="auto"/>
              <w:rPr>
                <w:rFonts w:cs="Calibri"/>
                <w:color w:val="000000"/>
                <w:sz w:val="20"/>
                <w:szCs w:val="20"/>
              </w:rPr>
            </w:pPr>
            <w:r w:rsidRPr="004E16EB">
              <w:rPr>
                <w:rFonts w:cs="Calibri"/>
                <w:color w:val="000000"/>
                <w:sz w:val="20"/>
                <w:szCs w:val="20"/>
              </w:rPr>
              <w:t>&lt;1.9 million rupiah</w:t>
            </w:r>
          </w:p>
        </w:tc>
        <w:tc>
          <w:tcPr>
            <w:tcW w:w="876" w:type="dxa"/>
            <w:tcBorders>
              <w:top w:val="single" w:sz="4" w:space="0" w:color="auto"/>
              <w:bottom w:val="single" w:sz="4" w:space="0" w:color="auto"/>
            </w:tcBorders>
            <w:shd w:val="clear" w:color="auto" w:fill="auto"/>
            <w:noWrap/>
            <w:vAlign w:val="center"/>
          </w:tcPr>
          <w:p w14:paraId="1C4AF62F"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27</w:t>
            </w:r>
          </w:p>
        </w:tc>
        <w:tc>
          <w:tcPr>
            <w:tcW w:w="648" w:type="dxa"/>
            <w:tcBorders>
              <w:top w:val="single" w:sz="4" w:space="0" w:color="auto"/>
              <w:bottom w:val="single" w:sz="4" w:space="0" w:color="auto"/>
            </w:tcBorders>
            <w:shd w:val="clear" w:color="auto" w:fill="auto"/>
            <w:noWrap/>
            <w:vAlign w:val="center"/>
          </w:tcPr>
          <w:p w14:paraId="02D33AE6"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29%</w:t>
            </w:r>
          </w:p>
        </w:tc>
      </w:tr>
      <w:tr w:rsidR="00DC68B2" w:rsidRPr="004E16EB" w14:paraId="48154093" w14:textId="77777777" w:rsidTr="004A2AAB">
        <w:trPr>
          <w:trHeight w:val="300"/>
        </w:trPr>
        <w:tc>
          <w:tcPr>
            <w:tcW w:w="1209" w:type="dxa"/>
            <w:tcBorders>
              <w:top w:val="single" w:sz="4" w:space="0" w:color="auto"/>
              <w:bottom w:val="single" w:sz="4" w:space="0" w:color="auto"/>
            </w:tcBorders>
            <w:shd w:val="clear" w:color="auto" w:fill="auto"/>
            <w:noWrap/>
            <w:vAlign w:val="center"/>
          </w:tcPr>
          <w:p w14:paraId="6D42964D"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High School</w:t>
            </w:r>
          </w:p>
        </w:tc>
        <w:tc>
          <w:tcPr>
            <w:tcW w:w="836" w:type="dxa"/>
            <w:tcBorders>
              <w:top w:val="single" w:sz="4" w:space="0" w:color="auto"/>
              <w:bottom w:val="single" w:sz="4" w:space="0" w:color="auto"/>
            </w:tcBorders>
            <w:shd w:val="clear" w:color="auto" w:fill="auto"/>
            <w:noWrap/>
            <w:vAlign w:val="center"/>
          </w:tcPr>
          <w:p w14:paraId="2E8CEB8E"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54</w:t>
            </w:r>
          </w:p>
        </w:tc>
        <w:tc>
          <w:tcPr>
            <w:tcW w:w="583" w:type="dxa"/>
            <w:tcBorders>
              <w:top w:val="single" w:sz="4" w:space="0" w:color="auto"/>
              <w:bottom w:val="single" w:sz="4" w:space="0" w:color="auto"/>
            </w:tcBorders>
            <w:shd w:val="clear" w:color="auto" w:fill="auto"/>
            <w:noWrap/>
            <w:vAlign w:val="center"/>
          </w:tcPr>
          <w:p w14:paraId="6F35697F"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57%</w:t>
            </w:r>
          </w:p>
        </w:tc>
        <w:tc>
          <w:tcPr>
            <w:tcW w:w="1271" w:type="dxa"/>
            <w:tcBorders>
              <w:top w:val="single" w:sz="4" w:space="0" w:color="auto"/>
              <w:bottom w:val="single" w:sz="4" w:space="0" w:color="auto"/>
            </w:tcBorders>
            <w:shd w:val="clear" w:color="auto" w:fill="auto"/>
            <w:noWrap/>
            <w:vAlign w:val="center"/>
          </w:tcPr>
          <w:p w14:paraId="6F1D0ED7"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40-49 years old</w:t>
            </w:r>
          </w:p>
        </w:tc>
        <w:tc>
          <w:tcPr>
            <w:tcW w:w="876" w:type="dxa"/>
            <w:tcBorders>
              <w:top w:val="single" w:sz="4" w:space="0" w:color="auto"/>
              <w:bottom w:val="single" w:sz="4" w:space="0" w:color="auto"/>
            </w:tcBorders>
            <w:shd w:val="clear" w:color="auto" w:fill="auto"/>
            <w:noWrap/>
            <w:vAlign w:val="center"/>
          </w:tcPr>
          <w:p w14:paraId="48CF48EA"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37</w:t>
            </w:r>
          </w:p>
        </w:tc>
        <w:tc>
          <w:tcPr>
            <w:tcW w:w="583" w:type="dxa"/>
            <w:tcBorders>
              <w:top w:val="single" w:sz="4" w:space="0" w:color="auto"/>
              <w:bottom w:val="single" w:sz="4" w:space="0" w:color="auto"/>
            </w:tcBorders>
            <w:shd w:val="clear" w:color="auto" w:fill="auto"/>
            <w:noWrap/>
            <w:vAlign w:val="center"/>
          </w:tcPr>
          <w:p w14:paraId="532D07C2"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39%</w:t>
            </w:r>
          </w:p>
        </w:tc>
        <w:tc>
          <w:tcPr>
            <w:tcW w:w="1192" w:type="dxa"/>
            <w:tcBorders>
              <w:top w:val="single" w:sz="4" w:space="0" w:color="auto"/>
              <w:bottom w:val="single" w:sz="4" w:space="0" w:color="auto"/>
            </w:tcBorders>
            <w:shd w:val="clear" w:color="auto" w:fill="auto"/>
            <w:noWrap/>
            <w:vAlign w:val="center"/>
          </w:tcPr>
          <w:p w14:paraId="018F73A6"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6-10 years</w:t>
            </w:r>
          </w:p>
        </w:tc>
        <w:tc>
          <w:tcPr>
            <w:tcW w:w="876" w:type="dxa"/>
            <w:tcBorders>
              <w:top w:val="single" w:sz="4" w:space="0" w:color="auto"/>
              <w:bottom w:val="single" w:sz="4" w:space="0" w:color="auto"/>
            </w:tcBorders>
            <w:shd w:val="clear" w:color="auto" w:fill="auto"/>
            <w:noWrap/>
            <w:vAlign w:val="center"/>
          </w:tcPr>
          <w:p w14:paraId="7754566E"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28</w:t>
            </w:r>
          </w:p>
        </w:tc>
        <w:tc>
          <w:tcPr>
            <w:tcW w:w="580" w:type="dxa"/>
            <w:tcBorders>
              <w:top w:val="single" w:sz="4" w:space="0" w:color="auto"/>
              <w:bottom w:val="single" w:sz="4" w:space="0" w:color="auto"/>
            </w:tcBorders>
            <w:shd w:val="clear" w:color="auto" w:fill="auto"/>
            <w:noWrap/>
            <w:vAlign w:val="center"/>
          </w:tcPr>
          <w:p w14:paraId="7984C3D4" w14:textId="77777777" w:rsidR="00DC68B2" w:rsidRPr="004E16EB" w:rsidRDefault="00DC68B2" w:rsidP="004A2AA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w:t>
            </w:r>
          </w:p>
        </w:tc>
        <w:tc>
          <w:tcPr>
            <w:tcW w:w="1445" w:type="dxa"/>
            <w:tcBorders>
              <w:top w:val="single" w:sz="4" w:space="0" w:color="auto"/>
              <w:bottom w:val="single" w:sz="4" w:space="0" w:color="auto"/>
            </w:tcBorders>
            <w:shd w:val="clear" w:color="auto" w:fill="auto"/>
            <w:noWrap/>
            <w:vAlign w:val="center"/>
          </w:tcPr>
          <w:p w14:paraId="755989C8" w14:textId="77777777" w:rsidR="00DC68B2" w:rsidRPr="004E16EB" w:rsidRDefault="00DC68B2" w:rsidP="004A2AAB">
            <w:pPr>
              <w:spacing w:line="240" w:lineRule="auto"/>
              <w:rPr>
                <w:rFonts w:cs="Calibri"/>
                <w:color w:val="000000"/>
                <w:sz w:val="20"/>
                <w:szCs w:val="20"/>
              </w:rPr>
            </w:pPr>
            <w:r w:rsidRPr="004E16EB">
              <w:rPr>
                <w:rFonts w:cs="Calibri"/>
                <w:color w:val="000000"/>
                <w:sz w:val="20"/>
                <w:szCs w:val="20"/>
              </w:rPr>
              <w:t>2 -2.9 million rupiah</w:t>
            </w:r>
          </w:p>
        </w:tc>
        <w:tc>
          <w:tcPr>
            <w:tcW w:w="876" w:type="dxa"/>
            <w:tcBorders>
              <w:top w:val="single" w:sz="4" w:space="0" w:color="auto"/>
              <w:bottom w:val="single" w:sz="4" w:space="0" w:color="auto"/>
            </w:tcBorders>
            <w:shd w:val="clear" w:color="auto" w:fill="auto"/>
            <w:noWrap/>
            <w:vAlign w:val="center"/>
          </w:tcPr>
          <w:p w14:paraId="0707C1E9"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21</w:t>
            </w:r>
          </w:p>
        </w:tc>
        <w:tc>
          <w:tcPr>
            <w:tcW w:w="648" w:type="dxa"/>
            <w:tcBorders>
              <w:top w:val="single" w:sz="4" w:space="0" w:color="auto"/>
              <w:bottom w:val="single" w:sz="4" w:space="0" w:color="auto"/>
            </w:tcBorders>
            <w:shd w:val="clear" w:color="auto" w:fill="auto"/>
            <w:noWrap/>
            <w:vAlign w:val="center"/>
          </w:tcPr>
          <w:p w14:paraId="4FA6ABAF"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23%</w:t>
            </w:r>
          </w:p>
        </w:tc>
      </w:tr>
      <w:tr w:rsidR="00DC68B2" w:rsidRPr="004E16EB" w14:paraId="7D3B52D6" w14:textId="77777777" w:rsidTr="004A2AAB">
        <w:trPr>
          <w:trHeight w:val="300"/>
        </w:trPr>
        <w:tc>
          <w:tcPr>
            <w:tcW w:w="1209" w:type="dxa"/>
            <w:tcBorders>
              <w:top w:val="single" w:sz="4" w:space="0" w:color="auto"/>
              <w:bottom w:val="single" w:sz="4" w:space="0" w:color="auto"/>
            </w:tcBorders>
            <w:shd w:val="clear" w:color="auto" w:fill="auto"/>
            <w:noWrap/>
            <w:vAlign w:val="center"/>
          </w:tcPr>
          <w:p w14:paraId="725B25BC"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Junior High School</w:t>
            </w:r>
          </w:p>
        </w:tc>
        <w:tc>
          <w:tcPr>
            <w:tcW w:w="836" w:type="dxa"/>
            <w:tcBorders>
              <w:top w:val="single" w:sz="4" w:space="0" w:color="auto"/>
              <w:bottom w:val="single" w:sz="4" w:space="0" w:color="auto"/>
            </w:tcBorders>
            <w:shd w:val="clear" w:color="auto" w:fill="auto"/>
            <w:noWrap/>
            <w:vAlign w:val="center"/>
          </w:tcPr>
          <w:p w14:paraId="2DC39170"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19</w:t>
            </w:r>
          </w:p>
        </w:tc>
        <w:tc>
          <w:tcPr>
            <w:tcW w:w="583" w:type="dxa"/>
            <w:tcBorders>
              <w:top w:val="single" w:sz="4" w:space="0" w:color="auto"/>
              <w:bottom w:val="single" w:sz="4" w:space="0" w:color="auto"/>
            </w:tcBorders>
            <w:shd w:val="clear" w:color="auto" w:fill="auto"/>
            <w:noWrap/>
            <w:vAlign w:val="center"/>
          </w:tcPr>
          <w:p w14:paraId="42AF3E25"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20%</w:t>
            </w:r>
          </w:p>
        </w:tc>
        <w:tc>
          <w:tcPr>
            <w:tcW w:w="1271" w:type="dxa"/>
            <w:tcBorders>
              <w:top w:val="single" w:sz="4" w:space="0" w:color="auto"/>
              <w:bottom w:val="single" w:sz="4" w:space="0" w:color="auto"/>
            </w:tcBorders>
            <w:shd w:val="clear" w:color="auto" w:fill="auto"/>
            <w:noWrap/>
            <w:vAlign w:val="center"/>
          </w:tcPr>
          <w:p w14:paraId="57EFDDB8"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30-39 years old</w:t>
            </w:r>
          </w:p>
        </w:tc>
        <w:tc>
          <w:tcPr>
            <w:tcW w:w="876" w:type="dxa"/>
            <w:tcBorders>
              <w:top w:val="single" w:sz="4" w:space="0" w:color="auto"/>
              <w:bottom w:val="single" w:sz="4" w:space="0" w:color="auto"/>
            </w:tcBorders>
            <w:shd w:val="clear" w:color="auto" w:fill="auto"/>
            <w:noWrap/>
            <w:vAlign w:val="center"/>
          </w:tcPr>
          <w:p w14:paraId="2819B23D"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38</w:t>
            </w:r>
          </w:p>
        </w:tc>
        <w:tc>
          <w:tcPr>
            <w:tcW w:w="583" w:type="dxa"/>
            <w:tcBorders>
              <w:top w:val="single" w:sz="4" w:space="0" w:color="auto"/>
              <w:bottom w:val="single" w:sz="4" w:space="0" w:color="auto"/>
            </w:tcBorders>
            <w:shd w:val="clear" w:color="auto" w:fill="auto"/>
            <w:noWrap/>
            <w:vAlign w:val="center"/>
          </w:tcPr>
          <w:p w14:paraId="7CD79231"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40%</w:t>
            </w:r>
          </w:p>
        </w:tc>
        <w:tc>
          <w:tcPr>
            <w:tcW w:w="1192" w:type="dxa"/>
            <w:tcBorders>
              <w:top w:val="single" w:sz="4" w:space="0" w:color="auto"/>
              <w:bottom w:val="single" w:sz="4" w:space="0" w:color="auto"/>
            </w:tcBorders>
            <w:shd w:val="clear" w:color="auto" w:fill="auto"/>
            <w:noWrap/>
            <w:vAlign w:val="center"/>
          </w:tcPr>
          <w:p w14:paraId="75105F4E" w14:textId="77777777" w:rsidR="00DC68B2" w:rsidRPr="004E16EB" w:rsidRDefault="00DC68B2" w:rsidP="004A2AAB">
            <w:pPr>
              <w:spacing w:after="0" w:line="240" w:lineRule="auto"/>
              <w:ind w:left="-57"/>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11-15 years</w:t>
            </w:r>
          </w:p>
        </w:tc>
        <w:tc>
          <w:tcPr>
            <w:tcW w:w="876" w:type="dxa"/>
            <w:tcBorders>
              <w:top w:val="single" w:sz="4" w:space="0" w:color="auto"/>
              <w:bottom w:val="single" w:sz="4" w:space="0" w:color="auto"/>
            </w:tcBorders>
            <w:shd w:val="clear" w:color="auto" w:fill="auto"/>
            <w:noWrap/>
            <w:vAlign w:val="center"/>
          </w:tcPr>
          <w:p w14:paraId="102516C5"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11</w:t>
            </w:r>
          </w:p>
        </w:tc>
        <w:tc>
          <w:tcPr>
            <w:tcW w:w="580" w:type="dxa"/>
            <w:tcBorders>
              <w:top w:val="single" w:sz="4" w:space="0" w:color="auto"/>
              <w:bottom w:val="single" w:sz="4" w:space="0" w:color="auto"/>
            </w:tcBorders>
            <w:shd w:val="clear" w:color="auto" w:fill="auto"/>
            <w:noWrap/>
            <w:vAlign w:val="center"/>
          </w:tcPr>
          <w:p w14:paraId="79E7388A" w14:textId="77777777" w:rsidR="00DC68B2" w:rsidRPr="004E16EB" w:rsidRDefault="00DC68B2" w:rsidP="004A2AA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12%</w:t>
            </w:r>
          </w:p>
        </w:tc>
        <w:tc>
          <w:tcPr>
            <w:tcW w:w="1445" w:type="dxa"/>
            <w:tcBorders>
              <w:top w:val="single" w:sz="4" w:space="0" w:color="auto"/>
              <w:bottom w:val="single" w:sz="4" w:space="0" w:color="auto"/>
            </w:tcBorders>
            <w:shd w:val="clear" w:color="auto" w:fill="auto"/>
            <w:noWrap/>
            <w:vAlign w:val="center"/>
          </w:tcPr>
          <w:p w14:paraId="3670F015" w14:textId="77777777" w:rsidR="00DC68B2" w:rsidRPr="004E16EB" w:rsidRDefault="00DC68B2" w:rsidP="004A2AAB">
            <w:pPr>
              <w:spacing w:line="240" w:lineRule="auto"/>
              <w:rPr>
                <w:rFonts w:cs="Calibri"/>
                <w:color w:val="000000"/>
                <w:sz w:val="20"/>
                <w:szCs w:val="20"/>
              </w:rPr>
            </w:pPr>
            <w:r w:rsidRPr="004E16EB">
              <w:rPr>
                <w:rFonts w:cs="Calibri"/>
                <w:color w:val="000000"/>
                <w:sz w:val="20"/>
                <w:szCs w:val="20"/>
              </w:rPr>
              <w:t>3 -3.9 million rupiah</w:t>
            </w:r>
          </w:p>
        </w:tc>
        <w:tc>
          <w:tcPr>
            <w:tcW w:w="876" w:type="dxa"/>
            <w:tcBorders>
              <w:top w:val="single" w:sz="4" w:space="0" w:color="auto"/>
              <w:bottom w:val="single" w:sz="4" w:space="0" w:color="auto"/>
            </w:tcBorders>
            <w:shd w:val="clear" w:color="auto" w:fill="auto"/>
            <w:noWrap/>
            <w:vAlign w:val="center"/>
          </w:tcPr>
          <w:p w14:paraId="25B7297A"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30</w:t>
            </w:r>
          </w:p>
        </w:tc>
        <w:tc>
          <w:tcPr>
            <w:tcW w:w="648" w:type="dxa"/>
            <w:tcBorders>
              <w:top w:val="single" w:sz="4" w:space="0" w:color="auto"/>
              <w:bottom w:val="single" w:sz="4" w:space="0" w:color="auto"/>
            </w:tcBorders>
            <w:shd w:val="clear" w:color="auto" w:fill="auto"/>
            <w:noWrap/>
            <w:vAlign w:val="center"/>
          </w:tcPr>
          <w:p w14:paraId="7EBEEA9C"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32%</w:t>
            </w:r>
          </w:p>
        </w:tc>
      </w:tr>
      <w:tr w:rsidR="00DC68B2" w:rsidRPr="004E16EB" w14:paraId="3F400398" w14:textId="77777777" w:rsidTr="004A2AAB">
        <w:trPr>
          <w:trHeight w:val="300"/>
        </w:trPr>
        <w:tc>
          <w:tcPr>
            <w:tcW w:w="1209" w:type="dxa"/>
            <w:tcBorders>
              <w:top w:val="single" w:sz="4" w:space="0" w:color="auto"/>
              <w:bottom w:val="single" w:sz="4" w:space="0" w:color="auto"/>
            </w:tcBorders>
            <w:shd w:val="clear" w:color="auto" w:fill="auto"/>
            <w:noWrap/>
            <w:vAlign w:val="center"/>
          </w:tcPr>
          <w:p w14:paraId="67E5D8CC"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Sd</w:t>
            </w:r>
          </w:p>
        </w:tc>
        <w:tc>
          <w:tcPr>
            <w:tcW w:w="836" w:type="dxa"/>
            <w:tcBorders>
              <w:top w:val="single" w:sz="4" w:space="0" w:color="auto"/>
              <w:bottom w:val="single" w:sz="4" w:space="0" w:color="auto"/>
            </w:tcBorders>
            <w:shd w:val="clear" w:color="auto" w:fill="auto"/>
            <w:noWrap/>
            <w:vAlign w:val="center"/>
          </w:tcPr>
          <w:p w14:paraId="77BAEA17"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13</w:t>
            </w:r>
          </w:p>
        </w:tc>
        <w:tc>
          <w:tcPr>
            <w:tcW w:w="583" w:type="dxa"/>
            <w:tcBorders>
              <w:top w:val="single" w:sz="4" w:space="0" w:color="auto"/>
              <w:bottom w:val="single" w:sz="4" w:space="0" w:color="auto"/>
            </w:tcBorders>
            <w:shd w:val="clear" w:color="auto" w:fill="auto"/>
            <w:noWrap/>
            <w:vAlign w:val="center"/>
          </w:tcPr>
          <w:p w14:paraId="58B36858"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14%</w:t>
            </w:r>
          </w:p>
        </w:tc>
        <w:tc>
          <w:tcPr>
            <w:tcW w:w="1271" w:type="dxa"/>
            <w:tcBorders>
              <w:top w:val="single" w:sz="4" w:space="0" w:color="auto"/>
              <w:bottom w:val="single" w:sz="4" w:space="0" w:color="auto"/>
            </w:tcBorders>
            <w:shd w:val="clear" w:color="auto" w:fill="auto"/>
            <w:noWrap/>
            <w:vAlign w:val="center"/>
          </w:tcPr>
          <w:p w14:paraId="75B6D8B3"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29 years</w:t>
            </w:r>
          </w:p>
        </w:tc>
        <w:tc>
          <w:tcPr>
            <w:tcW w:w="876" w:type="dxa"/>
            <w:tcBorders>
              <w:top w:val="single" w:sz="4" w:space="0" w:color="auto"/>
              <w:bottom w:val="single" w:sz="4" w:space="0" w:color="auto"/>
            </w:tcBorders>
            <w:shd w:val="clear" w:color="auto" w:fill="auto"/>
            <w:noWrap/>
            <w:vAlign w:val="center"/>
          </w:tcPr>
          <w:p w14:paraId="02A437FA"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7</w:t>
            </w:r>
          </w:p>
        </w:tc>
        <w:tc>
          <w:tcPr>
            <w:tcW w:w="583" w:type="dxa"/>
            <w:tcBorders>
              <w:top w:val="single" w:sz="4" w:space="0" w:color="auto"/>
              <w:bottom w:val="single" w:sz="4" w:space="0" w:color="auto"/>
            </w:tcBorders>
            <w:shd w:val="clear" w:color="auto" w:fill="auto"/>
            <w:noWrap/>
            <w:vAlign w:val="center"/>
          </w:tcPr>
          <w:p w14:paraId="7104297D" w14:textId="77777777" w:rsidR="00DC68B2" w:rsidRPr="004E16EB" w:rsidRDefault="00DC68B2" w:rsidP="004A2AAB">
            <w:pPr>
              <w:spacing w:after="0" w:line="240" w:lineRule="auto"/>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7%</w:t>
            </w:r>
          </w:p>
        </w:tc>
        <w:tc>
          <w:tcPr>
            <w:tcW w:w="1192" w:type="dxa"/>
            <w:tcBorders>
              <w:top w:val="single" w:sz="4" w:space="0" w:color="auto"/>
              <w:bottom w:val="single" w:sz="4" w:space="0" w:color="auto"/>
            </w:tcBorders>
            <w:shd w:val="clear" w:color="auto" w:fill="auto"/>
            <w:noWrap/>
            <w:vAlign w:val="center"/>
          </w:tcPr>
          <w:p w14:paraId="47B89F0B" w14:textId="77777777" w:rsidR="00DC68B2" w:rsidRPr="004E16EB" w:rsidRDefault="00DC68B2" w:rsidP="004A2AAB">
            <w:pPr>
              <w:spacing w:after="0" w:line="240" w:lineRule="auto"/>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&gt;15 years</w:t>
            </w:r>
          </w:p>
        </w:tc>
        <w:tc>
          <w:tcPr>
            <w:tcW w:w="876" w:type="dxa"/>
            <w:tcBorders>
              <w:top w:val="single" w:sz="4" w:space="0" w:color="auto"/>
              <w:bottom w:val="single" w:sz="4" w:space="0" w:color="auto"/>
            </w:tcBorders>
            <w:shd w:val="clear" w:color="auto" w:fill="auto"/>
            <w:noWrap/>
            <w:vAlign w:val="center"/>
          </w:tcPr>
          <w:p w14:paraId="10BA3281"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6</w:t>
            </w:r>
          </w:p>
        </w:tc>
        <w:tc>
          <w:tcPr>
            <w:tcW w:w="580" w:type="dxa"/>
            <w:tcBorders>
              <w:top w:val="single" w:sz="4" w:space="0" w:color="auto"/>
              <w:bottom w:val="single" w:sz="4" w:space="0" w:color="auto"/>
            </w:tcBorders>
            <w:shd w:val="clear" w:color="auto" w:fill="auto"/>
            <w:noWrap/>
            <w:vAlign w:val="center"/>
          </w:tcPr>
          <w:p w14:paraId="5230399B" w14:textId="77777777" w:rsidR="00DC68B2" w:rsidRPr="004E16EB" w:rsidRDefault="00DC68B2" w:rsidP="004A2AAB">
            <w:pPr>
              <w:spacing w:after="0" w:line="240" w:lineRule="auto"/>
              <w:ind w:left="-26"/>
              <w:jc w:val="right"/>
              <w:rPr>
                <w:rFonts w:ascii="Times New Roman" w:eastAsia="Times New Roman" w:hAnsi="Times New Roman" w:cs="Times New Roman"/>
                <w:color w:val="000000"/>
                <w:sz w:val="20"/>
                <w:szCs w:val="20"/>
              </w:rPr>
            </w:pPr>
            <w:r w:rsidRPr="004E16EB">
              <w:rPr>
                <w:rFonts w:ascii="Times New Roman" w:eastAsia="Times New Roman" w:hAnsi="Times New Roman" w:cs="Times New Roman"/>
                <w:color w:val="000000"/>
                <w:sz w:val="20"/>
                <w:szCs w:val="20"/>
              </w:rPr>
              <w:t>6%</w:t>
            </w:r>
          </w:p>
        </w:tc>
        <w:tc>
          <w:tcPr>
            <w:tcW w:w="1445" w:type="dxa"/>
            <w:tcBorders>
              <w:top w:val="single" w:sz="4" w:space="0" w:color="auto"/>
              <w:bottom w:val="single" w:sz="4" w:space="0" w:color="auto"/>
            </w:tcBorders>
            <w:shd w:val="clear" w:color="auto" w:fill="auto"/>
            <w:noWrap/>
            <w:vAlign w:val="center"/>
          </w:tcPr>
          <w:p w14:paraId="1F1ED8BC" w14:textId="77777777" w:rsidR="00DC68B2" w:rsidRPr="004E16EB" w:rsidRDefault="00DC68B2" w:rsidP="004A2AAB">
            <w:pPr>
              <w:spacing w:line="240" w:lineRule="auto"/>
              <w:rPr>
                <w:rFonts w:cs="Calibri"/>
                <w:color w:val="000000"/>
                <w:sz w:val="20"/>
                <w:szCs w:val="20"/>
              </w:rPr>
            </w:pPr>
            <w:r w:rsidRPr="004E16EB">
              <w:rPr>
                <w:rFonts w:cs="Calibri"/>
                <w:color w:val="000000"/>
                <w:sz w:val="20"/>
                <w:szCs w:val="20"/>
              </w:rPr>
              <w:t>&gt;4 million rupiah</w:t>
            </w:r>
          </w:p>
        </w:tc>
        <w:tc>
          <w:tcPr>
            <w:tcW w:w="876" w:type="dxa"/>
            <w:tcBorders>
              <w:top w:val="single" w:sz="4" w:space="0" w:color="auto"/>
              <w:bottom w:val="single" w:sz="4" w:space="0" w:color="auto"/>
            </w:tcBorders>
            <w:shd w:val="clear" w:color="auto" w:fill="auto"/>
            <w:noWrap/>
            <w:vAlign w:val="center"/>
          </w:tcPr>
          <w:p w14:paraId="7D6D6D93"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17</w:t>
            </w:r>
          </w:p>
        </w:tc>
        <w:tc>
          <w:tcPr>
            <w:tcW w:w="648" w:type="dxa"/>
            <w:tcBorders>
              <w:top w:val="single" w:sz="4" w:space="0" w:color="auto"/>
              <w:bottom w:val="single" w:sz="4" w:space="0" w:color="auto"/>
            </w:tcBorders>
            <w:shd w:val="clear" w:color="auto" w:fill="auto"/>
            <w:noWrap/>
            <w:vAlign w:val="center"/>
          </w:tcPr>
          <w:p w14:paraId="6A1192F7" w14:textId="77777777" w:rsidR="00DC68B2" w:rsidRPr="004E16EB" w:rsidRDefault="00DC68B2" w:rsidP="004A2AAB">
            <w:pPr>
              <w:spacing w:line="240" w:lineRule="auto"/>
              <w:jc w:val="right"/>
              <w:rPr>
                <w:rFonts w:cs="Calibri"/>
                <w:color w:val="000000"/>
                <w:sz w:val="20"/>
                <w:szCs w:val="20"/>
              </w:rPr>
            </w:pPr>
            <w:r w:rsidRPr="004E16EB">
              <w:rPr>
                <w:rFonts w:cs="Calibri"/>
                <w:color w:val="000000"/>
                <w:sz w:val="20"/>
                <w:szCs w:val="20"/>
              </w:rPr>
              <w:t>17%</w:t>
            </w:r>
          </w:p>
        </w:tc>
      </w:tr>
      <w:tr w:rsidR="00DC68B2" w:rsidRPr="004E16EB" w14:paraId="286F89D0" w14:textId="77777777" w:rsidTr="004A2AAB">
        <w:trPr>
          <w:trHeight w:val="300"/>
        </w:trPr>
        <w:tc>
          <w:tcPr>
            <w:tcW w:w="1209" w:type="dxa"/>
            <w:tcBorders>
              <w:top w:val="single" w:sz="4" w:space="0" w:color="auto"/>
            </w:tcBorders>
            <w:shd w:val="clear" w:color="auto" w:fill="auto"/>
            <w:noWrap/>
            <w:vAlign w:val="center"/>
          </w:tcPr>
          <w:p w14:paraId="15D6AD59"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836" w:type="dxa"/>
            <w:tcBorders>
              <w:top w:val="single" w:sz="4" w:space="0" w:color="auto"/>
            </w:tcBorders>
            <w:shd w:val="clear" w:color="auto" w:fill="auto"/>
            <w:noWrap/>
            <w:vAlign w:val="center"/>
          </w:tcPr>
          <w:p w14:paraId="67C4DB9D"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0629FD4A"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271" w:type="dxa"/>
            <w:tcBorders>
              <w:top w:val="single" w:sz="4" w:space="0" w:color="auto"/>
            </w:tcBorders>
            <w:shd w:val="clear" w:color="auto" w:fill="auto"/>
            <w:noWrap/>
            <w:vAlign w:val="center"/>
          </w:tcPr>
          <w:p w14:paraId="13E6BEE7"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876" w:type="dxa"/>
            <w:tcBorders>
              <w:top w:val="single" w:sz="4" w:space="0" w:color="auto"/>
            </w:tcBorders>
            <w:shd w:val="clear" w:color="auto" w:fill="auto"/>
            <w:noWrap/>
            <w:vAlign w:val="center"/>
          </w:tcPr>
          <w:p w14:paraId="16364E2E"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3" w:type="dxa"/>
            <w:tcBorders>
              <w:top w:val="single" w:sz="4" w:space="0" w:color="auto"/>
            </w:tcBorders>
            <w:shd w:val="clear" w:color="auto" w:fill="auto"/>
            <w:noWrap/>
            <w:vAlign w:val="center"/>
          </w:tcPr>
          <w:p w14:paraId="3C61FF45"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192" w:type="dxa"/>
            <w:tcBorders>
              <w:top w:val="single" w:sz="4" w:space="0" w:color="auto"/>
            </w:tcBorders>
            <w:shd w:val="clear" w:color="auto" w:fill="auto"/>
            <w:noWrap/>
            <w:vAlign w:val="center"/>
          </w:tcPr>
          <w:p w14:paraId="168ADBA0"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876" w:type="dxa"/>
            <w:tcBorders>
              <w:top w:val="single" w:sz="4" w:space="0" w:color="auto"/>
            </w:tcBorders>
            <w:shd w:val="clear" w:color="auto" w:fill="auto"/>
            <w:noWrap/>
            <w:vAlign w:val="center"/>
          </w:tcPr>
          <w:p w14:paraId="68184FA1"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580" w:type="dxa"/>
            <w:tcBorders>
              <w:top w:val="single" w:sz="4" w:space="0" w:color="auto"/>
            </w:tcBorders>
            <w:shd w:val="clear" w:color="auto" w:fill="auto"/>
            <w:noWrap/>
            <w:vAlign w:val="center"/>
          </w:tcPr>
          <w:p w14:paraId="07B3D0C6"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1445" w:type="dxa"/>
            <w:tcBorders>
              <w:top w:val="single" w:sz="4" w:space="0" w:color="auto"/>
            </w:tcBorders>
            <w:shd w:val="clear" w:color="auto" w:fill="auto"/>
            <w:noWrap/>
            <w:vAlign w:val="center"/>
          </w:tcPr>
          <w:p w14:paraId="185CE405"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c>
          <w:tcPr>
            <w:tcW w:w="876" w:type="dxa"/>
            <w:tcBorders>
              <w:top w:val="single" w:sz="4" w:space="0" w:color="auto"/>
            </w:tcBorders>
            <w:shd w:val="clear" w:color="auto" w:fill="auto"/>
            <w:noWrap/>
            <w:vAlign w:val="center"/>
          </w:tcPr>
          <w:p w14:paraId="3EA44E1C" w14:textId="77777777" w:rsidR="00DC68B2" w:rsidRPr="004E16EB" w:rsidRDefault="00DC68B2" w:rsidP="004A2AAB">
            <w:pPr>
              <w:spacing w:after="0" w:line="240" w:lineRule="auto"/>
              <w:jc w:val="right"/>
              <w:rPr>
                <w:rFonts w:ascii="Times New Roman" w:eastAsia="Times New Roman" w:hAnsi="Times New Roman" w:cs="Times New Roman"/>
                <w:color w:val="000000"/>
              </w:rPr>
            </w:pPr>
            <w:r w:rsidRPr="004E16EB">
              <w:rPr>
                <w:rFonts w:ascii="Times New Roman" w:eastAsia="Times New Roman" w:hAnsi="Times New Roman" w:cs="Times New Roman"/>
                <w:color w:val="000000"/>
              </w:rPr>
              <w:t>95</w:t>
            </w:r>
          </w:p>
        </w:tc>
        <w:tc>
          <w:tcPr>
            <w:tcW w:w="648" w:type="dxa"/>
            <w:tcBorders>
              <w:top w:val="single" w:sz="4" w:space="0" w:color="auto"/>
            </w:tcBorders>
            <w:shd w:val="clear" w:color="auto" w:fill="auto"/>
            <w:noWrap/>
            <w:vAlign w:val="center"/>
          </w:tcPr>
          <w:p w14:paraId="40556E26" w14:textId="77777777" w:rsidR="00DC68B2" w:rsidRPr="004E16EB" w:rsidRDefault="00DC68B2" w:rsidP="004A2AAB">
            <w:pPr>
              <w:spacing w:after="0" w:line="240" w:lineRule="auto"/>
              <w:rPr>
                <w:rFonts w:ascii="Times New Roman" w:eastAsia="Times New Roman" w:hAnsi="Times New Roman" w:cs="Times New Roman"/>
                <w:color w:val="000000"/>
              </w:rPr>
            </w:pPr>
            <w:r w:rsidRPr="004E16EB">
              <w:rPr>
                <w:rFonts w:ascii="Times New Roman" w:eastAsia="Times New Roman" w:hAnsi="Times New Roman" w:cs="Times New Roman"/>
                <w:color w:val="000000"/>
              </w:rPr>
              <w:t> </w:t>
            </w:r>
          </w:p>
        </w:tc>
      </w:tr>
    </w:tbl>
    <w:p w14:paraId="5A06BA84" w14:textId="77777777" w:rsidR="00DC68B2" w:rsidRPr="004E16EB" w:rsidRDefault="00DC68B2" w:rsidP="00DC68B2">
      <w:pPr>
        <w:pStyle w:val="BodyText"/>
        <w:ind w:right="138"/>
        <w:jc w:val="both"/>
        <w:rPr>
          <w:spacing w:val="-5"/>
          <w:w w:val="104"/>
        </w:rPr>
      </w:pPr>
    </w:p>
    <w:p w14:paraId="4F2E3E82" w14:textId="77777777" w:rsidR="00DC68B2" w:rsidRPr="00A255D6" w:rsidRDefault="00DC68B2" w:rsidP="00276F31">
      <w:pPr>
        <w:ind w:firstLine="720"/>
        <w:rPr>
          <w:rFonts w:ascii="Times New Roman" w:hAnsi="Times New Roman" w:cs="Times New Roman"/>
          <w:b/>
        </w:rPr>
      </w:pPr>
      <w:r w:rsidRPr="00A255D6">
        <w:rPr>
          <w:rFonts w:ascii="Times New Roman" w:hAnsi="Times New Roman" w:cs="Times New Roman"/>
          <w:b/>
        </w:rPr>
        <w:t xml:space="preserve">Data Analysis Procedure </w:t>
      </w:r>
    </w:p>
    <w:p w14:paraId="3C20D1ED" w14:textId="274F7E6B" w:rsidR="00DC68B2" w:rsidRPr="004E16EB" w:rsidRDefault="00DC68B2" w:rsidP="00DC68B2">
      <w:pPr>
        <w:spacing w:line="240" w:lineRule="auto"/>
        <w:ind w:firstLine="720"/>
        <w:jc w:val="both"/>
        <w:rPr>
          <w:rFonts w:ascii="Times New Roman" w:hAnsi="Times New Roman" w:cs="Times New Roman"/>
          <w:sz w:val="24"/>
          <w:szCs w:val="24"/>
        </w:rPr>
      </w:pPr>
      <w:r w:rsidRPr="00356BA1">
        <w:rPr>
          <w:rFonts w:ascii="Times New Roman" w:hAnsi="Times New Roman"/>
          <w:sz w:val="24"/>
          <w:szCs w:val="24"/>
        </w:rPr>
        <w:t xml:space="preserve">This research uses a qualitative analytical framework that utilizes thematic methodologies through data collection, reduction, interpretation, and presentation. In data collection, all relevant information is carefully documented and transcribed. The reduction phase includes </w:t>
      </w:r>
      <w:r w:rsidR="0034009A">
        <w:rPr>
          <w:rFonts w:ascii="Times New Roman" w:hAnsi="Times New Roman"/>
          <w:sz w:val="24"/>
          <w:szCs w:val="24"/>
        </w:rPr>
        <w:t>identifying and organising</w:t>
      </w:r>
      <w:r w:rsidRPr="00356BA1">
        <w:rPr>
          <w:rFonts w:ascii="Times New Roman" w:hAnsi="Times New Roman"/>
          <w:sz w:val="24"/>
          <w:szCs w:val="24"/>
        </w:rPr>
        <w:t xml:space="preserve"> the raw data before summarizing, coding, and categorizing this data according to the research question. Thematic analysis filters the grouped data into more significant forms to extract critical themes by emphasizing, italicizing, or encoding relevant information. Interpretive insights are drawn from categorized data to distinguish significant patterns that consistently emerge from empirical data. As a result, thematic analysis requires a high level of engagement and interpretive effort.</w:t>
      </w:r>
    </w:p>
    <w:p w14:paraId="52223CA0" w14:textId="77777777" w:rsidR="00DC68B2" w:rsidRPr="004E16EB" w:rsidRDefault="00DC68B2" w:rsidP="00276F31">
      <w:pPr>
        <w:ind w:firstLine="720"/>
      </w:pPr>
      <w:r w:rsidRPr="00A255D6">
        <w:rPr>
          <w:rFonts w:ascii="Times New Roman" w:hAnsi="Times New Roman"/>
          <w:b/>
        </w:rPr>
        <w:t>Credibility and Transferability</w:t>
      </w:r>
    </w:p>
    <w:p w14:paraId="067CA390" w14:textId="4AAB41EE" w:rsidR="00DC68B2" w:rsidRPr="004E16EB" w:rsidRDefault="00DC68B2" w:rsidP="00DC68B2">
      <w:pPr>
        <w:spacing w:line="240" w:lineRule="auto"/>
        <w:ind w:firstLine="720"/>
        <w:jc w:val="both"/>
        <w:rPr>
          <w:rFonts w:ascii="Times New Roman" w:hAnsi="Times New Roman" w:cs="Times New Roman"/>
          <w:sz w:val="24"/>
          <w:szCs w:val="24"/>
        </w:rPr>
      </w:pPr>
      <w:r w:rsidRPr="004E16EB">
        <w:rPr>
          <w:rFonts w:ascii="Times New Roman" w:hAnsi="Times New Roman"/>
          <w:sz w:val="24"/>
          <w:szCs w:val="24"/>
        </w:rPr>
        <w:t xml:space="preserve">The credibility, trustworthiness, transferability, and generalization of findings are essential in qualitative studies. To ensure credibility, the study recorded the </w:t>
      </w:r>
      <w:r w:rsidR="0034009A">
        <w:rPr>
          <w:rFonts w:ascii="Times New Roman" w:hAnsi="Times New Roman"/>
          <w:sz w:val="24"/>
          <w:szCs w:val="24"/>
        </w:rPr>
        <w:t>respondents' explanation</w:t>
      </w:r>
      <w:r w:rsidRPr="004E16EB">
        <w:rPr>
          <w:rFonts w:ascii="Times New Roman" w:hAnsi="Times New Roman"/>
          <w:sz w:val="24"/>
          <w:szCs w:val="24"/>
        </w:rPr>
        <w:t>s and reflected on the issues examined. Furthermore, the transferability of the results is ensured by presenting and expanding the existing data. The goal is to use the applicable data for empowerment carried out by MWB for women who do not have bank accounts. In-depth interviews with participants are also used to ensure the validity and integrity of the data. Written responses are read to the interviewee to ensure the accuracy and confirmation of the existing responses</w:t>
      </w:r>
      <w:r w:rsidRPr="004E16EB">
        <w:rPr>
          <w:rFonts w:ascii="Times New Roman" w:hAnsi="Times New Roman" w:cs="Times New Roman"/>
          <w:sz w:val="24"/>
          <w:szCs w:val="24"/>
        </w:rPr>
        <w:t>.</w:t>
      </w:r>
    </w:p>
    <w:p w14:paraId="769B9231" w14:textId="77777777" w:rsidR="00DC68B2"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Results and Discussion</w:t>
      </w:r>
    </w:p>
    <w:p w14:paraId="49445B8F" w14:textId="77777777" w:rsidR="00DC68B2" w:rsidRPr="00A255D6" w:rsidRDefault="00DC68B2" w:rsidP="00DC68B2">
      <w:pPr>
        <w:rPr>
          <w:rFonts w:ascii="Times New Roman" w:hAnsi="Times New Roman" w:cs="Times New Roman"/>
          <w:b/>
          <w:bCs/>
          <w:sz w:val="24"/>
          <w:szCs w:val="24"/>
        </w:rPr>
      </w:pPr>
      <w:r w:rsidRPr="00A255D6">
        <w:rPr>
          <w:rFonts w:ascii="Times New Roman" w:hAnsi="Times New Roman" w:cs="Times New Roman"/>
          <w:b/>
          <w:bCs/>
          <w:sz w:val="24"/>
          <w:szCs w:val="24"/>
        </w:rPr>
        <w:t>Results</w:t>
      </w:r>
    </w:p>
    <w:p w14:paraId="5E795D3B" w14:textId="34F9CE33" w:rsidR="00DC68B2" w:rsidRPr="00A255D6" w:rsidRDefault="00DC68B2" w:rsidP="00DC68B2">
      <w:pPr>
        <w:widowControl w:val="0"/>
        <w:spacing w:after="0" w:line="240" w:lineRule="auto"/>
        <w:ind w:firstLine="720"/>
        <w:jc w:val="both"/>
        <w:rPr>
          <w:rFonts w:ascii="Times New Roman" w:hAnsi="Times New Roman"/>
          <w:bCs/>
          <w:sz w:val="24"/>
          <w:szCs w:val="24"/>
        </w:rPr>
      </w:pPr>
      <w:r w:rsidRPr="00A255D6">
        <w:rPr>
          <w:rFonts w:ascii="Times New Roman" w:hAnsi="Times New Roman"/>
          <w:bCs/>
          <w:sz w:val="24"/>
          <w:szCs w:val="24"/>
        </w:rPr>
        <w:t xml:space="preserve">First, prospective customers are identified to ensure compliance with the program's target criteria, such as distance of residence, type of business, and business location. Second, socialization about MWB is carried out </w:t>
      </w:r>
      <w:r w:rsidR="0034009A">
        <w:rPr>
          <w:rFonts w:ascii="Times New Roman" w:hAnsi="Times New Roman"/>
          <w:bCs/>
          <w:sz w:val="24"/>
          <w:szCs w:val="24"/>
        </w:rPr>
        <w:t>in</w:t>
      </w:r>
      <w:r w:rsidRPr="00A255D6">
        <w:rPr>
          <w:rFonts w:ascii="Times New Roman" w:hAnsi="Times New Roman"/>
          <w:bCs/>
          <w:sz w:val="24"/>
          <w:szCs w:val="24"/>
        </w:rPr>
        <w:t xml:space="preserve"> the community through maternal recitation activities, social gatherings, and Family Welfare Empowerment (FEW). Th</w:t>
      </w:r>
      <w:r w:rsidR="0034009A">
        <w:rPr>
          <w:rFonts w:ascii="Times New Roman" w:hAnsi="Times New Roman"/>
          <w:bCs/>
          <w:sz w:val="24"/>
          <w:szCs w:val="24"/>
        </w:rPr>
        <w:t>is socialisation aim</w:t>
      </w:r>
      <w:r w:rsidRPr="00A255D6">
        <w:rPr>
          <w:rFonts w:ascii="Times New Roman" w:hAnsi="Times New Roman"/>
          <w:bCs/>
          <w:sz w:val="24"/>
          <w:szCs w:val="24"/>
        </w:rPr>
        <w:t xml:space="preserve">s to disseminate information about the concept, stages of formation, participation requirements, and CBGIBSI activities. The third process involves surveying potential customers. In the fourth </w:t>
      </w:r>
      <w:r w:rsidRPr="00A255D6">
        <w:rPr>
          <w:rFonts w:ascii="Times New Roman" w:hAnsi="Times New Roman"/>
          <w:bCs/>
          <w:sz w:val="24"/>
          <w:szCs w:val="24"/>
        </w:rPr>
        <w:lastRenderedPageBreak/>
        <w:t>stage, the feasibility test of prospective customers is carried out. Based on interviews with Dafril (2019) and Safitri (2019), who are the Trustees of MWB AlKautsar Payakumbuh and MWB UNISA Yogyakarta, the feasibility test aims to ensure the correctness of poor family data from the identification results and assist in the selection of prospective participants. This feasibility study includes direct visits to the residences of prospective customers to assess the condition of the homes and collect economic and business data.</w:t>
      </w:r>
    </w:p>
    <w:p w14:paraId="70FA89EE" w14:textId="77777777" w:rsidR="00DC68B2" w:rsidRPr="00A255D6" w:rsidRDefault="00DC68B2" w:rsidP="00DC68B2">
      <w:pPr>
        <w:widowControl w:val="0"/>
        <w:spacing w:after="0" w:line="240" w:lineRule="auto"/>
        <w:ind w:firstLine="720"/>
        <w:jc w:val="both"/>
        <w:rPr>
          <w:rFonts w:ascii="Times New Roman" w:hAnsi="Times New Roman"/>
          <w:bCs/>
          <w:sz w:val="24"/>
          <w:szCs w:val="24"/>
        </w:rPr>
      </w:pPr>
    </w:p>
    <w:p w14:paraId="568A6612" w14:textId="2F68DAA3" w:rsidR="00DC68B2" w:rsidRPr="00A255D6" w:rsidRDefault="00DC68B2" w:rsidP="00DC68B2">
      <w:pPr>
        <w:widowControl w:val="0"/>
        <w:spacing w:after="0" w:line="240" w:lineRule="auto"/>
        <w:ind w:firstLine="720"/>
        <w:jc w:val="both"/>
        <w:rPr>
          <w:rFonts w:ascii="Times New Roman" w:hAnsi="Times New Roman" w:cs="Times New Roman"/>
          <w:bCs/>
          <w:sz w:val="24"/>
          <w:szCs w:val="24"/>
        </w:rPr>
      </w:pPr>
      <w:r w:rsidRPr="00A255D6">
        <w:rPr>
          <w:rFonts w:ascii="Times New Roman" w:hAnsi="Times New Roman"/>
          <w:bCs/>
          <w:sz w:val="24"/>
          <w:szCs w:val="24"/>
        </w:rPr>
        <w:t xml:space="preserve">Fifth, Group Mandatory Pre-Training (GCP) is carried out before </w:t>
      </w:r>
      <w:r w:rsidR="0034009A">
        <w:rPr>
          <w:rFonts w:ascii="Times New Roman" w:hAnsi="Times New Roman"/>
          <w:bCs/>
          <w:sz w:val="24"/>
          <w:szCs w:val="24"/>
        </w:rPr>
        <w:t>CGT is implemented</w:t>
      </w:r>
      <w:r w:rsidRPr="00A255D6">
        <w:rPr>
          <w:rFonts w:ascii="Times New Roman" w:hAnsi="Times New Roman"/>
          <w:bCs/>
          <w:sz w:val="24"/>
          <w:szCs w:val="24"/>
        </w:rPr>
        <w:t xml:space="preserve"> for prospective customers. This activity was carried out by facilitators with prospective CBGIBSI members. The goal is to strengthen the group's intention and interest in participating in the MWB program, establish CBGIBSI, and introduce financing distribution mechanisms. This activity prepares the group to participate in the implementation of the program (BSM, 2017a). Further details can be seen in Figure 1.</w:t>
      </w:r>
    </w:p>
    <w:p w14:paraId="167AAF10" w14:textId="77777777" w:rsidR="00DC68B2" w:rsidRPr="004E16EB" w:rsidRDefault="00DC68B2" w:rsidP="00DC68B2">
      <w:pPr>
        <w:pStyle w:val="ListParagraph"/>
        <w:widowControl w:val="0"/>
        <w:spacing w:before="120"/>
        <w:jc w:val="both"/>
        <w:rPr>
          <w:rFonts w:ascii="Times New Roman" w:hAnsi="Times New Roman" w:cs="Times New Roman"/>
        </w:rPr>
      </w:pPr>
      <w:r w:rsidRPr="004E16EB">
        <w:rPr>
          <w:rFonts w:ascii="Times New Roman" w:hAnsi="Times New Roman" w:cs="Times New Roman"/>
        </w:rPr>
        <w:t xml:space="preserve">Figure 1. </w:t>
      </w:r>
      <w:r w:rsidRPr="004E16EB">
        <w:rPr>
          <w:rFonts w:ascii="Times New Roman" w:hAnsi="Times New Roman"/>
        </w:rPr>
        <w:t>Stages of Women's Empowerment in MWB</w:t>
      </w:r>
    </w:p>
    <w:p w14:paraId="7B9AA936" w14:textId="77777777" w:rsidR="00DC68B2" w:rsidRPr="004E16EB" w:rsidRDefault="00DC68B2" w:rsidP="00DC68B2">
      <w:pPr>
        <w:pStyle w:val="ListParagraph"/>
        <w:widowControl w:val="0"/>
        <w:jc w:val="both"/>
        <w:rPr>
          <w:rFonts w:ascii="Times New Roman" w:hAnsi="Times New Roman" w:cs="Times New Roman"/>
        </w:rPr>
      </w:pPr>
    </w:p>
    <w:p w14:paraId="775A89DB" w14:textId="77777777" w:rsidR="00DC68B2" w:rsidRPr="004E16EB" w:rsidRDefault="00DC68B2" w:rsidP="00DC68B2">
      <w:pPr>
        <w:widowControl w:val="0"/>
        <w:spacing w:after="0" w:line="240" w:lineRule="auto"/>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7FA042FD" wp14:editId="4236EC81">
            <wp:extent cx="5731510" cy="2310765"/>
            <wp:effectExtent l="0" t="0" r="2540" b="0"/>
            <wp:docPr id="104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6" cstate="print"/>
                    <a:srcRect/>
                    <a:stretch/>
                  </pic:blipFill>
                  <pic:spPr>
                    <a:xfrm>
                      <a:off x="0" y="0"/>
                      <a:ext cx="5731510" cy="2310765"/>
                    </a:xfrm>
                    <a:prstGeom prst="rect">
                      <a:avLst/>
                    </a:prstGeom>
                  </pic:spPr>
                </pic:pic>
              </a:graphicData>
            </a:graphic>
          </wp:inline>
        </w:drawing>
      </w:r>
    </w:p>
    <w:p w14:paraId="67677F88" w14:textId="77777777" w:rsidR="00DC68B2" w:rsidRPr="004E16EB" w:rsidRDefault="00DC68B2" w:rsidP="00DC68B2">
      <w:pPr>
        <w:pStyle w:val="ListParagraph"/>
        <w:widowControl w:val="0"/>
        <w:jc w:val="both"/>
        <w:rPr>
          <w:rFonts w:ascii="Times New Roman" w:hAnsi="Times New Roman" w:cs="Times New Roman"/>
        </w:rPr>
      </w:pPr>
    </w:p>
    <w:p w14:paraId="089470AE" w14:textId="77777777" w:rsidR="00DC68B2" w:rsidRPr="004E16EB" w:rsidRDefault="00DC68B2" w:rsidP="00DC68B2">
      <w:pPr>
        <w:widowControl w:val="0"/>
        <w:spacing w:after="0" w:line="240" w:lineRule="auto"/>
        <w:contextualSpacing/>
        <w:jc w:val="both"/>
        <w:rPr>
          <w:rFonts w:ascii="Times New Roman" w:hAnsi="Times New Roman" w:cs="Times New Roman"/>
          <w:sz w:val="24"/>
          <w:szCs w:val="24"/>
        </w:rPr>
      </w:pPr>
    </w:p>
    <w:p w14:paraId="41B388BF" w14:textId="282830BB" w:rsidR="00DC68B2" w:rsidRPr="000D4037" w:rsidRDefault="00DC68B2" w:rsidP="00DC68B2">
      <w:pPr>
        <w:spacing w:after="0" w:line="240" w:lineRule="auto"/>
        <w:ind w:firstLine="720"/>
        <w:jc w:val="both"/>
        <w:rPr>
          <w:rFonts w:ascii="Times New Roman" w:hAnsi="Times New Roman" w:cs="Times New Roman"/>
          <w:bCs/>
          <w:sz w:val="24"/>
          <w:szCs w:val="24"/>
        </w:rPr>
      </w:pPr>
      <w:r w:rsidRPr="000D4037">
        <w:rPr>
          <w:rFonts w:ascii="Times New Roman" w:hAnsi="Times New Roman"/>
          <w:bCs/>
          <w:sz w:val="24"/>
          <w:szCs w:val="24"/>
        </w:rPr>
        <w:t xml:space="preserve">Women's empowerment is facilitated through Community Group Training (CGT), allocation of financial resources, and customer support services. Initially, CGT served as the </w:t>
      </w:r>
      <w:r w:rsidR="0034009A">
        <w:rPr>
          <w:rFonts w:ascii="Times New Roman" w:hAnsi="Times New Roman"/>
          <w:bCs/>
          <w:sz w:val="24"/>
          <w:szCs w:val="24"/>
        </w:rPr>
        <w:t>introductory</w:t>
      </w:r>
      <w:r w:rsidRPr="000D4037">
        <w:rPr>
          <w:rFonts w:ascii="Times New Roman" w:hAnsi="Times New Roman"/>
          <w:bCs/>
          <w:sz w:val="24"/>
          <w:szCs w:val="24"/>
        </w:rPr>
        <w:t xml:space="preserve"> phase of the empowerment initiatives implemented by MWB aimed at women who do not have access to banking services. Administration underlines the importance of </w:t>
      </w:r>
      <w:r w:rsidR="0034009A">
        <w:rPr>
          <w:rFonts w:ascii="Times New Roman" w:hAnsi="Times New Roman"/>
          <w:bCs/>
          <w:sz w:val="24"/>
          <w:szCs w:val="24"/>
        </w:rPr>
        <w:t>specific</w:t>
      </w:r>
      <w:r w:rsidRPr="000D4037">
        <w:rPr>
          <w:rFonts w:ascii="Times New Roman" w:hAnsi="Times New Roman"/>
          <w:bCs/>
          <w:sz w:val="24"/>
          <w:szCs w:val="24"/>
        </w:rPr>
        <w:t xml:space="preserve"> attributes in prospective clients, which include discipline, trust, accountability, and mutual care. The CGT session begins after </w:t>
      </w:r>
      <w:r w:rsidR="0034009A">
        <w:rPr>
          <w:rFonts w:ascii="Times New Roman" w:hAnsi="Times New Roman"/>
          <w:bCs/>
          <w:sz w:val="24"/>
          <w:szCs w:val="24"/>
        </w:rPr>
        <w:t>forming</w:t>
      </w:r>
      <w:r w:rsidRPr="000D4037">
        <w:rPr>
          <w:rFonts w:ascii="Times New Roman" w:hAnsi="Times New Roman"/>
          <w:bCs/>
          <w:sz w:val="24"/>
          <w:szCs w:val="24"/>
        </w:rPr>
        <w:t xml:space="preserve"> at least three groups, each consisting of five members. This process is carried out for one hour over five consecutive days (BSM, 2017a), as illustrated in Table 1:</w:t>
      </w:r>
    </w:p>
    <w:p w14:paraId="1F91D072" w14:textId="77777777" w:rsidR="00DC68B2" w:rsidRPr="004E16EB" w:rsidRDefault="00DC68B2" w:rsidP="00DC68B2">
      <w:pPr>
        <w:spacing w:before="120" w:after="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Table 1. </w:t>
      </w:r>
      <w:r w:rsidRPr="004E16EB">
        <w:rPr>
          <w:rFonts w:ascii="Times New Roman" w:hAnsi="Times New Roman"/>
          <w:sz w:val="24"/>
          <w:szCs w:val="24"/>
        </w:rPr>
        <w:t>CGT Material</w:t>
      </w:r>
    </w:p>
    <w:tbl>
      <w:tblPr>
        <w:tblStyle w:val="TableGrid"/>
        <w:tblW w:w="0" w:type="auto"/>
        <w:tblLook w:val="04A0" w:firstRow="1" w:lastRow="0" w:firstColumn="1" w:lastColumn="0" w:noHBand="0" w:noVBand="1"/>
      </w:tblPr>
      <w:tblGrid>
        <w:gridCol w:w="1005"/>
        <w:gridCol w:w="8021"/>
      </w:tblGrid>
      <w:tr w:rsidR="00DC68B2" w:rsidRPr="004E16EB" w14:paraId="6403C450" w14:textId="77777777" w:rsidTr="004A2AAB">
        <w:tc>
          <w:tcPr>
            <w:tcW w:w="1008" w:type="dxa"/>
            <w:tcBorders>
              <w:top w:val="single" w:sz="4" w:space="0" w:color="auto"/>
              <w:left w:val="nil"/>
              <w:bottom w:val="single" w:sz="4" w:space="0" w:color="auto"/>
              <w:right w:val="nil"/>
            </w:tcBorders>
          </w:tcPr>
          <w:p w14:paraId="37F65CB6"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Day</w:t>
            </w:r>
          </w:p>
        </w:tc>
        <w:tc>
          <w:tcPr>
            <w:tcW w:w="8234" w:type="dxa"/>
            <w:tcBorders>
              <w:top w:val="single" w:sz="4" w:space="0" w:color="auto"/>
              <w:left w:val="nil"/>
              <w:bottom w:val="single" w:sz="4" w:space="0" w:color="auto"/>
              <w:right w:val="nil"/>
            </w:tcBorders>
          </w:tcPr>
          <w:p w14:paraId="014F8DE9" w14:textId="77777777" w:rsidR="00DC68B2" w:rsidRPr="004E16EB" w:rsidRDefault="00DC68B2" w:rsidP="004A2AAB">
            <w:pPr>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DC68B2" w:rsidRPr="004E16EB" w14:paraId="52C2D099" w14:textId="77777777" w:rsidTr="004A2AAB">
        <w:tc>
          <w:tcPr>
            <w:tcW w:w="1008" w:type="dxa"/>
            <w:tcBorders>
              <w:top w:val="single" w:sz="4" w:space="0" w:color="auto"/>
              <w:left w:val="nil"/>
              <w:bottom w:val="single" w:sz="4" w:space="0" w:color="auto"/>
              <w:right w:val="nil"/>
            </w:tcBorders>
          </w:tcPr>
          <w:p w14:paraId="7F8F1264"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First</w:t>
            </w:r>
          </w:p>
        </w:tc>
        <w:tc>
          <w:tcPr>
            <w:tcW w:w="8234" w:type="dxa"/>
            <w:tcBorders>
              <w:top w:val="single" w:sz="4" w:space="0" w:color="auto"/>
              <w:left w:val="nil"/>
              <w:bottom w:val="single" w:sz="4" w:space="0" w:color="auto"/>
              <w:right w:val="nil"/>
            </w:tcBorders>
          </w:tcPr>
          <w:p w14:paraId="2EC1901F"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sz w:val="24"/>
                <w:szCs w:val="24"/>
              </w:rPr>
              <w:t>1) Explanation of CGT, 2) Introduction to MWB. 3) Introduction and principles of CBGIBSI membership, Introduction of CGT participants, 4) Introduction of pledges, 5) Motivational materials</w:t>
            </w:r>
            <w:r w:rsidRPr="004E16EB">
              <w:rPr>
                <w:rFonts w:ascii="Times New Roman" w:hAnsi="Times New Roman" w:cs="Times New Roman"/>
                <w:sz w:val="24"/>
                <w:szCs w:val="24"/>
              </w:rPr>
              <w:t>.</w:t>
            </w:r>
          </w:p>
        </w:tc>
      </w:tr>
      <w:tr w:rsidR="00DC68B2" w:rsidRPr="004E16EB" w14:paraId="522BDB2A" w14:textId="77777777" w:rsidTr="004A2AAB">
        <w:tc>
          <w:tcPr>
            <w:tcW w:w="1008" w:type="dxa"/>
            <w:tcBorders>
              <w:top w:val="single" w:sz="4" w:space="0" w:color="auto"/>
              <w:left w:val="nil"/>
              <w:bottom w:val="single" w:sz="4" w:space="0" w:color="auto"/>
              <w:right w:val="nil"/>
            </w:tcBorders>
          </w:tcPr>
          <w:p w14:paraId="16C96789"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Second</w:t>
            </w:r>
          </w:p>
        </w:tc>
        <w:tc>
          <w:tcPr>
            <w:tcW w:w="8234" w:type="dxa"/>
            <w:tcBorders>
              <w:top w:val="single" w:sz="4" w:space="0" w:color="auto"/>
              <w:left w:val="nil"/>
              <w:bottom w:val="single" w:sz="4" w:space="0" w:color="auto"/>
              <w:right w:val="nil"/>
            </w:tcBorders>
          </w:tcPr>
          <w:p w14:paraId="4795A01A"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Capacity building materials, 6) Rights and obligations of members, 7) Election of group leaders and deputy leaders, 8) Discussion of the responsibilities of leaders, secretaries, and group members</w:t>
            </w:r>
            <w:r w:rsidRPr="004E16EB">
              <w:rPr>
                <w:rFonts w:ascii="Times New Roman" w:hAnsi="Times New Roman" w:cs="Times New Roman"/>
                <w:sz w:val="24"/>
                <w:szCs w:val="24"/>
              </w:rPr>
              <w:t>.</w:t>
            </w:r>
          </w:p>
        </w:tc>
      </w:tr>
      <w:tr w:rsidR="00DC68B2" w:rsidRPr="004E16EB" w14:paraId="773F6505" w14:textId="77777777" w:rsidTr="004A2AAB">
        <w:tc>
          <w:tcPr>
            <w:tcW w:w="1008" w:type="dxa"/>
            <w:tcBorders>
              <w:top w:val="single" w:sz="4" w:space="0" w:color="auto"/>
              <w:left w:val="nil"/>
              <w:bottom w:val="single" w:sz="4" w:space="0" w:color="auto"/>
              <w:right w:val="nil"/>
            </w:tcBorders>
          </w:tcPr>
          <w:p w14:paraId="7783AC4D"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Third</w:t>
            </w:r>
          </w:p>
        </w:tc>
        <w:tc>
          <w:tcPr>
            <w:tcW w:w="8234" w:type="dxa"/>
            <w:tcBorders>
              <w:top w:val="single" w:sz="4" w:space="0" w:color="auto"/>
              <w:left w:val="nil"/>
              <w:bottom w:val="single" w:sz="4" w:space="0" w:color="auto"/>
              <w:right w:val="nil"/>
            </w:tcBorders>
          </w:tcPr>
          <w:p w14:paraId="11760235" w14:textId="28E2327A"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guarantees, 2) Introduction of contracts and financing procedures and instalment payments, 3) Stories and how to create a business profile</w:t>
            </w:r>
            <w:r w:rsidRPr="004E16EB">
              <w:rPr>
                <w:rFonts w:ascii="Times New Roman" w:hAnsi="Times New Roman" w:cs="Times New Roman"/>
                <w:sz w:val="24"/>
                <w:szCs w:val="24"/>
              </w:rPr>
              <w:t xml:space="preserve">. </w:t>
            </w:r>
          </w:p>
        </w:tc>
      </w:tr>
      <w:tr w:rsidR="00DC68B2" w:rsidRPr="004E16EB" w14:paraId="199D3E07" w14:textId="77777777" w:rsidTr="004A2AAB">
        <w:tc>
          <w:tcPr>
            <w:tcW w:w="1008" w:type="dxa"/>
            <w:tcBorders>
              <w:top w:val="single" w:sz="4" w:space="0" w:color="auto"/>
              <w:left w:val="nil"/>
              <w:bottom w:val="single" w:sz="4" w:space="0" w:color="auto"/>
              <w:right w:val="nil"/>
            </w:tcBorders>
          </w:tcPr>
          <w:p w14:paraId="561372BE"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lastRenderedPageBreak/>
              <w:t>Fourth</w:t>
            </w:r>
          </w:p>
        </w:tc>
        <w:tc>
          <w:tcPr>
            <w:tcW w:w="8234" w:type="dxa"/>
            <w:tcBorders>
              <w:top w:val="single" w:sz="4" w:space="0" w:color="auto"/>
              <w:left w:val="nil"/>
              <w:bottom w:val="single" w:sz="4" w:space="0" w:color="auto"/>
              <w:right w:val="nil"/>
            </w:tcBorders>
          </w:tcPr>
          <w:p w14:paraId="4325BBAA"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of the pledge, 2) Giving the name and number of CBGIBSI, 3) Election of leaders and deputy leaders, 4) Discussion of the responsibilities of leaders, deputy leaders, and members, and 5) discussion of WH.</w:t>
            </w:r>
          </w:p>
        </w:tc>
      </w:tr>
      <w:tr w:rsidR="00DC68B2" w:rsidRPr="004E16EB" w14:paraId="7932F437" w14:textId="77777777" w:rsidTr="004A2AAB">
        <w:tc>
          <w:tcPr>
            <w:tcW w:w="1008" w:type="dxa"/>
            <w:tcBorders>
              <w:top w:val="single" w:sz="4" w:space="0" w:color="auto"/>
              <w:left w:val="nil"/>
              <w:bottom w:val="single" w:sz="4" w:space="0" w:color="auto"/>
              <w:right w:val="nil"/>
            </w:tcBorders>
          </w:tcPr>
          <w:p w14:paraId="40616125"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Fifth</w:t>
            </w:r>
          </w:p>
        </w:tc>
        <w:tc>
          <w:tcPr>
            <w:tcW w:w="8234" w:type="dxa"/>
            <w:tcBorders>
              <w:top w:val="single" w:sz="4" w:space="0" w:color="auto"/>
              <w:left w:val="nil"/>
              <w:bottom w:val="single" w:sz="4" w:space="0" w:color="auto"/>
              <w:right w:val="nil"/>
            </w:tcBorders>
          </w:tcPr>
          <w:p w14:paraId="72D890AB" w14:textId="77777777" w:rsidR="00DC68B2" w:rsidRPr="004E16EB" w:rsidRDefault="00DC68B2" w:rsidP="004A2AAB">
            <w:pPr>
              <w:jc w:val="both"/>
              <w:rPr>
                <w:rFonts w:ascii="Times New Roman" w:hAnsi="Times New Roman" w:cs="Times New Roman"/>
                <w:sz w:val="24"/>
                <w:szCs w:val="24"/>
              </w:rPr>
            </w:pPr>
            <w:r w:rsidRPr="004E16EB">
              <w:rPr>
                <w:rFonts w:ascii="Times New Roman" w:hAnsi="Times New Roman" w:cs="Times New Roman"/>
                <w:sz w:val="24"/>
                <w:szCs w:val="24"/>
              </w:rPr>
              <w:t xml:space="preserve">1) </w:t>
            </w:r>
            <w:r w:rsidRPr="004E16EB">
              <w:rPr>
                <w:rFonts w:ascii="Times New Roman" w:hAnsi="Times New Roman"/>
                <w:sz w:val="24"/>
                <w:szCs w:val="24"/>
              </w:rPr>
              <w:t>Reading the pledge, 2) Review of CGT material, 3) CBGIBSI validation test.</w:t>
            </w:r>
          </w:p>
        </w:tc>
      </w:tr>
    </w:tbl>
    <w:p w14:paraId="32CFEB2D" w14:textId="6973A097" w:rsidR="00DC68B2" w:rsidRPr="004E16EB" w:rsidRDefault="00DC68B2" w:rsidP="00DC68B2">
      <w:pPr>
        <w:spacing w:after="120" w:line="240" w:lineRule="auto"/>
        <w:ind w:firstLine="720"/>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{"citationItems":[{"id":"ITEM-1","itemData":{"author":[{"dropping-particle":"","family":"BSM","given":"LAZNAS","non-dropping-particle":"","parse-names":false,"suffix":""}],"id":"ITEM-1","issued":{"date-parts":[["2017"]]},"publisher":"LAZNAS BSM","publisher-place":"Jakarta","title":"Manajemen Lembaga Keuangan Mikro Syariah","type":"chapter"},"uris":["http://www.mendeley.com/documents/?uuid=eeb4f070-fbd7-410f-b9f3-5b6d3b76da95","http://www.mendeley.com/documents/?uuid=ebd8187d-a90a-46e9-88ef-7e8c14b84154"]}],"mendeley":{"formattedCitation":"(BSM, 2017b)","plainTextFormattedCitation":"(BSM, 2017b)","previouslyFormattedCitation":"(BSM, 2017b)"},"properties":{"noteIndex":0},"schema":"https://github.com/citation-style-language/schema/raw/master/csl-citation.json"}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(BSM, 2017b)</w:t>
      </w:r>
      <w:r w:rsidRPr="004E16EB">
        <w:rPr>
          <w:rFonts w:ascii="Times New Roman" w:hAnsi="Times New Roman" w:cs="Times New Roman"/>
          <w:sz w:val="24"/>
          <w:szCs w:val="24"/>
        </w:rPr>
        <w:fldChar w:fldCharType="end"/>
      </w:r>
    </w:p>
    <w:p w14:paraId="6D7DE74D" w14:textId="6F8EFB2F" w:rsidR="00DC68B2" w:rsidRPr="000D4037" w:rsidRDefault="00DC68B2" w:rsidP="00DC68B2">
      <w:pPr>
        <w:widowControl w:val="0"/>
        <w:spacing w:after="0" w:line="240" w:lineRule="auto"/>
        <w:ind w:firstLine="450"/>
        <w:contextualSpacing/>
        <w:jc w:val="both"/>
        <w:rPr>
          <w:rFonts w:ascii="Times New Roman" w:hAnsi="Times New Roman"/>
          <w:sz w:val="24"/>
          <w:szCs w:val="24"/>
        </w:rPr>
      </w:pPr>
      <w:r w:rsidRPr="000D4037">
        <w:rPr>
          <w:rFonts w:ascii="Times New Roman" w:hAnsi="Times New Roman"/>
          <w:sz w:val="24"/>
          <w:szCs w:val="24"/>
        </w:rPr>
        <w:t xml:space="preserve">The hallmark of this instructional program is the assessment of the character traits shown by the prospective client. As </w:t>
      </w:r>
      <w:r w:rsidR="0034009A">
        <w:rPr>
          <w:rFonts w:ascii="Times New Roman" w:hAnsi="Times New Roman"/>
          <w:sz w:val="24"/>
          <w:szCs w:val="24"/>
        </w:rPr>
        <w:t>Sari (2019) and Dafril (2019) stated</w:t>
      </w:r>
      <w:r w:rsidRPr="000D4037">
        <w:rPr>
          <w:rFonts w:ascii="Times New Roman" w:hAnsi="Times New Roman"/>
          <w:sz w:val="24"/>
          <w:szCs w:val="24"/>
        </w:rPr>
        <w:t>, participants from MWB Al Kautsar Five Forty in West Sumatra and MWB UNISA Yogyakarta collected a nominal amount of Rp 2,000 during the initial session. The supervising academician documents and allocates the serial number to the participant in the back. The next day, the supervisor requested a withdrawal of the deposited funds to verify the serial number. Participants are considered trustworthy if the serial number remains unchanged, and vice versa, it is not. The supervisor underlines the critical nature of showing trust. After the meeting on the second day, the supervising academics took an additional nominal amount of Rp 2,000 and carefully recorded the sequence number. This amount is then given to participants who sit in the second and last rows.</w:t>
      </w:r>
    </w:p>
    <w:p w14:paraId="121F5988" w14:textId="77777777" w:rsidR="00DC68B2" w:rsidRPr="000D4037" w:rsidRDefault="00DC68B2" w:rsidP="00DC68B2">
      <w:pPr>
        <w:widowControl w:val="0"/>
        <w:spacing w:after="0" w:line="240" w:lineRule="auto"/>
        <w:ind w:firstLine="450"/>
        <w:contextualSpacing/>
        <w:jc w:val="both"/>
        <w:rPr>
          <w:rFonts w:ascii="Times New Roman" w:hAnsi="Times New Roman"/>
          <w:sz w:val="24"/>
          <w:szCs w:val="24"/>
        </w:rPr>
      </w:pPr>
    </w:p>
    <w:p w14:paraId="57BA60E4" w14:textId="3ED2C673" w:rsidR="00DC68B2" w:rsidRPr="004E16EB" w:rsidRDefault="00DC68B2" w:rsidP="00DC68B2">
      <w:pPr>
        <w:widowControl w:val="0"/>
        <w:spacing w:after="0" w:line="240" w:lineRule="auto"/>
        <w:ind w:firstLine="450"/>
        <w:contextualSpacing/>
        <w:jc w:val="both"/>
        <w:rPr>
          <w:rFonts w:ascii="Times New Roman" w:hAnsi="Times New Roman" w:cs="Times New Roman"/>
          <w:sz w:val="24"/>
          <w:szCs w:val="24"/>
        </w:rPr>
      </w:pPr>
      <w:r w:rsidRPr="000D4037">
        <w:rPr>
          <w:rFonts w:ascii="Times New Roman" w:hAnsi="Times New Roman"/>
          <w:sz w:val="24"/>
          <w:szCs w:val="24"/>
        </w:rPr>
        <w:t xml:space="preserve">All prospective clients </w:t>
      </w:r>
      <w:r w:rsidR="0034009A">
        <w:rPr>
          <w:rFonts w:ascii="Times New Roman" w:hAnsi="Times New Roman"/>
          <w:sz w:val="24"/>
          <w:szCs w:val="24"/>
        </w:rPr>
        <w:t>must</w:t>
      </w:r>
      <w:r w:rsidRPr="000D4037">
        <w:rPr>
          <w:rFonts w:ascii="Times New Roman" w:hAnsi="Times New Roman"/>
          <w:sz w:val="24"/>
          <w:szCs w:val="24"/>
        </w:rPr>
        <w:t xml:space="preserve"> take the Group Validation Exam (GVE) organized by MWB supervisors on the fifth day. Prospective group members who </w:t>
      </w:r>
      <w:r w:rsidR="0034009A">
        <w:rPr>
          <w:rFonts w:ascii="Times New Roman" w:hAnsi="Times New Roman"/>
          <w:sz w:val="24"/>
          <w:szCs w:val="24"/>
        </w:rPr>
        <w:t>fully understand</w:t>
      </w:r>
      <w:r w:rsidRPr="000D4037">
        <w:rPr>
          <w:rFonts w:ascii="Times New Roman" w:hAnsi="Times New Roman"/>
          <w:sz w:val="24"/>
          <w:szCs w:val="24"/>
        </w:rPr>
        <w:t xml:space="preserve"> the training material are declared competent and affirmed as MWB clients, thus forming CBGIBSI (BSM, 2017b). Prospective clients are judged to have passed based on the following criteria: a) Discipline, b) Cohesion, c) Trust, d) Ability to respond accurately to at least 50% of questions, </w:t>
      </w:r>
      <w:r w:rsidR="0034009A">
        <w:rPr>
          <w:rFonts w:ascii="Times New Roman" w:hAnsi="Times New Roman"/>
          <w:sz w:val="24"/>
          <w:szCs w:val="24"/>
        </w:rPr>
        <w:t xml:space="preserve">and </w:t>
      </w:r>
      <w:r w:rsidRPr="000D4037">
        <w:rPr>
          <w:rFonts w:ascii="Times New Roman" w:hAnsi="Times New Roman"/>
          <w:sz w:val="24"/>
          <w:szCs w:val="24"/>
        </w:rPr>
        <w:t xml:space="preserve">e) Secure family support. According to an interview with Puguh, Amalia (2019), a lecturer from the MWB Alfitrah Wafa Mandiri As-Salafi Al-Fithrah Islamic Boarding School, Kewall Surabaya, and MWB Tebu Ireng Jombang, participants were ranked according to their needs to receive initial financial support. Members who are prioritized for financial disbursement are positioned at the back. </w:t>
      </w:r>
      <w:r w:rsidR="0034009A">
        <w:rPr>
          <w:rFonts w:ascii="Times New Roman" w:hAnsi="Times New Roman"/>
          <w:sz w:val="24"/>
          <w:szCs w:val="24"/>
        </w:rPr>
        <w:t>Sitting at the front, the leader</w:t>
      </w:r>
      <w:r w:rsidRPr="000D4037">
        <w:rPr>
          <w:rFonts w:ascii="Times New Roman" w:hAnsi="Times New Roman"/>
          <w:sz w:val="24"/>
          <w:szCs w:val="24"/>
        </w:rPr>
        <w:t xml:space="preserve"> is allocated the latest financial support according to the arrangement depicted in Figure 2.</w:t>
      </w:r>
    </w:p>
    <w:p w14:paraId="2423E44B" w14:textId="77777777" w:rsidR="00DC68B2" w:rsidRPr="004E16EB" w:rsidRDefault="00DC68B2" w:rsidP="00DC68B2">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Figure 2. </w:t>
      </w:r>
      <w:r w:rsidRPr="004E16EB">
        <w:rPr>
          <w:rFonts w:ascii="Times New Roman" w:hAnsi="Times New Roman"/>
          <w:sz w:val="24"/>
          <w:szCs w:val="24"/>
        </w:rPr>
        <w:t>Group Member Seating Order Model</w:t>
      </w:r>
    </w:p>
    <w:p w14:paraId="0FF9E671" w14:textId="77777777" w:rsidR="00DC68B2" w:rsidRPr="004E16EB" w:rsidRDefault="00DC68B2" w:rsidP="00DC68B2">
      <w:pPr>
        <w:spacing w:after="0" w:line="240" w:lineRule="auto"/>
        <w:ind w:left="90"/>
        <w:contextualSpacing/>
        <w:jc w:val="center"/>
        <w:rPr>
          <w:rFonts w:ascii="Times New Roman" w:hAnsi="Times New Roman" w:cs="Times New Roman"/>
          <w:sz w:val="24"/>
          <w:szCs w:val="24"/>
        </w:rPr>
      </w:pPr>
    </w:p>
    <w:p w14:paraId="010A44B0" w14:textId="77777777" w:rsidR="00DC68B2" w:rsidRPr="004E16EB" w:rsidRDefault="00DC68B2" w:rsidP="00DC68B2">
      <w:pPr>
        <w:spacing w:after="0" w:line="240" w:lineRule="auto"/>
        <w:ind w:left="90"/>
        <w:contextualSpacing/>
        <w:jc w:val="both"/>
        <w:rPr>
          <w:rFonts w:ascii="Times New Roman" w:hAnsi="Times New Roman" w:cs="Times New Roman"/>
          <w:sz w:val="24"/>
          <w:szCs w:val="24"/>
        </w:rPr>
      </w:pPr>
      <w:r w:rsidRPr="004E16EB">
        <w:rPr>
          <w:rFonts w:ascii="Times New Roman" w:hAnsi="Times New Roman" w:cs="Times New Roman"/>
          <w:noProof/>
          <w:sz w:val="24"/>
          <w:szCs w:val="24"/>
        </w:rPr>
        <w:drawing>
          <wp:inline distT="0" distB="0" distL="0" distR="0" wp14:anchorId="501BEFCC" wp14:editId="5ACB4444">
            <wp:extent cx="5610225" cy="2990850"/>
            <wp:effectExtent l="0" t="0" r="9525" b="0"/>
            <wp:docPr id="104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8"/>
                    <pic:cNvPicPr/>
                  </pic:nvPicPr>
                  <pic:blipFill>
                    <a:blip r:embed="rId7" cstate="print"/>
                    <a:srcRect/>
                    <a:stretch/>
                  </pic:blipFill>
                  <pic:spPr>
                    <a:xfrm>
                      <a:off x="0" y="0"/>
                      <a:ext cx="5610225" cy="2990850"/>
                    </a:xfrm>
                    <a:prstGeom prst="rect">
                      <a:avLst/>
                    </a:prstGeom>
                  </pic:spPr>
                </pic:pic>
              </a:graphicData>
            </a:graphic>
          </wp:inline>
        </w:drawing>
      </w:r>
    </w:p>
    <w:p w14:paraId="01F9B9EE" w14:textId="77777777" w:rsidR="00DC68B2" w:rsidRPr="004E16EB" w:rsidRDefault="00DC68B2" w:rsidP="00DC68B2">
      <w:pPr>
        <w:widowControl w:val="0"/>
        <w:spacing w:after="0" w:line="240" w:lineRule="auto"/>
        <w:ind w:firstLine="45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sz w:val="24"/>
          <w:szCs w:val="24"/>
        </w:rPr>
        <w:t>Micro Waqf Bank</w:t>
      </w:r>
      <w:r w:rsidRPr="004E16EB">
        <w:rPr>
          <w:rFonts w:ascii="Times New Roman" w:hAnsi="Times New Roman" w:cs="Times New Roman"/>
          <w:sz w:val="24"/>
          <w:szCs w:val="24"/>
        </w:rPr>
        <w:t>, 2019</w:t>
      </w:r>
    </w:p>
    <w:p w14:paraId="645E9675" w14:textId="41CC7F51" w:rsidR="00DC68B2" w:rsidRPr="000D4037" w:rsidRDefault="00DC68B2" w:rsidP="00DC68B2">
      <w:pPr>
        <w:widowControl w:val="0"/>
        <w:spacing w:after="0" w:line="240" w:lineRule="auto"/>
        <w:ind w:left="360" w:firstLine="450"/>
        <w:contextualSpacing/>
        <w:jc w:val="both"/>
        <w:rPr>
          <w:rFonts w:ascii="Times New Roman" w:hAnsi="Times New Roman" w:cs="Times New Roman"/>
          <w:sz w:val="24"/>
          <w:szCs w:val="24"/>
        </w:rPr>
      </w:pPr>
      <w:r w:rsidRPr="000D4037">
        <w:rPr>
          <w:rFonts w:ascii="Times New Roman" w:hAnsi="Times New Roman"/>
          <w:sz w:val="24"/>
          <w:szCs w:val="24"/>
        </w:rPr>
        <w:t xml:space="preserve">The next phase involves </w:t>
      </w:r>
      <w:r w:rsidR="0034009A">
        <w:rPr>
          <w:rFonts w:ascii="Times New Roman" w:hAnsi="Times New Roman"/>
          <w:sz w:val="24"/>
          <w:szCs w:val="24"/>
        </w:rPr>
        <w:t>allocating</w:t>
      </w:r>
      <w:r w:rsidRPr="000D4037">
        <w:rPr>
          <w:rFonts w:ascii="Times New Roman" w:hAnsi="Times New Roman"/>
          <w:sz w:val="24"/>
          <w:szCs w:val="24"/>
        </w:rPr>
        <w:t xml:space="preserve"> financial resources after seating arrangements </w:t>
      </w:r>
      <w:r w:rsidRPr="000D4037">
        <w:rPr>
          <w:rFonts w:ascii="Times New Roman" w:hAnsi="Times New Roman"/>
          <w:sz w:val="24"/>
          <w:szCs w:val="24"/>
        </w:rPr>
        <w:lastRenderedPageBreak/>
        <w:t xml:space="preserve">during GCT. </w:t>
      </w:r>
      <w:r w:rsidR="0034009A">
        <w:rPr>
          <w:rFonts w:ascii="Times New Roman" w:hAnsi="Times New Roman"/>
          <w:sz w:val="24"/>
          <w:szCs w:val="24"/>
        </w:rPr>
        <w:t>Sari and Umami (2019) stated that Managers and Customers of MWB Mandiri Sakinah UNISA Yogyakarta and MWB Alpansa Klaten indicated that financing is allocated in three</w:t>
      </w:r>
      <w:r w:rsidRPr="000D4037">
        <w:rPr>
          <w:rFonts w:ascii="Times New Roman" w:hAnsi="Times New Roman"/>
          <w:sz w:val="24"/>
          <w:szCs w:val="24"/>
        </w:rPr>
        <w:t xml:space="preserve"> stages following a 2-2-1 distribution model. This model exemplifies an educational framework that fosters an empathetic attitude among members. The allocation of financial resources is prioritized based on the level of urgency, ensuring that those most in need are taken care of first. During the first week of WH, funds are distributed to participants </w:t>
      </w:r>
      <w:r w:rsidR="0034009A">
        <w:rPr>
          <w:rFonts w:ascii="Times New Roman" w:hAnsi="Times New Roman"/>
          <w:sz w:val="24"/>
          <w:szCs w:val="24"/>
        </w:rPr>
        <w:t>sitting in the back, specifically those with</w:t>
      </w:r>
      <w:r w:rsidRPr="000D4037">
        <w:rPr>
          <w:rFonts w:ascii="Times New Roman" w:hAnsi="Times New Roman"/>
          <w:sz w:val="24"/>
          <w:szCs w:val="24"/>
        </w:rPr>
        <w:t xml:space="preserve"> sequence numbers 5 and 4. In the next phase, participants who were given serial numbers 3 and 2 were given financing. This second allocation occurred during the second week of WH. The group leader was given the last chance to occupy the position at the front. The financing allocation was carried out in the third week of WH. Finally, customer support is provided following the distribution of financing across WH, as depicted in Figure 3.</w:t>
      </w:r>
    </w:p>
    <w:p w14:paraId="1BBEF848" w14:textId="77777777" w:rsidR="00DC68B2" w:rsidRPr="004E16EB" w:rsidRDefault="00DC68B2" w:rsidP="00DC68B2">
      <w:pPr>
        <w:widowControl w:val="0"/>
        <w:spacing w:before="120" w:after="0" w:line="240" w:lineRule="auto"/>
        <w:ind w:left="357" w:firstLine="448"/>
        <w:jc w:val="both"/>
        <w:rPr>
          <w:rFonts w:ascii="Times New Roman" w:hAnsi="Times New Roman" w:cs="Times New Roman"/>
          <w:sz w:val="24"/>
          <w:szCs w:val="24"/>
        </w:rPr>
      </w:pPr>
      <w:r w:rsidRPr="004E16EB">
        <w:rPr>
          <w:rFonts w:ascii="Times New Roman" w:hAnsi="Times New Roman" w:cs="Times New Roman"/>
          <w:sz w:val="24"/>
          <w:szCs w:val="24"/>
        </w:rPr>
        <w:t xml:space="preserve">Figure 3: </w:t>
      </w:r>
      <w:r w:rsidRPr="004E16EB">
        <w:rPr>
          <w:rFonts w:ascii="Times New Roman" w:hAnsi="Times New Roman"/>
          <w:sz w:val="24"/>
          <w:szCs w:val="24"/>
        </w:rPr>
        <w:t xml:space="preserve">Implementation </w:t>
      </w:r>
      <w:r w:rsidRPr="004E16EB">
        <w:rPr>
          <w:rFonts w:ascii="Times New Roman" w:hAnsi="Times New Roman"/>
          <w:i/>
          <w:iCs/>
          <w:sz w:val="24"/>
          <w:szCs w:val="24"/>
        </w:rPr>
        <w:t xml:space="preserve"> of Halaqoh </w:t>
      </w:r>
      <w:r w:rsidRPr="004E16EB">
        <w:rPr>
          <w:rFonts w:ascii="Times New Roman" w:hAnsi="Times New Roman"/>
          <w:sz w:val="24"/>
          <w:szCs w:val="24"/>
        </w:rPr>
        <w:t>in MWB</w:t>
      </w:r>
    </w:p>
    <w:p w14:paraId="0847B15C" w14:textId="77777777" w:rsidR="00DC68B2" w:rsidRPr="004E16EB" w:rsidRDefault="00DC68B2" w:rsidP="00DC68B2">
      <w:pPr>
        <w:widowControl w:val="0"/>
        <w:spacing w:after="0" w:line="240" w:lineRule="auto"/>
        <w:ind w:left="360" w:firstLine="66"/>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 </w:t>
      </w:r>
      <w:r w:rsidRPr="004E16EB">
        <w:rPr>
          <w:rFonts w:ascii="Times New Roman" w:hAnsi="Times New Roman" w:cs="Times New Roman"/>
          <w:noProof/>
          <w:sz w:val="24"/>
          <w:szCs w:val="24"/>
        </w:rPr>
        <w:drawing>
          <wp:inline distT="0" distB="0" distL="0" distR="0" wp14:anchorId="4306D8C4" wp14:editId="78B6BEE7">
            <wp:extent cx="5505450" cy="3298825"/>
            <wp:effectExtent l="0" t="0" r="0" b="0"/>
            <wp:docPr id="10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Picture 7"/>
                    <pic:cNvPicPr/>
                  </pic:nvPicPr>
                  <pic:blipFill>
                    <a:blip r:embed="rId8" cstate="print"/>
                    <a:srcRect/>
                    <a:stretch/>
                  </pic:blipFill>
                  <pic:spPr>
                    <a:xfrm>
                      <a:off x="0" y="0"/>
                      <a:ext cx="5505450" cy="3298825"/>
                    </a:xfrm>
                    <a:prstGeom prst="rect">
                      <a:avLst/>
                    </a:prstGeom>
                  </pic:spPr>
                </pic:pic>
              </a:graphicData>
            </a:graphic>
          </wp:inline>
        </w:drawing>
      </w:r>
    </w:p>
    <w:p w14:paraId="416BC9AC" w14:textId="77777777" w:rsidR="00DC68B2" w:rsidRPr="004E16EB" w:rsidRDefault="00DC68B2" w:rsidP="00DC68B2">
      <w:pPr>
        <w:widowControl w:val="0"/>
        <w:spacing w:after="0" w:line="240" w:lineRule="auto"/>
        <w:ind w:left="360" w:firstLine="450"/>
        <w:contextualSpacing/>
        <w:jc w:val="both"/>
        <w:rPr>
          <w:rFonts w:ascii="Times New Roman" w:hAnsi="Times New Roman" w:cs="Times New Roman"/>
          <w:sz w:val="24"/>
          <w:szCs w:val="24"/>
        </w:rPr>
      </w:pPr>
    </w:p>
    <w:p w14:paraId="5F24AE9D" w14:textId="266C0023" w:rsidR="00DC68B2" w:rsidRPr="00BB2EDF" w:rsidRDefault="00DC68B2" w:rsidP="00DC68B2">
      <w:pPr>
        <w:widowControl w:val="0"/>
        <w:spacing w:after="0" w:line="240" w:lineRule="auto"/>
        <w:ind w:firstLine="540"/>
        <w:contextualSpacing/>
        <w:jc w:val="both"/>
        <w:rPr>
          <w:rFonts w:ascii="Times New Roman" w:hAnsi="Times New Roman" w:cs="Times New Roman"/>
          <w:sz w:val="24"/>
          <w:szCs w:val="24"/>
        </w:rPr>
      </w:pPr>
      <w:r w:rsidRPr="00BB2EDF">
        <w:rPr>
          <w:rFonts w:ascii="Times New Roman" w:hAnsi="Times New Roman"/>
          <w:sz w:val="24"/>
          <w:szCs w:val="24"/>
        </w:rPr>
        <w:t xml:space="preserve">Each client fulfils their payment obligations </w:t>
      </w:r>
      <w:r w:rsidR="0034009A">
        <w:rPr>
          <w:rFonts w:ascii="Times New Roman" w:hAnsi="Times New Roman"/>
          <w:sz w:val="24"/>
          <w:szCs w:val="24"/>
        </w:rPr>
        <w:t>weekly</w:t>
      </w:r>
      <w:r w:rsidRPr="00BB2EDF">
        <w:rPr>
          <w:rFonts w:ascii="Times New Roman" w:hAnsi="Times New Roman"/>
          <w:sz w:val="24"/>
          <w:szCs w:val="24"/>
        </w:rPr>
        <w:t xml:space="preserve"> during WH meetings in order to qualify for the next financing opportunity. The empowerment framework used in MWB, manifested in the WH format, is implemented within the domicile of the group leader or CBGIBSI. WH is a </w:t>
      </w:r>
      <w:r w:rsidR="0034009A">
        <w:rPr>
          <w:rFonts w:ascii="Times New Roman" w:hAnsi="Times New Roman"/>
          <w:sz w:val="24"/>
          <w:szCs w:val="24"/>
        </w:rPr>
        <w:t>customer mentorship initiative</w:t>
      </w:r>
      <w:r w:rsidRPr="00BB2EDF">
        <w:rPr>
          <w:rFonts w:ascii="Times New Roman" w:hAnsi="Times New Roman"/>
          <w:sz w:val="24"/>
          <w:szCs w:val="24"/>
        </w:rPr>
        <w:t xml:space="preserve"> where all participants and supervisory academics sit cross-legged on the ground. Participants consist of several CBGIBSI individuals arranged in a linear formation directed to the supervisor. Puguh (2019), </w:t>
      </w:r>
      <w:r w:rsidR="0034009A">
        <w:rPr>
          <w:rFonts w:ascii="Times New Roman" w:hAnsi="Times New Roman"/>
          <w:sz w:val="24"/>
          <w:szCs w:val="24"/>
        </w:rPr>
        <w:t>MWB Tebu Ireng Jombang manager</w:t>
      </w:r>
      <w:r w:rsidRPr="00BB2EDF">
        <w:rPr>
          <w:rFonts w:ascii="Times New Roman" w:hAnsi="Times New Roman"/>
          <w:sz w:val="24"/>
          <w:szCs w:val="24"/>
        </w:rPr>
        <w:t xml:space="preserve"> in East Java, articulated that the halaqoh model fosters a customer's psychological disposition. Halaqoh involvement is carried out systematically every week and must be attended </w:t>
      </w:r>
      <w:r w:rsidR="0034009A">
        <w:rPr>
          <w:rFonts w:ascii="Times New Roman" w:hAnsi="Times New Roman"/>
          <w:sz w:val="24"/>
          <w:szCs w:val="24"/>
        </w:rPr>
        <w:t xml:space="preserve">to </w:t>
      </w:r>
      <w:r w:rsidRPr="00BB2EDF">
        <w:rPr>
          <w:rFonts w:ascii="Times New Roman" w:hAnsi="Times New Roman"/>
          <w:sz w:val="24"/>
          <w:szCs w:val="24"/>
        </w:rPr>
        <w:t>by all clients. This initiative fosters customer attitudes, a sense of unity, commitment, and discipline. Additionally, it promotes an ethos of solidarity, accountability, and collaborative efforts within the group through collective responsibility to deliver loan payments. The Halaqoh session was held for one hour, accompanied by MWB supervisors, presenting a structured agenda as depicted in Table 2.</w:t>
      </w:r>
    </w:p>
    <w:p w14:paraId="1D4BA2CA" w14:textId="77777777" w:rsidR="00DC68B2" w:rsidRPr="004E16EB" w:rsidRDefault="00DC68B2" w:rsidP="00DC68B2">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Table 2. </w:t>
      </w:r>
      <w:r w:rsidRPr="004E16EB">
        <w:rPr>
          <w:rFonts w:ascii="Times New Roman" w:hAnsi="Times New Roman" w:cs="Times New Roman"/>
          <w:i/>
          <w:sz w:val="24"/>
          <w:szCs w:val="24"/>
        </w:rPr>
        <w:t xml:space="preserve">Halaqoh Agenda </w:t>
      </w:r>
      <w:r w:rsidRPr="004E16EB">
        <w:rPr>
          <w:rFonts w:ascii="Times New Roman" w:hAnsi="Times New Roman" w:cs="Times New Roman"/>
          <w:sz w:val="24"/>
          <w:szCs w:val="24"/>
        </w:rPr>
        <w:t xml:space="preserve"> at MWB</w:t>
      </w:r>
    </w:p>
    <w:tbl>
      <w:tblPr>
        <w:tblStyle w:val="TableGrid"/>
        <w:tblW w:w="0" w:type="auto"/>
        <w:tblLook w:val="04A0" w:firstRow="1" w:lastRow="0" w:firstColumn="1" w:lastColumn="0" w:noHBand="0" w:noVBand="1"/>
      </w:tblPr>
      <w:tblGrid>
        <w:gridCol w:w="576"/>
        <w:gridCol w:w="7158"/>
      </w:tblGrid>
      <w:tr w:rsidR="00DC68B2" w:rsidRPr="004E16EB" w14:paraId="5D8BFE37" w14:textId="77777777" w:rsidTr="004A2AAB">
        <w:tc>
          <w:tcPr>
            <w:tcW w:w="510" w:type="dxa"/>
            <w:tcBorders>
              <w:top w:val="single" w:sz="4" w:space="0" w:color="auto"/>
              <w:left w:val="nil"/>
              <w:bottom w:val="single" w:sz="4" w:space="0" w:color="auto"/>
              <w:right w:val="nil"/>
            </w:tcBorders>
          </w:tcPr>
          <w:p w14:paraId="79B0EC7B"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Not</w:t>
            </w:r>
          </w:p>
        </w:tc>
        <w:tc>
          <w:tcPr>
            <w:tcW w:w="7158" w:type="dxa"/>
            <w:tcBorders>
              <w:top w:val="single" w:sz="4" w:space="0" w:color="auto"/>
              <w:left w:val="nil"/>
              <w:bottom w:val="single" w:sz="4" w:space="0" w:color="auto"/>
              <w:right w:val="nil"/>
            </w:tcBorders>
          </w:tcPr>
          <w:p w14:paraId="136D275E" w14:textId="77777777" w:rsidR="00DC68B2" w:rsidRPr="004E16EB" w:rsidRDefault="00DC68B2" w:rsidP="004A2AAB">
            <w:pPr>
              <w:widowControl w:val="0"/>
              <w:contextualSpacing/>
              <w:jc w:val="center"/>
              <w:rPr>
                <w:rFonts w:ascii="Times New Roman" w:hAnsi="Times New Roman" w:cs="Times New Roman"/>
                <w:sz w:val="24"/>
                <w:szCs w:val="24"/>
              </w:rPr>
            </w:pPr>
            <w:r w:rsidRPr="004E16EB">
              <w:rPr>
                <w:rFonts w:ascii="Times New Roman" w:hAnsi="Times New Roman" w:cs="Times New Roman"/>
                <w:sz w:val="24"/>
                <w:szCs w:val="24"/>
              </w:rPr>
              <w:t>Material</w:t>
            </w:r>
          </w:p>
        </w:tc>
      </w:tr>
      <w:tr w:rsidR="00DC68B2" w:rsidRPr="004E16EB" w14:paraId="470E1CAE" w14:textId="77777777" w:rsidTr="004A2AAB">
        <w:tc>
          <w:tcPr>
            <w:tcW w:w="510" w:type="dxa"/>
            <w:tcBorders>
              <w:top w:val="single" w:sz="4" w:space="0" w:color="auto"/>
              <w:left w:val="nil"/>
              <w:bottom w:val="nil"/>
              <w:right w:val="nil"/>
            </w:tcBorders>
          </w:tcPr>
          <w:p w14:paraId="5EA45F3E"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1</w:t>
            </w:r>
          </w:p>
        </w:tc>
        <w:tc>
          <w:tcPr>
            <w:tcW w:w="7158" w:type="dxa"/>
            <w:tcBorders>
              <w:top w:val="single" w:sz="4" w:space="0" w:color="auto"/>
              <w:left w:val="nil"/>
              <w:bottom w:val="nil"/>
              <w:right w:val="nil"/>
            </w:tcBorders>
          </w:tcPr>
          <w:p w14:paraId="62E6B080"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Mouth</w:t>
            </w:r>
          </w:p>
        </w:tc>
      </w:tr>
      <w:tr w:rsidR="00DC68B2" w:rsidRPr="004E16EB" w14:paraId="26BFFFA5" w14:textId="77777777" w:rsidTr="004A2AAB">
        <w:tc>
          <w:tcPr>
            <w:tcW w:w="510" w:type="dxa"/>
            <w:tcBorders>
              <w:top w:val="nil"/>
              <w:left w:val="nil"/>
              <w:bottom w:val="nil"/>
              <w:right w:val="nil"/>
            </w:tcBorders>
          </w:tcPr>
          <w:p w14:paraId="036F148F"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lastRenderedPageBreak/>
              <w:t>2</w:t>
            </w:r>
          </w:p>
        </w:tc>
        <w:tc>
          <w:tcPr>
            <w:tcW w:w="7158" w:type="dxa"/>
            <w:tcBorders>
              <w:top w:val="nil"/>
              <w:left w:val="nil"/>
              <w:bottom w:val="nil"/>
              <w:right w:val="nil"/>
            </w:tcBorders>
          </w:tcPr>
          <w:p w14:paraId="57746127"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Reading of the pledge</w:t>
            </w:r>
          </w:p>
        </w:tc>
      </w:tr>
      <w:tr w:rsidR="00DC68B2" w:rsidRPr="004E16EB" w14:paraId="7D7A03A6" w14:textId="77777777" w:rsidTr="004A2AAB">
        <w:tc>
          <w:tcPr>
            <w:tcW w:w="510" w:type="dxa"/>
            <w:tcBorders>
              <w:top w:val="nil"/>
              <w:left w:val="nil"/>
              <w:bottom w:val="nil"/>
              <w:right w:val="nil"/>
            </w:tcBorders>
          </w:tcPr>
          <w:p w14:paraId="2EBF14B0"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3</w:t>
            </w:r>
          </w:p>
        </w:tc>
        <w:tc>
          <w:tcPr>
            <w:tcW w:w="7158" w:type="dxa"/>
            <w:tcBorders>
              <w:top w:val="nil"/>
              <w:left w:val="nil"/>
              <w:bottom w:val="nil"/>
              <w:right w:val="nil"/>
            </w:tcBorders>
          </w:tcPr>
          <w:p w14:paraId="7389832B"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Member attendance reports</w:t>
            </w:r>
          </w:p>
        </w:tc>
      </w:tr>
      <w:tr w:rsidR="00DC68B2" w:rsidRPr="004E16EB" w14:paraId="435B5562" w14:textId="77777777" w:rsidTr="004A2AAB">
        <w:tc>
          <w:tcPr>
            <w:tcW w:w="510" w:type="dxa"/>
            <w:tcBorders>
              <w:top w:val="nil"/>
              <w:left w:val="nil"/>
              <w:bottom w:val="nil"/>
              <w:right w:val="nil"/>
            </w:tcBorders>
          </w:tcPr>
          <w:p w14:paraId="4CEB0166"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4</w:t>
            </w:r>
          </w:p>
        </w:tc>
        <w:tc>
          <w:tcPr>
            <w:tcW w:w="7158" w:type="dxa"/>
            <w:tcBorders>
              <w:top w:val="nil"/>
              <w:left w:val="nil"/>
              <w:bottom w:val="nil"/>
              <w:right w:val="nil"/>
            </w:tcBorders>
          </w:tcPr>
          <w:p w14:paraId="6EA176E6"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Disbursement of financing</w:t>
            </w:r>
          </w:p>
        </w:tc>
      </w:tr>
      <w:tr w:rsidR="00DC68B2" w:rsidRPr="004E16EB" w14:paraId="14EABB29" w14:textId="77777777" w:rsidTr="004A2AAB">
        <w:tc>
          <w:tcPr>
            <w:tcW w:w="510" w:type="dxa"/>
            <w:tcBorders>
              <w:top w:val="nil"/>
              <w:left w:val="nil"/>
              <w:bottom w:val="nil"/>
              <w:right w:val="nil"/>
            </w:tcBorders>
          </w:tcPr>
          <w:p w14:paraId="21E765F2"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5</w:t>
            </w:r>
          </w:p>
        </w:tc>
        <w:tc>
          <w:tcPr>
            <w:tcW w:w="7158" w:type="dxa"/>
            <w:tcBorders>
              <w:top w:val="nil"/>
              <w:left w:val="nil"/>
              <w:bottom w:val="nil"/>
              <w:right w:val="nil"/>
            </w:tcBorders>
          </w:tcPr>
          <w:p w14:paraId="453ECA7B"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Customer Support</w:t>
            </w:r>
          </w:p>
        </w:tc>
      </w:tr>
      <w:tr w:rsidR="00DC68B2" w:rsidRPr="004E16EB" w14:paraId="449ACD3B" w14:textId="77777777" w:rsidTr="004A2AAB">
        <w:tc>
          <w:tcPr>
            <w:tcW w:w="510" w:type="dxa"/>
            <w:tcBorders>
              <w:top w:val="nil"/>
              <w:left w:val="nil"/>
              <w:bottom w:val="nil"/>
              <w:right w:val="nil"/>
            </w:tcBorders>
          </w:tcPr>
          <w:p w14:paraId="0C1ACBA5"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6</w:t>
            </w:r>
          </w:p>
        </w:tc>
        <w:tc>
          <w:tcPr>
            <w:tcW w:w="7158" w:type="dxa"/>
            <w:tcBorders>
              <w:top w:val="nil"/>
              <w:left w:val="nil"/>
              <w:bottom w:val="nil"/>
              <w:right w:val="nil"/>
            </w:tcBorders>
          </w:tcPr>
          <w:p w14:paraId="7B0331CF"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Installment payment</w:t>
            </w:r>
          </w:p>
        </w:tc>
      </w:tr>
      <w:tr w:rsidR="00DC68B2" w:rsidRPr="004E16EB" w14:paraId="59740567" w14:textId="77777777" w:rsidTr="004A2AAB">
        <w:tc>
          <w:tcPr>
            <w:tcW w:w="510" w:type="dxa"/>
            <w:tcBorders>
              <w:top w:val="nil"/>
              <w:left w:val="nil"/>
              <w:bottom w:val="single" w:sz="4" w:space="0" w:color="auto"/>
              <w:right w:val="nil"/>
            </w:tcBorders>
          </w:tcPr>
          <w:p w14:paraId="01C0342B"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7</w:t>
            </w:r>
          </w:p>
        </w:tc>
        <w:tc>
          <w:tcPr>
            <w:tcW w:w="7158" w:type="dxa"/>
            <w:tcBorders>
              <w:top w:val="nil"/>
              <w:left w:val="nil"/>
              <w:bottom w:val="single" w:sz="4" w:space="0" w:color="auto"/>
              <w:right w:val="nil"/>
            </w:tcBorders>
          </w:tcPr>
          <w:p w14:paraId="459E0008" w14:textId="77777777" w:rsidR="00DC68B2" w:rsidRPr="004E16EB" w:rsidRDefault="00DC68B2" w:rsidP="004A2AAB">
            <w:pPr>
              <w:widowControl w:val="0"/>
              <w:contextualSpacing/>
              <w:jc w:val="both"/>
              <w:rPr>
                <w:rFonts w:ascii="Times New Roman" w:hAnsi="Times New Roman" w:cs="Times New Roman"/>
                <w:sz w:val="24"/>
                <w:szCs w:val="24"/>
              </w:rPr>
            </w:pPr>
            <w:r w:rsidRPr="004E16EB">
              <w:rPr>
                <w:rFonts w:ascii="Times New Roman" w:hAnsi="Times New Roman" w:cs="Times New Roman"/>
                <w:sz w:val="24"/>
                <w:szCs w:val="24"/>
              </w:rPr>
              <w:t>Prayer and closing</w:t>
            </w:r>
          </w:p>
        </w:tc>
      </w:tr>
    </w:tbl>
    <w:p w14:paraId="530030BC" w14:textId="592D2D49" w:rsidR="00DC68B2" w:rsidRPr="004E16EB" w:rsidRDefault="00DC68B2" w:rsidP="00DC68B2">
      <w:pPr>
        <w:widowControl w:val="0"/>
        <w:spacing w:after="0" w:line="240" w:lineRule="auto"/>
        <w:ind w:firstLine="540"/>
        <w:contextualSpacing/>
        <w:jc w:val="both"/>
        <w:rPr>
          <w:rFonts w:ascii="Times New Roman" w:hAnsi="Times New Roman" w:cs="Times New Roman"/>
          <w:sz w:val="24"/>
          <w:szCs w:val="24"/>
        </w:rPr>
      </w:pPr>
      <w:r w:rsidRPr="004E16EB">
        <w:rPr>
          <w:rFonts w:ascii="Times New Roman" w:hAnsi="Times New Roman" w:cs="Times New Roman"/>
          <w:sz w:val="24"/>
          <w:szCs w:val="24"/>
        </w:rPr>
        <w:t xml:space="preserve">Source: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{"citationItems":[{"id":"ITEM-1","itemData":{"author":[{"dropping-particle":"","family":"BSM","given":"LAZNAS","non-dropping-particle":"","parse-names":false,"suffix":""}],"id":"ITEM-1","issued":{"date-parts":[["2017"]]},"page":"8","publisher":"LAZNAS BSM","publisher-place":"Jakarta","title":"“SOP &amp; SOM Standar Operasional Prosedure Dan Management Untuk LKM Syariah-Bank Wakaf Mikro","type":"chapter"},"uris":["http://www.mendeley.com/documents/?uuid=94b5505c-1ca3-4d79-b81f-0f15564da175","http://www.mendeley.com/documents/?uuid=352b03df-108a-4a31-b1e9-969a20ee0cc8"]}],"mendeley":{"formattedCitation":"(BSM, 2017a)","plainTextFormattedCitation":"(BSM, 2017a)","previouslyFormattedCitation":"(BSM, 2017a)"},"properties":{"noteIndex":0},"schema":"https://github.com/citation-style-language/schema/raw/master/csl-citation.json"}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(BSM, 2017a)</w:t>
      </w:r>
      <w:r w:rsidRPr="004E16EB">
        <w:rPr>
          <w:rFonts w:ascii="Times New Roman" w:hAnsi="Times New Roman" w:cs="Times New Roman"/>
          <w:sz w:val="24"/>
          <w:szCs w:val="24"/>
        </w:rPr>
        <w:fldChar w:fldCharType="end"/>
      </w:r>
    </w:p>
    <w:p w14:paraId="495A80DA" w14:textId="27FB6448" w:rsidR="00DC68B2" w:rsidRPr="00BB2EDF" w:rsidRDefault="00DC68B2" w:rsidP="00DC68B2">
      <w:pPr>
        <w:widowControl w:val="0"/>
        <w:spacing w:after="0" w:line="240" w:lineRule="auto"/>
        <w:ind w:firstLine="540"/>
        <w:contextualSpacing/>
        <w:jc w:val="both"/>
        <w:rPr>
          <w:rFonts w:ascii="Times New Roman" w:hAnsi="Times New Roman"/>
          <w:sz w:val="24"/>
          <w:szCs w:val="24"/>
        </w:rPr>
      </w:pPr>
      <w:r w:rsidRPr="00BB2EDF">
        <w:rPr>
          <w:rFonts w:ascii="Times New Roman" w:hAnsi="Times New Roman"/>
          <w:sz w:val="24"/>
          <w:szCs w:val="24"/>
        </w:rPr>
        <w:t xml:space="preserve">The assistance was delivered directly by the supervisor or an external entity </w:t>
      </w:r>
      <w:r w:rsidR="0034009A">
        <w:rPr>
          <w:rFonts w:ascii="Times New Roman" w:hAnsi="Times New Roman"/>
          <w:sz w:val="24"/>
          <w:szCs w:val="24"/>
        </w:rPr>
        <w:t>such as</w:t>
      </w:r>
      <w:r w:rsidRPr="00BB2EDF">
        <w:rPr>
          <w:rFonts w:ascii="Times New Roman" w:hAnsi="Times New Roman"/>
          <w:sz w:val="24"/>
          <w:szCs w:val="24"/>
        </w:rPr>
        <w:t xml:space="preserve"> HALMI Akbar (WH Agung). This was admitted by Zuhri (2019), a supervisory lecturer at MWB Alpansa Klaten Yogyakarta. Client assistance is carried out through the initial phase of religious and spiritual guidance, which is complemented by scientific instruction from the ustadz or ustazah of the boarding house. The next phase involves household financial management. SMI offers family assistance and development through financial management strategies to grow the Sainah family. The third phase includes assistance in customer business development through mentoring and entrepreneurial support. This includes training in marketing management, bookkeeping, service provision, and business expansion through food product packaging and product quality improvement training. Furthermore, MWB </w:t>
      </w:r>
      <w:r w:rsidR="0034009A">
        <w:rPr>
          <w:rFonts w:ascii="Times New Roman" w:hAnsi="Times New Roman"/>
          <w:sz w:val="24"/>
          <w:szCs w:val="24"/>
        </w:rPr>
        <w:t>helps customers market</w:t>
      </w:r>
      <w:r w:rsidRPr="00BB2EDF">
        <w:rPr>
          <w:rFonts w:ascii="Times New Roman" w:hAnsi="Times New Roman"/>
          <w:sz w:val="24"/>
          <w:szCs w:val="24"/>
        </w:rPr>
        <w:t xml:space="preserve"> their products through online platforms and </w:t>
      </w:r>
      <w:r w:rsidR="0034009A">
        <w:rPr>
          <w:rFonts w:ascii="Times New Roman" w:hAnsi="Times New Roman"/>
          <w:sz w:val="24"/>
          <w:szCs w:val="24"/>
        </w:rPr>
        <w:t>guides</w:t>
      </w:r>
      <w:r w:rsidRPr="00BB2EDF">
        <w:rPr>
          <w:rFonts w:ascii="Times New Roman" w:hAnsi="Times New Roman"/>
          <w:sz w:val="24"/>
          <w:szCs w:val="24"/>
        </w:rPr>
        <w:t xml:space="preserve"> </w:t>
      </w:r>
      <w:r w:rsidR="0034009A">
        <w:rPr>
          <w:rFonts w:ascii="Times New Roman" w:hAnsi="Times New Roman"/>
          <w:sz w:val="24"/>
          <w:szCs w:val="24"/>
        </w:rPr>
        <w:t xml:space="preserve">them </w:t>
      </w:r>
      <w:r w:rsidRPr="00BB2EDF">
        <w:rPr>
          <w:rFonts w:ascii="Times New Roman" w:hAnsi="Times New Roman"/>
          <w:sz w:val="24"/>
          <w:szCs w:val="24"/>
        </w:rPr>
        <w:t>in building an online buying and selling account. It also assists customers in selling products during certain events.</w:t>
      </w:r>
    </w:p>
    <w:p w14:paraId="300DFBE5" w14:textId="77777777" w:rsidR="00DC68B2" w:rsidRPr="00BB2EDF" w:rsidRDefault="00DC68B2" w:rsidP="00DC68B2">
      <w:pPr>
        <w:widowControl w:val="0"/>
        <w:spacing w:after="0" w:line="240" w:lineRule="auto"/>
        <w:ind w:firstLine="540"/>
        <w:contextualSpacing/>
        <w:jc w:val="both"/>
        <w:rPr>
          <w:rFonts w:ascii="Times New Roman" w:hAnsi="Times New Roman"/>
          <w:sz w:val="24"/>
          <w:szCs w:val="24"/>
        </w:rPr>
      </w:pPr>
    </w:p>
    <w:p w14:paraId="23854BB9" w14:textId="706DE9F7" w:rsidR="00DC68B2" w:rsidRPr="004E16EB" w:rsidRDefault="00DC68B2" w:rsidP="00DC68B2">
      <w:pPr>
        <w:widowControl w:val="0"/>
        <w:spacing w:after="0" w:line="240" w:lineRule="auto"/>
        <w:ind w:firstLine="540"/>
        <w:contextualSpacing/>
        <w:jc w:val="both"/>
        <w:rPr>
          <w:rFonts w:ascii="Times New Roman" w:hAnsi="Times New Roman" w:cs="Times New Roman"/>
          <w:sz w:val="24"/>
          <w:szCs w:val="24"/>
        </w:rPr>
      </w:pPr>
      <w:r w:rsidRPr="00BB2EDF">
        <w:rPr>
          <w:rFonts w:ascii="Times New Roman" w:hAnsi="Times New Roman"/>
          <w:sz w:val="24"/>
          <w:szCs w:val="24"/>
        </w:rPr>
        <w:t xml:space="preserve">MWB uses a group-based financing model, where the group collectively determines loan approval and guarantees the financing payment of each member. This group-centric paradigm uses a shared responsibility financing system. The groups assured MWB of their accountability for members who failed to pay instalments. Members support each other by contributing and donating to reduce arrears. As a result, they must maintain a shared responsibility </w:t>
      </w:r>
      <w:r w:rsidR="0034009A">
        <w:rPr>
          <w:rFonts w:ascii="Times New Roman" w:hAnsi="Times New Roman"/>
          <w:sz w:val="24"/>
          <w:szCs w:val="24"/>
        </w:rPr>
        <w:t xml:space="preserve">for </w:t>
      </w:r>
      <w:r w:rsidRPr="00BB2EDF">
        <w:rPr>
          <w:rFonts w:ascii="Times New Roman" w:hAnsi="Times New Roman"/>
          <w:sz w:val="24"/>
          <w:szCs w:val="24"/>
        </w:rPr>
        <w:t>savings supervised by the group leader. Th</w:t>
      </w:r>
      <w:r w:rsidR="0034009A">
        <w:rPr>
          <w:rFonts w:ascii="Times New Roman" w:hAnsi="Times New Roman"/>
          <w:sz w:val="24"/>
          <w:szCs w:val="24"/>
        </w:rPr>
        <w:t>ese</w:t>
      </w:r>
      <w:r w:rsidRPr="00BB2EDF">
        <w:rPr>
          <w:rFonts w:ascii="Times New Roman" w:hAnsi="Times New Roman"/>
          <w:sz w:val="24"/>
          <w:szCs w:val="24"/>
        </w:rPr>
        <w:t xml:space="preserve"> savings serve as a collective guarantee in the case of instalment arrears from CBGIBSI members. Financing instalments are deducted from the group's joint responsibility savings to overcome unpaid arrears. Members are expected to make up their arrears </w:t>
      </w:r>
      <w:r w:rsidR="0034009A">
        <w:rPr>
          <w:rFonts w:ascii="Times New Roman" w:hAnsi="Times New Roman"/>
          <w:sz w:val="24"/>
          <w:szCs w:val="24"/>
        </w:rPr>
        <w:t>during a halaqoh meeting with the group leader the following week</w:t>
      </w:r>
      <w:r w:rsidRPr="004E16EB">
        <w:rPr>
          <w:rFonts w:ascii="Times New Roman" w:hAnsi="Times New Roman" w:cs="Times New Roman"/>
          <w:sz w:val="24"/>
          <w:szCs w:val="24"/>
        </w:rPr>
        <w:t>.</w:t>
      </w:r>
    </w:p>
    <w:p w14:paraId="4BB6AF47" w14:textId="77777777" w:rsidR="00DC68B2" w:rsidRPr="00A255D6" w:rsidRDefault="00DC68B2" w:rsidP="00DC68B2">
      <w:pPr>
        <w:ind w:left="720"/>
        <w:rPr>
          <w:rFonts w:ascii="Times New Roman" w:hAnsi="Times New Roman" w:cs="Times New Roman"/>
          <w:b/>
          <w:bCs/>
        </w:rPr>
      </w:pPr>
    </w:p>
    <w:p w14:paraId="3A6F240A" w14:textId="77777777" w:rsidR="00DC68B2" w:rsidRPr="00D17557" w:rsidRDefault="00DC68B2" w:rsidP="00DC68B2">
      <w:pPr>
        <w:rPr>
          <w:rFonts w:ascii="Times New Roman" w:hAnsi="Times New Roman" w:cs="Times New Roman"/>
          <w:b/>
          <w:bCs/>
          <w:sz w:val="24"/>
          <w:szCs w:val="24"/>
        </w:rPr>
      </w:pPr>
      <w:r w:rsidRPr="00D17557">
        <w:rPr>
          <w:rFonts w:ascii="Times New Roman" w:hAnsi="Times New Roman" w:cs="Times New Roman"/>
          <w:b/>
          <w:bCs/>
          <w:sz w:val="24"/>
          <w:szCs w:val="24"/>
        </w:rPr>
        <w:t>Discussion</w:t>
      </w:r>
    </w:p>
    <w:p w14:paraId="54C66707" w14:textId="77777777" w:rsidR="00DC68B2" w:rsidRPr="00D17557" w:rsidRDefault="00DC68B2" w:rsidP="00276F31">
      <w:pPr>
        <w:widowControl w:val="0"/>
        <w:ind w:firstLine="720"/>
        <w:jc w:val="both"/>
        <w:rPr>
          <w:rFonts w:ascii="Times New Roman" w:hAnsi="Times New Roman" w:cs="Times New Roman"/>
        </w:rPr>
      </w:pPr>
      <w:bookmarkStart w:id="0" w:name="_Hlk192190075"/>
      <w:r w:rsidRPr="00D17557">
        <w:rPr>
          <w:rFonts w:ascii="Times New Roman" w:hAnsi="Times New Roman"/>
          <w:b/>
        </w:rPr>
        <w:t>Women's Economic Empowerment in Sharia Microfinance Institutions of Micro Waqf Banks (SMI MWB)</w:t>
      </w:r>
    </w:p>
    <w:p w14:paraId="5A6B57C0" w14:textId="7CA09C2D" w:rsidR="00DC68B2" w:rsidRPr="00F61C43" w:rsidRDefault="00DC68B2" w:rsidP="00DC68B2">
      <w:pPr>
        <w:pStyle w:val="ListParagraph"/>
        <w:widowControl w:val="0"/>
        <w:ind w:left="0" w:firstLine="720"/>
        <w:jc w:val="both"/>
        <w:rPr>
          <w:rFonts w:ascii="Times New Roman" w:hAnsi="Times New Roman"/>
        </w:rPr>
      </w:pPr>
      <w:r w:rsidRPr="00B568C9">
        <w:rPr>
          <w:rFonts w:ascii="Times New Roman" w:hAnsi="Times New Roman"/>
        </w:rPr>
        <w:t xml:space="preserve">As a Social Microfinance Institution (SMI), MWB functions as a financial entity that aims to improve the socio-economic welfare of the community around boarding schools, with a special emphasis on economically disadvantaged productive women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{"citationItems":[{"id":"ITEM-1","itemData":{"DOI":"10.2991/ASSEHR.K.200225.001","abstract":"This research aims to study and improve the benefits of micro waqf banks as Islamic microfinance institutions that have only been pioneered since 2017 in Indonesia. The research method used was qualitative research using normative juridical through interview and literature study methods, and analyzed using descriptive analysis. The results of this study indicate that a micro waqf bank stands as a sharia cooperative, but from its naming aspect that uses the term 'waqf' does not make it a waqf institution. Micro waqf banks are institutions that represent financial institutions, the Indonesian government and Islamic boarding schools as the basis of Indonesian Muslims. The purpose of this micro waqf bank is to be able to reduce poverty by providing financing to the poor through routine assistance programs, allegedly the target of this program is the poor who cannot access formal financial institutions to help the capital aspects of community small businesses.","author":[{"dropping-particle":"","family":"Sulistiani","given":"Siska Lis","non-dropping-particle":"","parse-names":false,"suffix":""},{"dropping-particle":"","family":"Yunus","given":"Muhammad","non-dropping-particle":"","parse-names":false,"suffix":""},{"dropping-particle":"","family":"Bayuni","given":"Eva Misfah","non-dropping-particle":"","parse-names":false,"suffix":""}],"container-title":"Advances in Social Science, Education and Humanities Research","id":"ITEM-1","issued":{"date-parts":[["2020","3"]]},"page":"1-4","publisher":"Atlantis Press","title":"Micro Waqf Bank: New Sharia Financial Instruments in Indonesia","type":"article-journal","volume":"409"},"uris":["http://www.mendeley.com/documents/?uuid=b9c2a156-064a-3a4f-8bbf-e9b1fa24698b","http://www.mendeley.com/documents/?uuid=2be7b67b-4c56-4354-a7b1-29002ce8293c"]}],"mendeley":{"formattedCitation":"(Sulistiani et al., 2020)","plainTextFormattedCitation":"(Sulistiani et al., 2020)","previouslyFormattedCitation":"(Sulistiani et al., 2020)"},"properties":{"noteIndex":0},"schema":"https://github.com/citation-style-language/schema/raw/master/csl-citation.json"}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(Sulistiani et al., 2020)</w:t>
      </w:r>
      <w:r w:rsidRPr="004E16EB">
        <w:rPr>
          <w:rFonts w:ascii="Times New Roman" w:hAnsi="Times New Roman" w:cs="Times New Roman"/>
        </w:rPr>
        <w:fldChar w:fldCharType="end"/>
      </w:r>
      <w:r w:rsidRPr="00B568C9">
        <w:rPr>
          <w:rFonts w:ascii="Times New Roman" w:hAnsi="Times New Roman"/>
        </w:rPr>
        <w:t xml:space="preserve">. It offers financial assistance and support for women's micro and small businesses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Indonesia","type":"article-journal","volume":"10"},"uris":["http://www.mendeley.com/documents/?uuid=6c2bb3e5-4ee0-38b2-ba2d-4d06b58d5672","http://www.mendeley.com/documents/?uuid=e73f4ca5-8a6d-4224-a982-029871b2401e"]}],"mendeley":{"formattedCitation":"(Soemitra et al., 2022)","plainTextFormattedCitation":"(Soemitra et al., 2022)","previouslyFormattedCitation":"(Soemitra et al., 2022)"},"properties":{"noteIndex":0},"schema":"https://github.com/citation-style-language/schema/raw/master/csl-citation.json"}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(Soemitra et al., 2022)</w:t>
      </w:r>
      <w:r w:rsidRPr="004E16EB">
        <w:rPr>
          <w:rFonts w:ascii="Times New Roman" w:hAnsi="Times New Roman" w:cs="Times New Roman"/>
        </w:rPr>
        <w:fldChar w:fldCharType="end"/>
      </w:r>
      <w:r w:rsidRPr="00B568C9">
        <w:rPr>
          <w:rFonts w:ascii="Times New Roman" w:hAnsi="Times New Roman"/>
        </w:rPr>
        <w:t xml:space="preserve">. SMI's target demographic includes women who do not have bank accounts or micro-entrepreneurs who </w:t>
      </w:r>
      <w:r w:rsidR="0034009A">
        <w:rPr>
          <w:rFonts w:ascii="Times New Roman" w:hAnsi="Times New Roman"/>
        </w:rPr>
        <w:t>cannot</w:t>
      </w:r>
      <w:r w:rsidRPr="00B568C9">
        <w:rPr>
          <w:rFonts w:ascii="Times New Roman" w:hAnsi="Times New Roman"/>
        </w:rPr>
        <w:t xml:space="preserve"> secure bank financing due to perceptions of inadequacy. This perception arises from </w:t>
      </w:r>
      <w:r w:rsidR="0034009A">
        <w:rPr>
          <w:rFonts w:ascii="Times New Roman" w:hAnsi="Times New Roman"/>
        </w:rPr>
        <w:t>believing</w:t>
      </w:r>
      <w:r w:rsidRPr="00B568C9">
        <w:rPr>
          <w:rFonts w:ascii="Times New Roman" w:hAnsi="Times New Roman"/>
        </w:rPr>
        <w:t xml:space="preserve"> that women are more likely to show discipline by consistently attending Women's Health (WH) meetings. In addition, women are considered </w:t>
      </w:r>
      <w:r w:rsidR="0034009A">
        <w:rPr>
          <w:rFonts w:ascii="Times New Roman" w:hAnsi="Times New Roman"/>
        </w:rPr>
        <w:t>superior</w:t>
      </w:r>
      <w:r w:rsidRPr="00B568C9">
        <w:rPr>
          <w:rFonts w:ascii="Times New Roman" w:hAnsi="Times New Roman"/>
        </w:rPr>
        <w:t xml:space="preserve"> in managing household finances and entrepreneurial capital. As a result, women are given the opportunity to expand their businesses through financial support of only Rp 1,000,000. According to </w:t>
      </w:r>
      <w:r w:rsidRPr="00203B1D">
        <w:rPr>
          <w:rFonts w:ascii="Times New Roman" w:hAnsi="Times New Roman"/>
          <w:noProof/>
        </w:rPr>
        <w:t xml:space="preserve">Adetiloye et al. </w:t>
      </w:r>
      <w:r>
        <w:rPr>
          <w:rFonts w:ascii="Times New Roman" w:hAnsi="Times New Roman"/>
        </w:rPr>
        <w:fldChar w:fldCharType="begin" w:fldLock="1"/>
      </w:r>
      <w:r w:rsidR="00542D66">
        <w:rPr>
          <w:rFonts w:ascii="Times New Roman" w:hAnsi="Times New Roman"/>
        </w:rPr>
        <w:instrText>ADDIN CSL_CITATION {"citationItems":[{"id":"ITEM-1","itemData":{"DOI":"10.1080/23311886.2020.1823600","ISSN":"2331-1886","author":[{"dropping-particle":"","family":"Adetiloye","given":"Kehinde A.","non-dropping-particle":"","parse-names":false,"suffix":""},{"dropping-particle":"","family":"Adegboye","given":"Folashade B.","non-dropping-particle":"","parse-names":false,"suffix":""},{"dropping-particle":"","family":"Akinjare","given":"Victoria A.","non-dropping-particle":"","parse-names":false,"suffix":""}],"container-title":"Cogent Social Sciences","editor":[{"dropping-particle":"","family":"Amoo","given":"Emmanuel O","non-dropping-particle":"","parse-names":false,"suffix":""}],"id":"ITEM-1","issue":"1","issued":{"date-parts":[["2020","1","29"]]},"title":"Sustainable financial access for female entrepreneurs in the micro, small and medium enterprises sector in Nigeria","type":"article-journal","volume":"6"},"suppress-author":1,"uris":["http://www.mendeley.com/documents/?uuid=90c83320-81c2-4141-a8ea-3b312acf4edd"]}],"mendeley":{"formattedCitation":"(2020)","plainTextFormattedCitation":"(2020)","previouslyFormattedCitation":"(2020)"},"properties":{"noteIndex":0},"schema":"https://github.com/citation-style-language/schema/raw/master/csl-citation.json"}</w:instrText>
      </w:r>
      <w:r>
        <w:rPr>
          <w:rFonts w:ascii="Times New Roman" w:hAnsi="Times New Roman"/>
        </w:rPr>
        <w:fldChar w:fldCharType="separate"/>
      </w:r>
      <w:r w:rsidR="00542D66" w:rsidRPr="00542D66">
        <w:rPr>
          <w:rFonts w:ascii="Times New Roman" w:hAnsi="Times New Roman"/>
          <w:noProof/>
        </w:rPr>
        <w:t>(2020)</w:t>
      </w:r>
      <w:r>
        <w:rPr>
          <w:rFonts w:ascii="Times New Roman" w:hAnsi="Times New Roman"/>
        </w:rPr>
        <w:fldChar w:fldCharType="end"/>
      </w:r>
      <w:r>
        <w:rPr>
          <w:rFonts w:ascii="Times New Roman" w:hAnsi="Times New Roman"/>
        </w:rPr>
        <w:t xml:space="preserve"> Microfinance initiatives are specifically aimed at women, as they face greater challenges in obtaining credit. They experience limited access to the labor market and show higher rates of loan repayment compared to their male counterparts.</w:t>
      </w:r>
    </w:p>
    <w:p w14:paraId="63124347" w14:textId="6A101219" w:rsidR="00DC68B2" w:rsidRPr="00B568C9" w:rsidRDefault="00DC68B2" w:rsidP="00DC68B2">
      <w:pPr>
        <w:pStyle w:val="ListParagraph"/>
        <w:widowControl w:val="0"/>
        <w:ind w:left="0" w:firstLine="720"/>
        <w:jc w:val="both"/>
        <w:rPr>
          <w:rFonts w:ascii="Times New Roman" w:hAnsi="Times New Roman"/>
        </w:rPr>
      </w:pPr>
      <w:r w:rsidRPr="00B568C9">
        <w:rPr>
          <w:rFonts w:ascii="Times New Roman" w:hAnsi="Times New Roman"/>
        </w:rPr>
        <w:t xml:space="preserve">The financing initiative provided by MWB to group-based clients operates with participation ranging from 15 to 25 individuals </w:t>
      </w:r>
      <w:r>
        <w:rPr>
          <w:rFonts w:ascii="Times New Roman" w:hAnsi="Times New Roman"/>
        </w:rPr>
        <w:fldChar w:fldCharType="begin" w:fldLock="1"/>
      </w:r>
      <w:r w:rsidR="00542D66">
        <w:rPr>
          <w:rFonts w:ascii="Times New Roman" w:hAnsi="Times New Roman"/>
        </w:rPr>
        <w:instrText>ADDIN CSL_CITATION {"citationItems":[{"id":"ITEM-1","itemData":{"DOI":"10.1016/j.jmse.2021.09.004","ISSN":"20962320","author":[{"dropping-particle":"","family":"Zhao","given":"Hongke","non-dropping-particle":"","parse-names":false,"suffix":""},{"dropping-particle":"","family":"Liu","given":"Xiaopei","non-dropping-particle":"","parse-names":false,"suffix":""},{"dropping-particle":"","family":"Zhang","given":"Xi","non-dropping-particle":"","parse-names":false,"suffix":""},{"dropping-particle":"","family":"Wei","given":"Yinyue","non-dropping-particle":"","parse-names":false,"suffix":""},{"dropping-particle":"","family":"Liu","given":"Chunli","non-dropping-particle":"","parse-names":false,"suffix":""}],"container-title":"Journal of Management Science and Engineering","id":"ITEM-1","issue":"1","issued":{"date-parts":[["2022","3"]]},"page":"133-145","title":"The effects of person-organization fit on lending behaviors: Empirical evidence from Kiva","type":"article-journal","volume":"7"},"uris":["http://www.mendeley.com/documents/?uuid=40f424b7-3636-498b-81a9-888327564940"]}],"mendeley":{"formattedCitation":"(Zhao et al., 2022)","plainTextFormattedCitation":"(Zhao et al., 2022)","previouslyFormattedCitation":"(Zhao et al., 2022)"},"properties":{"noteIndex":0},"schema":"https://github.com/citation-style-language/schema/raw/master/csl-citation.json"}</w:instrText>
      </w:r>
      <w:r>
        <w:rPr>
          <w:rFonts w:ascii="Times New Roman" w:hAnsi="Times New Roman"/>
        </w:rPr>
        <w:fldChar w:fldCharType="separate"/>
      </w:r>
      <w:r w:rsidR="00542D66" w:rsidRPr="00542D66">
        <w:rPr>
          <w:rFonts w:ascii="Times New Roman" w:hAnsi="Times New Roman"/>
          <w:noProof/>
        </w:rPr>
        <w:t>(Zhao et al., 2022)</w:t>
      </w:r>
      <w:r>
        <w:rPr>
          <w:rFonts w:ascii="Times New Roman" w:hAnsi="Times New Roman"/>
        </w:rPr>
        <w:fldChar w:fldCharType="end"/>
      </w:r>
      <w:r w:rsidRPr="00B568C9">
        <w:rPr>
          <w:rFonts w:ascii="Times New Roman" w:hAnsi="Times New Roman"/>
        </w:rPr>
        <w:t>. A</w:t>
      </w:r>
      <w:r w:rsidR="0034009A">
        <w:rPr>
          <w:rFonts w:ascii="Times New Roman" w:hAnsi="Times New Roman"/>
        </w:rPr>
        <w:t xml:space="preserve">jja et al. (2020) explained </w:t>
      </w:r>
      <w:r w:rsidR="0034009A">
        <w:rPr>
          <w:rFonts w:ascii="Times New Roman" w:hAnsi="Times New Roman"/>
        </w:rPr>
        <w:lastRenderedPageBreak/>
        <w:t>that</w:t>
      </w:r>
      <w:r w:rsidRPr="00B568C9">
        <w:rPr>
          <w:rFonts w:ascii="Times New Roman" w:hAnsi="Times New Roman"/>
        </w:rPr>
        <w:t xml:space="preserve"> women's empowerment through entrepreneurship has emerged as an important component of development efforts in India. Women's entrepreneurship refers to a business venture or organization initiated by a woman or a women's collective. Self-help groups (SHGs) are crucial in encouraging the development of rural communities in India, mostly made up of women members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{"citationItems":[{"id":"ITEM-1","itemData":{"DOI":"10.1108/IJLMA-02-2020-0051/FULL/XML","ISSN":"17542448","abstract":"Purpose: This paper aims to explore the factors for self-help groups (SHGs) women empowerment in the state of Uttar Pradesh using the primary data. Design/methodology/approach: The primary data have been collected by a household survey in the four districts of Uttar Pradesh. Factor analysis is used to estimate the odd of improving women empowerment after participating in SHG. Findings: Factor analysis extracted four factors which were economic development, improvement in family matters, decision to use public amenities and political empowerment. Also, analysis of variance and t-test was used employing SPSS. The results, therefore, show that education has a significant impact on all the aspects of SHGs people. Practical implications: The findings of the study can help policymakers to adopt appropriate policies that integrate empowerment in development projects with women. Social implications: The results of this research could encourage more women to participate in SHG activities and development projects. Originality/value: This research provides the most updated data from a primary survey in the state of Uttar Pradesh.","author":[{"dropping-particle":"","family":"Aggarwal","given":"Shalini","non-dropping-particle":"","parse-names":false,"suffix":""},{"dropping-particle":"","family":"Kumar","given":"Praveen","non-dropping-particle":"","parse-names":false,"suffix":""},{"dropping-particle":"","family":"Garg","given":"Vikas","non-dropping-particle":"","parse-names":false,"suffix":""}],"container-title":"International Journal of Law and Management","id":"ITEM-1","issue":"6","issued":{"date-parts":[["2020","12"]]},"page":"591-606","publisher":"Emerald Group Holdings Ltd.","title":"Empowering SHGs Women through Micro-finance in Uttar Pradesh","type":"article-journal","volume":"62"},"uris":["http://www.mendeley.com/documents/?uuid=84c7a046-1940-301f-8763-b52394cdc3a2","http://www.mendeley.com/documents/?uuid=640402e4-a28f-47d8-b41d-3ce6d89cbf7b"]}],"mendeley":{"formattedCitation":"(Aggarwal et al., 2020)","plainTextFormattedCitation":"(Aggarwal et al., 2020)","previouslyFormattedCitation":"(Aggarwal et al., 2020)"},"properties":{"noteIndex":0},"schema":"https://github.com/citation-style-language/schema/raw/master/csl-citation.json"}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(Aggarwal et al., 2020)</w:t>
      </w:r>
      <w:r w:rsidRPr="004E16EB">
        <w:rPr>
          <w:rFonts w:ascii="Times New Roman" w:hAnsi="Times New Roman" w:cs="Times New Roman"/>
        </w:rPr>
        <w:fldChar w:fldCharType="end"/>
      </w:r>
      <w:r w:rsidRPr="00B568C9">
        <w:rPr>
          <w:rFonts w:ascii="Times New Roman" w:hAnsi="Times New Roman"/>
        </w:rPr>
        <w:t xml:space="preserve">. </w:t>
      </w:r>
      <w:r w:rsidR="0034009A">
        <w:rPr>
          <w:rFonts w:ascii="Times New Roman" w:hAnsi="Times New Roman"/>
        </w:rPr>
        <w:t>Alumni of the Doctor of Philosophy program at Vanderbilt University, Tennessee, USA, carried out this empowerment initiative</w:t>
      </w:r>
      <w:r w:rsidRPr="00B568C9">
        <w:rPr>
          <w:rFonts w:ascii="Times New Roman" w:hAnsi="Times New Roman"/>
        </w:rPr>
        <w:t>. The graduate founded Grameen Bank, which provides group-based microcredit to poor individuals with unsecured companies. The 2006 Nobel Peace Prize recipient designed a program that required each loan applicant to organize into groups of five individuals. Within this framework, group members cannot access credits in order</w:t>
      </w:r>
      <w:r w:rsidR="0034009A">
        <w:rPr>
          <w:rFonts w:ascii="Times New Roman" w:hAnsi="Times New Roman"/>
        </w:rPr>
        <w:t>.</w:t>
      </w:r>
      <w:r w:rsidRPr="00B568C9">
        <w:rPr>
          <w:rFonts w:ascii="Times New Roman" w:hAnsi="Times New Roman"/>
        </w:rPr>
        <w:t xml:space="preserve"> In contrast, </w:t>
      </w:r>
      <w:r w:rsidR="0034009A">
        <w:rPr>
          <w:rFonts w:ascii="Times New Roman" w:hAnsi="Times New Roman"/>
        </w:rPr>
        <w:t>granting</w:t>
      </w:r>
      <w:r w:rsidRPr="00B568C9">
        <w:rPr>
          <w:rFonts w:ascii="Times New Roman" w:hAnsi="Times New Roman"/>
        </w:rPr>
        <w:t xml:space="preserve"> credit to other members is contingent on the discipline and integrity demonstrated by the original borrower in meeting payment obligations </w:t>
      </w:r>
      <w:r>
        <w:rPr>
          <w:rStyle w:val="FootnoteReference"/>
          <w:rFonts w:ascii="Times New Roman" w:hAnsi="Times New Roman"/>
        </w:rPr>
        <w:fldChar w:fldCharType="begin" w:fldLock="1"/>
      </w:r>
      <w:r w:rsidR="00542D66">
        <w:rPr>
          <w:rFonts w:ascii="Times New Roman" w:hAnsi="Times New Roman"/>
        </w:rPr>
        <w:instrText>ADDIN CSL_CITATION {"citationItems":[{"id":"ITEM-1","itemData":{"DOI":"10.1080/1540496X.2019.1636228","ISSN":"1540-496X","author":[{"dropping-particle":"","family":"Xu","given":"Yuyun","non-dropping-particle":"","parse-names":false,"suffix":""},{"dropping-particle":"","family":"Cheng","given":"Wenli","non-dropping-particle":"","parse-names":false,"suffix":""},{"dropping-particle":"","family":"Zhang","given":"Longyao","non-dropping-particle":"","parse-names":false,"suffix":""}],"container-title":"Emerging Markets Finance and Trade","id":"ITEM-1","issue":"9","issued":{"date-parts":[["2020","7","14"]]},"page":"1989-2006","title":"Switching from Group Lending to Individual Lending: The Experience at China’s Largest Microfinance Institution","type":"article-journal","volume":"56"},"uris":["http://www.mendeley.com/documents/?uuid=5719942e-743c-4d45-a6fd-10971bc1521d"]},{"id":"ITEM-2","itemData":{"DOI":"10.1007/s10479-022-04859-1","ISSN":"0254-5330","abstract":"Over the past years, studies shed light on how social norms and perceptions potentially affect loan repayments, with overtones for strategic default. Motivated by this strand of the literature, we incorporate collective social traits in predictive frameworks on credit card delinquencies. We propose the use of a two-stage framework. This allows us to segment a market into homogeneous sub-populations at the regional level in terms of social traits, which may proxy for perceptions and potentially unravelled behaviours. On these formed sub-populations, delinquency prediction models are fitted at a second stage. We apply this framework to a big dataset of 3.3 million credit card holders spread in 12 UK NUTS1 regions during the period 2015–2019. We find that segmentation based on social traits yields efficiency gains in terms of both computational and predictive performance compared to prediction in the overall population. This finding holds and is sustained in the long run for different sub-samples, lag counts, class imbalance correction or alternative clustering solutions based on individual and socio-economic attributes.","author":[{"dropping-particle":"","family":"Gaganis","given":"Chrysovalantis","non-dropping-particle":"","parse-names":false,"suffix":""},{"dropping-particle":"","family":"Papadimitri","given":"Panagiota","non-dropping-particle":"","parse-names":false,"suffix":""},{"dropping-particle":"","family":"Pasiouras","given":"Fotios","non-dropping-particle":"","parse-names":false,"suffix":""},{"dropping-particle":"","family":"Tasiou","given":"Menelaos","non-dropping-particle":"","parse-names":false,"suffix":""}],"container-title":"Annals of Operations Research","id":"ITEM-2","issue":"2","issued":{"date-parts":[["2023","6","18"]]},"page":"1231-1253","title":"Social traits and credit card default: a two-stage prediction framework","type":"article-journal","volume":"325"},"uris":["http://www.mendeley.com/documents/?uuid=b78ccce3-7f8a-4a41-938b-35dfa6d206e4"]}],"mendeley":{"formattedCitation":"(Gaganis et al., 2023; Xu et al., 2020)","plainTextFormattedCitation":"(Gaganis et al., 2023; Xu et al., 2020)","previouslyFormattedCitation":"(Gaganis et al., 2023; Xu et al., 2020)"},"properties":{"noteIndex":0},"schema":"https://github.com/citation-style-language/schema/raw/master/csl-citation.json"}</w:instrText>
      </w:r>
      <w:r>
        <w:rPr>
          <w:rStyle w:val="FootnoteReference"/>
          <w:rFonts w:ascii="Times New Roman" w:hAnsi="Times New Roman"/>
        </w:rPr>
        <w:fldChar w:fldCharType="separate"/>
      </w:r>
      <w:r w:rsidR="00542D66" w:rsidRPr="00542D66">
        <w:rPr>
          <w:rFonts w:ascii="Times New Roman" w:hAnsi="Times New Roman"/>
          <w:noProof/>
        </w:rPr>
        <w:t>(Gaganis et al., 2023; Xu et al., 2020)</w:t>
      </w:r>
      <w:r>
        <w:rPr>
          <w:rStyle w:val="FootnoteReference"/>
          <w:rFonts w:ascii="Times New Roman" w:hAnsi="Times New Roman"/>
        </w:rPr>
        <w:fldChar w:fldCharType="end"/>
      </w:r>
      <w:r>
        <w:rPr>
          <w:rFonts w:ascii="Times New Roman" w:hAnsi="Times New Roman"/>
        </w:rPr>
        <w:t>.</w:t>
      </w:r>
    </w:p>
    <w:p w14:paraId="4EABF586" w14:textId="6E772DC4" w:rsidR="00DC68B2" w:rsidRPr="004E16EB" w:rsidRDefault="00DC68B2" w:rsidP="00DC68B2">
      <w:pPr>
        <w:pStyle w:val="ListParagraph"/>
        <w:widowControl w:val="0"/>
        <w:ind w:left="0" w:firstLine="720"/>
        <w:jc w:val="both"/>
        <w:rPr>
          <w:rFonts w:ascii="Times New Roman" w:hAnsi="Times New Roman" w:cs="Times New Roman"/>
        </w:rPr>
      </w:pPr>
      <w:r w:rsidRPr="00B568C9">
        <w:rPr>
          <w:rFonts w:ascii="Times New Roman" w:hAnsi="Times New Roman"/>
        </w:rPr>
        <w:t xml:space="preserve">The financing model used by MWB is essentially group-based, requiring a collective responsibility structure known as kafalah in Islamic economics </w:t>
      </w:r>
      <w:r>
        <w:rPr>
          <w:rFonts w:ascii="Times New Roman" w:hAnsi="Times New Roman"/>
        </w:rPr>
        <w:fldChar w:fldCharType="begin" w:fldLock="1"/>
      </w:r>
      <w:r w:rsidR="00542D66">
        <w:rPr>
          <w:rFonts w:ascii="Times New Roman" w:hAnsi="Times New Roman"/>
        </w:rPr>
        <w:instrText>ADDIN CSL_CITATION {"citationItems":[{"id":"ITEM-1","itemData":{"DOI":"10.1080/13691066.2022.2067017","ISSN":"1369-1066","author":[{"dropping-particle":"","family":"Ahmed","given":"Habib","non-dropping-particle":"","parse-names":false,"suffix":""},{"dropping-particle":"","family":"Aassouli","given":"Dalal","non-dropping-particle":"","parse-names":false,"suffix":""}],"container-title":"Venture Capital","id":"ITEM-1","issue":"1","issued":{"date-parts":[["2022","1","2"]]},"page":"25-46","title":"Entrepreneurial finance, agency problems and Islamic ethics: complementarities and constraints","type":"article-journal","volume":"24"},"uris":["http://www.mendeley.com/documents/?uuid=5c996e58-e0ce-4132-b355-5e46f8105b74"]}],"mendeley":{"formattedCitation":"(H. Ahmed &amp; Aassouli, 2022)","plainTextFormattedCitation":"(H. Ahmed &amp; Aassouli, 2022)","previouslyFormattedCitation":"(H. Ahmed &amp; Aassouli, 2022)"},"properties":{"noteIndex":0},"schema":"https://github.com/citation-style-language/schema/raw/master/csl-citation.json"}</w:instrText>
      </w:r>
      <w:r>
        <w:rPr>
          <w:rFonts w:ascii="Times New Roman" w:hAnsi="Times New Roman"/>
        </w:rPr>
        <w:fldChar w:fldCharType="separate"/>
      </w:r>
      <w:r w:rsidR="00542D66" w:rsidRPr="00542D66">
        <w:rPr>
          <w:rFonts w:ascii="Times New Roman" w:hAnsi="Times New Roman"/>
          <w:noProof/>
        </w:rPr>
        <w:t>(H. Ahmed &amp; Aassouli, 2022)</w:t>
      </w:r>
      <w:r>
        <w:rPr>
          <w:rFonts w:ascii="Times New Roman" w:hAnsi="Times New Roman"/>
        </w:rPr>
        <w:fldChar w:fldCharType="end"/>
      </w:r>
      <w:r w:rsidRPr="00B568C9">
        <w:rPr>
          <w:rFonts w:ascii="Times New Roman" w:hAnsi="Times New Roman"/>
        </w:rPr>
        <w:t xml:space="preserve">. Members share accountability for financing instalment payments with each other. In cases where members </w:t>
      </w:r>
      <w:r w:rsidR="0034009A">
        <w:rPr>
          <w:rFonts w:ascii="Times New Roman" w:hAnsi="Times New Roman"/>
        </w:rPr>
        <w:t>cannot</w:t>
      </w:r>
      <w:r w:rsidRPr="00B568C9">
        <w:rPr>
          <w:rFonts w:ascii="Times New Roman" w:hAnsi="Times New Roman"/>
        </w:rPr>
        <w:t xml:space="preserve"> meet their payment obligations, fellow group members are responsible for arrears, thus ensuring the continuity of financing payments to MWB. Group-based loans have the potential to </w:t>
      </w:r>
      <w:r w:rsidR="0034009A">
        <w:rPr>
          <w:rFonts w:ascii="Times New Roman" w:hAnsi="Times New Roman"/>
        </w:rPr>
        <w:t>reduce financing risk significantly</w:t>
      </w:r>
      <w:r w:rsidRPr="00B568C9">
        <w:rPr>
          <w:rFonts w:ascii="Times New Roman" w:hAnsi="Times New Roman"/>
        </w:rPr>
        <w:t xml:space="preserve"> </w:t>
      </w:r>
      <w:r>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{"citationItems":[{"id":"ITEM-1","itemData":{"DOI":"10.1016/J.MEX.2022.101749","ISSN":"2215-0161","abstract":"World researchers have studied various phenomena of loans provided through financial institutions, including a loan strategy with Group Loans. Group Loans are money loans made by a group of people to a microfinance institution. Based on a case study in Nganjuk, East Java, Indonesia, we investigated the phenomena of Group Loans. Group Loans customers in the community are primarily women, and they are generally housewives without having a fixed income unless they receive a stipend from their husbands. Group Loan facilities are provided for women's empowerment, primarily to support productive activities. Unfortunately, these group loans potentially experience problems, especially interms of loan payments. Group members who are not paying debts, wasting money, and borrowing from numerous financial institutions to pay off prior obligations have all been recognised as issues. This study examined methods to anticipate and minimize the risk of Group Loans through the implementation of women's empowerment activities. The proposed method in this study is deemed effective to assist women in avoiding debt owing to Group Loans. This study is expected to be one of the solutions to enhancing women's roles, particularly in minimising the risk of debt through productive activities. • Discussion of methods to examine the phenomena and problems of Group Loans. • Discussion of approach methods to credit agency customers who borrow money in groups. • Methods of exercising women's empowerment in anticipation of Group Loans.","author":[{"dropping-particle":"","family":"Prastyaningtyas","given":"Efa Wahyu","non-dropping-particle":"","parse-names":false,"suffix":""},{"dropping-particle":"","family":"Widjaja","given":"Sri Umi Mintarti","non-dropping-particle":"","parse-names":false,"suffix":""},{"dropping-particle":"","family":"Wahyono","given":"Hari","non-dropping-particle":"","parse-names":false,"suffix":""},{"dropping-particle":"","family":"Andayani","given":"Endang Sri","non-dropping-particle":"","parse-names":false,"suffix":""},{"dropping-particle":"","family":"Rusdi","given":"Jack Febrian","non-dropping-particle":"","parse-names":false,"suffix":""}],"container-title":"MethodsX","id":"ITEM-1","issued":{"date-parts":[["2022","1"]]},"page":"101749","publisher":"Elsevier","title":"Methods for studying group loans, join responsibility, and women's empowerment","type":"article-journal","volume":"9"},"uris":["http://www.mendeley.com/documents/?uuid=45f93630-453b-39c0-8d96-9f3bdbeac00d","http://www.mendeley.com/documents/?uuid=902cb913-9140-4ed1-ac4f-f11b22dd0623"]},{"id":"ITEM-2","itemData":{"DOI":"10.35719/JIEP.V3I1.41","abstract":"This study analyzes the impact of the consistent implementation of a joint liability system in cooperative life. This research uses descriptive qualitative research methods using in- depth interview techniques which are then carried out by open coding to find patterns and theories related to the results of the interviews. As said by Miles &amp; Huberman (1992: 19) there are three stages that must be done in analyzing qualitative research data, namely (1) data reduction; (2) exposure data (data display); and (3) drawing conclusions and verification (conclusion drawing / verifying). The results of the analysis of this study that have been carried out, explain that cooperative members who implement and obey the rules that exist in joint liability cooperatives unconsciously have an impact on their behavior changes, they have discipline and a high sense of solidarity towards other members.","author":[{"dropping-particle":"","family":"Iwang Suwangsih","given":"","non-dropping-particle":"","parse-names":false,"suffix":""},{"dropping-particle":"","family":"Nuzulul Fatimah","given":"","non-dropping-particle":"","parse-names":false,"suffix":""},{"dropping-particle":"","family":"Noneng Rukayah Sukatmadiredja","given":"","non-dropping-particle":"","parse-names":false,"suffix":""},{"dropping-particle":"","family":"Emmywati","given":"","non-dropping-particle":"","parse-names":false,"suffix":""}],"container-title":"Journal of Islamic Economics Perspectives","id":"ITEM-2","issue":"1","issued":{"date-parts":[["2021","2"]]},"page":"88-100","publisher":"IAIN Jember","title":"THE IMPACT OF IMPLEMENTATION OF A JOINT LIABILITY SYSTEM ON MEMBER BEHAVIOR","type":"article-journal","volume":"3"},"uris":["http://www.mendeley.com/documents/?uuid=ab0b847b-681d-3fa8-9b3f-f62880ae35c3","http://www.mendeley.com/documents/?uuid=bd29178d-5981-4532-ae66-66d5f305b842"]}],"mendeley":{"formattedCitation":"(Iwang Suwangsih et al., 2021; Prastyaningtyas et al., 2022)","plainTextFormattedCitation":"(Iwang Suwangsih et al., 2021; Prastyaningtyas et al., 2022)","previouslyFormattedCitation":"(Iwang Suwangsih et al., 2021; Prastyaningtyas et al., 2022)"},"properties":{"noteIndex":0},"schema":"https://github.com/citation-style-language/schema/raw/master/csl-citation.json"}</w:instrText>
      </w:r>
      <w:r>
        <w:rPr>
          <w:rFonts w:ascii="Times New Roman" w:hAnsi="Times New Roman" w:cs="Times New Roman"/>
        </w:rPr>
        <w:fldChar w:fldCharType="separate"/>
      </w:r>
      <w:r w:rsidR="00542D66" w:rsidRPr="00542D66">
        <w:rPr>
          <w:rFonts w:ascii="Times New Roman" w:hAnsi="Times New Roman" w:cs="Times New Roman"/>
          <w:noProof/>
        </w:rPr>
        <w:t>(Iwang Suwangsih et al., 2021; Prastyaningtyas et al., 2022)</w:t>
      </w:r>
      <w:r>
        <w:rPr>
          <w:rFonts w:ascii="Times New Roman" w:hAnsi="Times New Roman" w:cs="Times New Roman"/>
        </w:rPr>
        <w:fldChar w:fldCharType="end"/>
      </w:r>
      <w:r w:rsidRPr="00B568C9">
        <w:rPr>
          <w:rFonts w:ascii="Times New Roman" w:hAnsi="Times New Roman"/>
        </w:rPr>
        <w:t xml:space="preserve">. </w:t>
      </w:r>
      <w:r w:rsidRPr="009B6B1B">
        <w:rPr>
          <w:rFonts w:ascii="Times New Roman" w:hAnsi="Times New Roman" w:cs="Times New Roman"/>
          <w:noProof/>
        </w:rPr>
        <w:t xml:space="preserve">Hasiba et al.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{"citationItems":[{"id":"ITEM-1","itemData":{"DOI":"10.48047/rigeo.11.04.24","ISSN":"2146-0353","abstract":"Micro Waqf Bank (BWM) is an Islamic microfinance institution which aims to empower the poor and whose development strategies in Indonesia are examined in this study. To keep empowering the poor, BWM should survive and sustain. This study discovers the main strategies for developing BWM in Indonesia, so that it will survive and sustain. This study employed SWOT analysis which resulted in SWOT matrix and several alternative strategies (SO, ST, WO, and WT strategies). This study also applied ANP to determine the main strategies for developing BWM. Data were obtained from observation, interviews, and literature review. Interviews were conducted with practitioners, experts, regulators, and academics. Among the six alternative strategies for developing BWM in Indonesia, the most crucial is dissemination and education on BWM to the general public. This study is limited to BWM and does not include cash waqf. Nowadays, BWM is the microfinance institution Financial Services Authority (OJK) promotes and becomes the most important instrument in the financial institution sector. Therefore, BWM deserves a closer empirical study. Besides, the bank has the potential to create jobs in the future. The combinations of alternative strategies aide the regulators and managers to decide the best strategies and influential factors for developing BWM in Indonesia.","author":[{"dropping-particle":"","family":"Hasiba","given":"Fatin Fadhillah","non-dropping-particle":"","parse-names":false,"suffix":""},{"dropping-particle":"","family":"Mahmudah","given":"Siti Nur","non-dropping-particle":"","parse-names":false,"suffix":""},{"dropping-particle":"","family":"Puji Sucia Sukmaningrum, Shochrul Rohmatul Ajija","given":"M Bastomi Fahri Zusak","non-dropping-particle":"","parse-names":false,"suffix":""}],"container-title":"rigeo.org","id":"ITEM-1","issue":"4","issued":{"date-parts":[["2021"]]},"page":"2021","title":"The Strategies for Developing Micro Waqf Bank in Indonesia","type":"article-journal","volume":"11"},"suppress-author":1,"uris":["http://www.mendeley.com/documents/?uuid=7e8733a4-4e0c-4577-9eeb-8118a246a0bc"]}],"mendeley":{"formattedCitation":"(2021)","plainTextFormattedCitation":"(2021)","previouslyFormattedCitation":"(2021)"},"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(2021)</w:t>
      </w:r>
      <w:r w:rsidRPr="004E16EB">
        <w:rPr>
          <w:rFonts w:ascii="Times New Roman" w:hAnsi="Times New Roman" w:cs="Times New Roman"/>
        </w:rPr>
        <w:fldChar w:fldCharType="end"/>
      </w:r>
      <w:r w:rsidRPr="00B568C9">
        <w:rPr>
          <w:rFonts w:ascii="Times New Roman" w:hAnsi="Times New Roman"/>
        </w:rPr>
        <w:t xml:space="preserve"> affirmed that this model </w:t>
      </w:r>
      <w:r w:rsidR="0034009A">
        <w:rPr>
          <w:rFonts w:ascii="Times New Roman" w:hAnsi="Times New Roman"/>
        </w:rPr>
        <w:t>profoundly impacts</w:t>
      </w:r>
      <w:r w:rsidRPr="00B568C9">
        <w:rPr>
          <w:rFonts w:ascii="Times New Roman" w:hAnsi="Times New Roman"/>
        </w:rPr>
        <w:t xml:space="preserve"> poverty alleviation in Bangladesh, where loans are given to the economically disadvantaged based on trust rather than guarantees or guarantees. Prospective borrowers </w:t>
      </w:r>
      <w:r w:rsidR="0034009A">
        <w:rPr>
          <w:rFonts w:ascii="Times New Roman" w:hAnsi="Times New Roman"/>
        </w:rPr>
        <w:t>must</w:t>
      </w:r>
      <w:r w:rsidRPr="00B568C9">
        <w:rPr>
          <w:rFonts w:ascii="Times New Roman" w:hAnsi="Times New Roman"/>
        </w:rPr>
        <w:t xml:space="preserve"> be part of a group of microfinance borrowers to qualify for a loan from Grameen Bank. </w:t>
      </w:r>
    </w:p>
    <w:p w14:paraId="35F703C0" w14:textId="163CEE37" w:rsidR="00DC68B2" w:rsidRPr="004E16EB" w:rsidRDefault="00DC68B2" w:rsidP="00DC68B2">
      <w:pPr>
        <w:pStyle w:val="ListParagraph"/>
        <w:widowControl w:val="0"/>
        <w:ind w:left="0" w:firstLine="720"/>
        <w:jc w:val="both"/>
        <w:rPr>
          <w:rFonts w:ascii="Times New Roman" w:hAnsi="Times New Roman" w:cs="Times New Roman"/>
          <w:lang w:val="id-ID"/>
        </w:rPr>
      </w:pPr>
      <w:r w:rsidRPr="00B568C9">
        <w:rPr>
          <w:rFonts w:ascii="Times New Roman" w:hAnsi="Times New Roman"/>
        </w:rPr>
        <w:t>Grameen Bank's operational framework has been imitated and ad</w:t>
      </w:r>
      <w:r w:rsidR="0034009A">
        <w:rPr>
          <w:rFonts w:ascii="Times New Roman" w:hAnsi="Times New Roman"/>
        </w:rPr>
        <w:t>o</w:t>
      </w:r>
      <w:r w:rsidRPr="00B568C9">
        <w:rPr>
          <w:rFonts w:ascii="Times New Roman" w:hAnsi="Times New Roman"/>
        </w:rPr>
        <w:t xml:space="preserve">pted in various </w:t>
      </w:r>
      <w:r w:rsidR="0034009A">
        <w:rPr>
          <w:rFonts w:ascii="Times New Roman" w:hAnsi="Times New Roman"/>
        </w:rPr>
        <w:t>S</w:t>
      </w:r>
      <w:r w:rsidRPr="00B568C9">
        <w:rPr>
          <w:rFonts w:ascii="Times New Roman" w:hAnsi="Times New Roman"/>
        </w:rPr>
        <w:t xml:space="preserve">haria-compliant microfinance initiatives in Indonesia, </w:t>
      </w:r>
      <w:r w:rsidR="0034009A">
        <w:rPr>
          <w:rFonts w:ascii="Times New Roman" w:hAnsi="Times New Roman"/>
        </w:rPr>
        <w:t>main</w:t>
      </w:r>
      <w:r w:rsidRPr="00B568C9">
        <w:rPr>
          <w:rFonts w:ascii="Times New Roman" w:hAnsi="Times New Roman"/>
        </w:rPr>
        <w:t xml:space="preserve">ly including the Micro Sharia Waqaf Bank. </w:t>
      </w:r>
      <w:r w:rsidR="0034009A">
        <w:rPr>
          <w:rFonts w:ascii="Times New Roman" w:hAnsi="Times New Roman"/>
        </w:rPr>
        <w:t>Most</w:t>
      </w:r>
      <w:r w:rsidRPr="00B568C9">
        <w:rPr>
          <w:rFonts w:ascii="Times New Roman" w:hAnsi="Times New Roman"/>
        </w:rPr>
        <w:t xml:space="preserve"> Sharia microfinance initiatives are built as ultra-micro financing, a paradigm set by Permodalan Nasional Madani (PNM) since 2015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{"citationItems":[{"id":"ITEM-1","itemData":{"ISSN":"2623-0402","abstract":"The community requires financial literacy to manage finances in order to accomplish optimal goals and to make decisions about how to use financial institutions. A descriptive qualitative approach is used in this study, using a sample of 7 informants interviewed. Data is gathered through interviews, observations, and documentation. The credibility technique is used in the data validity technique.  Internal validity (internal validity), exterior validity (external validity), dependability (reliability), and trustworthiness (objectivity). According to the findings of this study, the degree of Islamic education in the United States is at an all-time high. The fishing community in Dusun Kuala Jaya still has a poor level of financial literacy. In the meantime, the level of Islamic financial inclusion in the fishing community in the United States has increased. Dusun Kuala Jaya is a fantastic restaurant. Account ownership and saving are indicators of this. and traditional financial entities' financing","author":[{"dropping-particle":"","family":"Musta'anah","given":"Ana","non-dropping-particle":"","parse-names":false,"suffix":""},{"dropping-particle":"","family":"Bina Buono","given":"Kulup","non-dropping-particle":"","parse-names":false,"suffix":""},{"dropping-particle":"","family":"Atika","given":"Ria","non-dropping-particle":"","parse-names":false,"suffix":""},{"dropping-particle":"","family":"Noviarita","given":"Heni","non-dropping-particle":"","parse-names":false,"suffix":""},{"dropping-particle":"","family":"Islam","given":"Universitas","non-dropping-particle":"","parse-names":false,"suffix":""},{"dropping-particle":"","family":"Raden","given":"Negeri","non-dropping-particle":"","parse-names":false,"suffix":""},{"dropping-particle":"","family":"Lampung","given":"Intan","non-dropping-particle":"","parse-names":false,"suffix":""}],"container-title":"Journal of Islamic Business and Economic Review","id":"ITEM-1","issue":"2","issued":{"date-parts":[["2021","7"]]},"page":"97-101","title":"Analysis of Sharia Literacy Level and Sharia Financial Inclusion PNM Mekaar Sharia in Increasing Income Public (Study on the Fishing Community of Kuala Jaya Hamlet, South Lampung Regency)","type":"article-journal","volume":"4"},"uris":["http://www.mendeley.com/documents/?uuid=59f3b27e-f931-3ef6-b3c4-ce70805d6224","http://www.mendeley.com/documents/?uuid=dbe5c55f-af98-4291-ba9d-3d7c5b6029bf"]}],"mendeley":{"formattedCitation":"(Musta’anah et al., 2021)","plainTextFormattedCitation":"(Musta’anah et al., 2021)","previouslyFormattedCitation":"(Musta’anah et al., 2021)"},"properties":{"noteIndex":0},"schema":"https://github.com/citation-style-language/schema/raw/master/csl-citation.json"}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(Musta’anah et al., 2021)</w:t>
      </w:r>
      <w:r w:rsidRPr="004E16EB">
        <w:rPr>
          <w:rFonts w:ascii="Times New Roman" w:hAnsi="Times New Roman" w:cs="Times New Roman"/>
        </w:rPr>
        <w:fldChar w:fldCharType="end"/>
      </w:r>
      <w:r w:rsidRPr="00B568C9">
        <w:rPr>
          <w:rFonts w:ascii="Times New Roman" w:hAnsi="Times New Roman"/>
        </w:rPr>
        <w:t xml:space="preserve">. In the same vein, BTPN Syariah has focused its efforts on the economic empowerment of women who are less able to achieve productivity since 2010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{"citationItems":[{"id":"ITEM-1","itemData":{"DOI":"10.2991/AEBMR.K.200522.045","ISBN":"978-94-6252-973-1","ISSN":"2352-5428","abstract":"… Spirituality in Workplace, Individual Spirituality and Work Behaviour: The Studi of Higher Education in Indonesia” SSRN Working Paper Series … (Bank Jatim Syariah) Kantor Cabang Surabaya,” Jurnal Ekonomi Islam, vol … [9] AJ Ali and A. Owaihan, “Islamic Work Ethics : a critical …","author":[{"dropping-particle":"","family":"Fanggidae","given":"Rolland Epafras","non-dropping-particle":"","parse-names":false,"suffix":""},{"dropping-particle":"","family":"Kurniawati","given":"Merlyn","non-dropping-particle":"","parse-names":false,"suffix":""},{"dropping-particle":"","family":"Bahweres","given":"Hawyah","non-dropping-particle":"","parse-names":false,"suffix":""}],"container-title":"Atlantes Press","id":"ITEM-1","issued":{"date-parts":[["2020","5"]]},"page":"234-239","publisher":"Atlantis Press","title":"The Effect of Workplace Spirituality and Employee Performance (Perspective of Islamic Work Ethics Case Study on BTPN Syariah, Kupang)","type":"article-journal"},"uris":["http://www.mendeley.com/documents/?uuid=edca6b80-6c3e-31ec-8d29-35fe440c1d90","http://www.mendeley.com/documents/?uuid=3c6a0fe8-9af5-46b7-bba3-9537134a6a12"]}],"mendeley":{"formattedCitation":"(Fanggidae et al., 2020)","plainTextFormattedCitation":"(Fanggidae et al., 2020)","previouslyFormattedCitation":"(Fanggidae et al., 2020)"},"properties":{"noteIndex":0},"schema":"https://github.com/citation-style-language/schema/raw/master/csl-citation.json"}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(Fanggidae et al., 2020)</w:t>
      </w:r>
      <w:r w:rsidRPr="004E16EB">
        <w:rPr>
          <w:rFonts w:ascii="Times New Roman" w:hAnsi="Times New Roman" w:cs="Times New Roman"/>
        </w:rPr>
        <w:fldChar w:fldCharType="end"/>
      </w:r>
      <w:r w:rsidRPr="00B568C9">
        <w:rPr>
          <w:rFonts w:ascii="Times New Roman" w:hAnsi="Times New Roman"/>
        </w:rPr>
        <w:t xml:space="preserve">. These financial institution initiatives show different characteristics, such as community empowerment and the provision of microfinance services. These services are organized in groups and </w:t>
      </w:r>
      <w:r w:rsidR="0034009A">
        <w:rPr>
          <w:rFonts w:ascii="Times New Roman" w:hAnsi="Times New Roman"/>
        </w:rPr>
        <w:t>specifically targeted at women</w:t>
      </w:r>
      <w:r w:rsidRPr="00B568C9">
        <w:rPr>
          <w:rFonts w:ascii="Times New Roman" w:hAnsi="Times New Roman"/>
        </w:rPr>
        <w:t xml:space="preserve"> from poor or low-income backgrounds. Muhammad Yunus emphasized that Microfinance Institutions, which provide financial services designed to stimulate small businesses, </w:t>
      </w:r>
      <w:r w:rsidR="0034009A">
        <w:rPr>
          <w:rFonts w:ascii="Times New Roman" w:hAnsi="Times New Roman"/>
        </w:rPr>
        <w:t>can</w:t>
      </w:r>
      <w:r w:rsidRPr="00B568C9">
        <w:rPr>
          <w:rFonts w:ascii="Times New Roman" w:hAnsi="Times New Roman"/>
        </w:rPr>
        <w:t xml:space="preserve"> empower women </w:t>
      </w:r>
      <w:r w:rsidRPr="004E16EB">
        <w:rPr>
          <w:rFonts w:ascii="Times New Roman" w:hAnsi="Times New Roman" w:cs="Times New Roman"/>
        </w:rPr>
        <w:fldChar w:fldCharType="begin" w:fldLock="1"/>
      </w:r>
      <w:r w:rsidR="00542D66">
        <w:rPr>
          <w:rFonts w:ascii="Times New Roman" w:hAnsi="Times New Roman" w:cs="Times New Roman"/>
        </w:rPr>
        <w:instrText>ADDIN CSL_CITATION {"citationItems":[{"id":"ITEM-1","itemData":{"DOI":"10.1016/j.wsif.2019.102300","ISSN":"02775395","abstract":"This paper investigates the effects of female financial inclusion on inclusive economic development. Financial inclusion, understood as the access to and usage of a diverse range of quality financial products and services, can have a positive effect on the reduction of income inequality. Specifically, when women participate in the financial system, the inequality gap decreases, enabling higher economic development, which also increases both physical and social wellbeing. An instrumental variable analysis is conducted on a sample of 91 countries, comprising both developed and emerging countries, using data from the Global Findex (2015) database and the World Bank DataBank. Our results effectively provide evidence attesting to the fact that greater financial inclusion of women, measured as access to a bank account and access to credit cards, has a positive effect on economic development. However, bank loans did not show any significance when explaining economic development.","author":[{"dropping-particle":"","family":"Cabeza-García","given":"Laura","non-dropping-particle":"","parse-names":false,"suffix":""},{"dropping-particle":"","family":"Brio","given":"Esther B.","non-dropping-particle":"Del","parse-names":false,"suffix":""},{"dropping-particle":"","family":"Oscanoa-Victorio","given":"Mery Luz","non-dropping-particle":"","parse-names":false,"suffix":""}],"container-title":"Women's Studies International Forum","id":"ITEM-1","issue":"October","issued":{"date-parts":[["2019"]]},"page":"102300","publisher":"Elsevier","title":"Female financial inclusion and its impacts on inclusive economic development","type":"article-journal","volume":"77"},"uris":["http://www.mendeley.com/documents/?uuid=9627ef6d-b3ad-49ba-b859-dfa5726b414a"]}],"mendeley":{"formattedCitation":"(Cabeza-García et al., 2019)","plainTextFormattedCitation":"(Cabeza-García et al., 2019)","previouslyFormattedCitation":"(Cabeza-García et al., 2019)"},"properties":{"noteIndex":0},"schema":"https://github.com/citation-style-language/schema/raw/master/csl-citation.json"}</w:instrText>
      </w:r>
      <w:r w:rsidRPr="004E16EB">
        <w:rPr>
          <w:rFonts w:ascii="Times New Roman" w:hAnsi="Times New Roman" w:cs="Times New Roman"/>
        </w:rPr>
        <w:fldChar w:fldCharType="separate"/>
      </w:r>
      <w:r w:rsidR="00542D66" w:rsidRPr="00542D66">
        <w:rPr>
          <w:rFonts w:ascii="Times New Roman" w:hAnsi="Times New Roman" w:cs="Times New Roman"/>
          <w:noProof/>
        </w:rPr>
        <w:t>(Cabeza-García et al., 2019)</w:t>
      </w:r>
      <w:r w:rsidRPr="004E16EB">
        <w:rPr>
          <w:rFonts w:ascii="Times New Roman" w:hAnsi="Times New Roman" w:cs="Times New Roman"/>
        </w:rPr>
        <w:fldChar w:fldCharType="end"/>
      </w:r>
      <w:r w:rsidRPr="00B568C9">
        <w:rPr>
          <w:rFonts w:ascii="Times New Roman" w:hAnsi="Times New Roman"/>
        </w:rPr>
        <w:t xml:space="preserve">. Bank Mit Ghramr was founded </w:t>
      </w:r>
      <w:r w:rsidR="0034009A">
        <w:rPr>
          <w:rFonts w:ascii="Times New Roman" w:hAnsi="Times New Roman"/>
        </w:rPr>
        <w:t>to provide</w:t>
      </w:r>
      <w:r w:rsidRPr="00B568C9">
        <w:rPr>
          <w:rFonts w:ascii="Times New Roman" w:hAnsi="Times New Roman"/>
        </w:rPr>
        <w:t xml:space="preserve"> loans to small businesses, and 97% of its clients are women. </w:t>
      </w:r>
    </w:p>
    <w:p w14:paraId="6057B012" w14:textId="77777777" w:rsidR="00DC68B2" w:rsidRPr="004E16EB" w:rsidRDefault="00DC68B2" w:rsidP="00DC68B2">
      <w:pPr>
        <w:pStyle w:val="ListParagraph"/>
        <w:widowControl w:val="0"/>
        <w:ind w:left="0" w:firstLine="720"/>
        <w:jc w:val="both"/>
        <w:rPr>
          <w:rFonts w:ascii="Times New Roman" w:hAnsi="Times New Roman" w:cs="Times New Roman"/>
          <w:lang w:val="id-ID"/>
        </w:rPr>
      </w:pPr>
    </w:p>
    <w:p w14:paraId="1F0A7BC8" w14:textId="77777777" w:rsidR="00DC68B2" w:rsidRPr="00D17557" w:rsidRDefault="00DC68B2" w:rsidP="00276F31">
      <w:pPr>
        <w:ind w:firstLine="720"/>
        <w:jc w:val="both"/>
        <w:rPr>
          <w:rFonts w:ascii="Times New Roman" w:hAnsi="Times New Roman"/>
          <w:b/>
          <w:bCs/>
          <w:lang w:val="id-ID"/>
        </w:rPr>
      </w:pPr>
      <w:r w:rsidRPr="00D17557">
        <w:rPr>
          <w:rFonts w:ascii="Times New Roman" w:hAnsi="Times New Roman"/>
          <w:b/>
          <w:bCs/>
        </w:rPr>
        <w:t xml:space="preserve">Halaqoh </w:t>
      </w:r>
      <w:r w:rsidRPr="00D17557">
        <w:rPr>
          <w:rFonts w:ascii="Times New Roman" w:hAnsi="Times New Roman"/>
          <w:b/>
          <w:bCs/>
          <w:i/>
          <w:iCs/>
        </w:rPr>
        <w:t xml:space="preserve">Method </w:t>
      </w:r>
      <w:r w:rsidRPr="00D17557">
        <w:rPr>
          <w:rFonts w:ascii="Times New Roman" w:hAnsi="Times New Roman"/>
          <w:b/>
          <w:bCs/>
        </w:rPr>
        <w:t>in Women's Economic Empowerment</w:t>
      </w:r>
    </w:p>
    <w:p w14:paraId="703B67F1" w14:textId="4701A201" w:rsidR="00DC68B2" w:rsidRPr="00B568C9" w:rsidRDefault="00DC68B2" w:rsidP="00DC68B2">
      <w:pPr>
        <w:widowControl w:val="0"/>
        <w:spacing w:after="0" w:line="240" w:lineRule="auto"/>
        <w:ind w:firstLine="720"/>
        <w:jc w:val="both"/>
        <w:rPr>
          <w:rFonts w:ascii="Times New Roman" w:hAnsi="Times New Roman"/>
          <w:sz w:val="24"/>
          <w:szCs w:val="24"/>
        </w:rPr>
      </w:pPr>
      <w:r w:rsidRPr="00B568C9">
        <w:rPr>
          <w:rFonts w:ascii="Times New Roman" w:hAnsi="Times New Roman"/>
          <w:sz w:val="24"/>
          <w:szCs w:val="24"/>
        </w:rPr>
        <w:t>MWB uses the halaq</w:t>
      </w:r>
      <w:r w:rsidR="0034009A">
        <w:rPr>
          <w:rFonts w:ascii="Times New Roman" w:hAnsi="Times New Roman"/>
          <w:sz w:val="24"/>
          <w:szCs w:val="24"/>
        </w:rPr>
        <w:t>a</w:t>
      </w:r>
      <w:r w:rsidRPr="00B568C9">
        <w:rPr>
          <w:rFonts w:ascii="Times New Roman" w:hAnsi="Times New Roman"/>
          <w:sz w:val="24"/>
          <w:szCs w:val="24"/>
        </w:rPr>
        <w:t>h methodology in its initiative</w:t>
      </w:r>
      <w:r w:rsidR="0034009A">
        <w:rPr>
          <w:rFonts w:ascii="Times New Roman" w:hAnsi="Times New Roman"/>
          <w:sz w:val="24"/>
          <w:szCs w:val="24"/>
        </w:rPr>
        <w:t>,</w:t>
      </w:r>
      <w:r w:rsidRPr="00B568C9">
        <w:rPr>
          <w:rFonts w:ascii="Times New Roman" w:hAnsi="Times New Roman"/>
          <w:sz w:val="24"/>
          <w:szCs w:val="24"/>
        </w:rPr>
        <w:t xml:space="preserve"> which aims to increase women's economic empowerment around boarding schools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{"citationItems":[{"id":"ITEM-1","itemData":{"DOI":"10.18326/AICIEB.V2I1.126","ISSN":"2809-3445","abstract":"This study aims to elaborate on the empowerment carried out by the Micro Waqf Bank for women around Islamic boarding schools and its impact on increasing the income of the home industry. This study uses a mix method that combines qualitative and quantitative research. The research was conducted on micro waqf banks in Indonesia. Data collection techniques were carried out by questionnaires, interviews, observations and documentation data. Data analysis and review was carried out qualitatively and statistically. Empowerment carried out by Micro Waqf Banks begins with Pre-Compulsory Group Training (Pra PWK), then Group Compulsory Training (PWK) and Weekly Halaqah (HALMI). The distribution of financing and assistance to women is carried out on a group basis with a pattern of joint responsibility. The financing disbursed by micro waqf banks to women has a significant impact on increasing the income of the home industry.","author":[{"dropping-particle":"","family":"Rozalinda","given":"Rozalinda","non-dropping-particle":"","parse-names":false,"suffix":""},{"dropping-particle":"","family":"Nurhasnah","given":"Nurhasnah","non-dropping-particle":"","parse-names":false,"suffix":""}],"container-title":"Annual International Conference on Islamic Economics and Business (AICIEB)","id":"ITEM-1","issue":"1","issued":{"date-parts":[["2022","8"]]},"page":"432-448","title":"Islamic Boarding School-Based Women's Economic Empowerment and Its Impact on Increasing Home Industry Income","type":"article-journal","volume":"2"},"uris":["http://www.mendeley.com/documents/?uuid=3b7b9383-cd54-3f22-b5f5-6835b06d4004","http://www.mendeley.com/documents/?uuid=9d4d7b71-7113-444b-986a-d084a7c9acac"]}],"mendeley":{"formattedCitation":"(Rozalinda &amp; Nurhasnah, 2022)","plainTextFormattedCitation":"(Rozalinda &amp; Nurhasnah, 2022)","previouslyFormattedCitation":"(Rozalinda &amp; Nurhasnah, 2022)"},"properties":{"noteIndex":0},"schema":"https://github.com/citation-style-language/schema/raw/master/csl-citation.json"}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(Ro</w:t>
      </w:r>
      <w:r w:rsidR="0034009A">
        <w:rPr>
          <w:rFonts w:ascii="Times New Roman" w:hAnsi="Times New Roman" w:cs="Times New Roman"/>
          <w:noProof/>
          <w:sz w:val="24"/>
          <w:szCs w:val="24"/>
        </w:rPr>
        <w:t>z</w:t>
      </w:r>
      <w:r w:rsidR="00542D66" w:rsidRPr="00542D66">
        <w:rPr>
          <w:rFonts w:ascii="Times New Roman" w:hAnsi="Times New Roman" w:cs="Times New Roman"/>
          <w:noProof/>
          <w:sz w:val="24"/>
          <w:szCs w:val="24"/>
        </w:rPr>
        <w:t>alinda &amp; Nurhasnah, 2022)</w:t>
      </w:r>
      <w:r w:rsidRPr="004E16EB">
        <w:rPr>
          <w:rFonts w:ascii="Times New Roman" w:hAnsi="Times New Roman" w:cs="Times New Roman"/>
          <w:sz w:val="24"/>
          <w:szCs w:val="24"/>
        </w:rPr>
        <w:fldChar w:fldCharType="end"/>
      </w:r>
      <w:r w:rsidRPr="00B568C9">
        <w:rPr>
          <w:rFonts w:ascii="Times New Roman" w:hAnsi="Times New Roman"/>
          <w:sz w:val="24"/>
          <w:szCs w:val="24"/>
        </w:rPr>
        <w:t xml:space="preserve">. The framework has </w:t>
      </w:r>
      <w:r w:rsidR="0034009A">
        <w:rPr>
          <w:rFonts w:ascii="Times New Roman" w:hAnsi="Times New Roman"/>
          <w:sz w:val="24"/>
          <w:szCs w:val="24"/>
        </w:rPr>
        <w:t>operated</w:t>
      </w:r>
      <w:r w:rsidRPr="00B568C9">
        <w:rPr>
          <w:rFonts w:ascii="Times New Roman" w:hAnsi="Times New Roman"/>
          <w:sz w:val="24"/>
          <w:szCs w:val="24"/>
        </w:rPr>
        <w:t xml:space="preserve"> since the start of prospective MWB clients participating in the five-day GCT </w:t>
      </w:r>
      <w:r>
        <w:rPr>
          <w:rFonts w:ascii="Times New Roman" w:hAnsi="Times New Roman"/>
          <w:sz w:val="24"/>
          <w:szCs w:val="24"/>
        </w:rPr>
        <w:fldChar w:fldCharType="begin" w:fldLock="1"/>
      </w:r>
      <w:r w:rsidR="00542D66">
        <w:rPr>
          <w:rFonts w:ascii="Times New Roman" w:hAnsi="Times New Roman"/>
          <w:sz w:val="24"/>
          <w:szCs w:val="24"/>
        </w:rPr>
        <w:instrText>ADDIN CSL_CITATION {"citationItems":[{"id":"ITEM-1","itemData":{"DOI":"10.15642/JIIS.2023.17.1.76-99","ISSN":"23556994","abstract":"This article studies the transformation of economic theology indicated by the present of financial service access provided by the government to the lower-class society, particularly those living around pesantren. They so far find difficulty in accessing financial service as they are faced with the requirement of collateral and high interest rate. Responding to such condition, Indonesian government develops micro-sharia financial institution called pesantren-based Bank Wakaf Mikro (BWM). This institution has developed and reached many lower-class people with affordable loan scheme in the last five years. Uniquely, this institution not only provides financial loan but also contains theological and Islamic economic education dimensions through weekly halaqah (study circle) activity. This halaqah becomes a place where the customers of BWM attend pengajian (communal Quran study) held by BWM and perform dhikr (remembering Allah by saying laa ilaha illaallah). Through observation and interview, the author studied the vision of pesantren-based BWM founder, strategy and activities conducted and economic theological transformation in the frame of lower-class community empowerment. This research contributes to encouraging the solidarity-based economic activities in the context of Islamic economic theology. © 2023, State Islamic University of Sunan Ampel. All rights reserved.","author":[{"dropping-particle":"","family":"Anwar","given":"Mokhamad Zainal","non-dropping-particle":"","parse-names":false,"suffix":""},{"dropping-particle":"","family":"Fathan","given":"","non-dropping-particle":"","parse-names":false,"suffix":""},{"dropping-particle":"","family":"Warto","given":"","non-dropping-particle":"","parse-names":false,"suffix":""},{"dropping-particle":"","family":"Hidayati","given":"Okta Nurul","non-dropping-particle":"","parse-names":false,"suffix":""}],"container-title":"Journal of Indonesian Islam","id":"ITEM-1","issue":"1","issued":{"date-parts":[["2023","1"]]},"page":"76 - 99","publisher":"State Islamic University of Sunan Ampel","title":"TRANSFORMATION OF ECONOMIC THEOLOGY FOR COMMUNITY EMPOWERMENT A Case Study on Pesantren-Based Bank Wakaf Mikro","type":"article-journal","volume":"17"},"uris":["http://www.mendeley.com/documents/?uuid=c8dbed73-71ce-3765-9045-5fa05b4920ba","http://www.mendeley.com/documents/?uuid=589716c8-7dab-41e4-9fae-bb5713fa5fd6"]}],"mendeley":{"formattedCitation":"(Anwar et al., 2023)","plainTextFormattedCitation":"(Anwar et al., 2023)","previouslyFormattedCitation":"(Anwar et al., 2023)"},"properties":{"noteIndex":0},"schema":"https://github.com/citation-style-language/schema/raw/master/csl-citation.json"}</w:instrText>
      </w:r>
      <w:r>
        <w:rPr>
          <w:rFonts w:ascii="Times New Roman" w:hAnsi="Times New Roman"/>
          <w:sz w:val="24"/>
          <w:szCs w:val="24"/>
        </w:rPr>
        <w:fldChar w:fldCharType="separate"/>
      </w:r>
      <w:r w:rsidR="00542D66" w:rsidRPr="00542D66">
        <w:rPr>
          <w:rFonts w:ascii="Times New Roman" w:hAnsi="Times New Roman"/>
          <w:noProof/>
          <w:sz w:val="24"/>
          <w:szCs w:val="24"/>
        </w:rPr>
        <w:t>(Anwar et al., 2023)</w:t>
      </w:r>
      <w:r>
        <w:rPr>
          <w:rFonts w:ascii="Times New Roman" w:hAnsi="Times New Roman"/>
          <w:sz w:val="24"/>
          <w:szCs w:val="24"/>
        </w:rPr>
        <w:fldChar w:fldCharType="end"/>
      </w:r>
      <w:r w:rsidRPr="00B568C9">
        <w:rPr>
          <w:rFonts w:ascii="Times New Roman" w:hAnsi="Times New Roman"/>
          <w:sz w:val="24"/>
          <w:szCs w:val="24"/>
        </w:rPr>
        <w:t xml:space="preserve">. Halaqoh sessions take place </w:t>
      </w:r>
      <w:r w:rsidR="0034009A">
        <w:rPr>
          <w:rFonts w:ascii="Times New Roman" w:hAnsi="Times New Roman"/>
          <w:sz w:val="24"/>
          <w:szCs w:val="24"/>
        </w:rPr>
        <w:t>every week</w:t>
      </w:r>
      <w:r w:rsidRPr="00B568C9">
        <w:rPr>
          <w:rFonts w:ascii="Times New Roman" w:hAnsi="Times New Roman"/>
          <w:sz w:val="24"/>
          <w:szCs w:val="24"/>
        </w:rPr>
        <w:t xml:space="preserve">, facilitating the disbursement of financial resources along with customer development initiatives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{"citationItems":[{"id":"ITEM-1","itemData":{"DOI":"10.3390/ECONOMIES10070157","ISSN":"2227-7099","abstract":"This study examined the role of the Micro Waqf Bank in empowering women micro-entrepreneurs. This research used a mixed-method with an explanatory design. Quantitatively, this study examines the effect of the joint responsibility system, financing, and mentoring on the growth of the micro-enterprises business. The sample used was 200 women micro-entrepreneurs using a purposive sampling technique. Quantitative data analysis was performed using the Structural Equation Model based on Partial Least Squares (SEM PLS) technique. This research qualitatively analyzes how the Micro Waqf Bank has carried out its role in empowering women, including dealing with crises due to the COVID-19 pandemic. Thematic analysis was used as the qualitative data analysis technique. Informants in this study amounted to 6 informants from MWB Mawaridussalam consisting of Management, Mentors, and female micro-enterprises. The research results quantitatively indicate that there is a positive and significant impact on the joint responsibility system, financing, and mentoring on the development of micro-enterprise members. Mentoring is the most significant variable that impacts the growth of a micro-enterprise business. Qualitatively, the research results show the role of the Micro Waqf Bank in the economic empowerment of women micro-business entrepreneurs by specifically recommending reinforcement of the mentoring function.","author":[{"dropping-particle":"","family":"Soemitra","given":"Andri","non-dropping-particle":"","parse-names":false,"suffix":""},{"dropping-particle":"","family":"Kusmilawaty","given":"","non-dropping-particle":"","parse-names":false,"suffix":""},{"dropping-particle":"","family":"Rahma","given":"Tri Inda Fadhila","non-dropping-particle":"","parse-names":false,"suffix":""}],"container-title":"Economies 2022, Vol. 10, Page 157","id":"ITEM-1","issue":"7","issued":{"date-parts":[["2022","7"]]},"page":"157","publisher":"Multidisciplinary Digital Publishing Institute","title":"The Role of Micro Waqf Bank in Women&amp;rsquo;s Micro-Business Empowerment through Islamic Social Finance: Mixed-Method Evidence from Mawaridussalam Indonesia","type":"article-journal","volume":"10"},"uris":["http://www.mendeley.com/documents/?uuid=e73f4ca5-8a6d-4224-a982-029871b2401e"]}],"mendeley":{"formattedCitation":"(Soemitra et al., 2022)","plainTextFormattedCitation":"(Soemitra et al., 2022)","previouslyFormattedCitation":"(Soemitra et al., 2022)"},"properties":{"noteIndex":0},"schema":"https://github.com/citation-style-language/schema/raw/master/csl-citation.json"}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(Soemitra et al., 2022)</w:t>
      </w:r>
      <w:r w:rsidRPr="004E16EB">
        <w:rPr>
          <w:rFonts w:ascii="Times New Roman" w:hAnsi="Times New Roman" w:cs="Times New Roman"/>
          <w:sz w:val="24"/>
          <w:szCs w:val="24"/>
        </w:rPr>
        <w:fldChar w:fldCharType="end"/>
      </w:r>
      <w:r w:rsidRPr="00B568C9">
        <w:rPr>
          <w:rFonts w:ascii="Times New Roman" w:hAnsi="Times New Roman"/>
          <w:sz w:val="24"/>
          <w:szCs w:val="24"/>
        </w:rPr>
        <w:t xml:space="preserve">. In the conventional educational paradigm, the seating arrangement of the instructor and the learner combine to form a circular configuration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{"citationItems":[{"id":"ITEM-1","itemData":{"DOI":"10.24952/tazkir.v6i2.1315","abstract":"The halaqah method is still used by Muslims Society today, especially when studying in mosques and the learning system during the tàaruf period in Islamic Universities. Meanwhile munazarah, which has begun to be abandoned, has returned to appear in the debate system of presidential election, although not entirely the same. This paper uses historical and philosophical methods. Both of these methods are relevant to the problem. Halaqah and munazarah are well-established and attractive education systems. Halaqah as a learning system is seen from the seated position of the teacher and students who mingle, while munazarah is a stage for a sportive intelectual selection. Halaqah in the classical education system is no longer used today, but the learning system in S2 and S3 is precisely what is used. Munazarah needs to be activated now to test one.","author":[{"dropping-particle":"","family":"Yamin","given":"Asmar","non-dropping-particle":"","parse-names":false,"suffix":""},{"dropping-particle":"","family":"Dalimunthe","given":"","non-dropping-particle":"","parse-names":false,"suffix":""}],"container-title":"194.31.53.129","id":"ITEM-1","issue":"2","issued":{"date-parts":[["2020"]]},"page":"249-343","title":"Classic Islamic Education Heritage in Halaqah and Munazharah","type":"article-journal","volume":"6"},"uris":["http://www.mendeley.com/documents/?uuid=a0482a42-fbf9-35bb-97be-849538f4a251","http://www.mendeley.com/documents/?uuid=441bc40c-1f28-4843-b18a-071b135a06d2"]}],"mendeley":{"formattedCitation":"(Yamin &amp; Dalimunthe, 2020)","plainTextFormattedCitation":"(Yamin &amp; Dalimunthe, 2020)","previouslyFormattedCitation":"(Yamin &amp; Dalimunthe, 2020)"},"properties":{"noteIndex":0},"schema":"https://github.com/citation-style-language/schema/raw/master/csl-citation.json"}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(Yamin &amp; Dalimunthe, 2020)</w:t>
      </w:r>
      <w:r w:rsidRPr="004E16EB">
        <w:rPr>
          <w:rFonts w:ascii="Times New Roman" w:hAnsi="Times New Roman" w:cs="Times New Roman"/>
          <w:sz w:val="24"/>
          <w:szCs w:val="24"/>
        </w:rPr>
        <w:fldChar w:fldCharType="end"/>
      </w:r>
      <w:r w:rsidRPr="00B568C9">
        <w:rPr>
          <w:rFonts w:ascii="Times New Roman" w:hAnsi="Times New Roman"/>
          <w:sz w:val="24"/>
          <w:szCs w:val="24"/>
        </w:rPr>
        <w:t xml:space="preserve">. Halaqoh activities encourage interpersonal relationships among CBGIBSI members to strengthen women's determination and loyalty to MWB regulations </w:t>
      </w:r>
      <w:r>
        <w:rPr>
          <w:rFonts w:ascii="Times New Roman" w:hAnsi="Times New Roman"/>
          <w:sz w:val="24"/>
          <w:szCs w:val="24"/>
        </w:rPr>
        <w:fldChar w:fldCharType="begin" w:fldLock="1"/>
      </w:r>
      <w:r w:rsidR="00542D66">
        <w:rPr>
          <w:rFonts w:ascii="Times New Roman" w:hAnsi="Times New Roman"/>
          <w:sz w:val="24"/>
          <w:szCs w:val="24"/>
        </w:rPr>
        <w:instrText>ADDIN CSL_CITATION {"citationItems":[{"id":"ITEM-1","itemData":{"DOI":"10.18510/hssr.2019.75169","ISSN":"23956518","abstract":"Purpose of the study: This research was aimed at constructing a new theory of learning from traditional practice which could give a significant contribution to the educational model. This research was conducted to seek the theory learning and model of teaching of Pondok Pesantren (Islamic Boarding School with Salafi system) in South Tapanuli of Indonesia. Methodology: A qualitative research design was applied to seek the data in the Islamic Boarding School for constructing a theory of learning. This research applied an observation and interview techniques to collect the data from Islamic boarding school Darussalam Parmeraan (PDP) of the Dolok District of South Tapanuli, North Sumatra Province of Indonesia. Main Findings: Data revealed that Sorongan and Halaqoh techniques (circling forum in group learning and discussion models), not like the formal school model in the classrooms, have been more effective in two terms; solidarity and control. Sorong and Halaqoh have been preferred to be practiced in that Islamic Boarding School for many years. This study recommends that theory. Applications of this study: The data obtained of teaching methods in Islamic Boarding School Darussalam Parmeraan (PDP) give the alternative teaching techniques such as Sorongan in which learners put into the circling forum which makes the learners are close to instructors and Halaqoh where the Islamic teachings motivate them to learn more intensively. Those two techniques could be applied to formal school, not only in the Pondok pesantren area. Novelty/Originality of this study: This study offered the system of Pondok pesantren traditional practice of teaching techniques of Sorongan and Hallaq of Pondok Pesantren which have been originally rooted in Islamic teachings in Southeast Asia for modern schools. Those techniques could be transferred to formal school; as learning practice that gives democratic education and contributes to training learners in formal schools. © 2019, Gyandhara International Academic Publications. All rights reserved.","author":[{"dropping-particle":"","family":"Ritonga","given":"Tamin","non-dropping-particle":"","parse-names":false,"suffix":""},{"dropping-particle":"","family":"Ananda","given":"Azwar","non-dropping-particle":"","parse-names":false,"suffix":""},{"dropping-particle":"","family":"Lanin","given":"Dasman","non-dropping-particle":"","parse-names":false,"suffix":""},{"dropping-particle":"","family":"Hasan","given":"Helmi","non-dropping-particle":"","parse-names":false,"suffix":""}],"container-title":"Humanities and Social Sciences Reviews","id":"ITEM-1","issue":"5","issued":{"date-parts":[["2019","9"]]},"page":"1304 - 1310","publisher":"Gyandhara International Academic Publications","title":"Practice to theory of learning: A lesson learned from islamic boarding school in South Tapanuli of Indonesia","type":"article-journal","volume":"7"},"uris":["http://www.mendeley.com/documents/?uuid=da7147c4-2aae-4496-8773-ce1d1cfea731"]}],"mendeley":{"formattedCitation":"(Ritonga et al., 2019)","plainTextFormattedCitation":"(Ritonga et al., 2019)","previouslyFormattedCitation":"(Ritonga et al., 2019)"},"properties":{"noteIndex":0},"schema":"https://github.com/citation-style-language/schema/raw/master/csl-citation.json"}</w:instrText>
      </w:r>
      <w:r>
        <w:rPr>
          <w:rFonts w:ascii="Times New Roman" w:hAnsi="Times New Roman"/>
          <w:sz w:val="24"/>
          <w:szCs w:val="24"/>
        </w:rPr>
        <w:fldChar w:fldCharType="separate"/>
      </w:r>
      <w:r w:rsidR="00542D66" w:rsidRPr="00542D66">
        <w:rPr>
          <w:rFonts w:ascii="Times New Roman" w:hAnsi="Times New Roman"/>
          <w:noProof/>
          <w:sz w:val="24"/>
          <w:szCs w:val="24"/>
        </w:rPr>
        <w:t>(Ritonga et al., 2019)</w:t>
      </w:r>
      <w:r>
        <w:rPr>
          <w:rFonts w:ascii="Times New Roman" w:hAnsi="Times New Roman"/>
          <w:sz w:val="24"/>
          <w:szCs w:val="24"/>
        </w:rPr>
        <w:fldChar w:fldCharType="end"/>
      </w:r>
      <w:r w:rsidRPr="00B568C9">
        <w:rPr>
          <w:rFonts w:ascii="Times New Roman" w:hAnsi="Times New Roman"/>
          <w:sz w:val="24"/>
          <w:szCs w:val="24"/>
        </w:rPr>
        <w:t xml:space="preserve">. As a result, financial support, collaborative relationships, and religious instruction are required. These findings prove that the halaqoh framework inspires women to acquire knowledge </w:t>
      </w:r>
      <w:r w:rsidR="0034009A">
        <w:rPr>
          <w:rFonts w:ascii="Times New Roman" w:hAnsi="Times New Roman"/>
          <w:sz w:val="24"/>
          <w:szCs w:val="24"/>
        </w:rPr>
        <w:t>of</w:t>
      </w:r>
      <w:r w:rsidRPr="00B568C9">
        <w:rPr>
          <w:rFonts w:ascii="Times New Roman" w:hAnsi="Times New Roman"/>
          <w:sz w:val="24"/>
          <w:szCs w:val="24"/>
        </w:rPr>
        <w:t xml:space="preserve"> Islam, entrepreneurship, and domestic financial management. In addition, it </w:t>
      </w:r>
      <w:r w:rsidR="0034009A">
        <w:rPr>
          <w:rFonts w:ascii="Times New Roman" w:hAnsi="Times New Roman"/>
          <w:sz w:val="24"/>
          <w:szCs w:val="24"/>
        </w:rPr>
        <w:t>catalyzes</w:t>
      </w:r>
      <w:r w:rsidRPr="00B568C9">
        <w:rPr>
          <w:rFonts w:ascii="Times New Roman" w:hAnsi="Times New Roman"/>
          <w:sz w:val="24"/>
          <w:szCs w:val="24"/>
        </w:rPr>
        <w:t xml:space="preserve"> the proliferation of women's micro-enterprises in the boarding school environment. As a Small Micro Industry (SMI), MWB has proven its significance in achieving financial inclusion </w:t>
      </w:r>
      <w:r w:rsidRPr="00B568C9">
        <w:rPr>
          <w:rFonts w:ascii="Times New Roman" w:hAnsi="Times New Roman"/>
          <w:sz w:val="24"/>
          <w:szCs w:val="24"/>
        </w:rPr>
        <w:lastRenderedPageBreak/>
        <w:t>through microfinance.</w:t>
      </w:r>
    </w:p>
    <w:p w14:paraId="320F82E9" w14:textId="1E5F8A8D" w:rsidR="00DC68B2" w:rsidRPr="00B568C9" w:rsidRDefault="00DC68B2" w:rsidP="00DC68B2">
      <w:pPr>
        <w:widowControl w:val="0"/>
        <w:spacing w:after="0" w:line="240" w:lineRule="auto"/>
        <w:ind w:firstLine="720"/>
        <w:jc w:val="both"/>
        <w:rPr>
          <w:rFonts w:ascii="Times New Roman" w:hAnsi="Times New Roman"/>
          <w:sz w:val="24"/>
          <w:szCs w:val="24"/>
        </w:rPr>
      </w:pPr>
      <w:r w:rsidRPr="00573487">
        <w:rPr>
          <w:rFonts w:ascii="Times New Roman" w:hAnsi="Times New Roman" w:cs="Times New Roman"/>
          <w:noProof/>
          <w:sz w:val="24"/>
          <w:szCs w:val="24"/>
        </w:rPr>
        <w:t xml:space="preserve">Mukthar et al.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{"citationItems":[{"id":"ITEM-1","itemData":{"DOI":"10.1007/978-3-031-08954-1_8/COVER","ISBN":"9783031089534","ISSN":"23673389","abstract":"Micro enterprises have been classified into various categories which includes cultivation of food grains, fruits, flowers, seed production, mushroom cultivation and also the livestock economic activities such as dairy farming, poultry, and production of cow dung. The rural women also engaged in home-based economic activities such as stitching, weaving, petty trades, embroidery, food preparation and processing. The role of start-up business through the accessibility of microcredit by rural women has encourages entrepreneurial and economic empowerment. In this backdrop, the present paper is aims to establish the role and significance of microfinance to empower women in rural areas. It also attempted to study entrepreneurial empowerment of rural women through the start-up business with access of formal bank loans. This study also measures the significant contribution of bank linkage programme in incorporating the start-up among the women self-help group members. Main purpose of this paper is to emphasise the role and significance of microfinance to empower women in rural areas. It also aims to promote the self-employment opportunities among the rural women through the start-up business with access of formal bank loans. This study is follows the empirical research method to evaluate the economic empowerment and livelihood of rural women. Data collected through direct survey method from the rural women self-help group who engaged in start-up businesses from India. A structured questionnaire was framed and distributed to forty sample respondents to collect the information. Stratified random sampling method was adopted to collect the sample responses from the total population. It shown that there was good positive change in income after the microfinance access and start-up. It also encourages the entrepreneurial skills of the rural women. The all other significant variables such as expenditure, savings, borrowings and training have also had a tremendous positive change after availed microcredit from bank linkage programme. On the whole, the economic empowerment of rural women has been enhanced due the start-up business through the microcredit model.","author":[{"dropping-particle":"","family":"Mukthar","given":"K. P.Jaheer","non-dropping-particle":"","parse-names":false,"suffix":""},{"dropping-particle":"","family":"Asis","given":"Hernan Ramirez","non-dropping-particle":"","parse-names":false,"suffix":""},{"dropping-particle":"","family":"Vílchez-Vásquez","given":"Rosa","non-dropping-particle":"","parse-names":false,"suffix":""},{"dropping-particle":"","family":"Huaman-Osorio","given":"Antonio","non-dropping-particle":"","parse-names":false,"suffix":""},{"dropping-particle":"","family":"Alvarado-Tolentino","given":"Joseph","non-dropping-particle":"","parse-names":false,"suffix":""}],"container-title":"Lecture Notes in Networks and Systems","id":"ITEM-1","issued":{"date-parts":[["2023"]]},"page":"86-94","publisher":"Springer Science and Business Media Deutschland GmbH","title":"Estimating Women Entrepreneurial Empowerment of Start-Up Business Through Micro Credit Model in Rural Areas","type":"article-journal","volume":"495 LNNS"},"suppress-author":1,"uris":["http://www.mendeley.com/documents/?uuid=a078f268-3fb0-3ac9-8f59-16a240658148","http://www.mendeley.com/documents/?uuid=4c4b8773-7afb-49f3-8a81-68a6aa993e47"]}],"mendeley":{"formattedCitation":"(2023)","plainTextFormattedCitation":"(2023)","previouslyFormattedCitation":"(2023)"},"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(2023)</w:t>
      </w:r>
      <w:r w:rsidRPr="004E16EB">
        <w:rPr>
          <w:rFonts w:ascii="Times New Roman" w:hAnsi="Times New Roman" w:cs="Times New Roman"/>
          <w:sz w:val="24"/>
          <w:szCs w:val="24"/>
        </w:rPr>
        <w:fldChar w:fldCharType="end"/>
      </w:r>
      <w:r w:rsidRPr="00B568C9">
        <w:rPr>
          <w:rFonts w:ascii="Times New Roman" w:hAnsi="Times New Roman"/>
          <w:sz w:val="24"/>
          <w:szCs w:val="24"/>
        </w:rPr>
        <w:t xml:space="preserve"> identified that microcredit frameworks significantly increase rural women's entrepreneurial aspirations. MWB increases financial inclusion by facilitating access to capital for the community</w:t>
      </w:r>
      <w:r w:rsidR="0034009A">
        <w:rPr>
          <w:rFonts w:ascii="Times New Roman" w:hAnsi="Times New Roman"/>
          <w:sz w:val="24"/>
          <w:szCs w:val="24"/>
        </w:rPr>
        <w:t xml:space="preserve"> and</w:t>
      </w:r>
      <w:r w:rsidRPr="00B568C9">
        <w:rPr>
          <w:rFonts w:ascii="Times New Roman" w:hAnsi="Times New Roman"/>
          <w:sz w:val="24"/>
          <w:szCs w:val="24"/>
        </w:rPr>
        <w:t xml:space="preserve"> micro, small and medium enterprises </w:t>
      </w:r>
      <w:r>
        <w:rPr>
          <w:rFonts w:ascii="Times New Roman" w:hAnsi="Times New Roman"/>
          <w:sz w:val="24"/>
          <w:szCs w:val="24"/>
        </w:rPr>
        <w:fldChar w:fldCharType="begin" w:fldLock="1"/>
      </w:r>
      <w:r w:rsidR="00542D66">
        <w:rPr>
          <w:rFonts w:ascii="Times New Roman" w:hAnsi="Times New Roman"/>
          <w:sz w:val="24"/>
          <w:szCs w:val="24"/>
        </w:rPr>
        <w:instrText>ADDIN CSL_CITATION {"citationItems":[{"id":"ITEM-1","itemData":{"DOI":"10.3390/su15097144","ISSN":"2071-1050","abstract":"Deepening the development of digital inclusive finance, dredging the impact of digital inclusive finance on the innovation path of small and medium-sized enterprises (SMEs), and strengthening financial supervision and government support are of great significance to promoting the technological innovation of SMEs. This paper selects listed companies on the New Third Board as research samples and analyzes and empirically tests the relationship between digital inclusive financial and technological innovation of small and medium-sized enterprises. The results show that digital inclusive finance can significantly promote the technological innovation level of SMEs, especially the higher the degree of digitalization, the more obvious the promotion effect. Upon further testing, it was more pronounced in the sample of high-tech industries and eastern SMEs. Digital inclusive finance can effectively alleviate the financing constraints of SMEs, thereby promoting the technological innovation of SMEs. Reasonable financial supervision and adaptive government subsidies have a positive regulating effect on the innovation incentive effect of digital inclusive finance.","author":[{"dropping-particle":"","family":"Zhang","given":"Lu","non-dropping-particle":"","parse-names":false,"suffix":""},{"dropping-particle":"","family":"Chen","given":"Jiakui","non-dropping-particle":"","parse-names":false,"suffix":""},{"dropping-particle":"","family":"Liu","given":"Ziyi","non-dropping-particle":"","parse-names":false,"suffix":""},{"dropping-particle":"","family":"Hao","given":"Zhiyuan","non-dropping-particle":"","parse-names":false,"suffix":""}],"container-title":"Sustainability","id":"ITEM-1","issue":"9","issued":{"date-parts":[["2023","4","24"]]},"page":"7144","title":"Digital Inclusive Finance, Financing Constraints, and Technological Innovation of SMEs—Differences in the Effects of Financial Regulation and Government Subsidies","type":"article-journal","volume":"15"},"uris":["http://www.mendeley.com/documents/?uuid=f1eb86fd-ec17-4692-a9a3-0b4a7ef9832d"]}],"mendeley":{"formattedCitation":"(Zhang et al., 2023)","plainTextFormattedCitation":"(Zhang et al., 2023)","previouslyFormattedCitation":"(Zhang et al., 2023)"},"properties":{"noteIndex":0},"schema":"https://github.com/citation-style-language/schema/raw/master/csl-citation.json"}</w:instrText>
      </w:r>
      <w:r>
        <w:rPr>
          <w:rFonts w:ascii="Times New Roman" w:hAnsi="Times New Roman"/>
          <w:sz w:val="24"/>
          <w:szCs w:val="24"/>
        </w:rPr>
        <w:fldChar w:fldCharType="separate"/>
      </w:r>
      <w:r w:rsidR="00542D66" w:rsidRPr="00542D66">
        <w:rPr>
          <w:rFonts w:ascii="Times New Roman" w:hAnsi="Times New Roman"/>
          <w:noProof/>
          <w:sz w:val="24"/>
          <w:szCs w:val="24"/>
        </w:rPr>
        <w:t>(Zhang et al., 2023)</w:t>
      </w:r>
      <w:r>
        <w:rPr>
          <w:rFonts w:ascii="Times New Roman" w:hAnsi="Times New Roman"/>
          <w:sz w:val="24"/>
          <w:szCs w:val="24"/>
        </w:rPr>
        <w:fldChar w:fldCharType="end"/>
      </w:r>
      <w:r w:rsidRPr="00B568C9">
        <w:rPr>
          <w:rFonts w:ascii="Times New Roman" w:hAnsi="Times New Roman"/>
          <w:sz w:val="24"/>
          <w:szCs w:val="24"/>
        </w:rPr>
        <w:t xml:space="preserve">. SMI presents a viable alternative to the challenges faced by poor populations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{"citationItems":[{"id":"ITEM-1","itemData":{"DOI":"10.1108/JBSED-10-2021-0143/FULL/HTML","ISSN":"2635-1374","abstract":"Purpose Islamic microfinance is a substantial tool for poverty alleviation and economic empowerment. The paper aims at accessing the potential of Islamic microfinance for the purpose of achieving the economic empowerment in Tunisia. Design/methodology/approach A structured questionnaire survey method is used. The method is intended for some of the beneficiaries of Zitouna Tamkeen (ZT), the only Islamic microfinance institution in Tunisia. Responses are analyzed using the statistical package for the social sciences program. Findings The authors infer that though the Islamic and conventional microfinance have similar objectives, the methods are different. What is more, the economic empowerment requires not only financial inclusion and entrepreneurship, but also skill development. The results of the survey reveal that ZT has contributed to certain economic empowerment of most of ZT's beneficiaries. In addition, the authors bring to the fore that providing supportive infrastructure and investment is a prominent component of the economic empowerment process. Research limitations/implications In the paper, the sample is limited. Practical implications The authors have highlighted that some structural barriers to entrepreneurship – such as legal, operational and marketing challenges – need to be addressed in a practical way. Originality/value This paper establishes the relationship between the Islamic microfinance and economic empowerment. The current paper is the first investigation in this field in Tunisia.","author":[{"dropping-particle":"","family":"Zitouni","given":"Takwa","non-dropping-particle":"","parse-names":false,"suffix":""},{"dropping-particle":"","family":"Jedidia","given":"Khoutem","non-dropping-particle":"Ben","parse-names":false,"suffix":""}],"container-title":"Journal of Business and Socio-economic Development","id":"ITEM-1","issue":"1","issued":{"date-parts":[["2022","4"]]},"page":"67-81","publisher":"Emerald","title":"Does Islamic microfinance contribute to economic empowerment in Tunisia?: a case study of Zitouna Tamkeen","type":"article-journal","volume":"2"},"uris":["http://www.mendeley.com/documents/?uuid=9cf0db6c-5ad0-3095-b0be-5ba1ac4824df","http://www.mendeley.com/documents/?uuid=6e9f9d60-6824-4eb2-b4f8-9e97484bda35"]}],"mendeley":{"formattedCitation":"(Zitouni &amp; Ben Jedidia, 2022)","plainTextFormattedCitation":"(Zitouni &amp; Ben Jedidia, 2022)","previouslyFormattedCitation":"(Zitouni &amp; Ben Jedidia, 2022)"},"properties":{"noteIndex":0},"schema":"https://github.com/citation-style-language/schema/raw/master/csl-citation.json"}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(Zitouni &amp; Ben Jedidia, 2022)</w:t>
      </w:r>
      <w:r w:rsidRPr="004E16EB">
        <w:rPr>
          <w:rFonts w:ascii="Times New Roman" w:hAnsi="Times New Roman" w:cs="Times New Roman"/>
          <w:sz w:val="24"/>
          <w:szCs w:val="24"/>
        </w:rPr>
        <w:fldChar w:fldCharType="end"/>
      </w:r>
      <w:r w:rsidRPr="00B568C9">
        <w:rPr>
          <w:rFonts w:ascii="Times New Roman" w:hAnsi="Times New Roman"/>
          <w:sz w:val="24"/>
          <w:szCs w:val="24"/>
        </w:rPr>
        <w:t xml:space="preserve">, especially regarding the accessibility of financial resources. The main goal of microfinance is to reduce poverty by increasing access to financial institutions </w:t>
      </w:r>
      <w:r w:rsidR="0034009A">
        <w:rPr>
          <w:rFonts w:ascii="Times New Roman" w:hAnsi="Times New Roman"/>
          <w:sz w:val="24"/>
          <w:szCs w:val="24"/>
        </w:rPr>
        <w:t>to empower</w:t>
      </w:r>
      <w:r w:rsidRPr="00B568C9">
        <w:rPr>
          <w:rFonts w:ascii="Times New Roman" w:hAnsi="Times New Roman"/>
          <w:sz w:val="24"/>
          <w:szCs w:val="24"/>
        </w:rPr>
        <w:t xml:space="preserve"> economically disadvantaged individuals. SMI </w:t>
      </w:r>
      <w:r w:rsidR="0034009A">
        <w:rPr>
          <w:rFonts w:ascii="Times New Roman" w:hAnsi="Times New Roman"/>
          <w:sz w:val="24"/>
          <w:szCs w:val="24"/>
        </w:rPr>
        <w:t>is important</w:t>
      </w:r>
      <w:r w:rsidRPr="00B568C9">
        <w:rPr>
          <w:rFonts w:ascii="Times New Roman" w:hAnsi="Times New Roman"/>
          <w:sz w:val="24"/>
          <w:szCs w:val="24"/>
        </w:rPr>
        <w:t xml:space="preserve"> in economic, socio-cultural, and family empowerment </w:t>
      </w:r>
      <w:r w:rsidRPr="004E16EB">
        <w:rPr>
          <w:rFonts w:ascii="Times New Roman" w:hAnsi="Times New Roman" w:cs="Times New Roman"/>
          <w:sz w:val="24"/>
          <w:szCs w:val="24"/>
        </w:rPr>
        <w:fldChar w:fldCharType="begin" w:fldLock="1"/>
      </w:r>
      <w:r w:rsidR="00542D66">
        <w:rPr>
          <w:rFonts w:ascii="Times New Roman" w:hAnsi="Times New Roman" w:cs="Times New Roman"/>
          <w:sz w:val="24"/>
          <w:szCs w:val="24"/>
        </w:rPr>
        <w:instrText>ADDIN CSL_CITATION {"citationItems":[{"id":"ITEM-1","itemData":{"DOI":"10.1108/IJIF-11-2019-0174/FULL/HTML","ISSN":"0128-1976","abstract":"Purpose The purpose of this study is to investigate the impact of Islamic microfinance services (IMFS) on women’s empowerment in rural Bangladesh. Design/methodology/approach The study is based on a multi-stage sampling technique. The primary data are collected through a face-to-face survey of 389 women respondents who have received IMFS from the Islami Bank Bangladesh Limited. Cronbach’s alpha test is conducted to test the reliability and internal consistency of collected data. Paired-sample tests, logit regression and proportion hypothesis tests are conducted to measure the impact of IMFS on women’s empowerment. Descriptive and inferential statistics are used to interpret the data. Findings The study reveals that IMFS have led to structural transformation in the occupation dynamics of the respondents’ families from agriculture to retail businesses. IMFS have had a significant positive impact on household income, savings and expenditure; have improved standard of living and human capital formation; and have enhanced all three dimensions of empowerment, namely, economic empowerment (ECEM), socio-cultural empowerment (SCEM) and familial empowerment (FLEM). Of them, ECEM and SCEM have positively contributed toward overall women’s empowerment, while FLEM has a negative but insignificant impact on overall empowerment. The respondents’ perception also supports the finding that IMFS have benefited rural women and empowered them. Originality/value The study is based on primary data. It leads to an inquiry as to whether women are dominant in familial affairs. If so, it may reduce the state of happiness and overall women’s empowerment. There is a clear gap in the existing literature about this inquiry.","author":[{"dropping-particle":"","family":"Islam","given":"Md. Saiful","non-dropping-particle":"","parse-names":false,"suffix":""}],"container-title":"ISRA International Journal of Islamic Finance","id":"ITEM-1","issue":"1","issued":{"date-parts":[["2021","7"]]},"page":"26-45","publisher":"Emerald","title":"Role of Islamic microfinance in women’s empowerment: evidence from Rural Development Scheme of Islami Bank Bangladesh Limited","type":"article-journal","volume":"13"},"uris":["http://www.mendeley.com/documents/?uuid=a4585ef7-a29b-39e7-a0f6-91a6f1e5dddf","http://www.mendeley.com/documents/?uuid=03da2ec4-b8b2-4ead-9671-2ab1e3d460f2"]}],"mendeley":{"formattedCitation":"(Islam, 2021)","plainTextFormattedCitation":"(Islam, 2021)","previouslyFormattedCitation":"(Islam, 2021)"},"properties":{"noteIndex":0},"schema":"https://github.com/citation-style-language/schema/raw/master/csl-citation.json"}</w:instrText>
      </w:r>
      <w:r w:rsidRPr="004E16EB">
        <w:rPr>
          <w:rFonts w:ascii="Times New Roman" w:hAnsi="Times New Roman" w:cs="Times New Roman"/>
          <w:sz w:val="24"/>
          <w:szCs w:val="24"/>
        </w:rPr>
        <w:fldChar w:fldCharType="separate"/>
      </w:r>
      <w:r w:rsidR="00542D66" w:rsidRPr="00542D66">
        <w:rPr>
          <w:rFonts w:ascii="Times New Roman" w:hAnsi="Times New Roman" w:cs="Times New Roman"/>
          <w:noProof/>
          <w:sz w:val="24"/>
          <w:szCs w:val="24"/>
        </w:rPr>
        <w:t>(Islam, 2021)</w:t>
      </w:r>
      <w:r w:rsidRPr="004E16EB">
        <w:rPr>
          <w:rFonts w:ascii="Times New Roman" w:hAnsi="Times New Roman" w:cs="Times New Roman"/>
          <w:sz w:val="24"/>
          <w:szCs w:val="24"/>
        </w:rPr>
        <w:fldChar w:fldCharType="end"/>
      </w:r>
      <w:r>
        <w:rPr>
          <w:rFonts w:ascii="Times New Roman" w:hAnsi="Times New Roman"/>
          <w:sz w:val="24"/>
          <w:szCs w:val="24"/>
        </w:rPr>
        <w:t>. Involving women in microfinance improves their domestic standing through self-sufficiency income opportunities.</w:t>
      </w:r>
    </w:p>
    <w:p w14:paraId="181DEFF3" w14:textId="27912FA4" w:rsidR="00DC68B2" w:rsidRPr="004E16EB" w:rsidRDefault="00DC68B2" w:rsidP="00DC68B2">
      <w:pPr>
        <w:widowControl w:val="0"/>
        <w:spacing w:after="0" w:line="240" w:lineRule="auto"/>
        <w:ind w:firstLine="720"/>
        <w:jc w:val="both"/>
        <w:rPr>
          <w:rFonts w:ascii="Times New Roman" w:hAnsi="Times New Roman" w:cs="Times New Roman"/>
          <w:sz w:val="24"/>
          <w:szCs w:val="24"/>
        </w:rPr>
      </w:pPr>
      <w:r w:rsidRPr="00B568C9">
        <w:rPr>
          <w:rFonts w:ascii="Times New Roman" w:hAnsi="Times New Roman"/>
          <w:sz w:val="24"/>
          <w:szCs w:val="24"/>
        </w:rPr>
        <w:t xml:space="preserve">Empowerment facilitated through the halaqoh model, central to women's economic progress, has not achieved </w:t>
      </w:r>
      <w:r w:rsidR="0034009A">
        <w:rPr>
          <w:rFonts w:ascii="Times New Roman" w:hAnsi="Times New Roman"/>
          <w:sz w:val="24"/>
          <w:szCs w:val="24"/>
        </w:rPr>
        <w:t>complete</w:t>
      </w:r>
      <w:r w:rsidRPr="00B568C9">
        <w:rPr>
          <w:rFonts w:ascii="Times New Roman" w:hAnsi="Times New Roman"/>
          <w:sz w:val="24"/>
          <w:szCs w:val="24"/>
        </w:rPr>
        <w:t xml:space="preserve"> success. The client did not fully utilize the financing allocated by MWB for working capital. Discussions with group leaders indicate that some clients allocate funds for consumptive expenses or to pay off existing debts. This situation has caused group members to delay the payment of financing instalments, which should have been handled through group savings. This illustrates that the assistance provided by MWB goes beyond the boundaries of weekly halaqoh. Therefore, field assistance should include oversight of the customer's business operations. </w:t>
      </w:r>
    </w:p>
    <w:bookmarkEnd w:id="0"/>
    <w:p w14:paraId="4F8B05CF" w14:textId="77777777" w:rsidR="00DC68B2" w:rsidRPr="00B91E92"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Conclusion</w:t>
      </w:r>
    </w:p>
    <w:p w14:paraId="236AA972" w14:textId="66B19ADF" w:rsidR="00DC68B2" w:rsidRPr="00F61C43" w:rsidRDefault="0034009A" w:rsidP="00DC68B2">
      <w:pPr>
        <w:ind w:firstLine="720"/>
        <w:jc w:val="both"/>
        <w:rPr>
          <w:rFonts w:ascii="Times New Roman" w:hAnsi="Times New Roman"/>
          <w:sz w:val="24"/>
          <w:szCs w:val="24"/>
        </w:rPr>
      </w:pPr>
      <w:r>
        <w:rPr>
          <w:rFonts w:ascii="Times New Roman" w:hAnsi="Times New Roman"/>
          <w:sz w:val="24"/>
          <w:szCs w:val="24"/>
        </w:rPr>
        <w:t>MWB implements empowerment initiatives</w:t>
      </w:r>
      <w:r w:rsidR="00DC68B2" w:rsidRPr="00F61C43">
        <w:rPr>
          <w:rFonts w:ascii="Times New Roman" w:hAnsi="Times New Roman"/>
          <w:sz w:val="24"/>
          <w:szCs w:val="24"/>
        </w:rPr>
        <w:t xml:space="preserve"> through the provision of financial resources and guidance directed to economically disadvantaged but potentially productive women who live near boarding schools, which serve as their targeted market demographics. Loan disbursement follows a collective approach characterized by a shared accountability system. Various </w:t>
      </w:r>
      <w:r>
        <w:rPr>
          <w:rFonts w:ascii="Times New Roman" w:hAnsi="Times New Roman"/>
          <w:sz w:val="24"/>
          <w:szCs w:val="24"/>
        </w:rPr>
        <w:t>operational empowerment frameworks, including GCO, GCT, and mentoring,</w:t>
      </w:r>
      <w:r w:rsidR="00DC68B2" w:rsidRPr="00F61C43">
        <w:rPr>
          <w:rFonts w:ascii="Times New Roman" w:hAnsi="Times New Roman"/>
          <w:sz w:val="24"/>
          <w:szCs w:val="24"/>
        </w:rPr>
        <w:t xml:space="preserve"> use the halaqoh model. Participants are positioned on the floor in a cross-sectional, facilitator-oriented manner in a semicircular setting. Individuals who need financial assistance the most occupy the back position, with group leaders at the forefront, while those who have received funds are in </w:t>
      </w:r>
      <w:r>
        <w:rPr>
          <w:rFonts w:ascii="Times New Roman" w:hAnsi="Times New Roman"/>
          <w:sz w:val="24"/>
          <w:szCs w:val="24"/>
        </w:rPr>
        <w:t xml:space="preserve">the </w:t>
      </w:r>
      <w:r w:rsidR="00DC68B2" w:rsidRPr="00F61C43">
        <w:rPr>
          <w:rFonts w:ascii="Times New Roman" w:hAnsi="Times New Roman"/>
          <w:sz w:val="24"/>
          <w:szCs w:val="24"/>
        </w:rPr>
        <w:t>last position.</w:t>
      </w:r>
    </w:p>
    <w:p w14:paraId="4DF34CAF" w14:textId="04298521" w:rsidR="00DC68B2" w:rsidRPr="00F61C43" w:rsidRDefault="00DC68B2" w:rsidP="00DC68B2">
      <w:pPr>
        <w:ind w:firstLine="720"/>
        <w:jc w:val="both"/>
        <w:rPr>
          <w:rFonts w:ascii="Times New Roman" w:hAnsi="Times New Roman"/>
          <w:sz w:val="24"/>
          <w:szCs w:val="24"/>
        </w:rPr>
      </w:pPr>
      <w:r w:rsidRPr="00F61C43">
        <w:rPr>
          <w:rFonts w:ascii="Times New Roman" w:hAnsi="Times New Roman"/>
          <w:sz w:val="24"/>
          <w:szCs w:val="24"/>
        </w:rPr>
        <w:t xml:space="preserve">The halaqoh model </w:t>
      </w:r>
      <w:r w:rsidR="0034009A">
        <w:rPr>
          <w:rFonts w:ascii="Times New Roman" w:hAnsi="Times New Roman"/>
          <w:sz w:val="24"/>
          <w:szCs w:val="24"/>
        </w:rPr>
        <w:t>MWB uses</w:t>
      </w:r>
      <w:r w:rsidRPr="00F61C43">
        <w:rPr>
          <w:rFonts w:ascii="Times New Roman" w:hAnsi="Times New Roman"/>
          <w:sz w:val="24"/>
          <w:szCs w:val="24"/>
        </w:rPr>
        <w:t xml:space="preserve"> significantly improves women's economic welfare through microfinance mechanisms. Women are involved in </w:t>
      </w:r>
      <w:r w:rsidR="0034009A">
        <w:rPr>
          <w:rFonts w:ascii="Times New Roman" w:hAnsi="Times New Roman"/>
          <w:sz w:val="24"/>
          <w:szCs w:val="24"/>
        </w:rPr>
        <w:t>developing</w:t>
      </w:r>
      <w:r w:rsidRPr="00F61C43">
        <w:rPr>
          <w:rFonts w:ascii="Times New Roman" w:hAnsi="Times New Roman"/>
          <w:sz w:val="24"/>
          <w:szCs w:val="24"/>
        </w:rPr>
        <w:t xml:space="preserve"> </w:t>
      </w:r>
      <w:r w:rsidR="0034009A">
        <w:rPr>
          <w:rFonts w:ascii="Times New Roman" w:hAnsi="Times New Roman"/>
          <w:sz w:val="24"/>
          <w:szCs w:val="24"/>
        </w:rPr>
        <w:t>S</w:t>
      </w:r>
      <w:r w:rsidRPr="00F61C43">
        <w:rPr>
          <w:rFonts w:ascii="Times New Roman" w:hAnsi="Times New Roman"/>
          <w:sz w:val="24"/>
          <w:szCs w:val="24"/>
        </w:rPr>
        <w:t>haria-compliant business characteristics within the GCT framework, which emphasizes the principles of discipline, integrity, trust, concern for others, and fiscal responsibility. In addition, they benefit from Islamic guidance, household financial management, and business development during regular halaqoh sessions.</w:t>
      </w:r>
    </w:p>
    <w:p w14:paraId="09D1C05A" w14:textId="383FC8D7" w:rsidR="00DC68B2" w:rsidRPr="00F61C43" w:rsidRDefault="00DC68B2" w:rsidP="00DC68B2">
      <w:pPr>
        <w:ind w:firstLine="720"/>
        <w:jc w:val="both"/>
        <w:rPr>
          <w:rFonts w:ascii="Times New Roman" w:hAnsi="Times New Roman"/>
          <w:sz w:val="24"/>
          <w:szCs w:val="24"/>
        </w:rPr>
      </w:pPr>
      <w:r w:rsidRPr="00F61C43">
        <w:rPr>
          <w:rFonts w:ascii="Times New Roman" w:hAnsi="Times New Roman"/>
          <w:sz w:val="24"/>
          <w:szCs w:val="24"/>
        </w:rPr>
        <w:t xml:space="preserve">SMI's MWB program has the potential for replication and expansion in its initial areas to facilitate increased access to microfinance and to improve women's economic empowerment. It is anticipated that this investigation will involve government and non-government policies </w:t>
      </w:r>
      <w:r w:rsidR="0034009A">
        <w:rPr>
          <w:rFonts w:ascii="Times New Roman" w:hAnsi="Times New Roman"/>
          <w:sz w:val="24"/>
          <w:szCs w:val="24"/>
        </w:rPr>
        <w:t>to encourage</w:t>
      </w:r>
      <w:r w:rsidRPr="00F61C43">
        <w:rPr>
          <w:rFonts w:ascii="Times New Roman" w:hAnsi="Times New Roman"/>
          <w:sz w:val="24"/>
          <w:szCs w:val="24"/>
        </w:rPr>
        <w:t xml:space="preserve"> women's empowerment through increased access to financial institutions. Nevertheless, the study focuses exclusively on the empowerment model run by MWB, omitting the exploration of the risk management dimension associated with group-based financing. This presents a valuable opportunity for further research to evaluate risk management practices in financing in MWB.</w:t>
      </w:r>
    </w:p>
    <w:p w14:paraId="4ECCE9F4" w14:textId="02D0EE3B" w:rsidR="00DC68B2" w:rsidRPr="00F61C43" w:rsidRDefault="00DC68B2" w:rsidP="00DC68B2">
      <w:pPr>
        <w:ind w:firstLine="720"/>
        <w:jc w:val="both"/>
        <w:rPr>
          <w:rFonts w:ascii="Times New Roman" w:hAnsi="Times New Roman"/>
          <w:sz w:val="24"/>
          <w:szCs w:val="24"/>
        </w:rPr>
      </w:pPr>
      <w:r w:rsidRPr="00F61C43">
        <w:rPr>
          <w:rFonts w:ascii="Times New Roman" w:hAnsi="Times New Roman"/>
          <w:sz w:val="24"/>
          <w:szCs w:val="24"/>
        </w:rPr>
        <w:t xml:space="preserve">A prominent observation made from this study is that the </w:t>
      </w:r>
      <w:r w:rsidR="0034009A">
        <w:rPr>
          <w:rFonts w:ascii="Times New Roman" w:hAnsi="Times New Roman"/>
          <w:sz w:val="24"/>
          <w:szCs w:val="24"/>
        </w:rPr>
        <w:t>H</w:t>
      </w:r>
      <w:r w:rsidRPr="00F61C43">
        <w:rPr>
          <w:rFonts w:ascii="Times New Roman" w:hAnsi="Times New Roman"/>
          <w:sz w:val="24"/>
          <w:szCs w:val="24"/>
        </w:rPr>
        <w:t xml:space="preserve">alaqoh model is particularly advantageous for </w:t>
      </w:r>
      <w:r w:rsidR="0034009A">
        <w:rPr>
          <w:rFonts w:ascii="Times New Roman" w:hAnsi="Times New Roman"/>
          <w:sz w:val="24"/>
          <w:szCs w:val="24"/>
        </w:rPr>
        <w:t>empowering</w:t>
      </w:r>
      <w:r w:rsidRPr="00F61C43">
        <w:rPr>
          <w:rFonts w:ascii="Times New Roman" w:hAnsi="Times New Roman"/>
          <w:sz w:val="24"/>
          <w:szCs w:val="24"/>
        </w:rPr>
        <w:t xml:space="preserve"> women who do not have access to bank accounts. In the context of weekly halaqah meetings, maintaining the mental attitude of participants </w:t>
      </w:r>
      <w:r w:rsidR="0034009A">
        <w:rPr>
          <w:rFonts w:ascii="Times New Roman" w:hAnsi="Times New Roman"/>
          <w:sz w:val="24"/>
          <w:szCs w:val="24"/>
        </w:rPr>
        <w:t xml:space="preserve">and </w:t>
      </w:r>
      <w:r w:rsidRPr="00F61C43">
        <w:rPr>
          <w:rFonts w:ascii="Times New Roman" w:hAnsi="Times New Roman"/>
          <w:sz w:val="24"/>
          <w:szCs w:val="24"/>
        </w:rPr>
        <w:t xml:space="preserve">fostering a </w:t>
      </w:r>
      <w:r w:rsidRPr="00F61C43">
        <w:rPr>
          <w:rFonts w:ascii="Times New Roman" w:hAnsi="Times New Roman"/>
          <w:sz w:val="24"/>
          <w:szCs w:val="24"/>
        </w:rPr>
        <w:lastRenderedPageBreak/>
        <w:t xml:space="preserve">sense of togetherness, commitment, discipline, solidarity, responsibility, and cooperative group dynamics are considered more effective. The findings of this study also produce several practical implications. First, </w:t>
      </w:r>
      <w:r w:rsidR="0034009A">
        <w:rPr>
          <w:rFonts w:ascii="Times New Roman" w:hAnsi="Times New Roman"/>
          <w:sz w:val="24"/>
          <w:szCs w:val="24"/>
        </w:rPr>
        <w:t>the government must</w:t>
      </w:r>
      <w:r w:rsidRPr="00F61C43">
        <w:rPr>
          <w:rFonts w:ascii="Times New Roman" w:hAnsi="Times New Roman"/>
          <w:sz w:val="24"/>
          <w:szCs w:val="24"/>
        </w:rPr>
        <w:t xml:space="preserve"> utilize SMI MWB as a basic framework for the economic empowerment of unbanked women, thus enabling their active participation in economic activities and improving the well-being of their families. Second, the results of this study can be a source of inspiration for women involved in micro and small businesses, encouraging them to persevere in the fight against financial marginalization.</w:t>
      </w:r>
    </w:p>
    <w:p w14:paraId="26380464" w14:textId="201C5D7B" w:rsidR="00DC68B2" w:rsidRPr="00B91E92"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Acknowledg</w:t>
      </w:r>
      <w:r w:rsidR="0034009A">
        <w:rPr>
          <w:rFonts w:ascii="Times New Roman" w:hAnsi="Times New Roman" w:cs="Times New Roman"/>
          <w:b/>
          <w:bCs/>
          <w:sz w:val="24"/>
          <w:szCs w:val="24"/>
        </w:rPr>
        <w:t>e</w:t>
      </w:r>
      <w:r w:rsidRPr="00B91E92">
        <w:rPr>
          <w:rFonts w:ascii="Times New Roman" w:hAnsi="Times New Roman" w:cs="Times New Roman"/>
          <w:b/>
          <w:bCs/>
          <w:sz w:val="24"/>
          <w:szCs w:val="24"/>
        </w:rPr>
        <w:t>ment</w:t>
      </w:r>
    </w:p>
    <w:p w14:paraId="1814C61B" w14:textId="77777777" w:rsidR="00276F31" w:rsidRDefault="00276F31" w:rsidP="00DC68B2">
      <w:pPr>
        <w:spacing w:before="240" w:after="120"/>
        <w:rPr>
          <w:rFonts w:ascii="Times New Roman" w:hAnsi="Times New Roman" w:cs="Times New Roman"/>
          <w:b/>
          <w:bCs/>
          <w:sz w:val="24"/>
          <w:szCs w:val="24"/>
        </w:rPr>
      </w:pPr>
      <w:r w:rsidRPr="004E16EB">
        <w:rPr>
          <w:rFonts w:ascii="Times New Roman" w:hAnsi="Times New Roman"/>
          <w:sz w:val="24"/>
          <w:szCs w:val="24"/>
        </w:rPr>
        <w:t>The authors are grateful to the leaders and mentors of the IA Scholar Foundation for providing direction in completing this study</w:t>
      </w:r>
      <w:r w:rsidRPr="00276F31">
        <w:rPr>
          <w:rFonts w:ascii="Times New Roman" w:hAnsi="Times New Roman" w:cs="Times New Roman"/>
          <w:sz w:val="24"/>
          <w:szCs w:val="24"/>
        </w:rPr>
        <w:t>.</w:t>
      </w:r>
    </w:p>
    <w:p w14:paraId="6E564BA1" w14:textId="77B6101C" w:rsidR="00DC68B2" w:rsidRDefault="00DC68B2" w:rsidP="00DC68B2">
      <w:pPr>
        <w:spacing w:before="240" w:after="120"/>
        <w:rPr>
          <w:rFonts w:ascii="Times New Roman" w:hAnsi="Times New Roman" w:cs="Times New Roman"/>
          <w:b/>
          <w:bCs/>
          <w:sz w:val="24"/>
          <w:szCs w:val="24"/>
        </w:rPr>
      </w:pPr>
      <w:r w:rsidRPr="00B91E92">
        <w:rPr>
          <w:rFonts w:ascii="Times New Roman" w:hAnsi="Times New Roman" w:cs="Times New Roman"/>
          <w:b/>
          <w:bCs/>
          <w:sz w:val="24"/>
          <w:szCs w:val="24"/>
        </w:rPr>
        <w:t>References</w:t>
      </w:r>
    </w:p>
    <w:p w14:paraId="18625EFC" w14:textId="156E1A4D"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542D66">
        <w:rPr>
          <w:rFonts w:ascii="Times New Roman" w:hAnsi="Times New Roman" w:cs="Times New Roman"/>
          <w:noProof/>
          <w:sz w:val="24"/>
          <w:szCs w:val="24"/>
        </w:rPr>
        <w:t xml:space="preserve">Ackah, C., Torvikey, G. D., Obeng Adomaa, F., &amp; Asante, K. T. (2024). “You cannot rely on bank loans to expand your business”: aversion to formal credit among female micro-entrepreneurs in Ghana. </w:t>
      </w:r>
      <w:r w:rsidRPr="00542D66">
        <w:rPr>
          <w:rFonts w:ascii="Times New Roman" w:hAnsi="Times New Roman" w:cs="Times New Roman"/>
          <w:i/>
          <w:iCs/>
          <w:noProof/>
          <w:sz w:val="24"/>
          <w:szCs w:val="24"/>
        </w:rPr>
        <w:t>International Journal of Social Economics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51</w:t>
      </w:r>
      <w:r w:rsidRPr="00542D66">
        <w:rPr>
          <w:rFonts w:ascii="Times New Roman" w:hAnsi="Times New Roman" w:cs="Times New Roman"/>
          <w:noProof/>
          <w:sz w:val="24"/>
          <w:szCs w:val="24"/>
        </w:rPr>
        <w:t>(7), 870–883. https://doi.org/10.1108/IJSE-02-2023-0090</w:t>
      </w:r>
    </w:p>
    <w:p w14:paraId="10E2B108"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Adetiloye, K. A., Adegboye, F. B., &amp; Akinjare, V. A. (2020). Sustainable financial access for female entrepreneurs in the micro, small and medium enterprises sector in Nigeria. </w:t>
      </w:r>
      <w:r w:rsidRPr="00542D66">
        <w:rPr>
          <w:rFonts w:ascii="Times New Roman" w:hAnsi="Times New Roman" w:cs="Times New Roman"/>
          <w:i/>
          <w:iCs/>
          <w:noProof/>
          <w:sz w:val="24"/>
          <w:szCs w:val="24"/>
        </w:rPr>
        <w:t>Cogent Social Sciences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6</w:t>
      </w:r>
      <w:r w:rsidRPr="00542D66">
        <w:rPr>
          <w:rFonts w:ascii="Times New Roman" w:hAnsi="Times New Roman" w:cs="Times New Roman"/>
          <w:noProof/>
          <w:sz w:val="24"/>
          <w:szCs w:val="24"/>
        </w:rPr>
        <w:t>(1). https://doi.org/10.1080/23311886.2020.1823600</w:t>
      </w:r>
    </w:p>
    <w:p w14:paraId="63AE3E52"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Aggarwal, S., Kumar, P., &amp; Garg, V. (2020). Empowering SHGs Women through Micro-finance in Uttar Pradesh. </w:t>
      </w:r>
      <w:r w:rsidRPr="00542D66">
        <w:rPr>
          <w:rFonts w:ascii="Times New Roman" w:hAnsi="Times New Roman" w:cs="Times New Roman"/>
          <w:i/>
          <w:iCs/>
          <w:noProof/>
          <w:sz w:val="24"/>
          <w:szCs w:val="24"/>
        </w:rPr>
        <w:t>International Journal of Law and Management</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62</w:t>
      </w:r>
      <w:r w:rsidRPr="00542D66">
        <w:rPr>
          <w:rFonts w:ascii="Times New Roman" w:hAnsi="Times New Roman" w:cs="Times New Roman"/>
          <w:noProof/>
          <w:sz w:val="24"/>
          <w:szCs w:val="24"/>
        </w:rPr>
        <w:t>(6), 591–606. https://doi.org/10.1108/IJLMA-02-2020-0051/FULL/XML</w:t>
      </w:r>
    </w:p>
    <w:p w14:paraId="2E99B565"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Ahmed, F. (2019). The potential of halaqah to be a transformative Islamic dialogic pedagogy. In </w:t>
      </w:r>
      <w:r w:rsidRPr="00542D66">
        <w:rPr>
          <w:rFonts w:ascii="Times New Roman" w:hAnsi="Times New Roman" w:cs="Times New Roman"/>
          <w:i/>
          <w:iCs/>
          <w:noProof/>
          <w:sz w:val="24"/>
          <w:szCs w:val="24"/>
        </w:rPr>
        <w:t>The Routledge International Handbook of Research on Dialogic Education</w:t>
      </w:r>
      <w:r w:rsidRPr="00542D66">
        <w:rPr>
          <w:rFonts w:ascii="Times New Roman" w:hAnsi="Times New Roman" w:cs="Times New Roman"/>
          <w:noProof/>
          <w:sz w:val="24"/>
          <w:szCs w:val="24"/>
        </w:rPr>
        <w:t xml:space="preserve"> (pp. 647–659). Routledge. https://doi.org/10.4324/9780429441677-53</w:t>
      </w:r>
    </w:p>
    <w:p w14:paraId="59D0A2D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Ahmed, H., &amp; Aassouli, D. (2022). Entrepreneurial finance, agency problems and Islamic ethics: complementarities and constraints. </w:t>
      </w:r>
      <w:r w:rsidRPr="00542D66">
        <w:rPr>
          <w:rFonts w:ascii="Times New Roman" w:hAnsi="Times New Roman" w:cs="Times New Roman"/>
          <w:i/>
          <w:iCs/>
          <w:noProof/>
          <w:sz w:val="24"/>
          <w:szCs w:val="24"/>
        </w:rPr>
        <w:t>Venture Capital</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24</w:t>
      </w:r>
      <w:r w:rsidRPr="00542D66">
        <w:rPr>
          <w:rFonts w:ascii="Times New Roman" w:hAnsi="Times New Roman" w:cs="Times New Roman"/>
          <w:noProof/>
          <w:sz w:val="24"/>
          <w:szCs w:val="24"/>
        </w:rPr>
        <w:t>(1), 25–46. https://doi.org/10.1080/13691066.2022.2067017</w:t>
      </w:r>
    </w:p>
    <w:p w14:paraId="34048A1F"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Ajja, S. H., Samiti’, S., Arts, S. K. S. J., &amp; Sheshgiri, S. M. (2020). Women Empowerment And Women Entrepreneurship: An Overview. </w:t>
      </w:r>
      <w:r w:rsidRPr="00542D66">
        <w:rPr>
          <w:rFonts w:ascii="Times New Roman" w:hAnsi="Times New Roman" w:cs="Times New Roman"/>
          <w:i/>
          <w:iCs/>
          <w:noProof/>
          <w:sz w:val="24"/>
          <w:szCs w:val="24"/>
        </w:rPr>
        <w:t>Jurnal Universitas Arsitektur &amp; Teknologi Xi’an</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12</w:t>
      </w:r>
      <w:r w:rsidRPr="00542D66">
        <w:rPr>
          <w:rFonts w:ascii="Times New Roman" w:hAnsi="Times New Roman" w:cs="Times New Roman"/>
          <w:noProof/>
          <w:sz w:val="24"/>
          <w:szCs w:val="24"/>
        </w:rPr>
        <w:t>(3), 3843–3844.</w:t>
      </w:r>
    </w:p>
    <w:p w14:paraId="2D338395"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Andari, S., Yusuf, H., Kuntjorowati, E., Purnama, A., Listyawati, L., Febriyandi Y. S., F., Martino, M., &amp; Murdiyanto, M. (2023). Empowerment and mobility of women from domestic to public spaces in improving family welfare. </w:t>
      </w:r>
      <w:r w:rsidRPr="00542D66">
        <w:rPr>
          <w:rFonts w:ascii="Times New Roman" w:hAnsi="Times New Roman" w:cs="Times New Roman"/>
          <w:i/>
          <w:iCs/>
          <w:noProof/>
          <w:sz w:val="24"/>
          <w:szCs w:val="24"/>
        </w:rPr>
        <w:t>Multidisciplinary Science Journal</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5</w:t>
      </w:r>
      <w:r w:rsidRPr="00542D66">
        <w:rPr>
          <w:rFonts w:ascii="Times New Roman" w:hAnsi="Times New Roman" w:cs="Times New Roman"/>
          <w:noProof/>
          <w:sz w:val="24"/>
          <w:szCs w:val="24"/>
        </w:rPr>
        <w:t>, 2023031. https://doi.org/10.31893/multiscience.2023031</w:t>
      </w:r>
    </w:p>
    <w:p w14:paraId="2C4BA713"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Anwar, M. Z., Fathan, Warto, &amp; Hidayati, O. N. (2023). TRANSFORMATION OF ECONOMIC THEOLOGY FOR COMMUNITY EMPOWERMENT A Case Study on Pesantren-Based Bank Wakaf Mikro. </w:t>
      </w:r>
      <w:r w:rsidRPr="00542D66">
        <w:rPr>
          <w:rFonts w:ascii="Times New Roman" w:hAnsi="Times New Roman" w:cs="Times New Roman"/>
          <w:i/>
          <w:iCs/>
          <w:noProof/>
          <w:sz w:val="24"/>
          <w:szCs w:val="24"/>
        </w:rPr>
        <w:t>Journal of Indonesian Islam</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17</w:t>
      </w:r>
      <w:r w:rsidRPr="00542D66">
        <w:rPr>
          <w:rFonts w:ascii="Times New Roman" w:hAnsi="Times New Roman" w:cs="Times New Roman"/>
          <w:noProof/>
          <w:sz w:val="24"/>
          <w:szCs w:val="24"/>
        </w:rPr>
        <w:t>(1), 76–99. https://doi.org/10.15642/JIIS.2023.17.1.76-99</w:t>
      </w:r>
    </w:p>
    <w:p w14:paraId="6D55435D"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Back, L. T., &amp; Keys, C. B. (2020). Developing and testing the College Student </w:t>
      </w:r>
      <w:r w:rsidRPr="00542D66">
        <w:rPr>
          <w:rFonts w:ascii="Times New Roman" w:hAnsi="Times New Roman" w:cs="Times New Roman"/>
          <w:noProof/>
          <w:sz w:val="24"/>
          <w:szCs w:val="24"/>
        </w:rPr>
        <w:lastRenderedPageBreak/>
        <w:t xml:space="preserve">Empowerment Scales for Racial/Ethnic Minorities. </w:t>
      </w:r>
      <w:r w:rsidRPr="00542D66">
        <w:rPr>
          <w:rFonts w:ascii="Times New Roman" w:hAnsi="Times New Roman" w:cs="Times New Roman"/>
          <w:i/>
          <w:iCs/>
          <w:noProof/>
          <w:sz w:val="24"/>
          <w:szCs w:val="24"/>
        </w:rPr>
        <w:t>Journal of Community Psychology</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48</w:t>
      </w:r>
      <w:r w:rsidRPr="00542D66">
        <w:rPr>
          <w:rFonts w:ascii="Times New Roman" w:hAnsi="Times New Roman" w:cs="Times New Roman"/>
          <w:noProof/>
          <w:sz w:val="24"/>
          <w:szCs w:val="24"/>
        </w:rPr>
        <w:t>(2), 482–502. https://doi.org/10.1002/jcop.22257</w:t>
      </w:r>
    </w:p>
    <w:p w14:paraId="7B064137"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Bapolisi, W. A., Ferrari, G., Blampain, C., Makelele, J., Kono-Tange, L., Bisimwa, G., &amp; Merten, S. (2020). Impact of a complex gender-transformative intervention on maternal and child health outcomes in the eastern Democratic Republic of Congo: protocol of a longitudinal parallel mixed-methods study. </w:t>
      </w:r>
      <w:r w:rsidRPr="00542D66">
        <w:rPr>
          <w:rFonts w:ascii="Times New Roman" w:hAnsi="Times New Roman" w:cs="Times New Roman"/>
          <w:i/>
          <w:iCs/>
          <w:noProof/>
          <w:sz w:val="24"/>
          <w:szCs w:val="24"/>
        </w:rPr>
        <w:t>BMC Public Health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20</w:t>
      </w:r>
      <w:r w:rsidRPr="00542D66">
        <w:rPr>
          <w:rFonts w:ascii="Times New Roman" w:hAnsi="Times New Roman" w:cs="Times New Roman"/>
          <w:noProof/>
          <w:sz w:val="24"/>
          <w:szCs w:val="24"/>
        </w:rPr>
        <w:t>(1), 51. https://doi.org/10.1186/s12889-019-8084-3</w:t>
      </w:r>
    </w:p>
    <w:p w14:paraId="3A00D3B1"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BSM, L. (2017a). </w:t>
      </w:r>
      <w:r w:rsidRPr="00542D66">
        <w:rPr>
          <w:rFonts w:ascii="Times New Roman" w:hAnsi="Times New Roman" w:cs="Times New Roman"/>
          <w:i/>
          <w:iCs/>
          <w:noProof/>
          <w:sz w:val="24"/>
          <w:szCs w:val="24"/>
        </w:rPr>
        <w:t>“SOP &amp; SOM Standar Operasional Prosedure Dan Management Untuk LKM Syariah-Bank Wakaf Mikro</w:t>
      </w:r>
      <w:r w:rsidRPr="00542D66">
        <w:rPr>
          <w:rFonts w:ascii="Times New Roman" w:hAnsi="Times New Roman" w:cs="Times New Roman"/>
          <w:noProof/>
          <w:sz w:val="24"/>
          <w:szCs w:val="24"/>
        </w:rPr>
        <w:t xml:space="preserve"> (p. 8). LAZNAS BSM.</w:t>
      </w:r>
    </w:p>
    <w:p w14:paraId="4CC5F8C1"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BSM, L. (2017b). </w:t>
      </w:r>
      <w:r w:rsidRPr="00542D66">
        <w:rPr>
          <w:rFonts w:ascii="Times New Roman" w:hAnsi="Times New Roman" w:cs="Times New Roman"/>
          <w:i/>
          <w:iCs/>
          <w:noProof/>
          <w:sz w:val="24"/>
          <w:szCs w:val="24"/>
        </w:rPr>
        <w:t>Manajemen Lembaga Keuangan Mikro Syariah</w:t>
      </w:r>
      <w:r w:rsidRPr="00542D66">
        <w:rPr>
          <w:rFonts w:ascii="Times New Roman" w:hAnsi="Times New Roman" w:cs="Times New Roman"/>
          <w:noProof/>
          <w:sz w:val="24"/>
          <w:szCs w:val="24"/>
        </w:rPr>
        <w:t>. LAZNAS BSM.</w:t>
      </w:r>
    </w:p>
    <w:p w14:paraId="61E4DA94"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BWM. (2019). </w:t>
      </w:r>
      <w:r w:rsidRPr="00542D66">
        <w:rPr>
          <w:rFonts w:ascii="Times New Roman" w:hAnsi="Times New Roman" w:cs="Times New Roman"/>
          <w:i/>
          <w:iCs/>
          <w:noProof/>
          <w:sz w:val="24"/>
          <w:szCs w:val="24"/>
        </w:rPr>
        <w:t>LKMS-BWM</w:t>
      </w:r>
      <w:r w:rsidRPr="00542D66">
        <w:rPr>
          <w:rFonts w:ascii="Times New Roman" w:hAnsi="Times New Roman" w:cs="Times New Roman"/>
          <w:noProof/>
          <w:sz w:val="24"/>
          <w:szCs w:val="24"/>
        </w:rPr>
        <w:t>. Http://Www.Lkmsbwm.Id/.</w:t>
      </w:r>
    </w:p>
    <w:p w14:paraId="23A25122"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Cabeza-García, L., Del Brio, E. B., &amp; Oscanoa-Victorio, M. L. (2019). Female financial inclusion and its impacts on inclusive economic development. </w:t>
      </w:r>
      <w:r w:rsidRPr="00542D66">
        <w:rPr>
          <w:rFonts w:ascii="Times New Roman" w:hAnsi="Times New Roman" w:cs="Times New Roman"/>
          <w:i/>
          <w:iCs/>
          <w:noProof/>
          <w:sz w:val="24"/>
          <w:szCs w:val="24"/>
        </w:rPr>
        <w:t>Women’s Studies International Forum</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77</w:t>
      </w:r>
      <w:r w:rsidRPr="00542D66">
        <w:rPr>
          <w:rFonts w:ascii="Times New Roman" w:hAnsi="Times New Roman" w:cs="Times New Roman"/>
          <w:noProof/>
          <w:sz w:val="24"/>
          <w:szCs w:val="24"/>
        </w:rPr>
        <w:t>(October), 102300. https://doi.org/10.1016/j.wsif.2019.102300</w:t>
      </w:r>
    </w:p>
    <w:p w14:paraId="250F5860"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Coan, S., Woodward, J., South, J., Bagnall, A., Southby, K., Button, D., &amp; Trigwell, J. (2020). Can a community empowerment intervention improve health and wellbeing in a post-industrial UK town? </w:t>
      </w:r>
      <w:r w:rsidRPr="00542D66">
        <w:rPr>
          <w:rFonts w:ascii="Times New Roman" w:hAnsi="Times New Roman" w:cs="Times New Roman"/>
          <w:i/>
          <w:iCs/>
          <w:noProof/>
          <w:sz w:val="24"/>
          <w:szCs w:val="24"/>
        </w:rPr>
        <w:t>European Journal of Public Health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30</w:t>
      </w:r>
      <w:r w:rsidRPr="00542D66">
        <w:rPr>
          <w:rFonts w:ascii="Times New Roman" w:hAnsi="Times New Roman" w:cs="Times New Roman"/>
          <w:noProof/>
          <w:sz w:val="24"/>
          <w:szCs w:val="24"/>
        </w:rPr>
        <w:t>(Supplement_5). https://doi.org/10.1093/eurpub/ckaa165.229</w:t>
      </w:r>
    </w:p>
    <w:p w14:paraId="58BE183D"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Darwis, V., Rachmawati, R. R., Muslim, C., Chanifah, Sembiring, A., Ilham, N., Mufidah, L., Suhartini, S. H., Basuki, R. S., Rina, Y., Suharyon, Nurdin, M., Dahya, Damanik, M., &amp; Dewi, D. O. (2023). Transformation of financial institutions grants from the government to inclusive financial institutions in Indonesia. </w:t>
      </w:r>
      <w:r w:rsidRPr="00542D66">
        <w:rPr>
          <w:rFonts w:ascii="Times New Roman" w:hAnsi="Times New Roman" w:cs="Times New Roman"/>
          <w:i/>
          <w:iCs/>
          <w:noProof/>
          <w:sz w:val="24"/>
          <w:szCs w:val="24"/>
        </w:rPr>
        <w:t>PLOS ONE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18</w:t>
      </w:r>
      <w:r w:rsidRPr="00542D66">
        <w:rPr>
          <w:rFonts w:ascii="Times New Roman" w:hAnsi="Times New Roman" w:cs="Times New Roman"/>
          <w:noProof/>
          <w:sz w:val="24"/>
          <w:szCs w:val="24"/>
        </w:rPr>
        <w:t>(6), e0286482. https://doi.org/10.1371/journal.pone.0286482</w:t>
      </w:r>
    </w:p>
    <w:p w14:paraId="0FB4D34D"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Earle, R., Littlewood, R., Nalatu, S., &amp; Walker, J. (2022). Empowerment Approaches in Childhood Weight Management: A Systematic Review. </w:t>
      </w:r>
      <w:r w:rsidRPr="00542D66">
        <w:rPr>
          <w:rFonts w:ascii="Times New Roman" w:hAnsi="Times New Roman" w:cs="Times New Roman"/>
          <w:i/>
          <w:iCs/>
          <w:noProof/>
          <w:sz w:val="24"/>
          <w:szCs w:val="24"/>
        </w:rPr>
        <w:t>Childhood Obesity</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18</w:t>
      </w:r>
      <w:r w:rsidRPr="00542D66">
        <w:rPr>
          <w:rFonts w:ascii="Times New Roman" w:hAnsi="Times New Roman" w:cs="Times New Roman"/>
          <w:noProof/>
          <w:sz w:val="24"/>
          <w:szCs w:val="24"/>
        </w:rPr>
        <w:t>(1), 2–30. https://doi.org/10.1089/chi.2021.0049</w:t>
      </w:r>
    </w:p>
    <w:p w14:paraId="271ADD1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Eggers del Campo, I., &amp; Steinert, J. I. (2022). The Effect of Female Economic Empowerment Interventions on the Risk of Intimate Partner Violence: A Systematic Review and Meta-Analysis. </w:t>
      </w:r>
      <w:r w:rsidRPr="00542D66">
        <w:rPr>
          <w:rFonts w:ascii="Times New Roman" w:hAnsi="Times New Roman" w:cs="Times New Roman"/>
          <w:i/>
          <w:iCs/>
          <w:noProof/>
          <w:sz w:val="24"/>
          <w:szCs w:val="24"/>
        </w:rPr>
        <w:t>Trauma, Violence, &amp; Abuse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23</w:t>
      </w:r>
      <w:r w:rsidRPr="00542D66">
        <w:rPr>
          <w:rFonts w:ascii="Times New Roman" w:hAnsi="Times New Roman" w:cs="Times New Roman"/>
          <w:noProof/>
          <w:sz w:val="24"/>
          <w:szCs w:val="24"/>
        </w:rPr>
        <w:t>(3), 810–826. https://doi.org/10.1177/1524838020976088</w:t>
      </w:r>
    </w:p>
    <w:p w14:paraId="4CA12E1F"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Fanggidae, R. E., Kurniawati, M., &amp; Bahweres, H. (2020). The Effect of Workplace Spirituality and Employee Performance (Perspective of Islamic Work Ethics Case Study on BTPN Syariah, Kupang). </w:t>
      </w:r>
      <w:r w:rsidRPr="00542D66">
        <w:rPr>
          <w:rFonts w:ascii="Times New Roman" w:hAnsi="Times New Roman" w:cs="Times New Roman"/>
          <w:i/>
          <w:iCs/>
          <w:noProof/>
          <w:sz w:val="24"/>
          <w:szCs w:val="24"/>
        </w:rPr>
        <w:t>Atlantes Press</w:t>
      </w:r>
      <w:r w:rsidRPr="00542D66">
        <w:rPr>
          <w:rFonts w:ascii="Times New Roman" w:hAnsi="Times New Roman" w:cs="Times New Roman"/>
          <w:noProof/>
          <w:sz w:val="24"/>
          <w:szCs w:val="24"/>
        </w:rPr>
        <w:t>, 234–239. https://doi.org/10.2991/AEBMR.K.200522.045</w:t>
      </w:r>
    </w:p>
    <w:p w14:paraId="5E7348E1"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Fathorrahman, A Hashfi Luthfi, Riyanta, &amp; Ach Fatayillah Mursyidi. (2024). Dynamics of Thought in the Fiqh of Civilization Halaqah at Pesantren Affiliated with Nahdlatul Ulama (NU) in Yogyakarta. </w:t>
      </w:r>
      <w:r w:rsidRPr="00542D66">
        <w:rPr>
          <w:rFonts w:ascii="Times New Roman" w:hAnsi="Times New Roman" w:cs="Times New Roman"/>
          <w:i/>
          <w:iCs/>
          <w:noProof/>
          <w:sz w:val="24"/>
          <w:szCs w:val="24"/>
        </w:rPr>
        <w:t>Ijtihad : Jurnal Wacana Hukum Islam Dan Kemanusiaan</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24</w:t>
      </w:r>
      <w:r w:rsidRPr="00542D66">
        <w:rPr>
          <w:rFonts w:ascii="Times New Roman" w:hAnsi="Times New Roman" w:cs="Times New Roman"/>
          <w:noProof/>
          <w:sz w:val="24"/>
          <w:szCs w:val="24"/>
        </w:rPr>
        <w:t>(1), 71–95. https://doi.org/10.18326/ijtihad.v24i1.71-95</w:t>
      </w:r>
    </w:p>
    <w:p w14:paraId="07BFD5F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Gaganis, C., Papadimitri, P., Pasiouras, F., &amp; Tasiou, M. (2023). Social traits and credit card default: a two-stage prediction framework. </w:t>
      </w:r>
      <w:r w:rsidRPr="00542D66">
        <w:rPr>
          <w:rFonts w:ascii="Times New Roman" w:hAnsi="Times New Roman" w:cs="Times New Roman"/>
          <w:i/>
          <w:iCs/>
          <w:noProof/>
          <w:sz w:val="24"/>
          <w:szCs w:val="24"/>
        </w:rPr>
        <w:t>Annals of Operations Research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325</w:t>
      </w:r>
      <w:r w:rsidRPr="00542D66">
        <w:rPr>
          <w:rFonts w:ascii="Times New Roman" w:hAnsi="Times New Roman" w:cs="Times New Roman"/>
          <w:noProof/>
          <w:sz w:val="24"/>
          <w:szCs w:val="24"/>
        </w:rPr>
        <w:t xml:space="preserve">(2), </w:t>
      </w:r>
      <w:r w:rsidRPr="00542D66">
        <w:rPr>
          <w:rFonts w:ascii="Times New Roman" w:hAnsi="Times New Roman" w:cs="Times New Roman"/>
          <w:noProof/>
          <w:sz w:val="24"/>
          <w:szCs w:val="24"/>
        </w:rPr>
        <w:lastRenderedPageBreak/>
        <w:t>1231–1253. https://doi.org/10.1007/s10479-022-04859-1</w:t>
      </w:r>
    </w:p>
    <w:p w14:paraId="6580A36C"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Hamzah, H., &amp; Yudiawan, A. (2023). The contribution of infaq funds to socio-economic resilience during COVID-19 pandemic: An Islamic economics insight from Indonesia. </w:t>
      </w:r>
      <w:r w:rsidRPr="00542D66">
        <w:rPr>
          <w:rFonts w:ascii="Times New Roman" w:hAnsi="Times New Roman" w:cs="Times New Roman"/>
          <w:i/>
          <w:iCs/>
          <w:noProof/>
          <w:sz w:val="24"/>
          <w:szCs w:val="24"/>
        </w:rPr>
        <w:t>HTS Teologiese Studies / Theological Studies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79</w:t>
      </w:r>
      <w:r w:rsidRPr="00542D66">
        <w:rPr>
          <w:rFonts w:ascii="Times New Roman" w:hAnsi="Times New Roman" w:cs="Times New Roman"/>
          <w:noProof/>
          <w:sz w:val="24"/>
          <w:szCs w:val="24"/>
        </w:rPr>
        <w:t>(1). https://doi.org/10.4102/hts.v79i1.8213</w:t>
      </w:r>
    </w:p>
    <w:p w14:paraId="130A4AA4"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Handoko, W., Nasution, I. P., Wahyudi, W. R., Yogaswara, H., Subair, M., Kholis, N., Massoweang, K., Firmanto, A., &amp; Akbar, A. (2024). The Relationship of Islam and Locality in the Architecture of the Wapauwe Ancient Mosque in Maluku. </w:t>
      </w:r>
      <w:r w:rsidRPr="00542D66">
        <w:rPr>
          <w:rFonts w:ascii="Times New Roman" w:hAnsi="Times New Roman" w:cs="Times New Roman"/>
          <w:i/>
          <w:iCs/>
          <w:noProof/>
          <w:sz w:val="24"/>
          <w:szCs w:val="24"/>
        </w:rPr>
        <w:t>Journal of Islamic Architecture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8</w:t>
      </w:r>
      <w:r w:rsidRPr="00542D66">
        <w:rPr>
          <w:rFonts w:ascii="Times New Roman" w:hAnsi="Times New Roman" w:cs="Times New Roman"/>
          <w:noProof/>
          <w:sz w:val="24"/>
          <w:szCs w:val="24"/>
        </w:rPr>
        <w:t>(1), 184–198. https://doi.org/10.18860/jia.v8i1.21729</w:t>
      </w:r>
    </w:p>
    <w:p w14:paraId="0CDE3858"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Hasiba, F. F., Mahmudah, S. N., &amp; Puji Sucia Sukmaningrum, Shochrul Rohmatul Ajija, M. B. F. Z. (2021). The Strategies for Developing Micro Waqf Bank in Indonesia. </w:t>
      </w:r>
      <w:r w:rsidRPr="00542D66">
        <w:rPr>
          <w:rFonts w:ascii="Times New Roman" w:hAnsi="Times New Roman" w:cs="Times New Roman"/>
          <w:i/>
          <w:iCs/>
          <w:noProof/>
          <w:sz w:val="24"/>
          <w:szCs w:val="24"/>
        </w:rPr>
        <w:t>Rigeo.Org</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11</w:t>
      </w:r>
      <w:r w:rsidRPr="00542D66">
        <w:rPr>
          <w:rFonts w:ascii="Times New Roman" w:hAnsi="Times New Roman" w:cs="Times New Roman"/>
          <w:noProof/>
          <w:sz w:val="24"/>
          <w:szCs w:val="24"/>
        </w:rPr>
        <w:t>(4), 2021. https://doi.org/10.48047/rigeo.11.04.24</w:t>
      </w:r>
    </w:p>
    <w:p w14:paraId="44243560"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Islam, M. S. (2021). Role of Islamic microfinance in women’s empowerment: evidence from Rural Development Scheme of Islami Bank Bangladesh Limited. </w:t>
      </w:r>
      <w:r w:rsidRPr="00542D66">
        <w:rPr>
          <w:rFonts w:ascii="Times New Roman" w:hAnsi="Times New Roman" w:cs="Times New Roman"/>
          <w:i/>
          <w:iCs/>
          <w:noProof/>
          <w:sz w:val="24"/>
          <w:szCs w:val="24"/>
        </w:rPr>
        <w:t>ISRA International Journal of Islamic Finance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13</w:t>
      </w:r>
      <w:r w:rsidRPr="00542D66">
        <w:rPr>
          <w:rFonts w:ascii="Times New Roman" w:hAnsi="Times New Roman" w:cs="Times New Roman"/>
          <w:noProof/>
          <w:sz w:val="24"/>
          <w:szCs w:val="24"/>
        </w:rPr>
        <w:t>(1), 26–45. https://doi.org/10.1108/IJIF-11-2019-0174/FULL/HTML</w:t>
      </w:r>
    </w:p>
    <w:p w14:paraId="3C208090"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Ismail, S., Sabri, H., Asari, H., Yamin, M., &amp; Yunus, M. M. (2024). Fostering Emotional and Moral Development in Islamic Boarding Schools: The Impact of TalaqqÃ® and á¸¤alaqa Traditions. </w:t>
      </w:r>
      <w:r w:rsidRPr="00542D66">
        <w:rPr>
          <w:rFonts w:ascii="Times New Roman" w:hAnsi="Times New Roman" w:cs="Times New Roman"/>
          <w:i/>
          <w:iCs/>
          <w:noProof/>
          <w:sz w:val="24"/>
          <w:szCs w:val="24"/>
        </w:rPr>
        <w:t>Jurnal Pendidikan Islam</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10</w:t>
      </w:r>
      <w:r w:rsidRPr="00542D66">
        <w:rPr>
          <w:rFonts w:ascii="Times New Roman" w:hAnsi="Times New Roman" w:cs="Times New Roman"/>
          <w:noProof/>
          <w:sz w:val="24"/>
          <w:szCs w:val="24"/>
        </w:rPr>
        <w:t>(1), 13–24. https://doi.org/10.15575/jpi.v0i0.35124</w:t>
      </w:r>
    </w:p>
    <w:p w14:paraId="45F0E23D"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Iwang Suwangsih, Nuzulul Fatimah, Noneng Rukayah Sukatmadiredja, &amp; Emmywati. (2021). THE IMPACT OF IMPLEMENTATION OF A JOINT LIABILITY SYSTEM ON MEMBER BEHAVIOR. </w:t>
      </w:r>
      <w:r w:rsidRPr="00542D66">
        <w:rPr>
          <w:rFonts w:ascii="Times New Roman" w:hAnsi="Times New Roman" w:cs="Times New Roman"/>
          <w:i/>
          <w:iCs/>
          <w:noProof/>
          <w:sz w:val="24"/>
          <w:szCs w:val="24"/>
        </w:rPr>
        <w:t>Journal of Islamic Economics Perspectives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w:t>
      </w:r>
      <w:r w:rsidRPr="00542D66">
        <w:rPr>
          <w:rFonts w:ascii="Times New Roman" w:hAnsi="Times New Roman" w:cs="Times New Roman"/>
          <w:noProof/>
          <w:sz w:val="24"/>
          <w:szCs w:val="24"/>
        </w:rPr>
        <w:t>(1), 88–100. https://doi.org/10.35719/JIEP.V3I1.41</w:t>
      </w:r>
    </w:p>
    <w:p w14:paraId="45241467"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Lavy, V., Lotti, G., &amp; Yan, Z. (2022). Empowering Mothers and Enhancing Early Childhood Investment. </w:t>
      </w:r>
      <w:r w:rsidRPr="00542D66">
        <w:rPr>
          <w:rFonts w:ascii="Times New Roman" w:hAnsi="Times New Roman" w:cs="Times New Roman"/>
          <w:i/>
          <w:iCs/>
          <w:noProof/>
          <w:sz w:val="24"/>
          <w:szCs w:val="24"/>
        </w:rPr>
        <w:t>Journal of Human Resources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57</w:t>
      </w:r>
      <w:r w:rsidRPr="00542D66">
        <w:rPr>
          <w:rFonts w:ascii="Times New Roman" w:hAnsi="Times New Roman" w:cs="Times New Roman"/>
          <w:noProof/>
          <w:sz w:val="24"/>
          <w:szCs w:val="24"/>
        </w:rPr>
        <w:t>(3), 821–867. https://doi.org/10.3368/jhr.57.3.0917-9083R2</w:t>
      </w:r>
    </w:p>
    <w:p w14:paraId="142F8FE2"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Lueg, K., &amp; Ni, A. (2020). Female Entrepreneurs and Access to Financial Capital. </w:t>
      </w:r>
      <w:r w:rsidRPr="00542D66">
        <w:rPr>
          <w:rFonts w:ascii="Times New Roman" w:hAnsi="Times New Roman" w:cs="Times New Roman"/>
          <w:i/>
          <w:iCs/>
          <w:noProof/>
          <w:sz w:val="24"/>
          <w:szCs w:val="24"/>
        </w:rPr>
        <w:t>Asian Journal of Social Science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48</w:t>
      </w:r>
      <w:r w:rsidRPr="00542D66">
        <w:rPr>
          <w:rFonts w:ascii="Times New Roman" w:hAnsi="Times New Roman" w:cs="Times New Roman"/>
          <w:noProof/>
          <w:sz w:val="24"/>
          <w:szCs w:val="24"/>
        </w:rPr>
        <w:t>(1–2), 15–43. https://doi.org/10.1163/15685314-04801003</w:t>
      </w:r>
    </w:p>
    <w:p w14:paraId="7FAF8A1E"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Mukthar, K. P. J., Asis, H. R., Vílchez-Vásquez, R., Huaman-Osorio, A., &amp; Alvarado-Tolentino, J. (2023). Estimating Women Entrepreneurial Empowerment of Start-Up Business Through Micro Credit Model in Rural Areas. </w:t>
      </w:r>
      <w:r w:rsidRPr="00542D66">
        <w:rPr>
          <w:rFonts w:ascii="Times New Roman" w:hAnsi="Times New Roman" w:cs="Times New Roman"/>
          <w:i/>
          <w:iCs/>
          <w:noProof/>
          <w:sz w:val="24"/>
          <w:szCs w:val="24"/>
        </w:rPr>
        <w:t>Lecture Notes in Networks and Systems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495 LNNS</w:t>
      </w:r>
      <w:r w:rsidRPr="00542D66">
        <w:rPr>
          <w:rFonts w:ascii="Times New Roman" w:hAnsi="Times New Roman" w:cs="Times New Roman"/>
          <w:noProof/>
          <w:sz w:val="24"/>
          <w:szCs w:val="24"/>
        </w:rPr>
        <w:t>, 86–94. https://doi.org/10.1007/978-3-031-08954-1_8/COVER</w:t>
      </w:r>
    </w:p>
    <w:p w14:paraId="0C52A9DF"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Musta’anah, A., Bina Buono, K., Atika, R., Noviarita, H., Islam, U., Raden, N., &amp; Lampung, I. (2021). Analysis of Sharia Literacy Level and Sharia Financial Inclusion PNM Mekaar Sharia in Increasing Income Public (Study on the Fishing Community of Kuala Jaya Hamlet, South Lampung Regency). </w:t>
      </w:r>
      <w:r w:rsidRPr="00542D66">
        <w:rPr>
          <w:rFonts w:ascii="Times New Roman" w:hAnsi="Times New Roman" w:cs="Times New Roman"/>
          <w:i/>
          <w:iCs/>
          <w:noProof/>
          <w:sz w:val="24"/>
          <w:szCs w:val="24"/>
        </w:rPr>
        <w:t>Journal of Islamic Business and Economic Review</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w:t>
      </w:r>
      <w:r w:rsidRPr="00542D66">
        <w:rPr>
          <w:rFonts w:ascii="Times New Roman" w:hAnsi="Times New Roman" w:cs="Times New Roman"/>
          <w:noProof/>
          <w:sz w:val="24"/>
          <w:szCs w:val="24"/>
        </w:rPr>
        <w:t>(2), 97–101.</w:t>
      </w:r>
    </w:p>
    <w:p w14:paraId="5A4B84FC"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Niaz, M. U. (2022). Socio-Economic development and sustainable development goals: a roadmap from vulnerability to sustainability through financial inclusion. </w:t>
      </w:r>
      <w:r w:rsidRPr="00542D66">
        <w:rPr>
          <w:rFonts w:ascii="Times New Roman" w:hAnsi="Times New Roman" w:cs="Times New Roman"/>
          <w:i/>
          <w:iCs/>
          <w:noProof/>
          <w:sz w:val="24"/>
          <w:szCs w:val="24"/>
        </w:rPr>
        <w:t>Economic Research-Ekonomska Istraživanja</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35</w:t>
      </w:r>
      <w:r w:rsidRPr="00542D66">
        <w:rPr>
          <w:rFonts w:ascii="Times New Roman" w:hAnsi="Times New Roman" w:cs="Times New Roman"/>
          <w:noProof/>
          <w:sz w:val="24"/>
          <w:szCs w:val="24"/>
        </w:rPr>
        <w:t xml:space="preserve">(1), 3243–3275. </w:t>
      </w:r>
      <w:r w:rsidRPr="00542D66">
        <w:rPr>
          <w:rFonts w:ascii="Times New Roman" w:hAnsi="Times New Roman" w:cs="Times New Roman"/>
          <w:noProof/>
          <w:sz w:val="24"/>
          <w:szCs w:val="24"/>
        </w:rPr>
        <w:lastRenderedPageBreak/>
        <w:t>https://doi.org/10.1080/1331677X.2021.1989319</w:t>
      </w:r>
    </w:p>
    <w:p w14:paraId="1E39A17F"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Nugroho, W., Islamic, F. H.-A.-I. J. of, &amp; 2019,  undefined. (2019). Micro Waqf Bank in Indonesia: Analysis of The Constitution Concept According to The Maqashid Sharia. </w:t>
      </w:r>
      <w:r w:rsidRPr="00542D66">
        <w:rPr>
          <w:rFonts w:ascii="Times New Roman" w:hAnsi="Times New Roman" w:cs="Times New Roman"/>
          <w:i/>
          <w:iCs/>
          <w:noProof/>
          <w:sz w:val="24"/>
          <w:szCs w:val="24"/>
        </w:rPr>
        <w:t>Ejournal.Unida.Gontor.Ac.Id</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w:t>
      </w:r>
      <w:r w:rsidRPr="00542D66">
        <w:rPr>
          <w:rFonts w:ascii="Times New Roman" w:hAnsi="Times New Roman" w:cs="Times New Roman"/>
          <w:noProof/>
          <w:sz w:val="24"/>
          <w:szCs w:val="24"/>
        </w:rPr>
        <w:t>(1).</w:t>
      </w:r>
    </w:p>
    <w:p w14:paraId="23F558D5"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Nurasyiah, A., Syamputri, D., Al Adawiyah, R. A., Mahri, A. J. W., &amp; Ismail, A. G. (2024). Islamic wealth management: ensuring the prosperity of Muslim households of MSMEs during Covid-19. </w:t>
      </w:r>
      <w:r w:rsidRPr="00542D66">
        <w:rPr>
          <w:rFonts w:ascii="Times New Roman" w:hAnsi="Times New Roman" w:cs="Times New Roman"/>
          <w:i/>
          <w:iCs/>
          <w:noProof/>
          <w:sz w:val="24"/>
          <w:szCs w:val="24"/>
        </w:rPr>
        <w:t>International Journal of Ethics and Systems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40</w:t>
      </w:r>
      <w:r w:rsidRPr="00542D66">
        <w:rPr>
          <w:rFonts w:ascii="Times New Roman" w:hAnsi="Times New Roman" w:cs="Times New Roman"/>
          <w:noProof/>
          <w:sz w:val="24"/>
          <w:szCs w:val="24"/>
        </w:rPr>
        <w:t>(1), 189–211. https://doi.org/10.1108/IJOES-09-2021-0165</w:t>
      </w:r>
    </w:p>
    <w:p w14:paraId="165DB91A"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Paramita, &amp; Prananingtyas, H. S. D. (2020). Legal Consequences of Dualism Regulations on Micro Waqf Bank as a Sharia Microfinance Institutions in Indonesia. </w:t>
      </w:r>
      <w:r w:rsidRPr="00542D66">
        <w:rPr>
          <w:rFonts w:ascii="Times New Roman" w:hAnsi="Times New Roman" w:cs="Times New Roman"/>
          <w:i/>
          <w:iCs/>
          <w:noProof/>
          <w:sz w:val="24"/>
          <w:szCs w:val="24"/>
        </w:rPr>
        <w:t>Varia Justicia</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16</w:t>
      </w:r>
      <w:r w:rsidRPr="00542D66">
        <w:rPr>
          <w:rFonts w:ascii="Times New Roman" w:hAnsi="Times New Roman" w:cs="Times New Roman"/>
          <w:noProof/>
          <w:sz w:val="24"/>
          <w:szCs w:val="24"/>
        </w:rPr>
        <w:t>(1), 1–14. https://doi.org/10.31603/variajusticia.v16i1.3205</w:t>
      </w:r>
    </w:p>
    <w:p w14:paraId="2492C621"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Pizzamiglio, R., &amp; Kovacs, P. (2021). Accelerating Women’s Empowerment Through Legal Empowerment and Social Accountability Strategies. </w:t>
      </w:r>
      <w:r w:rsidRPr="00542D66">
        <w:rPr>
          <w:rFonts w:ascii="Times New Roman" w:hAnsi="Times New Roman" w:cs="Times New Roman"/>
          <w:i/>
          <w:iCs/>
          <w:noProof/>
          <w:sz w:val="24"/>
          <w:szCs w:val="24"/>
        </w:rPr>
        <w:t>Journal of Human Development and Capabilities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22</w:t>
      </w:r>
      <w:r w:rsidRPr="00542D66">
        <w:rPr>
          <w:rFonts w:ascii="Times New Roman" w:hAnsi="Times New Roman" w:cs="Times New Roman"/>
          <w:noProof/>
          <w:sz w:val="24"/>
          <w:szCs w:val="24"/>
        </w:rPr>
        <w:t>(3), 517–526. https://doi.org/10.1080/19452829.2021.1890005</w:t>
      </w:r>
    </w:p>
    <w:p w14:paraId="2DC7B5DC"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Prastyaningtyas, E. W., Widjaja, S. U. M., Wahyono, H., Andayani, E. S., &amp; Rusdi, J. F. (2022). Methods for studying group loans, join responsibility, and women’s empowerment. </w:t>
      </w:r>
      <w:r w:rsidRPr="00542D66">
        <w:rPr>
          <w:rFonts w:ascii="Times New Roman" w:hAnsi="Times New Roman" w:cs="Times New Roman"/>
          <w:i/>
          <w:iCs/>
          <w:noProof/>
          <w:sz w:val="24"/>
          <w:szCs w:val="24"/>
        </w:rPr>
        <w:t>MethodsX</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9</w:t>
      </w:r>
      <w:r w:rsidRPr="00542D66">
        <w:rPr>
          <w:rFonts w:ascii="Times New Roman" w:hAnsi="Times New Roman" w:cs="Times New Roman"/>
          <w:noProof/>
          <w:sz w:val="24"/>
          <w:szCs w:val="24"/>
        </w:rPr>
        <w:t>, 101749. https://doi.org/10.1016/J.MEX.2022.101749</w:t>
      </w:r>
    </w:p>
    <w:p w14:paraId="6198728A"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Rana, M. Q., Lee, A., Rodrigues Bezerra, J. F., &amp; Villas Boas, G. H. (2024). Empowerment and Sustainability: Investigating Barriers to Women’s Transition from Higher Education to Empowerment in Brazil. </w:t>
      </w:r>
      <w:r w:rsidRPr="00542D66">
        <w:rPr>
          <w:rFonts w:ascii="Times New Roman" w:hAnsi="Times New Roman" w:cs="Times New Roman"/>
          <w:i/>
          <w:iCs/>
          <w:noProof/>
          <w:sz w:val="24"/>
          <w:szCs w:val="24"/>
        </w:rPr>
        <w:t>Societies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14</w:t>
      </w:r>
      <w:r w:rsidRPr="00542D66">
        <w:rPr>
          <w:rFonts w:ascii="Times New Roman" w:hAnsi="Times New Roman" w:cs="Times New Roman"/>
          <w:noProof/>
          <w:sz w:val="24"/>
          <w:szCs w:val="24"/>
        </w:rPr>
        <w:t>(11), 234. https://doi.org/10.3390/soc14110234</w:t>
      </w:r>
    </w:p>
    <w:p w14:paraId="306F0C20"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Richey, M., Brooks, J., &amp; Ravishankar, M. N. (2022). Building self-determination of disadvantaged groups: insights from an entrepreneurship focused program for refugees. </w:t>
      </w:r>
      <w:r w:rsidRPr="00542D66">
        <w:rPr>
          <w:rFonts w:ascii="Times New Roman" w:hAnsi="Times New Roman" w:cs="Times New Roman"/>
          <w:i/>
          <w:iCs/>
          <w:noProof/>
          <w:sz w:val="24"/>
          <w:szCs w:val="24"/>
        </w:rPr>
        <w:t>International Journal of Entrepreneurial Behavior &amp; Research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28</w:t>
      </w:r>
      <w:r w:rsidRPr="00542D66">
        <w:rPr>
          <w:rFonts w:ascii="Times New Roman" w:hAnsi="Times New Roman" w:cs="Times New Roman"/>
          <w:noProof/>
          <w:sz w:val="24"/>
          <w:szCs w:val="24"/>
        </w:rPr>
        <w:t>(7), 1828–1850. https://doi.org/10.1108/IJEBR-10-2021-0806</w:t>
      </w:r>
    </w:p>
    <w:p w14:paraId="2F30E1FF"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Ritonga, T., Ananda, A., Lanin, D., &amp; Hasan, H. (2019). Practice to theory of learning: A lesson learned from islamic boarding school in South Tapanuli of Indonesia. </w:t>
      </w:r>
      <w:r w:rsidRPr="00542D66">
        <w:rPr>
          <w:rFonts w:ascii="Times New Roman" w:hAnsi="Times New Roman" w:cs="Times New Roman"/>
          <w:i/>
          <w:iCs/>
          <w:noProof/>
          <w:sz w:val="24"/>
          <w:szCs w:val="24"/>
        </w:rPr>
        <w:t>Humanities and Social Sciences Reviews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7</w:t>
      </w:r>
      <w:r w:rsidRPr="00542D66">
        <w:rPr>
          <w:rFonts w:ascii="Times New Roman" w:hAnsi="Times New Roman" w:cs="Times New Roman"/>
          <w:noProof/>
          <w:sz w:val="24"/>
          <w:szCs w:val="24"/>
        </w:rPr>
        <w:t>(5), 1304–1310. https://doi.org/10.18510/hssr.2019.75169</w:t>
      </w:r>
    </w:p>
    <w:p w14:paraId="015ABA39"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Rozalinda. (2020). Bank Wakaf Mikro: Its Operations and Its Role in Empowering Communities Surrounding Islamic Boarding Schools in Indonesia. </w:t>
      </w:r>
      <w:r w:rsidRPr="00542D66">
        <w:rPr>
          <w:rFonts w:ascii="Times New Roman" w:hAnsi="Times New Roman" w:cs="Times New Roman"/>
          <w:i/>
          <w:iCs/>
          <w:noProof/>
          <w:sz w:val="24"/>
          <w:szCs w:val="24"/>
        </w:rPr>
        <w:t>Islam Realitas: Journal of Islamic and Social Studies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6</w:t>
      </w:r>
      <w:r w:rsidRPr="00542D66">
        <w:rPr>
          <w:rFonts w:ascii="Times New Roman" w:hAnsi="Times New Roman" w:cs="Times New Roman"/>
          <w:noProof/>
          <w:sz w:val="24"/>
          <w:szCs w:val="24"/>
        </w:rPr>
        <w:t>(1), 47–60.</w:t>
      </w:r>
    </w:p>
    <w:p w14:paraId="10A6D43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Rozalinda, R., &amp; Nurhasnah, N. (2022). Islamic Boarding School-Based Women’s Economic Empowerment and Its Impact on Increasing Home Industry Income. </w:t>
      </w:r>
      <w:r w:rsidRPr="00542D66">
        <w:rPr>
          <w:rFonts w:ascii="Times New Roman" w:hAnsi="Times New Roman" w:cs="Times New Roman"/>
          <w:i/>
          <w:iCs/>
          <w:noProof/>
          <w:sz w:val="24"/>
          <w:szCs w:val="24"/>
        </w:rPr>
        <w:t>Annual International Conference on Islamic Economics and Business (AICIEB)</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w:t>
      </w:r>
      <w:r w:rsidRPr="00542D66">
        <w:rPr>
          <w:rFonts w:ascii="Times New Roman" w:hAnsi="Times New Roman" w:cs="Times New Roman"/>
          <w:noProof/>
          <w:sz w:val="24"/>
          <w:szCs w:val="24"/>
        </w:rPr>
        <w:t>(1), 432–448. https://doi.org/10.18326/AICIEB.V2I1.126</w:t>
      </w:r>
    </w:p>
    <w:p w14:paraId="6B28A5C3"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Santoso, M. A. F., &amp; Khisbiyah, Y. (2021). Islam-based peace education: values, program, reflection and implication. </w:t>
      </w:r>
      <w:r w:rsidRPr="00542D66">
        <w:rPr>
          <w:rFonts w:ascii="Times New Roman" w:hAnsi="Times New Roman" w:cs="Times New Roman"/>
          <w:i/>
          <w:iCs/>
          <w:noProof/>
          <w:sz w:val="24"/>
          <w:szCs w:val="24"/>
        </w:rPr>
        <w:t>Indonesian Journal of Islam and Muslim Societies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11</w:t>
      </w:r>
      <w:r w:rsidRPr="00542D66">
        <w:rPr>
          <w:rFonts w:ascii="Times New Roman" w:hAnsi="Times New Roman" w:cs="Times New Roman"/>
          <w:noProof/>
          <w:sz w:val="24"/>
          <w:szCs w:val="24"/>
        </w:rPr>
        <w:t>(1), 185–207. https://doi.org/10.18326/ijims.v11i1.185-207</w:t>
      </w:r>
    </w:p>
    <w:p w14:paraId="116C1660"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Senapati, A. K., &amp; Ojha, K. (2019). Socio-economic Empowerment of Women Through Micro-entrepreneurship: Evidence from Odisha, India. </w:t>
      </w:r>
      <w:r w:rsidRPr="00542D66">
        <w:rPr>
          <w:rFonts w:ascii="Times New Roman" w:hAnsi="Times New Roman" w:cs="Times New Roman"/>
          <w:i/>
          <w:iCs/>
          <w:noProof/>
          <w:sz w:val="24"/>
          <w:szCs w:val="24"/>
        </w:rPr>
        <w:t xml:space="preserve">International Journal of Rural </w:t>
      </w:r>
      <w:r w:rsidRPr="00542D66">
        <w:rPr>
          <w:rFonts w:ascii="Times New Roman" w:hAnsi="Times New Roman" w:cs="Times New Roman"/>
          <w:i/>
          <w:iCs/>
          <w:noProof/>
          <w:sz w:val="24"/>
          <w:szCs w:val="24"/>
        </w:rPr>
        <w:lastRenderedPageBreak/>
        <w:t>Management</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15</w:t>
      </w:r>
      <w:r w:rsidRPr="00542D66">
        <w:rPr>
          <w:rFonts w:ascii="Times New Roman" w:hAnsi="Times New Roman" w:cs="Times New Roman"/>
          <w:noProof/>
          <w:sz w:val="24"/>
          <w:szCs w:val="24"/>
        </w:rPr>
        <w:t>(2), 159–184. https://doi.org/10.1177/0973005219866588</w:t>
      </w:r>
    </w:p>
    <w:p w14:paraId="7AA32BBA"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Sibbald, S. L., Burnet, M. L., Callery, B., &amp; Mitchell, J. I. (2022). Building a virtual community of practice: experience from the Canadian foundation for healthcare improvement’s policy circle. </w:t>
      </w:r>
      <w:r w:rsidRPr="00542D66">
        <w:rPr>
          <w:rFonts w:ascii="Times New Roman" w:hAnsi="Times New Roman" w:cs="Times New Roman"/>
          <w:i/>
          <w:iCs/>
          <w:noProof/>
          <w:sz w:val="24"/>
          <w:szCs w:val="24"/>
        </w:rPr>
        <w:t>Health Research Policy and Systems</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20</w:t>
      </w:r>
      <w:r w:rsidRPr="00542D66">
        <w:rPr>
          <w:rFonts w:ascii="Times New Roman" w:hAnsi="Times New Roman" w:cs="Times New Roman"/>
          <w:noProof/>
          <w:sz w:val="24"/>
          <w:szCs w:val="24"/>
        </w:rPr>
        <w:t>(1), 95. https://doi.org/10.1186/s12961-022-00897-0</w:t>
      </w:r>
    </w:p>
    <w:p w14:paraId="60D16A04"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Soemitra, A., Kusmilawaty, &amp; Rahma, T. I. F. (2022). The Role of Micro Waqf Bank in Women&amp;rsquo;s Micro-Business Empowerment through Islamic Social Finance: Mixed-Method Evidence from Mawaridussalam Indonesia. </w:t>
      </w:r>
      <w:r w:rsidRPr="00542D66">
        <w:rPr>
          <w:rFonts w:ascii="Times New Roman" w:hAnsi="Times New Roman" w:cs="Times New Roman"/>
          <w:i/>
          <w:iCs/>
          <w:noProof/>
          <w:sz w:val="24"/>
          <w:szCs w:val="24"/>
        </w:rPr>
        <w:t>Economies 2022, Vol. 10, Page 157</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10</w:t>
      </w:r>
      <w:r w:rsidRPr="00542D66">
        <w:rPr>
          <w:rFonts w:ascii="Times New Roman" w:hAnsi="Times New Roman" w:cs="Times New Roman"/>
          <w:noProof/>
          <w:sz w:val="24"/>
          <w:szCs w:val="24"/>
        </w:rPr>
        <w:t>(7), 157. https://doi.org/10.3390/ECONOMIES10070157</w:t>
      </w:r>
    </w:p>
    <w:p w14:paraId="5CDD0793"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Sulistiani, S. L., Yunus, M., &amp; Bayuni, E. M. (2020). Micro Waqf Bank: New Sharia Financial Instruments in Indonesia. </w:t>
      </w:r>
      <w:r w:rsidRPr="00542D66">
        <w:rPr>
          <w:rFonts w:ascii="Times New Roman" w:hAnsi="Times New Roman" w:cs="Times New Roman"/>
          <w:i/>
          <w:iCs/>
          <w:noProof/>
          <w:sz w:val="24"/>
          <w:szCs w:val="24"/>
        </w:rPr>
        <w:t>Advances in Social Science, Education and Humanities Research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409</w:t>
      </w:r>
      <w:r w:rsidRPr="00542D66">
        <w:rPr>
          <w:rFonts w:ascii="Times New Roman" w:hAnsi="Times New Roman" w:cs="Times New Roman"/>
          <w:noProof/>
          <w:sz w:val="24"/>
          <w:szCs w:val="24"/>
        </w:rPr>
        <w:t>, 1–4. https://doi.org/10.2991/ASSEHR.K.200225.001</w:t>
      </w:r>
    </w:p>
    <w:p w14:paraId="2678705D"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Taja, N., Nurdin, E. S., Kosasih, A., Suresman, E., &amp; Supriyadi, T. (2021). Character Education in the Pandemic Era: A Religious Ethical Learning Model through Islamic Education. </w:t>
      </w:r>
      <w:r w:rsidRPr="00542D66">
        <w:rPr>
          <w:rFonts w:ascii="Times New Roman" w:hAnsi="Times New Roman" w:cs="Times New Roman"/>
          <w:i/>
          <w:iCs/>
          <w:noProof/>
          <w:sz w:val="24"/>
          <w:szCs w:val="24"/>
        </w:rPr>
        <w:t>International Journal of Learning, Teaching and Educational Research</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20</w:t>
      </w:r>
      <w:r w:rsidRPr="00542D66">
        <w:rPr>
          <w:rFonts w:ascii="Times New Roman" w:hAnsi="Times New Roman" w:cs="Times New Roman"/>
          <w:noProof/>
          <w:sz w:val="24"/>
          <w:szCs w:val="24"/>
        </w:rPr>
        <w:t>(11), 132–153. https://doi.org/10.26803/ijlter.20.11.8</w:t>
      </w:r>
    </w:p>
    <w:p w14:paraId="757B7114"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Tripathi, S., &amp; Rajeev, M. (2023). Gender-Inclusive Development through Fintech: Studying Gender-Based Digital Financial Inclusion in a Cross-Country Setting. </w:t>
      </w:r>
      <w:r w:rsidRPr="00542D66">
        <w:rPr>
          <w:rFonts w:ascii="Times New Roman" w:hAnsi="Times New Roman" w:cs="Times New Roman"/>
          <w:i/>
          <w:iCs/>
          <w:noProof/>
          <w:sz w:val="24"/>
          <w:szCs w:val="24"/>
        </w:rPr>
        <w:t>Sustainability</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15</w:t>
      </w:r>
      <w:r w:rsidRPr="00542D66">
        <w:rPr>
          <w:rFonts w:ascii="Times New Roman" w:hAnsi="Times New Roman" w:cs="Times New Roman"/>
          <w:noProof/>
          <w:sz w:val="24"/>
          <w:szCs w:val="24"/>
        </w:rPr>
        <w:t>(13), 10253. https://doi.org/10.3390/su151310253</w:t>
      </w:r>
    </w:p>
    <w:p w14:paraId="1BAE0F8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Widyanti, A. (2020). STRATEGY MARKETING OF SHARIA BANKS OF MICRO SHARIA WAKAF IN INCREASING THE NUMBER OF CUSTOMERS (Case Study: Typical Islamic Micro Waqf Bank Kempek Cirebon). </w:t>
      </w:r>
      <w:r w:rsidRPr="00542D66">
        <w:rPr>
          <w:rFonts w:ascii="Times New Roman" w:hAnsi="Times New Roman" w:cs="Times New Roman"/>
          <w:i/>
          <w:iCs/>
          <w:noProof/>
          <w:sz w:val="24"/>
          <w:szCs w:val="24"/>
        </w:rPr>
        <w:t>Journal of Social Science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w:t>
      </w:r>
      <w:r w:rsidRPr="00542D66">
        <w:rPr>
          <w:rFonts w:ascii="Times New Roman" w:hAnsi="Times New Roman" w:cs="Times New Roman"/>
          <w:noProof/>
          <w:sz w:val="24"/>
          <w:szCs w:val="24"/>
        </w:rPr>
        <w:t>(1), 1–9. https://doi.org/10.46799/JSS.V1I1.2</w:t>
      </w:r>
    </w:p>
    <w:p w14:paraId="7F9703F6"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Xu, Y., Cheng, W., &amp; Zhang, L. (2020). Switching from Group Lending to Individual Lending: The Experience at China’s Largest Microfinance Institution. </w:t>
      </w:r>
      <w:r w:rsidRPr="00542D66">
        <w:rPr>
          <w:rFonts w:ascii="Times New Roman" w:hAnsi="Times New Roman" w:cs="Times New Roman"/>
          <w:i/>
          <w:iCs/>
          <w:noProof/>
          <w:sz w:val="24"/>
          <w:szCs w:val="24"/>
        </w:rPr>
        <w:t>Emerging Markets Finance and Trade</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56</w:t>
      </w:r>
      <w:r w:rsidRPr="00542D66">
        <w:rPr>
          <w:rFonts w:ascii="Times New Roman" w:hAnsi="Times New Roman" w:cs="Times New Roman"/>
          <w:noProof/>
          <w:sz w:val="24"/>
          <w:szCs w:val="24"/>
        </w:rPr>
        <w:t>(9), 1989–2006. https://doi.org/10.1080/1540496X.2019.1636228</w:t>
      </w:r>
    </w:p>
    <w:p w14:paraId="5F7FE49C"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Yamin, A., &amp; Dalimunthe. (2020). Classic Islamic Education Heritage in Halaqah and Munazharah. </w:t>
      </w:r>
      <w:r w:rsidRPr="00542D66">
        <w:rPr>
          <w:rFonts w:ascii="Times New Roman" w:hAnsi="Times New Roman" w:cs="Times New Roman"/>
          <w:i/>
          <w:iCs/>
          <w:noProof/>
          <w:sz w:val="24"/>
          <w:szCs w:val="24"/>
        </w:rPr>
        <w:t>194.31.53.129</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6</w:t>
      </w:r>
      <w:r w:rsidRPr="00542D66">
        <w:rPr>
          <w:rFonts w:ascii="Times New Roman" w:hAnsi="Times New Roman" w:cs="Times New Roman"/>
          <w:noProof/>
          <w:sz w:val="24"/>
          <w:szCs w:val="24"/>
        </w:rPr>
        <w:t>(2), 249–343. https://doi.org/10.24952/tazkir.v6i2.1315</w:t>
      </w:r>
    </w:p>
    <w:p w14:paraId="48721268"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Zengin Arslan, B. (2020). Reading the Universe with Heart and Practicing Science as Religious Ethics: Reconciling Islam and Science in Contemporary Turkey. </w:t>
      </w:r>
      <w:r w:rsidRPr="00542D66">
        <w:rPr>
          <w:rFonts w:ascii="Times New Roman" w:hAnsi="Times New Roman" w:cs="Times New Roman"/>
          <w:i/>
          <w:iCs/>
          <w:noProof/>
          <w:sz w:val="24"/>
          <w:szCs w:val="24"/>
        </w:rPr>
        <w:t>Social Epistemology</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34</w:t>
      </w:r>
      <w:r w:rsidRPr="00542D66">
        <w:rPr>
          <w:rFonts w:ascii="Times New Roman" w:hAnsi="Times New Roman" w:cs="Times New Roman"/>
          <w:noProof/>
          <w:sz w:val="24"/>
          <w:szCs w:val="24"/>
        </w:rPr>
        <w:t>(3), 265–280. https://doi.org/10.1080/02691728.2019.1672824</w:t>
      </w:r>
    </w:p>
    <w:p w14:paraId="5B390289"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Zhang, L., Chen, J., Liu, Z., &amp; Hao, Z. (2023). Digital Inclusive Finance, Financing Constraints, and Technological Innovation of SMEs—Differences in the Effects of Financial Regulation and Government Subsidies. </w:t>
      </w:r>
      <w:r w:rsidRPr="00542D66">
        <w:rPr>
          <w:rFonts w:ascii="Times New Roman" w:hAnsi="Times New Roman" w:cs="Times New Roman"/>
          <w:i/>
          <w:iCs/>
          <w:noProof/>
          <w:sz w:val="24"/>
          <w:szCs w:val="24"/>
        </w:rPr>
        <w:t>Sustainability</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15</w:t>
      </w:r>
      <w:r w:rsidRPr="00542D66">
        <w:rPr>
          <w:rFonts w:ascii="Times New Roman" w:hAnsi="Times New Roman" w:cs="Times New Roman"/>
          <w:noProof/>
          <w:sz w:val="24"/>
          <w:szCs w:val="24"/>
        </w:rPr>
        <w:t>(9), 7144. https://doi.org/10.3390/su15097144</w:t>
      </w:r>
    </w:p>
    <w:p w14:paraId="35232B0B"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Zhao, H., Liu, X., Zhang, X., Wei, Y., &amp; Liu, C. (2022). The effects of person-organization fit on lending behaviors: Empirical evidence from Kiva. </w:t>
      </w:r>
      <w:r w:rsidRPr="00542D66">
        <w:rPr>
          <w:rFonts w:ascii="Times New Roman" w:hAnsi="Times New Roman" w:cs="Times New Roman"/>
          <w:i/>
          <w:iCs/>
          <w:noProof/>
          <w:sz w:val="24"/>
          <w:szCs w:val="24"/>
        </w:rPr>
        <w:t>Journal of Management Science and Engineering</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7</w:t>
      </w:r>
      <w:r w:rsidRPr="00542D66">
        <w:rPr>
          <w:rFonts w:ascii="Times New Roman" w:hAnsi="Times New Roman" w:cs="Times New Roman"/>
          <w:noProof/>
          <w:sz w:val="24"/>
          <w:szCs w:val="24"/>
        </w:rPr>
        <w:t>(1), 133–145. https://doi.org/10.1016/j.jmse.2021.09.004</w:t>
      </w:r>
    </w:p>
    <w:p w14:paraId="213726B4"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szCs w:val="24"/>
        </w:rPr>
      </w:pPr>
      <w:r w:rsidRPr="00542D66">
        <w:rPr>
          <w:rFonts w:ascii="Times New Roman" w:hAnsi="Times New Roman" w:cs="Times New Roman"/>
          <w:noProof/>
          <w:sz w:val="24"/>
          <w:szCs w:val="24"/>
        </w:rPr>
        <w:t xml:space="preserve">Zitouni, T., &amp; Ben Jedidia, K. (2022). Does Islamic microfinance contribute to economic </w:t>
      </w:r>
      <w:r w:rsidRPr="00542D66">
        <w:rPr>
          <w:rFonts w:ascii="Times New Roman" w:hAnsi="Times New Roman" w:cs="Times New Roman"/>
          <w:noProof/>
          <w:sz w:val="24"/>
          <w:szCs w:val="24"/>
        </w:rPr>
        <w:lastRenderedPageBreak/>
        <w:t xml:space="preserve">empowerment in Tunisia?: a case study of Zitouna Tamkeen. </w:t>
      </w:r>
      <w:r w:rsidRPr="00542D66">
        <w:rPr>
          <w:rFonts w:ascii="Times New Roman" w:hAnsi="Times New Roman" w:cs="Times New Roman"/>
          <w:i/>
          <w:iCs/>
          <w:noProof/>
          <w:sz w:val="24"/>
          <w:szCs w:val="24"/>
        </w:rPr>
        <w:t>Journal of Business and Socio-Economic Development</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2</w:t>
      </w:r>
      <w:r w:rsidRPr="00542D66">
        <w:rPr>
          <w:rFonts w:ascii="Times New Roman" w:hAnsi="Times New Roman" w:cs="Times New Roman"/>
          <w:noProof/>
          <w:sz w:val="24"/>
          <w:szCs w:val="24"/>
        </w:rPr>
        <w:t>(1), 67–81. https://doi.org/10.1108/JBSED-10-2021-0143/FULL/HTML</w:t>
      </w:r>
    </w:p>
    <w:p w14:paraId="5BD49BD5" w14:textId="77777777" w:rsidR="00542D66" w:rsidRPr="00542D66" w:rsidRDefault="00542D66" w:rsidP="00542D66">
      <w:pPr>
        <w:widowControl w:val="0"/>
        <w:autoSpaceDE w:val="0"/>
        <w:autoSpaceDN w:val="0"/>
        <w:adjustRightInd w:val="0"/>
        <w:spacing w:before="240" w:after="120" w:line="240" w:lineRule="auto"/>
        <w:ind w:left="480" w:hanging="480"/>
        <w:rPr>
          <w:rFonts w:ascii="Times New Roman" w:hAnsi="Times New Roman" w:cs="Times New Roman"/>
          <w:noProof/>
          <w:sz w:val="24"/>
        </w:rPr>
      </w:pPr>
      <w:r w:rsidRPr="00542D66">
        <w:rPr>
          <w:rFonts w:ascii="Times New Roman" w:hAnsi="Times New Roman" w:cs="Times New Roman"/>
          <w:noProof/>
          <w:sz w:val="24"/>
          <w:szCs w:val="24"/>
        </w:rPr>
        <w:t xml:space="preserve">Zogning, F. (2023). Inclusion financière, entrepreneuriat inclusif et modèles alternatifs de financement. </w:t>
      </w:r>
      <w:r w:rsidRPr="00542D66">
        <w:rPr>
          <w:rFonts w:ascii="Times New Roman" w:hAnsi="Times New Roman" w:cs="Times New Roman"/>
          <w:i/>
          <w:iCs/>
          <w:noProof/>
          <w:sz w:val="24"/>
          <w:szCs w:val="24"/>
        </w:rPr>
        <w:t>Journal of Small Business &amp; Entrepreneurship</w:t>
      </w:r>
      <w:r w:rsidRPr="00542D66">
        <w:rPr>
          <w:rFonts w:ascii="Times New Roman" w:hAnsi="Times New Roman" w:cs="Times New Roman"/>
          <w:noProof/>
          <w:sz w:val="24"/>
          <w:szCs w:val="24"/>
        </w:rPr>
        <w:t xml:space="preserve">, </w:t>
      </w:r>
      <w:r w:rsidRPr="00542D66">
        <w:rPr>
          <w:rFonts w:ascii="Times New Roman" w:hAnsi="Times New Roman" w:cs="Times New Roman"/>
          <w:i/>
          <w:iCs/>
          <w:noProof/>
          <w:sz w:val="24"/>
          <w:szCs w:val="24"/>
        </w:rPr>
        <w:t>35</w:t>
      </w:r>
      <w:r w:rsidRPr="00542D66">
        <w:rPr>
          <w:rFonts w:ascii="Times New Roman" w:hAnsi="Times New Roman" w:cs="Times New Roman"/>
          <w:noProof/>
          <w:sz w:val="24"/>
          <w:szCs w:val="24"/>
        </w:rPr>
        <w:t>(1), 1–7. https://doi.org/10.1080/08276331.2022.2121517</w:t>
      </w:r>
    </w:p>
    <w:p w14:paraId="1E94FC9B" w14:textId="7974EB26" w:rsidR="00542D66" w:rsidRPr="00542D66" w:rsidRDefault="00542D66" w:rsidP="00DC68B2">
      <w:pPr>
        <w:spacing w:before="240" w:after="120"/>
        <w:rPr>
          <w:rFonts w:ascii="Times New Roman" w:hAnsi="Times New Roman" w:cs="Times New Roman"/>
          <w:sz w:val="24"/>
          <w:szCs w:val="24"/>
        </w:rPr>
      </w:pPr>
      <w:r>
        <w:rPr>
          <w:rFonts w:ascii="Times New Roman" w:hAnsi="Times New Roman" w:cs="Times New Roman"/>
          <w:sz w:val="24"/>
          <w:szCs w:val="24"/>
        </w:rPr>
        <w:fldChar w:fldCharType="end"/>
      </w:r>
    </w:p>
    <w:sectPr w:rsidR="00542D66" w:rsidRPr="00542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3"/>
    <w:multiLevelType w:val="multilevel"/>
    <w:tmpl w:val="677D05A6"/>
    <w:lvl w:ilvl="0">
      <w:start w:val="1"/>
      <w:numFmt w:val="decimal"/>
      <w:lvlText w:val="%1."/>
      <w:lvlJc w:val="left"/>
      <w:pPr>
        <w:ind w:left="720" w:hanging="360"/>
      </w:pPr>
      <w:rPr>
        <w:rFonts w:hint="default"/>
      </w:rPr>
    </w:lvl>
    <w:lvl w:ilvl="1">
      <w:start w:val="1"/>
      <w:numFmt w:val="lowerLetter"/>
      <w:lvlText w:val="%2."/>
      <w:lvlJc w:val="left"/>
      <w:pPr>
        <w:ind w:left="1440"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U0MTUxtzA3MzcwNTZX0lEKTi0uzszPAykwrAUAr7N86ywAAAA="/>
  </w:docVars>
  <w:rsids>
    <w:rsidRoot w:val="00DC68B2"/>
    <w:rsid w:val="00276F31"/>
    <w:rsid w:val="0034009A"/>
    <w:rsid w:val="004405E1"/>
    <w:rsid w:val="00542D66"/>
    <w:rsid w:val="00DC68B2"/>
    <w:rsid w:val="00E86C3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E9C43"/>
  <w15:chartTrackingRefBased/>
  <w15:docId w15:val="{2490750B-F4EE-4F61-918C-B682466CB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8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DC68B2"/>
    <w:rPr>
      <w:vertAlign w:val="superscript"/>
    </w:rPr>
  </w:style>
  <w:style w:type="paragraph" w:styleId="ListParagraph">
    <w:name w:val="List Paragraph"/>
    <w:basedOn w:val="Normal"/>
    <w:link w:val="ListParagraphChar"/>
    <w:uiPriority w:val="34"/>
    <w:qFormat/>
    <w:rsid w:val="00DC68B2"/>
    <w:pPr>
      <w:spacing w:after="0" w:line="240" w:lineRule="auto"/>
      <w:ind w:left="720"/>
      <w:contextualSpacing/>
    </w:pPr>
    <w:rPr>
      <w:sz w:val="24"/>
      <w:szCs w:val="24"/>
    </w:rPr>
  </w:style>
  <w:style w:type="table" w:styleId="TableGrid">
    <w:name w:val="Table Grid"/>
    <w:basedOn w:val="TableNormal"/>
    <w:uiPriority w:val="59"/>
    <w:rsid w:val="00DC68B2"/>
    <w:pPr>
      <w:spacing w:after="0" w:line="240" w:lineRule="auto"/>
    </w:pPr>
    <w:rPr>
      <w:rFonts w:ascii="Calibri" w:eastAsia="SimSun" w:hAnsi="Calibri" w:cs="Arial"/>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rsid w:val="00DC68B2"/>
    <w:rPr>
      <w:sz w:val="24"/>
      <w:szCs w:val="24"/>
    </w:rPr>
  </w:style>
  <w:style w:type="paragraph" w:styleId="BodyText">
    <w:name w:val="Body Text"/>
    <w:basedOn w:val="Normal"/>
    <w:link w:val="BodyTextChar"/>
    <w:uiPriority w:val="1"/>
    <w:qFormat/>
    <w:rsid w:val="00DC68B2"/>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DC68B2"/>
    <w:rPr>
      <w:rFonts w:ascii="Times New Roman" w:eastAsia="Times New Roman" w:hAnsi="Times New Roman" w:cs="Times New Roman"/>
      <w:sz w:val="24"/>
      <w:szCs w:val="24"/>
      <w:lang w:val="en-US"/>
    </w:rPr>
  </w:style>
  <w:style w:type="character" w:styleId="PlaceholderText">
    <w:name w:val="Placeholder Text"/>
    <w:basedOn w:val="DefaultParagraphFont"/>
    <w:uiPriority w:val="99"/>
    <w:semiHidden/>
    <w:rsid w:val="00276F3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0F2E7-6B4C-427A-BB9E-EAE520860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17</Pages>
  <Words>26291</Words>
  <Characters>149864</Characters>
  <Application>Microsoft Office Word</Application>
  <DocSecurity>0</DocSecurity>
  <Lines>1248</Lines>
  <Paragraphs>351</Paragraphs>
  <ScaleCrop>false</ScaleCrop>
  <Company/>
  <LinksUpToDate>false</LinksUpToDate>
  <CharactersWithSpaces>175804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wiam mahiasadi</dc:creator>
  <cp:keywords/>
  <dc:description/>
  <cp:lastModifiedBy>wiam mahiasadi</cp:lastModifiedBy>
  <cp:revision>2</cp:revision>
  <dcterms:created xsi:type="dcterms:W3CDTF">2025-03-08T22:42:00Z</dcterms:created>
  <dcterms:modified xsi:type="dcterms:W3CDTF">2025-03-08T22:42:00Z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http://www.zotero.org/styles/chicago-fullnote-bibliography-fr</vt:lpwstr>
  </property>
  <property fmtid="{D5CDD505-2E9C-101B-9397-08002B2CF9AE}" pid="9" name="Mendeley Recent Style Name 3_1">
    <vt:lpwstr>Chicago Manual of Style 17th edition (full note, Français)</vt:lpwstr>
  </property>
  <property fmtid="{D5CDD505-2E9C-101B-9397-08002B2CF9AE}" pid="10" name="Mendeley Recent Style Id 4_1">
    <vt:lpwstr>http://www.zotero.org/styles/chicago-fullnote-bibliography-short-title-subsequent</vt:lpwstr>
  </property>
  <property fmtid="{D5CDD505-2E9C-101B-9397-08002B2CF9AE}" pid="11" name="Mendeley Recent Style Name 4_1">
    <vt:lpwstr>Chicago Manual of Style 17th edition (full note, short title subsequent)</vt:lpwstr>
  </property>
  <property fmtid="{D5CDD505-2E9C-101B-9397-08002B2CF9AE}" pid="12" name="Mendeley Recent Style Id 5_1">
    <vt:lpwstr>http://www.zotero.org/styles/elsevier-vancouver-no-et-al</vt:lpwstr>
  </property>
  <property fmtid="{D5CDD505-2E9C-101B-9397-08002B2CF9AE}" pid="13" name="Mendeley Recent Style Name 5_1">
    <vt:lpwstr>Elsevier - Vancouver (no "et al.")</vt:lpwstr>
  </property>
  <property fmtid="{D5CDD505-2E9C-101B-9397-08002B2CF9AE}" pid="14" name="Mendeley Recent Style Id 6_1">
    <vt:lpwstr>http://www.zotero.org/styles/ieee-access</vt:lpwstr>
  </property>
  <property fmtid="{D5CDD505-2E9C-101B-9397-08002B2CF9AE}" pid="15" name="Mendeley Recent Style Name 6_1">
    <vt:lpwstr>IEEE Access</vt:lpwstr>
  </property>
  <property fmtid="{D5CDD505-2E9C-101B-9397-08002B2CF9AE}" pid="16" name="Mendeley Recent Style Id 7_1">
    <vt:lpwstr>http://www.zotero.org/styles/ieee-communications-magazine</vt:lpwstr>
  </property>
  <property fmtid="{D5CDD505-2E9C-101B-9397-08002B2CF9AE}" pid="17" name="Mendeley Recent Style Name 7_1">
    <vt:lpwstr>IEEE Communications Magazine</vt:lpwstr>
  </property>
  <property fmtid="{D5CDD505-2E9C-101B-9397-08002B2CF9AE}" pid="18" name="Mendeley Recent Style Id 8_1">
    <vt:lpwstr>http://www.zotero.org/styles/sage-vancouver</vt:lpwstr>
  </property>
  <property fmtid="{D5CDD505-2E9C-101B-9397-08002B2CF9AE}" pid="19" name="Mendeley Recent Style Name 8_1">
    <vt:lpwstr>SAGE - Vancouver</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Citation Style_1">
    <vt:lpwstr>http://www.zotero.org/styles/apa</vt:lpwstr>
  </property>
  <property fmtid="{D5CDD505-2E9C-101B-9397-08002B2CF9AE}" pid="23" name="Mendeley Document_1">
    <vt:lpwstr>True</vt:lpwstr>
  </property>
  <property fmtid="{D5CDD505-2E9C-101B-9397-08002B2CF9AE}" pid="24" name="Mendeley Unique User Id_1">
    <vt:lpwstr>5032fad7-b335-3057-8592-e8320ad29fd9</vt:lpwstr>
  </property>
</Properties>
</file>