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65975" w14:textId="3CFC5892" w:rsidR="0020671C" w:rsidRPr="00894A7F" w:rsidRDefault="00894A7F" w:rsidP="009858D2">
      <w:pPr>
        <w:widowControl w:val="0"/>
        <w:spacing w:after="0" w:line="240" w:lineRule="auto"/>
        <w:jc w:val="center"/>
        <w:rPr>
          <w:rFonts w:ascii="Times New Roman" w:eastAsia="Calibri" w:hAnsi="Times New Roman" w:cs="Times New Roman"/>
          <w:bCs/>
          <w:iCs/>
          <w:sz w:val="24"/>
          <w:szCs w:val="24"/>
        </w:rPr>
      </w:pPr>
      <w:r w:rsidRPr="00894A7F">
        <w:rPr>
          <w:rFonts w:ascii="Times New Roman" w:eastAsia="Calibri" w:hAnsi="Times New Roman"/>
          <w:b/>
          <w:bCs/>
          <w:iCs/>
          <w:sz w:val="24"/>
          <w:szCs w:val="24"/>
        </w:rPr>
        <w:t>EMPOWERING UNBANKED WOMEN THROUGH THE HALAQOH MODEL: A STUDY OF SHARIA MICROFINANCE INSTITUTIONS IN INDONESIA</w:t>
      </w:r>
    </w:p>
    <w:p w14:paraId="77E59823" w14:textId="477EE898" w:rsidR="00C16EFA" w:rsidRPr="00894A7F" w:rsidRDefault="0020671C" w:rsidP="00894A7F">
      <w:pPr>
        <w:widowControl w:val="0"/>
        <w:spacing w:after="0" w:line="240" w:lineRule="auto"/>
        <w:jc w:val="center"/>
        <w:rPr>
          <w:rFonts w:ascii="Times New Roman" w:eastAsia="Calibri" w:hAnsi="Times New Roman" w:cs="Times New Roman"/>
          <w:bCs/>
          <w:sz w:val="24"/>
          <w:szCs w:val="24"/>
          <w:lang w:val="id-ID"/>
        </w:rPr>
      </w:pPr>
      <w:r w:rsidRPr="004E16EB">
        <w:rPr>
          <w:rFonts w:ascii="Times New Roman" w:eastAsia="Calibri" w:hAnsi="Times New Roman" w:cs="Times New Roman"/>
          <w:bCs/>
          <w:sz w:val="24"/>
          <w:szCs w:val="24"/>
        </w:rPr>
        <w:t>Rozalinda, Nurhasnah, Rizda Octaviani</w:t>
      </w:r>
    </w:p>
    <w:p w14:paraId="3E0A6157" w14:textId="77777777" w:rsidR="00C16EFA" w:rsidRPr="004E16EB" w:rsidRDefault="00C16EFA" w:rsidP="009858D2">
      <w:pPr>
        <w:pStyle w:val="BodyText"/>
        <w:rPr>
          <w:rFonts w:ascii="Microsoft Sans Serif"/>
          <w:sz w:val="20"/>
        </w:rPr>
      </w:pPr>
    </w:p>
    <w:p w14:paraId="2F450C5D" w14:textId="77777777" w:rsidR="00C16EFA" w:rsidRPr="004E16EB" w:rsidRDefault="00C16EFA" w:rsidP="009858D2">
      <w:pPr>
        <w:pStyle w:val="BodyText"/>
        <w:rPr>
          <w:rFonts w:ascii="Microsoft Sans Serif"/>
          <w:sz w:val="20"/>
        </w:rPr>
      </w:pPr>
    </w:p>
    <w:p w14:paraId="06F829C0" w14:textId="77777777" w:rsidR="00C16EFA" w:rsidRPr="004E16EB" w:rsidRDefault="00C16EFA" w:rsidP="009858D2">
      <w:pPr>
        <w:pStyle w:val="BodyText"/>
        <w:rPr>
          <w:rFonts w:ascii="Microsoft Sans Serif"/>
          <w:sz w:val="20"/>
        </w:rPr>
      </w:pPr>
    </w:p>
    <w:tbl>
      <w:tblPr>
        <w:tblStyle w:val="TableGrid"/>
        <w:tblW w:w="0" w:type="auto"/>
        <w:tblLayout w:type="fixed"/>
        <w:tblLook w:val="04A0" w:firstRow="1" w:lastRow="0" w:firstColumn="1" w:lastColumn="0" w:noHBand="0" w:noVBand="1"/>
      </w:tblPr>
      <w:tblGrid>
        <w:gridCol w:w="2898"/>
        <w:gridCol w:w="6344"/>
      </w:tblGrid>
      <w:tr w:rsidR="00C16EFA" w:rsidRPr="004E16EB" w14:paraId="280518E1" w14:textId="77777777">
        <w:tc>
          <w:tcPr>
            <w:tcW w:w="2898" w:type="dxa"/>
            <w:tcBorders>
              <w:top w:val="nil"/>
              <w:left w:val="nil"/>
              <w:bottom w:val="nil"/>
              <w:right w:val="single" w:sz="4" w:space="0" w:color="auto"/>
            </w:tcBorders>
          </w:tcPr>
          <w:p w14:paraId="796655AE" w14:textId="77777777" w:rsidR="00C16EFA" w:rsidRPr="004E16EB" w:rsidRDefault="00C611A5" w:rsidP="009858D2">
            <w:pPr>
              <w:spacing w:before="151" w:after="0" w:line="240" w:lineRule="auto"/>
              <w:ind w:left="100"/>
              <w:rPr>
                <w:rFonts w:ascii="Times New Roman" w:hAnsi="Times New Roman" w:cs="Times New Roman"/>
                <w:sz w:val="24"/>
                <w:szCs w:val="24"/>
              </w:rPr>
            </w:pPr>
            <w:r w:rsidRPr="004E16EB">
              <w:rPr>
                <w:rFonts w:ascii="Times New Roman" w:hAnsi="Times New Roman" w:cs="Times New Roman"/>
                <w:sz w:val="24"/>
                <w:szCs w:val="24"/>
              </w:rPr>
              <w:t xml:space="preserve">Receive: </w:t>
            </w:r>
          </w:p>
          <w:p w14:paraId="65F1F77C" w14:textId="77777777" w:rsidR="00C16EFA" w:rsidRPr="004E16EB" w:rsidRDefault="00C611A5" w:rsidP="009858D2">
            <w:pPr>
              <w:spacing w:before="30" w:after="0" w:line="240" w:lineRule="auto"/>
              <w:ind w:left="100"/>
            </w:pPr>
            <w:r w:rsidRPr="004E16EB">
              <w:rPr>
                <w:rFonts w:ascii="Times New Roman" w:hAnsi="Times New Roman" w:cs="Times New Roman"/>
                <w:w w:val="104"/>
                <w:sz w:val="24"/>
                <w:szCs w:val="24"/>
              </w:rPr>
              <w:t xml:space="preserve">Accepted: </w:t>
            </w:r>
          </w:p>
          <w:p w14:paraId="6DB1A4C1" w14:textId="77777777" w:rsidR="0020671C" w:rsidRPr="004E16EB" w:rsidRDefault="0020671C" w:rsidP="009858D2">
            <w:pPr>
              <w:spacing w:after="0" w:line="240" w:lineRule="auto"/>
              <w:ind w:left="100" w:right="38"/>
              <w:rPr>
                <w:rFonts w:ascii="Times New Roman" w:hAnsi="Times New Roman" w:cs="Times New Roman"/>
                <w:sz w:val="24"/>
                <w:szCs w:val="24"/>
              </w:rPr>
            </w:pPr>
            <w:r w:rsidRPr="004E16EB">
              <w:rPr>
                <w:rFonts w:ascii="Times New Roman" w:hAnsi="Times New Roman" w:cs="Times New Roman"/>
                <w:sz w:val="24"/>
                <w:szCs w:val="24"/>
              </w:rPr>
              <w:t>*Correspondence author: Rozalinda, Rozalinda</w:t>
            </w:r>
          </w:p>
          <w:p w14:paraId="530A63D8" w14:textId="77777777" w:rsidR="0020671C" w:rsidRPr="004E16EB" w:rsidRDefault="0020671C" w:rsidP="009858D2">
            <w:pPr>
              <w:spacing w:after="0" w:line="240" w:lineRule="auto"/>
              <w:ind w:left="100" w:right="38"/>
              <w:rPr>
                <w:rFonts w:ascii="Times New Roman" w:hAnsi="Times New Roman" w:cs="Times New Roman"/>
                <w:sz w:val="24"/>
                <w:szCs w:val="24"/>
              </w:rPr>
            </w:pPr>
          </w:p>
          <w:p w14:paraId="50A52651" w14:textId="77777777" w:rsidR="0020671C" w:rsidRPr="004E16EB" w:rsidRDefault="0020671C" w:rsidP="009858D2">
            <w:pPr>
              <w:widowControl w:val="0"/>
              <w:spacing w:after="0" w:line="240" w:lineRule="auto"/>
              <w:jc w:val="center"/>
              <w:rPr>
                <w:rFonts w:ascii="Times New Roman" w:eastAsia="Calibri" w:hAnsi="Times New Roman" w:cs="Times New Roman"/>
                <w:bCs/>
                <w:sz w:val="24"/>
                <w:szCs w:val="24"/>
              </w:rPr>
            </w:pPr>
            <w:r w:rsidRPr="004E16EB">
              <w:rPr>
                <w:rFonts w:ascii="Times New Roman" w:hAnsi="Times New Roman" w:cs="Times New Roman"/>
                <w:sz w:val="24"/>
                <w:szCs w:val="24"/>
              </w:rPr>
              <w:t xml:space="preserve">E-mail: </w:t>
            </w:r>
            <w:hyperlink r:id="rId9" w:history="1">
              <w:r w:rsidRPr="004E16EB">
                <w:rPr>
                  <w:rStyle w:val="Hyperlink"/>
                  <w:rFonts w:ascii="Times New Roman" w:eastAsia="Calibri" w:hAnsi="Times New Roman" w:cs="Times New Roman"/>
                  <w:bCs/>
                  <w:sz w:val="24"/>
                  <w:szCs w:val="24"/>
                </w:rPr>
                <w:t>rozalinda@uinib.ac.id</w:t>
              </w:r>
            </w:hyperlink>
          </w:p>
          <w:p w14:paraId="6ABBCAE3" w14:textId="77777777" w:rsidR="0020671C" w:rsidRPr="004E16EB" w:rsidRDefault="0020671C" w:rsidP="009858D2">
            <w:pPr>
              <w:spacing w:before="5" w:after="0" w:line="240" w:lineRule="auto"/>
              <w:ind w:left="100"/>
              <w:rPr>
                <w:rFonts w:ascii="Times New Roman" w:hAnsi="Times New Roman" w:cs="Times New Roman"/>
                <w:sz w:val="24"/>
                <w:szCs w:val="24"/>
              </w:rPr>
            </w:pPr>
          </w:p>
          <w:p w14:paraId="0EB032E1" w14:textId="77777777" w:rsidR="00C16EFA" w:rsidRPr="004E16EB" w:rsidRDefault="00C16EFA" w:rsidP="009858D2">
            <w:pPr>
              <w:spacing w:before="5" w:after="0" w:line="240" w:lineRule="auto"/>
              <w:ind w:left="100"/>
              <w:rPr>
                <w:rFonts w:ascii="Times New Roman" w:hAnsi="Times New Roman" w:cs="Times New Roman"/>
                <w:sz w:val="24"/>
                <w:szCs w:val="24"/>
              </w:rPr>
            </w:pPr>
          </w:p>
          <w:p w14:paraId="189CAB9F" w14:textId="77777777" w:rsidR="00C16EFA" w:rsidRPr="004E16EB" w:rsidRDefault="00C16EFA" w:rsidP="009858D2">
            <w:pPr>
              <w:pStyle w:val="BodyText"/>
              <w:spacing w:before="3"/>
            </w:pPr>
          </w:p>
          <w:p w14:paraId="4D70A9FC" w14:textId="77777777" w:rsidR="00C16EFA" w:rsidRPr="004E16EB" w:rsidRDefault="00C611A5" w:rsidP="009858D2">
            <w:pPr>
              <w:spacing w:after="0" w:line="240" w:lineRule="auto"/>
              <w:ind w:left="100"/>
              <w:jc w:val="both"/>
              <w:rPr>
                <w:rFonts w:ascii="Times New Roman" w:hAnsi="Times New Roman" w:cs="Times New Roman"/>
                <w:sz w:val="24"/>
                <w:szCs w:val="24"/>
              </w:rPr>
            </w:pPr>
            <w:r w:rsidRPr="004E16EB">
              <w:rPr>
                <w:rFonts w:ascii="Times New Roman" w:hAnsi="Times New Roman" w:cs="Times New Roman"/>
                <w:sz w:val="24"/>
                <w:szCs w:val="24"/>
              </w:rPr>
              <w:t>Review editor:</w:t>
            </w:r>
          </w:p>
          <w:p w14:paraId="7635FD5D" w14:textId="77777777" w:rsidR="00C16EFA" w:rsidRPr="004E16EB" w:rsidRDefault="00C16EFA" w:rsidP="009858D2">
            <w:pPr>
              <w:spacing w:after="0" w:line="240" w:lineRule="auto"/>
              <w:ind w:left="100" w:right="49"/>
              <w:rPr>
                <w:rFonts w:ascii="Times New Roman" w:hAnsi="Times New Roman" w:cs="Times New Roman"/>
                <w:w w:val="104"/>
                <w:sz w:val="24"/>
                <w:szCs w:val="24"/>
              </w:rPr>
            </w:pPr>
          </w:p>
          <w:p w14:paraId="1045CA4E" w14:textId="77777777" w:rsidR="00C16EFA" w:rsidRPr="004E16EB" w:rsidRDefault="00C611A5" w:rsidP="009858D2">
            <w:pPr>
              <w:spacing w:after="0" w:line="240" w:lineRule="auto"/>
              <w:ind w:left="100" w:right="49"/>
              <w:rPr>
                <w:rFonts w:ascii="Times New Roman" w:hAnsi="Times New Roman" w:cs="Times New Roman"/>
                <w:sz w:val="24"/>
                <w:szCs w:val="24"/>
              </w:rPr>
            </w:pPr>
            <w:r w:rsidRPr="004E16EB">
              <w:rPr>
                <w:rFonts w:ascii="Times New Roman" w:hAnsi="Times New Roman" w:cs="Times New Roman"/>
                <w:w w:val="104"/>
                <w:sz w:val="24"/>
                <w:szCs w:val="24"/>
              </w:rPr>
              <w:t>Additional information is available at the end of the article</w:t>
            </w:r>
          </w:p>
          <w:p w14:paraId="606ECD01" w14:textId="77777777" w:rsidR="00C16EFA" w:rsidRPr="004E16EB" w:rsidRDefault="00C611A5" w:rsidP="009858D2">
            <w:pPr>
              <w:widowControl w:val="0"/>
              <w:spacing w:after="0" w:line="240" w:lineRule="auto"/>
              <w:rPr>
                <w:rFonts w:ascii="Times New Roman" w:eastAsia="Calibri" w:hAnsi="Times New Roman" w:cs="Times New Roman"/>
                <w:b/>
                <w:bCs/>
                <w:sz w:val="24"/>
                <w:szCs w:val="24"/>
              </w:rPr>
            </w:pPr>
            <w:r w:rsidRPr="004E16EB">
              <w:rPr>
                <w:rFonts w:ascii="Times New Roman" w:hAnsi="Times New Roman" w:cs="Times New Roman"/>
                <w:sz w:val="24"/>
                <w:szCs w:val="24"/>
              </w:rPr>
              <w:br w:type="column"/>
            </w:r>
          </w:p>
        </w:tc>
        <w:tc>
          <w:tcPr>
            <w:tcW w:w="6344" w:type="dxa"/>
            <w:tcBorders>
              <w:top w:val="nil"/>
              <w:left w:val="single" w:sz="4" w:space="0" w:color="auto"/>
              <w:bottom w:val="nil"/>
              <w:right w:val="nil"/>
            </w:tcBorders>
          </w:tcPr>
          <w:p w14:paraId="78BE94E1" w14:textId="46474B7E" w:rsidR="0020671C" w:rsidRPr="004E16EB" w:rsidRDefault="00894A7F" w:rsidP="009858D2">
            <w:pPr>
              <w:widowControl w:val="0"/>
              <w:spacing w:after="0" w:line="240" w:lineRule="auto"/>
              <w:rPr>
                <w:rFonts w:ascii="Times New Roman" w:eastAsia="Calibri" w:hAnsi="Times New Roman" w:cs="Times New Roman"/>
                <w:bCs/>
                <w:sz w:val="24"/>
                <w:szCs w:val="24"/>
              </w:rPr>
            </w:pPr>
            <w:r w:rsidRPr="00894A7F">
              <w:rPr>
                <w:rFonts w:ascii="Times New Roman" w:eastAsia="Calibri" w:hAnsi="Times New Roman"/>
                <w:b/>
                <w:bCs/>
                <w:sz w:val="24"/>
                <w:szCs w:val="24"/>
              </w:rPr>
              <w:t>Empowering Unbanked Women through the Halaqoh Model: A Study of Sharia Microfinance Institutions in Indonesia</w:t>
            </w:r>
          </w:p>
          <w:p w14:paraId="16587B56" w14:textId="417BDA9F" w:rsidR="0020671C" w:rsidRPr="00894A7F" w:rsidRDefault="0020671C" w:rsidP="009858D2">
            <w:pPr>
              <w:widowControl w:val="0"/>
              <w:spacing w:after="0" w:line="240" w:lineRule="auto"/>
              <w:rPr>
                <w:rFonts w:ascii="Times New Roman" w:eastAsia="Calibri" w:hAnsi="Times New Roman" w:cs="Times New Roman"/>
                <w:bCs/>
                <w:sz w:val="24"/>
                <w:szCs w:val="24"/>
                <w:vertAlign w:val="superscript"/>
                <w:lang w:val="id-ID"/>
              </w:rPr>
            </w:pPr>
            <w:r w:rsidRPr="004E16EB">
              <w:rPr>
                <w:rFonts w:ascii="Times New Roman" w:eastAsia="Calibri" w:hAnsi="Times New Roman" w:cs="Times New Roman"/>
                <w:bCs/>
                <w:sz w:val="24"/>
                <w:szCs w:val="24"/>
              </w:rPr>
              <w:t>Rozalinda1, Nurhasnah2, Rizda Octaviani3</w:t>
            </w:r>
          </w:p>
          <w:p w14:paraId="557022B0" w14:textId="77777777" w:rsidR="00C16EFA" w:rsidRPr="004E16EB" w:rsidRDefault="00C16EFA" w:rsidP="009858D2">
            <w:pPr>
              <w:widowControl w:val="0"/>
              <w:spacing w:after="0" w:line="240" w:lineRule="auto"/>
              <w:jc w:val="center"/>
              <w:rPr>
                <w:rFonts w:ascii="Times New Roman" w:eastAsia="Calibri" w:hAnsi="Times New Roman" w:cs="Times New Roman"/>
                <w:bCs/>
                <w:sz w:val="24"/>
                <w:szCs w:val="24"/>
              </w:rPr>
            </w:pPr>
          </w:p>
          <w:p w14:paraId="0AAB40F0" w14:textId="6FC029CE" w:rsidR="00C16EFA" w:rsidRDefault="00C611A5" w:rsidP="009858D2">
            <w:pPr>
              <w:widowControl w:val="0"/>
              <w:spacing w:after="0" w:line="240" w:lineRule="auto"/>
              <w:jc w:val="both"/>
              <w:rPr>
                <w:rFonts w:ascii="Times New Roman" w:hAnsi="Times New Roman"/>
                <w:sz w:val="24"/>
                <w:szCs w:val="24"/>
              </w:rPr>
            </w:pPr>
            <w:r w:rsidRPr="004E16EB">
              <w:rPr>
                <w:rFonts w:ascii="Times New Roman" w:hAnsi="Times New Roman" w:cs="Times New Roman"/>
                <w:b/>
                <w:bCs/>
                <w:sz w:val="24"/>
                <w:szCs w:val="24"/>
              </w:rPr>
              <w:t xml:space="preserve">Abstract: </w:t>
            </w:r>
            <w:r w:rsidRPr="004E16EB">
              <w:rPr>
                <w:rFonts w:ascii="Times New Roman" w:hAnsi="Times New Roman"/>
                <w:sz w:val="24"/>
                <w:szCs w:val="24"/>
              </w:rPr>
              <w:t xml:space="preserve"> </w:t>
            </w:r>
            <w:r w:rsidR="005A397B" w:rsidRPr="005A397B">
              <w:rPr>
                <w:rFonts w:ascii="Times New Roman" w:hAnsi="Times New Roman"/>
                <w:sz w:val="24"/>
                <w:szCs w:val="24"/>
              </w:rPr>
              <w:t>The empowerment of women engaged in micro and small enterprises necessitates the backing of Islamic Microfinance Institutions. Access to financing from traditional banking institutions remains elusive for women, who are often perceived as lacking bank accounts or failing to fulfill banking prerequisites. Consequently, this investigation seeks to elucidate the empowerment model employed by the Micro Waqf Bank (MWB) for economically productive women residing in proximity to Islamic boarding schools. Employing a qualitative methodology, the study examines MWB operations in regions such as West Sumatra, Yogyakarta, and Central and East Java, Indonesia. Data collection was conducted through interviews, observations, questionnaires, and the review of documentation. The data sources included MWB leaders, facilitators, and clients. All collected data underwent qualitative and descriptive analysis. Findings reveal that WMB fosters empowerment through the provision of training, financial support, and guidance to potentially productive impoverished women in the vicinity of Islamic boarding schools. The entire empowerment initiative is executed via Halaqoh, a collaborative learning framework characterized by circular seating and discussion, thereby enhancing participant engagement and commitment. This research bears significant implications for governmental strategies, advocating for the utilization of MWB as a foundational mechanism for the economic empowerment of women lacking banking access. Consequently, these women can proactively engage in economic endeavors, thereby enhancing their families' welfare. The findings from this study may serve as an impetus for women entrepreneurs in micro and small enterprises to persist in their struggle against financial marginalization.</w:t>
            </w:r>
          </w:p>
          <w:p w14:paraId="3A10C58A" w14:textId="77777777" w:rsidR="005A397B" w:rsidRPr="004E16EB" w:rsidRDefault="005A397B" w:rsidP="009858D2">
            <w:pPr>
              <w:widowControl w:val="0"/>
              <w:spacing w:after="0" w:line="240" w:lineRule="auto"/>
              <w:jc w:val="both"/>
              <w:rPr>
                <w:rFonts w:ascii="Times New Roman" w:hAnsi="Times New Roman" w:cs="Times New Roman"/>
                <w:sz w:val="24"/>
                <w:szCs w:val="24"/>
              </w:rPr>
            </w:pPr>
          </w:p>
          <w:p w14:paraId="66E6ED95" w14:textId="1AC8F50D" w:rsidR="00C16EFA" w:rsidRPr="004E16EB" w:rsidRDefault="00815E1D" w:rsidP="009858D2">
            <w:pPr>
              <w:widowControl w:val="0"/>
              <w:spacing w:after="0" w:line="240" w:lineRule="auto"/>
              <w:ind w:left="1843" w:hanging="1843"/>
              <w:jc w:val="both"/>
              <w:rPr>
                <w:rFonts w:ascii="Times New Roman" w:hAnsi="Times New Roman" w:cs="Times New Roman"/>
                <w:w w:val="95"/>
              </w:rPr>
            </w:pPr>
            <w:r w:rsidRPr="004E16EB">
              <w:rPr>
                <w:rFonts w:ascii="Times New Roman" w:hAnsi="Times New Roman" w:cs="Times New Roman"/>
                <w:b/>
                <w:w w:val="95"/>
              </w:rPr>
              <w:t>Subjects:</w:t>
            </w:r>
            <w:r>
              <w:rPr>
                <w:rFonts w:ascii="Times New Roman" w:hAnsi="Times New Roman" w:cs="Times New Roman"/>
                <w:b/>
                <w:w w:val="95"/>
              </w:rPr>
              <w:t xml:space="preserve"> </w:t>
            </w:r>
            <w:r w:rsidR="00C611A5" w:rsidRPr="004E16EB">
              <w:rPr>
                <w:rFonts w:ascii="Times New Roman" w:hAnsi="Times New Roman" w:cs="Times New Roman"/>
                <w:w w:val="95"/>
              </w:rPr>
              <w:t xml:space="preserve">Finance, Gender Studies - Soc Sci, Gender &amp; Development </w:t>
            </w:r>
          </w:p>
          <w:p w14:paraId="44356863" w14:textId="77777777" w:rsidR="00C16EFA" w:rsidRPr="004E16EB" w:rsidRDefault="00C16EFA" w:rsidP="009858D2">
            <w:pPr>
              <w:widowControl w:val="0"/>
              <w:spacing w:after="0" w:line="240" w:lineRule="auto"/>
              <w:ind w:left="1843" w:hanging="1843"/>
              <w:jc w:val="both"/>
              <w:rPr>
                <w:w w:val="95"/>
              </w:rPr>
            </w:pPr>
          </w:p>
          <w:p w14:paraId="4FF27016" w14:textId="77777777" w:rsidR="00C16EFA" w:rsidRPr="004E16EB" w:rsidRDefault="00C611A5" w:rsidP="009858D2">
            <w:pPr>
              <w:widowControl w:val="0"/>
              <w:spacing w:after="0" w:line="240" w:lineRule="auto"/>
              <w:ind w:left="1843" w:hanging="1843"/>
              <w:jc w:val="both"/>
              <w:rPr>
                <w:rFonts w:ascii="Times New Roman" w:hAnsi="Times New Roman" w:cs="Times New Roman"/>
                <w:sz w:val="24"/>
                <w:szCs w:val="24"/>
              </w:rPr>
            </w:pPr>
            <w:r w:rsidRPr="004E16EB">
              <w:rPr>
                <w:rFonts w:ascii="Times New Roman" w:hAnsi="Times New Roman" w:cs="Times New Roman"/>
                <w:b/>
                <w:sz w:val="24"/>
                <w:szCs w:val="24"/>
              </w:rPr>
              <w:t xml:space="preserve">Keywords: </w:t>
            </w:r>
            <w:r w:rsidRPr="004E16EB">
              <w:rPr>
                <w:rFonts w:ascii="Times New Roman" w:hAnsi="Times New Roman"/>
                <w:sz w:val="24"/>
                <w:szCs w:val="24"/>
              </w:rPr>
              <w:t xml:space="preserve">Micro Waqf Bank, </w:t>
            </w:r>
            <w:r w:rsidRPr="004E16EB">
              <w:rPr>
                <w:rFonts w:ascii="Times New Roman" w:hAnsi="Times New Roman"/>
                <w:i/>
                <w:iCs/>
                <w:sz w:val="24"/>
                <w:szCs w:val="24"/>
              </w:rPr>
              <w:t>Halaqoh</w:t>
            </w:r>
            <w:r w:rsidRPr="004E16EB">
              <w:rPr>
                <w:rFonts w:ascii="Times New Roman" w:hAnsi="Times New Roman"/>
                <w:sz w:val="24"/>
                <w:szCs w:val="24"/>
              </w:rPr>
              <w:t>, Economic Empowerment, Women, Unbanked</w:t>
            </w:r>
          </w:p>
          <w:p w14:paraId="22C2D8D5" w14:textId="77777777" w:rsidR="00C16EFA" w:rsidRPr="004E16EB" w:rsidRDefault="00C16EFA" w:rsidP="009858D2">
            <w:pPr>
              <w:widowControl w:val="0"/>
              <w:spacing w:after="0" w:line="240" w:lineRule="auto"/>
              <w:rPr>
                <w:rFonts w:ascii="Times New Roman" w:eastAsia="Calibri" w:hAnsi="Times New Roman" w:cs="Times New Roman"/>
                <w:b/>
                <w:bCs/>
                <w:sz w:val="24"/>
                <w:szCs w:val="24"/>
              </w:rPr>
            </w:pPr>
          </w:p>
        </w:tc>
      </w:tr>
    </w:tbl>
    <w:p w14:paraId="66983DBD" w14:textId="77777777" w:rsidR="00C16EFA" w:rsidRPr="004E16EB" w:rsidRDefault="00C16EFA" w:rsidP="009858D2">
      <w:pPr>
        <w:widowControl w:val="0"/>
        <w:spacing w:after="0" w:line="240" w:lineRule="auto"/>
        <w:rPr>
          <w:rFonts w:ascii="Times New Roman" w:eastAsia="Calibri" w:hAnsi="Times New Roman" w:cs="Times New Roman"/>
          <w:b/>
          <w:bCs/>
          <w:sz w:val="24"/>
          <w:szCs w:val="24"/>
        </w:rPr>
      </w:pPr>
    </w:p>
    <w:p w14:paraId="07F016F7" w14:textId="6AF73BA4" w:rsidR="00C16EFA" w:rsidRDefault="00C16EFA" w:rsidP="009858D2">
      <w:pPr>
        <w:widowControl w:val="0"/>
        <w:spacing w:after="0" w:line="240" w:lineRule="auto"/>
        <w:jc w:val="center"/>
        <w:rPr>
          <w:rFonts w:ascii="Times New Roman" w:hAnsi="Times New Roman" w:cs="Times New Roman"/>
          <w:b/>
          <w:bCs/>
          <w:sz w:val="24"/>
          <w:szCs w:val="24"/>
        </w:rPr>
      </w:pPr>
    </w:p>
    <w:p w14:paraId="29B7E410" w14:textId="0EB4F96E" w:rsidR="005A397B" w:rsidRDefault="005A397B" w:rsidP="009858D2">
      <w:pPr>
        <w:widowControl w:val="0"/>
        <w:spacing w:after="0" w:line="240" w:lineRule="auto"/>
        <w:jc w:val="center"/>
        <w:rPr>
          <w:rFonts w:ascii="Times New Roman" w:hAnsi="Times New Roman" w:cs="Times New Roman"/>
          <w:b/>
          <w:bCs/>
          <w:sz w:val="24"/>
          <w:szCs w:val="24"/>
        </w:rPr>
      </w:pPr>
    </w:p>
    <w:p w14:paraId="4FD1AC9A" w14:textId="39D78043" w:rsidR="005A397B" w:rsidRDefault="005A397B" w:rsidP="009858D2">
      <w:pPr>
        <w:widowControl w:val="0"/>
        <w:spacing w:after="0" w:line="240" w:lineRule="auto"/>
        <w:jc w:val="center"/>
        <w:rPr>
          <w:rFonts w:ascii="Times New Roman" w:hAnsi="Times New Roman" w:cs="Times New Roman"/>
          <w:b/>
          <w:bCs/>
          <w:sz w:val="24"/>
          <w:szCs w:val="24"/>
        </w:rPr>
      </w:pPr>
    </w:p>
    <w:p w14:paraId="1B606EE5" w14:textId="5D8B17E3" w:rsidR="005A397B" w:rsidRDefault="005A397B" w:rsidP="009858D2">
      <w:pPr>
        <w:widowControl w:val="0"/>
        <w:spacing w:after="0" w:line="240" w:lineRule="auto"/>
        <w:jc w:val="center"/>
        <w:rPr>
          <w:rFonts w:ascii="Times New Roman" w:hAnsi="Times New Roman" w:cs="Times New Roman"/>
          <w:b/>
          <w:bCs/>
          <w:sz w:val="24"/>
          <w:szCs w:val="24"/>
        </w:rPr>
      </w:pPr>
    </w:p>
    <w:p w14:paraId="3C20515B" w14:textId="77777777" w:rsidR="005A397B" w:rsidRPr="004E16EB" w:rsidRDefault="005A397B" w:rsidP="009858D2">
      <w:pPr>
        <w:widowControl w:val="0"/>
        <w:spacing w:after="0" w:line="240" w:lineRule="auto"/>
        <w:jc w:val="center"/>
        <w:rPr>
          <w:rFonts w:ascii="Times New Roman" w:hAnsi="Times New Roman" w:cs="Times New Roman"/>
          <w:b/>
          <w:bCs/>
          <w:sz w:val="24"/>
          <w:szCs w:val="24"/>
        </w:rPr>
      </w:pPr>
    </w:p>
    <w:p w14:paraId="20ADAFD0" w14:textId="77777777" w:rsidR="00C16EFA" w:rsidRPr="004E16EB" w:rsidRDefault="00C16EFA" w:rsidP="009858D2">
      <w:pPr>
        <w:widowControl w:val="0"/>
        <w:spacing w:after="0" w:line="240" w:lineRule="auto"/>
        <w:ind w:firstLine="720"/>
        <w:jc w:val="both"/>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4513"/>
        <w:gridCol w:w="4513"/>
      </w:tblGrid>
      <w:tr w:rsidR="00C16EFA" w:rsidRPr="004E16EB" w14:paraId="7182D1CE" w14:textId="77777777">
        <w:tc>
          <w:tcPr>
            <w:tcW w:w="4621" w:type="dxa"/>
            <w:tcBorders>
              <w:top w:val="nil"/>
              <w:left w:val="nil"/>
              <w:bottom w:val="nil"/>
              <w:right w:val="nil"/>
            </w:tcBorders>
          </w:tcPr>
          <w:p w14:paraId="74BD2C5B" w14:textId="77777777" w:rsidR="00C16EFA" w:rsidRPr="004E16EB" w:rsidRDefault="00C16EFA" w:rsidP="009858D2">
            <w:pPr>
              <w:widowControl w:val="0"/>
              <w:spacing w:after="0" w:line="240" w:lineRule="auto"/>
              <w:jc w:val="both"/>
              <w:rPr>
                <w:rFonts w:ascii="Times New Roman" w:eastAsia="Calibri" w:hAnsi="Times New Roman" w:cs="Times New Roman"/>
                <w:sz w:val="24"/>
                <w:szCs w:val="24"/>
              </w:rPr>
            </w:pPr>
          </w:p>
        </w:tc>
        <w:tc>
          <w:tcPr>
            <w:tcW w:w="4621" w:type="dxa"/>
            <w:tcBorders>
              <w:top w:val="nil"/>
              <w:left w:val="nil"/>
              <w:bottom w:val="nil"/>
              <w:right w:val="nil"/>
            </w:tcBorders>
          </w:tcPr>
          <w:p w14:paraId="0DF0FF67" w14:textId="77777777" w:rsidR="00C16EFA" w:rsidRPr="004E16EB" w:rsidRDefault="00C16EFA" w:rsidP="009858D2">
            <w:pPr>
              <w:widowControl w:val="0"/>
              <w:spacing w:after="0" w:line="240" w:lineRule="auto"/>
              <w:jc w:val="both"/>
              <w:rPr>
                <w:rFonts w:ascii="Times New Roman" w:eastAsia="Calibri" w:hAnsi="Times New Roman" w:cs="Times New Roman"/>
                <w:sz w:val="24"/>
                <w:szCs w:val="24"/>
              </w:rPr>
            </w:pPr>
          </w:p>
        </w:tc>
      </w:tr>
    </w:tbl>
    <w:p w14:paraId="1C7DB130" w14:textId="0618DC54" w:rsidR="00C16EFA" w:rsidRPr="004E16EB" w:rsidRDefault="00894A7F" w:rsidP="009858D2">
      <w:pPr>
        <w:pStyle w:val="ListParagraph"/>
        <w:widowControl w:val="0"/>
        <w:numPr>
          <w:ilvl w:val="0"/>
          <w:numId w:val="1"/>
        </w:numPr>
        <w:spacing w:after="0" w:line="240" w:lineRule="auto"/>
        <w:ind w:left="360"/>
        <w:jc w:val="both"/>
        <w:rPr>
          <w:rFonts w:ascii="Times New Roman" w:hAnsi="Times New Roman" w:cs="Times New Roman"/>
          <w:b/>
          <w:bCs/>
          <w:sz w:val="24"/>
          <w:szCs w:val="24"/>
        </w:rPr>
      </w:pPr>
      <w:r>
        <w:rPr>
          <w:rFonts w:ascii="Times New Roman" w:eastAsia="Calibri" w:hAnsi="Times New Roman" w:cs="Times New Roman"/>
          <w:b/>
          <w:bCs/>
          <w:sz w:val="24"/>
          <w:szCs w:val="24"/>
        </w:rPr>
        <w:t xml:space="preserve">Introduction </w:t>
      </w:r>
    </w:p>
    <w:p w14:paraId="21DD6141" w14:textId="33566194" w:rsidR="007D48E2" w:rsidRDefault="003738DF" w:rsidP="009858D2">
      <w:pPr>
        <w:widowControl w:val="0"/>
        <w:spacing w:after="0" w:line="240" w:lineRule="auto"/>
        <w:ind w:firstLine="720"/>
        <w:contextualSpacing/>
        <w:jc w:val="both"/>
        <w:rPr>
          <w:rFonts w:ascii="Times New Roman" w:hAnsi="Times New Roman"/>
          <w:sz w:val="24"/>
          <w:szCs w:val="24"/>
        </w:rPr>
      </w:pPr>
      <w:r w:rsidRPr="003738DF">
        <w:rPr>
          <w:rFonts w:ascii="Times New Roman" w:hAnsi="Times New Roman"/>
          <w:sz w:val="24"/>
          <w:szCs w:val="24"/>
        </w:rPr>
        <w:t xml:space="preserve">Financial inclusion is an important pillar of sustainable development, as access to inclusive financial services enables individuals and communities to actively participate in the economy, improve well-being, and reduce poverty </w:t>
      </w:r>
      <w:r w:rsidR="004F1CC0">
        <w:rPr>
          <w:rFonts w:ascii="Times New Roman" w:hAnsi="Times New Roman"/>
          <w:sz w:val="24"/>
          <w:szCs w:val="24"/>
        </w:rPr>
        <w:fldChar w:fldCharType="begin" w:fldLock="1"/>
      </w:r>
      <w:r w:rsidR="00CE7623">
        <w:rPr>
          <w:rFonts w:ascii="Times New Roman" w:hAnsi="Times New Roman"/>
          <w:sz w:val="24"/>
          <w:szCs w:val="24"/>
        </w:rPr>
        <w:instrText>ADDIN CSL_CITATION {"citationItems":[{"id":"ITEM-1","itemData":{"DOI":"10.1186/s40008-020-00214-4","ISSN":"2193-2409","abstract":"Financial inclusion is a key element of social inclusion, particularly useful in combating poverty and income inequality by opening blocked advancement opportunities for disadvantaged segments of the population. This study intends to investigate the impact of financial inclusion on reducing poverty and income inequality, and the determinants and conditional effects thereof in 116 developing countries. The analysis is carried out using an unbalanced annual panel data for the period of 2004–2016. For this purpose, we construct a novel index of financial inclusion using a broad set of financial sector outreach indicators, finding that per capita income, ratio of internet users, age dependency ratio, inflation, and income inequality significantly influence the level of financial inclusion in developing countries. Furthermore, the results provide robust evidence that financial inclusion significantly reduces poverty rates and income inequality in developing countries. The findings are in favor of further promoting access to and usage of formal financial services by marginalized segments of the population in order to maximize society’s overall welfare.","author":[{"dropping-particle":"","family":"Omar","given":"Md Abdullah","non-dropping-particle":"","parse-names":false,"suffix":""},{"dropping-particle":"","family":"Inaba","given":"Kazuo","non-dropping-particle":"","parse-names":false,"suffix":""}],"container-title":"Journal of Economic Structures","id":"ITEM-1","issue":"1","issued":{"date-parts":[["2020","12","28"]]},"page":"37","title":"Does financial inclusion reduce poverty and income inequality in developing countries? A panel data analysis","type":"article-journal","volume":"9"},"uris":["http://www.mendeley.com/documents/?uuid=89c71339-7167-4470-9156-10a478cfd669"]}],"mendeley":{"formattedCitation":"(Omar &amp; Inaba, 2020)","plainTextFormattedCitation":"(Omar &amp; Inaba, 2020)","previouslyFormattedCitation":"(Omar &amp; Inaba, 2020)"},"properties":{"noteIndex":0},"schema":"https://github.com/citation-style-language/schema/raw/master/csl-citation.json"}</w:instrText>
      </w:r>
      <w:r w:rsidR="004F1CC0">
        <w:rPr>
          <w:rFonts w:ascii="Times New Roman" w:hAnsi="Times New Roman"/>
          <w:sz w:val="24"/>
          <w:szCs w:val="24"/>
        </w:rPr>
        <w:fldChar w:fldCharType="separate"/>
      </w:r>
      <w:r w:rsidR="004F1CC0" w:rsidRPr="004F1CC0">
        <w:rPr>
          <w:rFonts w:ascii="Times New Roman" w:hAnsi="Times New Roman"/>
          <w:noProof/>
          <w:sz w:val="24"/>
          <w:szCs w:val="24"/>
        </w:rPr>
        <w:t>(Omar &amp; Inaba, 2020)</w:t>
      </w:r>
      <w:r w:rsidR="004F1CC0">
        <w:rPr>
          <w:rFonts w:ascii="Times New Roman" w:hAnsi="Times New Roman"/>
          <w:sz w:val="24"/>
          <w:szCs w:val="24"/>
        </w:rPr>
        <w:fldChar w:fldCharType="end"/>
      </w:r>
      <w:r w:rsidRPr="003738DF">
        <w:rPr>
          <w:rFonts w:ascii="Times New Roman" w:hAnsi="Times New Roman"/>
          <w:sz w:val="24"/>
          <w:szCs w:val="24"/>
        </w:rPr>
        <w:t xml:space="preserve">. In the global context, financial inclusion has been recognized as one of the key factors in achieving the Sustainable Development Goals (SDGs), especially in reducing social and economic disparities </w:t>
      </w:r>
      <w:r w:rsidR="004F1CC0">
        <w:rPr>
          <w:rFonts w:ascii="Times New Roman" w:hAnsi="Times New Roman"/>
          <w:sz w:val="24"/>
          <w:szCs w:val="24"/>
        </w:rPr>
        <w:fldChar w:fldCharType="begin" w:fldLock="1"/>
      </w:r>
      <w:r w:rsidR="004F1CC0">
        <w:rPr>
          <w:rFonts w:ascii="Times New Roman" w:hAnsi="Times New Roman"/>
          <w:sz w:val="24"/>
          <w:szCs w:val="24"/>
        </w:rPr>
        <w:instrText>ADDIN CSL_CITATION {"citationItems":[{"id":"ITEM-1","itemData":{"DOI":"10.1007/978-3-031-68803-4_1","author":[{"dropping-particle":"","family":"Muschert","given":"Glenn W.","non-dropping-particle":"","parse-names":false,"suffix":""},{"dropping-particle":"","family":"Nair","given":"Sabu K.","non-dropping-particle":"","parse-names":false,"suffix":""},{"dropping-particle":"V.","family":"Nair","given":"Biju A.","non-dropping-particle":"","parse-names":false,"suffix":""}],"id":"ITEM-1","issued":{"date-parts":[["2024"]]},"page":"3-16","title":"On Financial Inclusion and Global Development: An Introductory Remark","type":"chapter"},"uris":["http://www.mendeley.com/documents/?uuid=7339727a-69f4-4521-9760-c98051081f5f"]}],"mendeley":{"formattedCitation":"(Muschert et al., 2024)","plainTextFormattedCitation":"(Muschert et al., 2024)","previouslyFormattedCitation":"(Muschert et al., 2024)"},"properties":{"noteIndex":0},"schema":"https://github.com/citation-style-language/schema/raw/master/csl-citation.json"}</w:instrText>
      </w:r>
      <w:r w:rsidR="004F1CC0">
        <w:rPr>
          <w:rFonts w:ascii="Times New Roman" w:hAnsi="Times New Roman"/>
          <w:sz w:val="24"/>
          <w:szCs w:val="24"/>
        </w:rPr>
        <w:fldChar w:fldCharType="separate"/>
      </w:r>
      <w:r w:rsidR="004F1CC0" w:rsidRPr="004F1CC0">
        <w:rPr>
          <w:rFonts w:ascii="Times New Roman" w:hAnsi="Times New Roman"/>
          <w:noProof/>
          <w:sz w:val="24"/>
          <w:szCs w:val="24"/>
        </w:rPr>
        <w:t>(Muschert et al., 2024)</w:t>
      </w:r>
      <w:r w:rsidR="004F1CC0">
        <w:rPr>
          <w:rFonts w:ascii="Times New Roman" w:hAnsi="Times New Roman"/>
          <w:sz w:val="24"/>
          <w:szCs w:val="24"/>
        </w:rPr>
        <w:fldChar w:fldCharType="end"/>
      </w:r>
      <w:r w:rsidR="0043660F">
        <w:rPr>
          <w:rFonts w:ascii="Times New Roman" w:hAnsi="Times New Roman"/>
          <w:sz w:val="24"/>
          <w:szCs w:val="24"/>
        </w:rPr>
        <w:t xml:space="preserve">. The role of financial inclusion is to provide access facilities to financial services for underserved populations, so that it can promote economic growth, reduce poverty, and improve social equity </w:t>
      </w:r>
      <w:r w:rsidR="00CE7623">
        <w:rPr>
          <w:rFonts w:ascii="Times New Roman" w:hAnsi="Times New Roman"/>
          <w:sz w:val="24"/>
          <w:szCs w:val="24"/>
        </w:rPr>
        <w:fldChar w:fldCharType="begin" w:fldLock="1"/>
      </w:r>
      <w:r w:rsidR="007D48E2">
        <w:rPr>
          <w:rFonts w:ascii="Times New Roman" w:hAnsi="Times New Roman"/>
          <w:sz w:val="24"/>
          <w:szCs w:val="24"/>
        </w:rPr>
        <w:instrText>ADDIN CSL_CITATION {"citationItems":[{"id":"ITEM-1","itemData":{"DOI":"10.1057/s41264-024-00269-5","ISSN":"1363-0539","author":[{"dropping-particle":"","family":"Ellili","given":"Nejla Ould Daoud","non-dropping-particle":"","parse-names":false,"suffix":""}],"container-title":"Journal of Financial Services Marketing","id":"ITEM-1","issue":"4","issued":{"date-parts":[["2024","12","14"]]},"page":"1345-1364","title":"Financial inclusion and sustainable development: A review and research agenda","type":"article-journal","volume":"29"},"uris":["http://www.mendeley.com/documents/?uuid=9f6f3a92-b9b7-4be6-b9cd-be4a1cc2db1c"]}],"mendeley":{"formattedCitation":"(Ellili, 2024)","plainTextFormattedCitation":"(Ellili, 2024)","previouslyFormattedCitation":"(Ellili, 2024)"},"properties":{"noteIndex":0},"schema":"https://github.com/citation-style-language/schema/raw/master/csl-citation.json"}</w:instrText>
      </w:r>
      <w:r w:rsidR="00CE7623">
        <w:rPr>
          <w:rFonts w:ascii="Times New Roman" w:hAnsi="Times New Roman"/>
          <w:sz w:val="24"/>
          <w:szCs w:val="24"/>
        </w:rPr>
        <w:fldChar w:fldCharType="separate"/>
      </w:r>
      <w:r w:rsidR="00CE7623" w:rsidRPr="00CE7623">
        <w:rPr>
          <w:rFonts w:ascii="Times New Roman" w:hAnsi="Times New Roman"/>
          <w:noProof/>
          <w:sz w:val="24"/>
          <w:szCs w:val="24"/>
        </w:rPr>
        <w:t>(Ellili, 2024)</w:t>
      </w:r>
      <w:r w:rsidR="00CE7623">
        <w:rPr>
          <w:rFonts w:ascii="Times New Roman" w:hAnsi="Times New Roman"/>
          <w:sz w:val="24"/>
          <w:szCs w:val="24"/>
        </w:rPr>
        <w:fldChar w:fldCharType="end"/>
      </w:r>
      <w:r w:rsidR="00AC1A1B">
        <w:rPr>
          <w:rFonts w:ascii="Times New Roman" w:hAnsi="Times New Roman"/>
          <w:sz w:val="24"/>
          <w:szCs w:val="24"/>
        </w:rPr>
        <w:t xml:space="preserve">.  The main focus and highlight of financial inclusion is the gender gap, where women are often more financially marginalized than men </w:t>
      </w:r>
      <w:r w:rsidR="007D48E2">
        <w:rPr>
          <w:rFonts w:ascii="Times New Roman" w:hAnsi="Times New Roman"/>
          <w:sz w:val="24"/>
          <w:szCs w:val="24"/>
        </w:rPr>
        <w:fldChar w:fldCharType="begin" w:fldLock="1"/>
      </w:r>
      <w:r w:rsidR="00C94A10">
        <w:rPr>
          <w:rFonts w:ascii="Times New Roman" w:hAnsi="Times New Roman"/>
          <w:sz w:val="24"/>
          <w:szCs w:val="24"/>
        </w:rPr>
        <w:instrText>ADDIN CSL_CITATION {"citationItems":[{"id":"ITEM-1","itemData":{"DOI":"10.1016/j.frl.2024.106500","ISSN":"15446123","author":[{"dropping-particle":"","family":"Carè","given":"Rosella","non-dropping-particle":"","parse-names":false,"suffix":""},{"dropping-particle":"","family":"Boitan","given":"Iustina Alina","non-dropping-particle":"","parse-names":false,"suffix":""},{"dropping-particle":"","family":"Stoian","given":"Andreea Maria","non-dropping-particle":"","parse-names":false,"suffix":""},{"dropping-particle":"","family":"Fatima","given":"Rabia","non-dropping-particle":"","parse-names":false,"suffix":""}],"container-title":"Finance Research Letters","id":"ITEM-1","issued":{"date-parts":[["2025","2"]]},"page":"106500","title":"Exploring the landscape of financial inclusion through the lens of financial technologies: A review","type":"article-journal","volume":"72"},"uris":["http://www.mendeley.com/documents/?uuid=bb261334-c1eb-4d08-822f-49c4ac2ba511"]},{"id":"ITEM-2","itemData":{"DOI":"10.1108/JFRA-12-2023-0789","ISSN":"1985-2517","author":[{"dropping-particle":"","family":"Berguiga","given":"Imène","non-dropping-particle":"","parse-names":false,"suffix":""},{"dropping-particle":"","family":"Adair","given":"Philippe","non-dropping-particle":"","parse-names":false,"suffix":""}],"container-title":"Journal of Financial Reporting and Accounting","id":"ITEM-2","issued":{"date-parts":[["2024","7","25"]]},"title":"Determinants of youth financial inclusion in MENA countries: account holding versus the use of digital services","type":"article-journal"},"uris":["http://www.mendeley.com/documents/?uuid=413791c7-e543-404d-b09f-57981fe2399e"]},{"id":"ITEM-3","itemData":{"DOI":"10.69554/SBPI4783","ISSN":"1750-1814","abstract":"This paper looks at how financial inclusion impacts marginalised communities, focusing on Africa and Asia predominantly, and how the evolution of digital financial services has helped advance the progression of financial inclusion. The paper considers the lessons learned from previous financial inclusion initiatives and provides examples of where some of the risks associated with these initiatives have been mitigated through the use of Big Data to access underserved rural communities or overcome obstacles such as gender bias when designing financial products and services. The paper will also look at options for future activity that could help to overcome some of the challenges created by financial exclusion. The paper will look at specific case studies from mobile money in Africa to female empowerment initiatives globally, including how the COVID-19 pandemic exacerbated existing problems for vulnerable communities but also acted as a catalyst for new and appropriately responsive activity. From working in collaboration, to improved regulation, the need for increased equality across access to digital financial services and the relevant literacy training required, this paper seeks to review what the previous landscape of financial inclusion technology looked like and how it can evolve.","author":[{"dropping-particle":"","family":"Bedarkar","given":"Vijay","non-dropping-particle":"","parse-names":false,"suffix":""},{"dropping-particle":"","family":"Conway","given":"Alison","non-dropping-particle":"","parse-names":false,"suffix":""}],"container-title":"Journal of Payments Strategy &amp; Systems","id":"ITEM-3","issue":"4","issued":{"date-parts":[["2022","12","1"]]},"page":"399","title":"How financial inclusion is evolving to make payments easier for all","type":"article-journal","volume":"16"},"uris":["http://www.mendeley.com/documents/?uuid=34d5e0b0-ed4c-4d72-97b7-583e010e86d6"]}],"mendeley":{"formattedCitation":"(Bedarkar &amp; Conway, 2022; Berguiga &amp; Adair, 2024; Carè et al., 2025)","plainTextFormattedCitation":"(Bedarkar &amp; Conway, 2022; Berguiga &amp; Adair, 2024; Carè et al., 2025)","previouslyFormattedCitation":"(Bedarkar &amp; Conway, 2022; Berguiga &amp; Adair, 2024; Carè et al., 2025)"},"properties":{"noteIndex":0},"schema":"https://github.com/citation-style-language/schema/raw/master/csl-citation.json"}</w:instrText>
      </w:r>
      <w:r w:rsidR="007D48E2">
        <w:rPr>
          <w:rFonts w:ascii="Times New Roman" w:hAnsi="Times New Roman"/>
          <w:sz w:val="24"/>
          <w:szCs w:val="24"/>
        </w:rPr>
        <w:fldChar w:fldCharType="separate"/>
      </w:r>
      <w:r w:rsidR="007D48E2" w:rsidRPr="007D48E2">
        <w:rPr>
          <w:rFonts w:ascii="Times New Roman" w:hAnsi="Times New Roman"/>
          <w:noProof/>
          <w:sz w:val="24"/>
          <w:szCs w:val="24"/>
        </w:rPr>
        <w:t>(Bedarkar &amp; Conway, 2022; Berguiga &amp; Adair, 2024; Carè et al., 2025)</w:t>
      </w:r>
      <w:r w:rsidR="007D48E2">
        <w:rPr>
          <w:rFonts w:ascii="Times New Roman" w:hAnsi="Times New Roman"/>
          <w:sz w:val="24"/>
          <w:szCs w:val="24"/>
        </w:rPr>
        <w:fldChar w:fldCharType="end"/>
      </w:r>
      <w:r w:rsidR="008762A1">
        <w:rPr>
          <w:rFonts w:ascii="Times New Roman" w:hAnsi="Times New Roman"/>
          <w:sz w:val="24"/>
          <w:szCs w:val="24"/>
        </w:rPr>
        <w:t xml:space="preserve">. The Gender-Based Financial Inclusion Index (GFII) highlights several countries globally that still have high levels of gender inequality such as Afghanistan, Pakistan, Iraq, Guinea, and Tanzania, the MENA region, sub-Saharan Africa, India, Ethiopia, and Burundi </w:t>
      </w:r>
      <w:r w:rsidR="004F2446">
        <w:rPr>
          <w:rFonts w:ascii="Times New Roman" w:hAnsi="Times New Roman"/>
          <w:sz w:val="24"/>
          <w:szCs w:val="24"/>
        </w:rPr>
        <w:fldChar w:fldCharType="begin" w:fldLock="1"/>
      </w:r>
      <w:r w:rsidR="00B01482">
        <w:rPr>
          <w:rFonts w:ascii="Times New Roman" w:hAnsi="Times New Roman"/>
          <w:sz w:val="24"/>
          <w:szCs w:val="24"/>
        </w:rPr>
        <w:instrText>ADDIN CSL_CITATION {"citationItems":[{"id":"ITEM-1","itemData":{"DOI":"10.3390/su151310253","ISSN":"2071-1050","abstract":"Financial inclusion (FI) for vulnerable populations, such as women, is critical for achieving gender equality, women’s empowerment, and thereby, inclusive growth. Sustainable development goal 5 considers gender equality as a fundamental right and views the empowerment of women as a necessary step. Access to finance is a significant means to empower a person. In this regard, the use of digital financial services is of particular significance for women as it allows them easier access to financial products for business and household needs. For implementing policies to reduce financial exclusion of women, it is necessary to first measure the extent of FI in society. While there are several attempts to measure FI for the general population, there is limited literature on the gender-based measurement of FI. This paper fills this important research gap by developing a gender-based FI index (GFII) focusing particularly on digital services and evaluating the performance of countries across the globe (by considering 109 countries based on data availability) in terms of a gender-based FI measure developed by us. This index is developed using two separate indices, a digital financial service usage index (DFI) and a conventional financial service usage index (CFI). We calculate it for different countries for 2011, 2014, 2017, and 2021 using the Global Findex databaseIt helps us to investigate the performance of different countries over the years in ensuring the financial inclusion of women and how digital services are penetrating over the years. One contribution of the paper is to relate the Gender Development Index (GDI) and Gender Inequality Index (GII) of countries, two well-known measures of inclusive and sustainable development, with GFII and DFI for female (DFIF). This exercise shows that while there is a positive correlation between these two sets of indicators, there are a number of countries that are high (or low) in gender development (or inequality) that need to improve their digital FI. Interestingly, using the Global Findex database and the Feasible Generalized Least Squares (FGLS) and instrumental variable panel data model, we show that health, education, labour force participation rate, and political empowerment of women significantly impact the digital financial inclusion of women. The paper brings out relevant policy suggestions for improving women’s digital financial access and thereby enhancing gender empowerment for faster and more inclusive growth.","author":[{"dropping-particle":"","family":"Tripathi","given":"Sabyasachi","non-dropping-particle":"","parse-names":false,"suffix":""},{"dropping-particle":"","family":"Rajeev","given":"Meenakshi","non-dropping-particle":"","parse-names":false,"suffix":""}],"container-title":"Sustainability","id":"ITEM-1","issue":"13","issued":{"date-parts":[["2023","6","28"]]},"page":"10253","title":"Gender-Inclusive Development through Fintech: Studying Gender-Based Digital Financial Inclusion in a Cross-Country Setting","type":"article-journal","volume":"15"},"uris":["http://www.mendeley.com/documents/?uuid=a2230839-54cf-43f5-ba04-3c9397f44c10"]},{"id":"ITEM-2","itemData":{"DOI":"10.31920/1750-4562/2020/v15n4a7","ISSN":"17504554","author":[{"dropping-particle":"","family":"Mukong","given":"Alfred","non-dropping-particle":"","parse-names":false,"suffix":""},{"dropping-particle":"","family":"Shiwayu","given":"Nikanor","non-dropping-particle":"","parse-names":false,"suffix":""},{"dropping-particle":"","family":"Kaulihowa","given":"Teresia","non-dropping-particle":"","parse-names":false,"suffix":""}],"container-title":"African Journal of Business and Economic Research","id":"ITEM-2","issue":"4","issued":{"date-parts":[["2020","12","1"]]},"page":"149-169","title":"A decomposition of the gender gap in financial inclusion: evidence from Namibia","type":"article-journal","volume":"15"},"uris":["http://www.mendeley.com/documents/?uuid=8b0b9a55-7b52-4c99-a46d-a842eb1c95bb"]},{"id":"ITEM-3","itemData":{"DOI":"10.17811/ebl.8.4.2019.199-208","ISSN":"2254-4380","abstract":"This study aims to analyze the gender dimension of financial inclusion in MENA countries. Using the World Bank’s 2017 Global Findex Database, it explores the underlying factors of gender differences in formal financial services usage via Fairlie decomposition method. The findings of the study indicate that a significant portion of the disparity in financial inclusion is attributable to employment, while age and tertiary education are also found as contributing factors to the financial inclusion gap. Another notable finding is that upper income quintiles contribute positively to the gender gap, indeed to a greater extent compared to lower income groups.","author":[{"dropping-particle":"","family":"Özşuca","given":"Ekin Ayşe","non-dropping-particle":"","parse-names":false,"suffix":""}],"container-title":"Economics and Business Letters","id":"ITEM-3","issue":"4","issued":{"date-parts":[["2019","12","18"]]},"page":"199","title":"Gender gap in financial inclusion: Evidence from MENA","type":"article-journal","volume":"8"},"uris":["http://www.mendeley.com/documents/?uuid=5da99402-ee69-4f64-bd3b-e415f4de5146"]},{"id":"ITEM-4","itemData":{"DOI":"10.1007/978-981-97-6132-6_10","author":[{"dropping-particle":"","family":"Temoso","given":"Omphile","non-dropping-particle":"","parse-names":false,"suffix":""},{"dropping-particle":"","family":"Ng’ombe","given":"John N.","non-dropping-particle":"","parse-names":false,"suffix":""},{"dropping-particle":"","family":"Addai","given":"Kwabena N.","non-dropping-particle":"","parse-names":false,"suffix":""}],"id":"ITEM-4","issued":{"date-parts":[["2024"]]},"page":"229-255","title":"Gender and Geographical Disparities in Financial Inclusion in Rural sub-Saharan Africa: A Kitagawa-Oaxaca-Blinder Decomposition","type":"chapter"},"uris":["http://www.mendeley.com/documents/?uuid=afae92c6-0740-44c1-b44b-c4a4921be0d9"]},{"id":"ITEM-5","itemData":{"DOI":"10.1111/1467-8268.12462","ISSN":"1017-6772","abstract":"This paper examines the status and determinants of gender disparities in financial inclusion using a sample of 4,466 individuals from the Finscope survey in Tanzania. The results provide evidence to support gender disparities in financial inclusion, mostly pronounced in formal savings (21.3%), formal accounts (10.6%) and mobile money accounts (9.4%). This is reflected in 17.1% less likelihood of female ownership of a formal savings account but a 2% higher likelihood t</w:instrText>
      </w:r>
      <w:r w:rsidR="00B01482">
        <w:rPr>
          <w:rFonts w:ascii="Times New Roman" w:hAnsi="Times New Roman" w:hint="eastAsia"/>
          <w:sz w:val="24"/>
          <w:szCs w:val="24"/>
        </w:rPr>
        <w:instrText>o access formal credit. Finally, the paper documents evidence that gender disparities in financial inclusion are explained by lower levels of education, income and over</w:instrText>
      </w:r>
      <w:r w:rsidR="00B01482">
        <w:rPr>
          <w:rFonts w:ascii="Times New Roman" w:hAnsi="Times New Roman" w:hint="eastAsia"/>
          <w:sz w:val="24"/>
          <w:szCs w:val="24"/>
        </w:rPr>
        <w:instrText>‐</w:instrText>
      </w:r>
      <w:r w:rsidR="00B01482">
        <w:rPr>
          <w:rFonts w:ascii="Times New Roman" w:hAnsi="Times New Roman" w:hint="eastAsia"/>
          <w:sz w:val="24"/>
          <w:szCs w:val="24"/>
        </w:rPr>
        <w:instrText>dependence of women on men. The findings support gender mainstreaming in other sectors</w:instrText>
      </w:r>
      <w:r w:rsidR="00B01482">
        <w:rPr>
          <w:rFonts w:ascii="Times New Roman" w:hAnsi="Times New Roman"/>
          <w:sz w:val="24"/>
          <w:szCs w:val="24"/>
        </w:rPr>
        <w:instrText xml:space="preserve"> to increase employment and education for women to close the gender gap in financial access.","author":[{"dropping-particle":"","family":"Mndolwa","given":"Florence D.","non-dropping-particle":"","parse-names":false,"suffix":""},{"dropping-particle":"","family":"Alhassan","given":"Abdul Latif","non-dropping-particle":"","parse-names":false,"suffix":""}],"container-title":"African Development Review","id":"ITEM-5","issue":"4","issued":{"date-parts":[["2020","12","9"]]},"page":"578-590","title":"Gender disparities in financial inclusion: Insights from Tanzania","type":"article-journal","volume":"32"},"uris":["http://www.mendeley.com/documents/?uuid=fdf895c1-af93-430b-be3e-c2fd3cb473d4"]},{"id":"ITEM-6","itemData":{"ISSN":"15452921 (ISSN)","abstract":"The existence of gender gap in financial inclusion has come into prominence in recent times. In this context, using global Findex household-level database for the year 2017 our study aims to evaluate the presence of gender gap in financial inclusion for India. The empirical findings suggest that women are significantly less likely to be financially included as compared to their male counterparts. Using Fairlie Decomposition technique, this paper also finds the statistical evidence which reveals that gender differences in socio economic variables largely explain the gender gap in financial inclusion. More precisely, it is observed that lower employment status within females is a crucial reason of not having formal account, formal saving and formal credit requirement. However, lower education among females predominantly prohibits them from using digital financial services. © 2019, Economics Bulletin.","author":[{"dropping-particle":"","family":"Ghosh","given":"C","non-dropping-particle":"","parse-names":false,"suffix":""},{"dropping-particle":"","family":"Chaudhury","given":"R H","non-dropping-particle":"","parse-names":false,"suffix":""}],"container-title":"Economics Bulletin","id":"ITEM-6","issue":"4","issued":{"date-parts":[["2019"]]},"language":"English","note":"Export Date: 10 March 2025; Cited By: 19","page":"2615-2630","publisher":"Economics Bulletin","publisher-place":"West Bengal State University, India","title":"Gender Gap in case of financial inclusion: An empirical analysis in Indian Context","type":"article-journal","volume":"39"},"uris":["http://www.mendeley.com/documents/?uuid=327873cd-50ab-4289-96fe-50a9f3956ef3"]},{"id":"ITEM-7","itemData":{"DOI":"10.1080/23311975.2023.2238124","ISSN":"2331-1975","author":[{"dropping-particle":"","family":"Hundie","given":"Shemelis Kebede","non-dropping-particle":"","parse-names":false,"suffix":""},{"dropping-particle":"","family":"Tulu","given":"Daniel Tadesse","non-dropping-particle":"","parse-names":false,"suffix":""}],"container-title":"Cogent Business &amp; Management","id":"ITEM-7","issue":"2","issued":{"date-parts":[["2023","12","12"]]},"title":"Determinants of financial inclusion gender gap in Ethiopia: Evidence from decomposition analysis","type":"article-journal","volume":"10"},"uris":["http://www.mendeley.com/documents/?uuid=cc5258e0-789d-44a5-9ac7-07e9ec8c0be1"]},{"id":"ITEM-8","itemData":{"DOI":"10.1111/rode.13046","ISSN":"1363-6669","abstract":"Despite an improving financial inclusion situation across the developing world, there still exist wide gender </w:instrText>
      </w:r>
      <w:r w:rsidR="00B01482">
        <w:rPr>
          <w:rFonts w:ascii="Times New Roman" w:hAnsi="Times New Roman" w:hint="eastAsia"/>
          <w:sz w:val="24"/>
          <w:szCs w:val="24"/>
        </w:rPr>
        <w:instrText>gaps in financial inclusion, especially in fragile and post</w:instrText>
      </w:r>
      <w:r w:rsidR="00B01482">
        <w:rPr>
          <w:rFonts w:ascii="Times New Roman" w:hAnsi="Times New Roman" w:hint="eastAsia"/>
          <w:sz w:val="24"/>
          <w:szCs w:val="24"/>
        </w:rPr>
        <w:instrText>‐</w:instrText>
      </w:r>
      <w:r w:rsidR="00B01482">
        <w:rPr>
          <w:rFonts w:ascii="Times New Roman" w:hAnsi="Times New Roman" w:hint="eastAsia"/>
          <w:sz w:val="24"/>
          <w:szCs w:val="24"/>
        </w:rPr>
        <w:instrText>conflict countries. In our study, we designed and implemented a survey consisting of 860 households across urban and rural Burundi to examine the effect of financial inclusion on household asset</w:instrText>
      </w:r>
      <w:r w:rsidR="00B01482">
        <w:rPr>
          <w:rFonts w:ascii="Times New Roman" w:hAnsi="Times New Roman" w:hint="eastAsia"/>
          <w:sz w:val="24"/>
          <w:szCs w:val="24"/>
        </w:rPr>
        <w:instrText>‐</w:instrText>
      </w:r>
      <w:r w:rsidR="00B01482">
        <w:rPr>
          <w:rFonts w:ascii="Times New Roman" w:hAnsi="Times New Roman" w:hint="eastAsia"/>
          <w:sz w:val="24"/>
          <w:szCs w:val="24"/>
        </w:rPr>
        <w:instrText>based welfare from a gendered perspective. To address any endogeneity concerns, we apply the two</w:instrText>
      </w:r>
      <w:r w:rsidR="00B01482">
        <w:rPr>
          <w:rFonts w:ascii="Times New Roman" w:hAnsi="Times New Roman" w:hint="eastAsia"/>
          <w:sz w:val="24"/>
          <w:szCs w:val="24"/>
        </w:rPr>
        <w:instrText>‐</w:instrText>
      </w:r>
      <w:r w:rsidR="00B01482">
        <w:rPr>
          <w:rFonts w:ascii="Times New Roman" w:hAnsi="Times New Roman" w:hint="eastAsia"/>
          <w:sz w:val="24"/>
          <w:szCs w:val="24"/>
        </w:rPr>
        <w:instrText>stage least squares (2SLS) regression method. We find that most Burundian households prefer to save their money at home rather than at a financial institution. Also, mobile money is mainly employed as a means of receiving and withdrawing cash. Our 2SLS regression results reveal that improved financial inclusion has a greater effect on the welfare of female</w:instrText>
      </w:r>
      <w:r w:rsidR="00B01482">
        <w:rPr>
          <w:rFonts w:ascii="Times New Roman" w:hAnsi="Times New Roman" w:hint="eastAsia"/>
          <w:sz w:val="24"/>
          <w:szCs w:val="24"/>
        </w:rPr>
        <w:instrText>‐</w:instrText>
      </w:r>
      <w:r w:rsidR="00B01482">
        <w:rPr>
          <w:rFonts w:ascii="Times New Roman" w:hAnsi="Times New Roman" w:hint="eastAsia"/>
          <w:sz w:val="24"/>
          <w:szCs w:val="24"/>
        </w:rPr>
        <w:instrText>headed households than on male</w:instrText>
      </w:r>
      <w:r w:rsidR="00B01482">
        <w:rPr>
          <w:rFonts w:ascii="Times New Roman" w:hAnsi="Times New Roman" w:hint="eastAsia"/>
          <w:sz w:val="24"/>
          <w:szCs w:val="24"/>
        </w:rPr>
        <w:instrText>‐</w:instrText>
      </w:r>
      <w:r w:rsidR="00B01482">
        <w:rPr>
          <w:rFonts w:ascii="Times New Roman" w:hAnsi="Times New Roman" w:hint="eastAsia"/>
          <w:sz w:val="24"/>
          <w:szCs w:val="24"/>
        </w:rPr>
        <w:instrText>headed households. We r</w:instrText>
      </w:r>
      <w:r w:rsidR="00B01482">
        <w:rPr>
          <w:rFonts w:ascii="Times New Roman" w:hAnsi="Times New Roman"/>
          <w:sz w:val="24"/>
          <w:szCs w:val="24"/>
        </w:rPr>
        <w:instrText>ecommend the use of social networks as an avenue to promote financial inclusion and literacy. Additionally, the Government of Burundi can collaborate with the telecommunication operators to institute small loan schemes through the mobile money platform to</w:instrText>
      </w:r>
      <w:r w:rsidR="00B01482">
        <w:rPr>
          <w:rFonts w:ascii="Times New Roman" w:hAnsi="Times New Roman" w:hint="eastAsia"/>
          <w:sz w:val="24"/>
          <w:szCs w:val="24"/>
        </w:rPr>
        <w:instrText xml:space="preserve"> enhance access to credit, especially for women.","author":[{"dropping-particle":"","family":"Atta</w:instrText>
      </w:r>
      <w:r w:rsidR="00B01482">
        <w:rPr>
          <w:rFonts w:ascii="Times New Roman" w:hAnsi="Times New Roman" w:hint="eastAsia"/>
          <w:sz w:val="24"/>
          <w:szCs w:val="24"/>
        </w:rPr>
        <w:instrText>‐</w:instrText>
      </w:r>
      <w:r w:rsidR="00B01482">
        <w:rPr>
          <w:rFonts w:ascii="Times New Roman" w:hAnsi="Times New Roman" w:hint="eastAsia"/>
          <w:sz w:val="24"/>
          <w:szCs w:val="24"/>
        </w:rPr>
        <w:instrText>Aidoo","given":"Jonathan","non-dropping-particle":"","parse-names":false,"suffix":""},{"dropping-particle":"","family":"Matthew","given":"Ester Cosmas","non</w:instrText>
      </w:r>
      <w:r w:rsidR="00B01482">
        <w:rPr>
          <w:rFonts w:ascii="Times New Roman" w:hAnsi="Times New Roman"/>
          <w:sz w:val="24"/>
          <w:szCs w:val="24"/>
        </w:rPr>
        <w:instrText>-dropping-particle":"","parse-names":false,"suffix":""},{"dropping-particle":"","family":"Saleh","given":"Abdulkarim Onah","non-dropping-particle":"","parse-names":false,"suffix":""},{"dropping-particle":"","family":"Bizoza","given":"Saidi","non-dropping-particle":"","parse-names":false,"suffix":""}],"container-title":"Review of Development Economics","id":"ITEM-8","issue":"1","issued":{"date-parts":[["2025","2","21"]]},"page":"43-63","title":"A gendered analysis of the effect of financial inclusion on ho</w:instrText>
      </w:r>
      <w:r w:rsidR="00B01482">
        <w:rPr>
          <w:rFonts w:ascii="Times New Roman" w:hAnsi="Times New Roman" w:hint="eastAsia"/>
          <w:sz w:val="24"/>
          <w:szCs w:val="24"/>
        </w:rPr>
        <w:instrText>usehold welfare in Burundi","type":"article-journal","volume":"29"},"uris":["http://www.mendeley.com/documents/?uuid=a2190f12-2e8e-4e1f-b6d1-3c666ee47f69"]}],"mendeley":{"formattedCitation":"(Atta</w:instrText>
      </w:r>
      <w:r w:rsidR="00B01482">
        <w:rPr>
          <w:rFonts w:ascii="Times New Roman" w:hAnsi="Times New Roman" w:hint="eastAsia"/>
          <w:sz w:val="24"/>
          <w:szCs w:val="24"/>
        </w:rPr>
        <w:instrText>‐</w:instrText>
      </w:r>
      <w:r w:rsidR="00B01482">
        <w:rPr>
          <w:rFonts w:ascii="Times New Roman" w:hAnsi="Times New Roman" w:hint="eastAsia"/>
          <w:sz w:val="24"/>
          <w:szCs w:val="24"/>
        </w:rPr>
        <w:instrText>Aidoo et al., 2025; Ghosh &amp; Chaudhury, 2019; Hundie &amp; Tulu</w:instrText>
      </w:r>
      <w:r w:rsidR="00B01482">
        <w:rPr>
          <w:rFonts w:ascii="Times New Roman" w:hAnsi="Times New Roman"/>
          <w:sz w:val="24"/>
          <w:szCs w:val="24"/>
        </w:rPr>
        <w:instrText>, 2023; Mndolwa &amp; Alhassan, 2020; Mukong et al., 2020; Özşuca, 2019; Temoso et al., 2024; Tripathi &amp; Rajeev, 2023)","plainTextFormattedCitation":"(Atta</w:instrText>
      </w:r>
      <w:r w:rsidR="00B01482">
        <w:rPr>
          <w:rFonts w:ascii="Times New Roman" w:hAnsi="Times New Roman" w:hint="eastAsia"/>
          <w:sz w:val="24"/>
          <w:szCs w:val="24"/>
        </w:rPr>
        <w:instrText>‐</w:instrText>
      </w:r>
      <w:r w:rsidR="00B01482">
        <w:rPr>
          <w:rFonts w:ascii="Times New Roman" w:hAnsi="Times New Roman"/>
          <w:sz w:val="24"/>
          <w:szCs w:val="24"/>
        </w:rPr>
        <w:instrText>Aidoo et al., 2025; Ghosh &amp; Chaudhury, 2019; Hundie &amp; Tulu, 2023; Mndolwa &amp; Alhassan, 2020; Mukong et al., 2020; Özşuca, 2019; Temoso et al., 2024; Tripathi &amp; Rajeev, 2023)","previouslyFormattedCitation":"(Atta</w:instrText>
      </w:r>
      <w:r w:rsidR="00B01482">
        <w:rPr>
          <w:rFonts w:ascii="Times New Roman" w:hAnsi="Times New Roman" w:hint="eastAsia"/>
          <w:sz w:val="24"/>
          <w:szCs w:val="24"/>
        </w:rPr>
        <w:instrText>‐</w:instrText>
      </w:r>
      <w:r w:rsidR="00B01482">
        <w:rPr>
          <w:rFonts w:ascii="Times New Roman" w:hAnsi="Times New Roman"/>
          <w:sz w:val="24"/>
          <w:szCs w:val="24"/>
        </w:rPr>
        <w:instrText>Aidoo et al., 2025; Ghosh &amp; Chaudhury, 2019; Hundie &amp; Tulu, 2023; Mndolwa &amp; Alhassan, 2020; Mukong et al., 2020; Özşuca, 2019; Temoso et al., 2024; Tripathi &amp; Rajeev, 2023)"},"properties":{"noteIndex":0},"schema":"https://github.com/citation-style-language/schema/raw/master/csl-citation.json"}</w:instrText>
      </w:r>
      <w:r w:rsidR="004F2446">
        <w:rPr>
          <w:rFonts w:ascii="Times New Roman" w:hAnsi="Times New Roman"/>
          <w:sz w:val="24"/>
          <w:szCs w:val="24"/>
        </w:rPr>
        <w:fldChar w:fldCharType="separate"/>
      </w:r>
      <w:r w:rsidR="004F2446" w:rsidRPr="004F2446">
        <w:rPr>
          <w:rFonts w:ascii="Times New Roman" w:hAnsi="Times New Roman"/>
          <w:noProof/>
          <w:sz w:val="24"/>
          <w:szCs w:val="24"/>
        </w:rPr>
        <w:t>(Atta</w:t>
      </w:r>
      <w:r w:rsidR="004F2446" w:rsidRPr="004F2446">
        <w:rPr>
          <w:rFonts w:ascii="Times New Roman" w:hAnsi="Times New Roman" w:hint="eastAsia"/>
          <w:noProof/>
          <w:sz w:val="24"/>
          <w:szCs w:val="24"/>
        </w:rPr>
        <w:t>‐</w:t>
      </w:r>
      <w:r w:rsidR="004F2446" w:rsidRPr="004F2446">
        <w:rPr>
          <w:rFonts w:ascii="Times New Roman" w:hAnsi="Times New Roman"/>
          <w:noProof/>
          <w:sz w:val="24"/>
          <w:szCs w:val="24"/>
        </w:rPr>
        <w:t>Aidoo et al., 2025; Ghosh &amp; Chaudhury, 2019; Hundie &amp; Tulu, 2023; Mndolwa &amp; Alhassan, 2020; Mukong et al., 2020; Özşuca, 2019; Temoso et al., 2024; Tripathi &amp; Rajeev, 2023)</w:t>
      </w:r>
      <w:r w:rsidR="004F2446">
        <w:rPr>
          <w:rFonts w:ascii="Times New Roman" w:hAnsi="Times New Roman"/>
          <w:sz w:val="24"/>
          <w:szCs w:val="24"/>
        </w:rPr>
        <w:fldChar w:fldCharType="end"/>
      </w:r>
      <w:r w:rsidR="004F2446">
        <w:rPr>
          <w:rFonts w:ascii="Times New Roman" w:hAnsi="Times New Roman"/>
          <w:sz w:val="24"/>
          <w:szCs w:val="24"/>
        </w:rPr>
        <w:t xml:space="preserve">. Meanwhile, in the ASEAN region, countries with a large gender gap are Vietnam, the Philippines and Indonesia </w:t>
      </w:r>
      <w:r w:rsidR="00B01482">
        <w:rPr>
          <w:rFonts w:ascii="Times New Roman" w:hAnsi="Times New Roman"/>
          <w:sz w:val="24"/>
          <w:szCs w:val="24"/>
        </w:rPr>
        <w:fldChar w:fldCharType="begin" w:fldLock="1"/>
      </w:r>
      <w:r w:rsidR="00FD1838">
        <w:rPr>
          <w:rFonts w:ascii="Times New Roman" w:hAnsi="Times New Roman"/>
          <w:sz w:val="24"/>
          <w:szCs w:val="24"/>
        </w:rPr>
        <w:instrText>ADDIN CSL_CITATION {"citationItems":[{"id":"ITEM-1","itemData":{"DOI":"10.1002/bsd2.139","ISSN":"2572-3170","abstract":"This paper examines the determinants of financial inclusion in Vietnam, Indonesia, and the Philippines (VIP). We employ a probit model to the World Bank's Global Findex Dataset of 2017. The analysis compares individuals' access to formal and informal financial services, savings, and credit tools, considering individual socioeconomic characteristics. The study finds significant gaps in financial access between individuals based on gender, age, income, education, location, and job status. Indonesia made more considerable improvements in financial inclusion than the Philippines and Vietnam. Access to savings and credit in the VIP remain low, mainly favoring adults, higher earners, formally employed, and the more educated ones. Females in the VIP have a higher likelihood to be financially included than males, they are more likely to hold savings accounts, to participate in informal finance, while they perceived fewer barriers to formal banking. Formal and informal services coexist in the VIP, while formal financial services often exclude the less privileged. Lack of money, high cost of finance, and perception of financial services as unneces</w:instrText>
      </w:r>
      <w:r w:rsidR="00FD1838">
        <w:rPr>
          <w:rFonts w:ascii="Times New Roman" w:hAnsi="Times New Roman" w:hint="eastAsia"/>
          <w:sz w:val="24"/>
          <w:szCs w:val="24"/>
        </w:rPr>
        <w:instrText>sary are the largest obstacles to inclusion in the VIP, being more burdensome for low</w:instrText>
      </w:r>
      <w:r w:rsidR="00FD1838">
        <w:rPr>
          <w:rFonts w:ascii="Times New Roman" w:hAnsi="Times New Roman" w:hint="eastAsia"/>
          <w:sz w:val="24"/>
          <w:szCs w:val="24"/>
        </w:rPr>
        <w:instrText>‐</w:instrText>
      </w:r>
      <w:r w:rsidR="00FD1838">
        <w:rPr>
          <w:rFonts w:ascii="Times New Roman" w:hAnsi="Times New Roman" w:hint="eastAsia"/>
          <w:sz w:val="24"/>
          <w:szCs w:val="24"/>
        </w:rPr>
        <w:instrText>income and less</w:instrText>
      </w:r>
      <w:r w:rsidR="00FD1838">
        <w:rPr>
          <w:rFonts w:ascii="Times New Roman" w:hAnsi="Times New Roman" w:hint="eastAsia"/>
          <w:sz w:val="24"/>
          <w:szCs w:val="24"/>
        </w:rPr>
        <w:instrText>‐</w:instrText>
      </w:r>
      <w:r w:rsidR="00FD1838">
        <w:rPr>
          <w:rFonts w:ascii="Times New Roman" w:hAnsi="Times New Roman" w:hint="eastAsia"/>
          <w:sz w:val="24"/>
          <w:szCs w:val="24"/>
        </w:rPr>
        <w:instrText>educated people. Mobile banking services have developed yet leave the less</w:instrText>
      </w:r>
      <w:r w:rsidR="00FD1838">
        <w:rPr>
          <w:rFonts w:ascii="Times New Roman" w:hAnsi="Times New Roman" w:hint="eastAsia"/>
          <w:sz w:val="24"/>
          <w:szCs w:val="24"/>
        </w:rPr>
        <w:instrText>‐</w:instrText>
      </w:r>
      <w:r w:rsidR="00FD1838">
        <w:rPr>
          <w:rFonts w:ascii="Times New Roman" w:hAnsi="Times New Roman" w:hint="eastAsia"/>
          <w:sz w:val="24"/>
          <w:szCs w:val="24"/>
        </w:rPr>
        <w:instrText>fortunate people unserved. Age plays a vital role in savings and credit behavi</w:instrText>
      </w:r>
      <w:r w:rsidR="00FD1838">
        <w:rPr>
          <w:rFonts w:ascii="Times New Roman" w:hAnsi="Times New Roman"/>
          <w:sz w:val="24"/>
          <w:szCs w:val="24"/>
        </w:rPr>
        <w:instrText>or, with the VIP missing to ensure access for young people to services.","author":[{"dropping-particle":"","family":"Esquivias","given":"Miguel A.","non-dropping-particle":"","parse-names":false,"suffix":""},{"dropping-particle":"","family":"Sethi","given":"Narayan","non-dropping-particle":"","parse-names":false,"suffix":""},{"dropping-particle":"","family":"Ramandha","given":"Muhammad Daffa","non-dropping-particle":"","parse-names":false,"suffix":""},{"dropping-particle":"","family":"Jayanti","given":"Ari Dwi","non-dropping-particle":"","parse-names":false,"suffix":""}],"container-title":"Business Strategy &amp; Development","id":"ITEM-1","issue":"2","issued":{"date-parts":[["2021","6","10"]]},"page":"203-215","title":"Financial inclusion dynamics in Southeast Asia: An empirical investigation on three countries","type":"article-journal","volume":"4"},"uris":["http://www.mendeley.com/documents/?uuid=74e43b79-fef1-4da1-9235-36ac47878e30"]}],"mendeley":{"formattedCitation":"(Esquivias et al., 2021)","plainTextFormattedCitation":"(Esquivias et al., 2021)","previouslyFormattedCitation":"(Esquivias et al., 2021)"},"properties":{"noteIndex":0},"schema":"https://github.com/citation-style-language/schema/raw/master/csl-citation.json"}</w:instrText>
      </w:r>
      <w:r w:rsidR="00B01482">
        <w:rPr>
          <w:rFonts w:ascii="Times New Roman" w:hAnsi="Times New Roman"/>
          <w:sz w:val="24"/>
          <w:szCs w:val="24"/>
        </w:rPr>
        <w:fldChar w:fldCharType="separate"/>
      </w:r>
      <w:r w:rsidR="00B01482" w:rsidRPr="00B01482">
        <w:rPr>
          <w:rFonts w:ascii="Times New Roman" w:hAnsi="Times New Roman"/>
          <w:noProof/>
          <w:sz w:val="24"/>
          <w:szCs w:val="24"/>
        </w:rPr>
        <w:t>(Esquivias et al., 2021)</w:t>
      </w:r>
      <w:r w:rsidR="00B01482">
        <w:rPr>
          <w:rFonts w:ascii="Times New Roman" w:hAnsi="Times New Roman"/>
          <w:sz w:val="24"/>
          <w:szCs w:val="24"/>
        </w:rPr>
        <w:fldChar w:fldCharType="end"/>
      </w:r>
      <w:r w:rsidR="00B01482">
        <w:rPr>
          <w:rFonts w:ascii="Times New Roman" w:hAnsi="Times New Roman"/>
          <w:sz w:val="24"/>
          <w:szCs w:val="24"/>
        </w:rPr>
        <w:t xml:space="preserve">. The gap is influenced by several factors such as health, education, labor force participation and political empowerment </w:t>
      </w:r>
      <w:r w:rsidR="00FD1838">
        <w:rPr>
          <w:rFonts w:ascii="Times New Roman" w:hAnsi="Times New Roman"/>
          <w:sz w:val="24"/>
          <w:szCs w:val="24"/>
        </w:rPr>
        <w:fldChar w:fldCharType="begin" w:fldLock="1"/>
      </w:r>
      <w:r w:rsidR="00FD1838">
        <w:rPr>
          <w:rFonts w:ascii="Times New Roman" w:hAnsi="Times New Roman"/>
          <w:sz w:val="24"/>
          <w:szCs w:val="24"/>
        </w:rPr>
        <w:instrText>ADDIN CSL_CITATION {"citationItems":[{"id":"ITEM-1","itemData":{"DOI":"10.3390/su151310253","ISSN":"2071-1050","abstract":"Financial inclusion (FI) for vulnerable populations, such as women, is critical for achieving gender equality, women’s empowerment, and thereby, inclusive growth. Sustainable development goal 5 considers gender equality as a fundamental right and views the empowerment of women as a necessary step. Access to finance is a significant means to empower a person. In this regard, the use of digital financial services is of particular significance for women as it allows them easier access to financial products for business and household needs. For implementing policies to reduce financial exclusion of women, it is necessary to first measure the extent of FI in society. While there are several attempts to measure FI for the general population, there is limited literature on the gender-based measurement of FI. This paper fills this important research gap by developing a gender-based FI index (GFII) focusing particularly on digital services and evaluating the performance of countries across the globe (by considering 109 countries based on data availability) in terms of a gender-based FI measure developed by us. This index is developed using two separate indices, a digital financial service usage index (DFI) and a conventional financial service usage index (CFI). We calculate it for different countries for 2011, 2014, 2017, and 2021 using the Global Findex databaseIt helps us to investigate the performance of different countries over the years in ensuring the financial inclusion of women and how digital services are penetrating over the years. One contribution of the paper is to relate the Gender Development Index (GDI) and Gender Inequality Index (GII) of countries, two well-known measures of inclusive and sustainable development, with GFII and DFI for female (DFIF). This exercise shows that while there is a positive correlation between these two sets of indicators, there are a number of countries that are high (or low) in gender development (or inequality) that need to improve their digital FI. Interestingly, using the Global Findex database and the Feasible Generalized Least Squares (FGLS) and instrumental variable panel data model, we show that health, education, labour force participation rate, and political empowerment of women significantly impact the digital financial inclusion of women. The paper brings out relevant policy suggestions for improving women’s digital financial access and thereby enhancing gender empowerment for faster and more inclusive growth.","author":[{"dropping-particle":"","family":"Tripathi","given":"Sabyasachi","non-dropping-particle":"","parse-names":false,"suffix":""},{"dropping-particle":"","family":"Rajeev","given":"Meenakshi","non-dropping-particle":"","parse-names":false,"suffix":""}],"container-title":"Sustainability","id":"ITEM-1","issue":"13","issued":{"date-parts":[["2023","6","28"]]},"page":"10253","title":"Gender-Inclusive Development through Fintech: Studying Gender-Based Digital Financial Inclusion in a Cross-Country Setting","type":"article-journal","volume":"15"},"uris":["http://www.mendeley.com/documents/?uuid=a2230839-54cf-43f5-ba04-3c9397f44c10"]}],"mendeley":{"formattedCitation":"(Tripathi &amp; Rajeev, 2023)","plainTextFormattedCitation":"(Tripathi &amp; Rajeev, 2023)","previouslyFormattedCitation":"(Tripathi &amp; Rajeev, 2023)"},"properties":{"noteIndex":0},"schema":"https://github.com/citation-style-language/schema/raw/master/csl-citation.json"}</w:instrText>
      </w:r>
      <w:r w:rsidR="00FD1838">
        <w:rPr>
          <w:rFonts w:ascii="Times New Roman" w:hAnsi="Times New Roman"/>
          <w:sz w:val="24"/>
          <w:szCs w:val="24"/>
        </w:rPr>
        <w:fldChar w:fldCharType="separate"/>
      </w:r>
      <w:r w:rsidR="00FD1838" w:rsidRPr="008762A1">
        <w:rPr>
          <w:rFonts w:ascii="Times New Roman" w:hAnsi="Times New Roman"/>
          <w:noProof/>
          <w:sz w:val="24"/>
          <w:szCs w:val="24"/>
        </w:rPr>
        <w:t>(Tripathi &amp; Rajeev, 2023)</w:t>
      </w:r>
      <w:r w:rsidR="00FD1838">
        <w:rPr>
          <w:rFonts w:ascii="Times New Roman" w:hAnsi="Times New Roman"/>
          <w:sz w:val="24"/>
          <w:szCs w:val="24"/>
        </w:rPr>
        <w:fldChar w:fldCharType="end"/>
      </w:r>
    </w:p>
    <w:p w14:paraId="3C05CEBB" w14:textId="3960FD2F" w:rsidR="00274A28" w:rsidRDefault="00373B3C" w:rsidP="009858D2">
      <w:pPr>
        <w:widowControl w:val="0"/>
        <w:spacing w:after="0" w:line="240" w:lineRule="auto"/>
        <w:ind w:firstLine="720"/>
        <w:contextualSpacing/>
        <w:jc w:val="both"/>
        <w:rPr>
          <w:rFonts w:ascii="Times New Roman" w:hAnsi="Times New Roman" w:cs="Times New Roman"/>
          <w:sz w:val="24"/>
          <w:szCs w:val="24"/>
        </w:rPr>
      </w:pPr>
      <w:r w:rsidRPr="00373B3C">
        <w:rPr>
          <w:rFonts w:ascii="Times New Roman" w:hAnsi="Times New Roman"/>
          <w:sz w:val="24"/>
          <w:szCs w:val="24"/>
        </w:rPr>
        <w:t xml:space="preserve">Indonesia still faces the challenge of the gender gap in access to finance, as shown by the SOFIA Survey which revealed that only 42% of women use banking services, while more than 45% of men have access to these services </w:t>
      </w:r>
      <w:r w:rsidR="00C611A5" w:rsidRPr="009858D2">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{"citationItems":[{"id":"ITEM-1","itemData":{"author":[{"dropping-particle":"","family":"Sofia","given":"","non-dropping-particle":"","parse-names":false,"suffix":""}],"id":"ITEM-1","issued":{"date-parts":[["2017"]]},"number-of-pages":"iv","title":"Survey on Financial Inclusion and Access (SOFIA) Implemented by Focus Note on Gender","type":"report"},"uris":["http://www.mendeley.com/documents/?uuid=db407830-3090-4401-8cb2-2de326e2e2e8","http://www.mendeley.com/documents/?uuid=890c2ff9-681b-4f8b-a5bd-cc2f0657f05a"]}],"mendeley":{"formattedCitation":"(Sofia, 2017)","plainTextFormattedCitation":"(Sofia, 2017)","previouslyFormattedCitation":"(Sofia, 2017)"},"properties":{"noteIndex":0},"schema":"https://github.com/citation-style-language/schema/raw/master/csl-citation.json"}</w:instrText>
      </w:r>
      <w:r w:rsidR="00C611A5" w:rsidRPr="009858D2">
        <w:rPr>
          <w:rFonts w:ascii="Times New Roman" w:hAnsi="Times New Roman" w:cs="Times New Roman"/>
          <w:sz w:val="24"/>
          <w:szCs w:val="24"/>
        </w:rPr>
        <w:fldChar w:fldCharType="separate"/>
      </w:r>
      <w:r w:rsidR="00C611A5" w:rsidRPr="009858D2">
        <w:rPr>
          <w:rFonts w:ascii="Times New Roman" w:hAnsi="Times New Roman" w:cs="Times New Roman"/>
          <w:noProof/>
          <w:sz w:val="24"/>
          <w:szCs w:val="24"/>
        </w:rPr>
        <w:t>(Sofia, 2017)</w:t>
      </w:r>
      <w:r w:rsidR="00C611A5" w:rsidRPr="009858D2">
        <w:rPr>
          <w:rFonts w:ascii="Times New Roman" w:hAnsi="Times New Roman" w:cs="Times New Roman"/>
          <w:sz w:val="24"/>
          <w:szCs w:val="24"/>
        </w:rPr>
        <w:fldChar w:fldCharType="end"/>
      </w:r>
      <w:r w:rsidR="00C611A5" w:rsidRPr="009858D2">
        <w:rPr>
          <w:rFonts w:ascii="Times New Roman" w:hAnsi="Times New Roman" w:cs="Times New Roman"/>
          <w:sz w:val="24"/>
          <w:szCs w:val="24"/>
        </w:rPr>
        <w:t xml:space="preserve">. </w:t>
      </w:r>
      <w:r w:rsidRPr="00373B3C">
        <w:rPr>
          <w:rFonts w:ascii="Times New Roman" w:hAnsi="Times New Roman"/>
          <w:sz w:val="24"/>
          <w:szCs w:val="24"/>
        </w:rPr>
        <w:t xml:space="preserve">Although Indonesia has recorded significant progress in improving financial inclusion in recent years, gender gaps and access inequality are still issues that need to be addressed. The National Financial Literacy Survey (NFLS) confirms this, showing that the financial inclusion rate in Indonesia reaches 76.1%, but it is still dominated by men (77.2%) compared to women (75.15%) </w:t>
      </w:r>
      <w:r w:rsidR="00FD1838">
        <w:rPr>
          <w:rFonts w:ascii="Times New Roman" w:hAnsi="Times New Roman"/>
          <w:sz w:val="24"/>
          <w:szCs w:val="24"/>
        </w:rPr>
        <w:fldChar w:fldCharType="begin" w:fldLock="1"/>
      </w:r>
      <w:r w:rsidR="000F1614">
        <w:rPr>
          <w:rFonts w:ascii="Times New Roman" w:hAnsi="Times New Roman"/>
          <w:sz w:val="24"/>
          <w:szCs w:val="24"/>
        </w:rPr>
        <w:instrText>ADDIN CSL_CITATION {"citationItems":[{"id":"ITEM-1","itemData":{"abstract":"The Internet is increasingly being used as a medium for psychological research. To assess the validity of such efforts, an electronic version of S. W. Gangestad and M. Snyder's (1985) revised Self-Monitoring Scale was placed at a site on the World Wide Web. In all, 963 responses were obtained through the Internet (Ss aged 11-67 yrs) and these were compared with those from a group of 224 undergraduates (aged 18-53 yrs) who completed a paper-and-pencil version. Comparison of model fit indices obtained through confirmatory factor analyses indicated that the Internet-mediated version had similar psychometric properties to its conventional equivalent and compared favorably as a measure of self-monitoring. Reasons for possible superiority of Internet data are discussed. Results support the notion that Web-based personality assessment is possible, but stringent validation of test instruments is urged. (PsycINFO Database Record (c) 2002 APA, all rights reserved)","author":[{"dropping-particle":"","family":"Otoritas Jasa Keuangan","given":"","non-dropping-particle":"","parse-names":false,"suffix":""}],"container-title":"Survey Report","id":"ITEM-1","issued":{"date-parts":[["2019"]]},"number-of-pages":"1-26","title":"Survei Nasional Literasi dan Inklusi Keuangan Indonesia 2019","type":"report"},"uris":["http://www.mendeley.com/documents/?uuid=04e3f402-d99f-491c-9d28-8526ea3879ea"]}],"mendeley":{"formattedCitation":"(Otoritas Jasa Keuangan, 2019)","plainTextFormattedCitation":"(Otoritas Jasa Keuangan, 2019)","previouslyFormattedCitation":"(Otoritas Jasa Keuangan, 2019)"},"properties":{"noteIndex":0},"schema":"https://github.com/citation-style-language/schema/raw/master/csl-citation.json"}</w:instrText>
      </w:r>
      <w:r w:rsidR="00FD1838">
        <w:rPr>
          <w:rFonts w:ascii="Times New Roman" w:hAnsi="Times New Roman"/>
          <w:sz w:val="24"/>
          <w:szCs w:val="24"/>
        </w:rPr>
        <w:fldChar w:fldCharType="separate"/>
      </w:r>
      <w:r w:rsidR="00801B7E" w:rsidRPr="00801B7E">
        <w:rPr>
          <w:rFonts w:ascii="Times New Roman" w:hAnsi="Times New Roman"/>
          <w:noProof/>
          <w:sz w:val="24"/>
          <w:szCs w:val="24"/>
        </w:rPr>
        <w:t>(Otoritas Jasa Keuangan, 2019)</w:t>
      </w:r>
      <w:r w:rsidR="00FD1838">
        <w:rPr>
          <w:rFonts w:ascii="Times New Roman" w:hAnsi="Times New Roman"/>
          <w:sz w:val="24"/>
          <w:szCs w:val="24"/>
        </w:rPr>
        <w:fldChar w:fldCharType="end"/>
      </w:r>
      <w:r w:rsidR="0034009E">
        <w:rPr>
          <w:rFonts w:ascii="Times New Roman" w:hAnsi="Times New Roman"/>
          <w:sz w:val="24"/>
          <w:szCs w:val="24"/>
        </w:rPr>
        <w:t xml:space="preserve">. </w:t>
      </w:r>
      <w:r w:rsidR="005A4194">
        <w:rPr>
          <w:rFonts w:ascii="Times New Roman" w:hAnsi="Times New Roman" w:cs="Times New Roman"/>
          <w:sz w:val="24"/>
          <w:szCs w:val="24"/>
        </w:rPr>
        <w:t xml:space="preserve">In addition, Indonesia is also included in the largest unbanked population according to the Global Findex Database 2021 </w:t>
      </w:r>
      <w:r w:rsidR="005A4194">
        <w:rPr>
          <w:rFonts w:ascii="Times New Roman" w:hAnsi="Times New Roman"/>
          <w:sz w:val="24"/>
          <w:szCs w:val="24"/>
          <w:shd w:val="clear" w:color="auto" w:fill="FFFFFF"/>
        </w:rPr>
        <w:fldChar w:fldCharType="begin" w:fldLock="1"/>
      </w:r>
      <w:r w:rsidR="00905EE2">
        <w:rPr>
          <w:rFonts w:ascii="Times New Roman" w:hAnsi="Times New Roman"/>
          <w:sz w:val="24"/>
          <w:szCs w:val="24"/>
          <w:shd w:val="clear" w:color="auto" w:fill="FFFFFF"/>
        </w:rPr>
        <w:instrText>ADDIN CSL_CITATION {"citationItems":[{"id":"ITEM-1","itemData":{"ISBN":"978-1-4648-1897-4","abstract":"Measuring Financial Inclusion and the Fintech Revolution 2017 The Global Findex Database | 2017 In 2011 the World Bank—with funding from the Bill &amp; Melinda Gates Foundation—launched the Global Findex database, the world's most comprehensive data set on how adults save, borrow, make payments, and manage risk. Drawing on survey data collected in collaboration with Gallup, Inc., the Global Findex database covers more than 140 economies around the world. The initial survey round was followed by a second one in 2014 and by a third in 2017. Compiled using nationally representative surveys of more than 150,000 adults age 15 and above in over 140 economies, the 2017 Global Findex database includes updated indicators on access to and use of formal and informal financial services. It has additional data on the use of financial technology (or fintech), including the use of mobile phones and the internet to conduct financial transactions. The data reveal opportunities to expand access to financial services among people who do not have an account—the unbanked—as well as to promote greater use of digital financial services among those who do have an account. The Global Findex database has become a mainstay of global efforts to promote financial inclusion. In addition to being widely cited by scholars and development practitioners, Global Findex data are used to track progress toward the World Bank goal of Universal Financial Access by 2020 and the United Nations Sustainable Development Goals.","author":[{"dropping-particle":"","family":"Demirgüç-Kunt","given":"Asli","non-dropping-particle":"","parse-names":false,"suffix":""},{"dropping-particle":"","family":"Klapper","given":"Leora","non-dropping-particle":"","parse-names":false,"suffix":""},{"dropping-particle":"","family":"Singer","given":"Dorothe","non-dropping-particle":"","parse-names":false,"suffix":""},{"dropping-particle":"","family":"Ansar","given":"Saniya","</w:instrText>
      </w:r>
      <w:r w:rsidR="00905EE2">
        <w:rPr>
          <w:rFonts w:ascii="Times New Roman" w:hAnsi="Times New Roman" w:hint="eastAsia"/>
          <w:sz w:val="24"/>
          <w:szCs w:val="24"/>
          <w:shd w:val="clear" w:color="auto" w:fill="FFFFFF"/>
        </w:rPr>
        <w:instrText>non-dropping-particle":"","parse-names":false,"suffix":""}],"container-title":"The Global Findex Database","id":"ITEM-1","issued":{"date-parts":[["2022"]]},"number-of-pages":"131","title":"The Global Findex Database 2021</w:instrText>
      </w:r>
      <w:r w:rsidR="00905EE2">
        <w:rPr>
          <w:rFonts w:ascii="Times New Roman" w:hAnsi="Times New Roman" w:hint="eastAsia"/>
          <w:sz w:val="24"/>
          <w:szCs w:val="24"/>
          <w:shd w:val="clear" w:color="auto" w:fill="FFFFFF"/>
        </w:rPr>
        <w:instrText>：</w:instrText>
      </w:r>
      <w:r w:rsidR="00905EE2">
        <w:rPr>
          <w:rFonts w:ascii="Times New Roman" w:hAnsi="Times New Roman" w:hint="eastAsia"/>
          <w:sz w:val="24"/>
          <w:szCs w:val="24"/>
          <w:shd w:val="clear" w:color="auto" w:fill="FFFFFF"/>
        </w:rPr>
        <w:instrText>Financial Inclusion, Digital Payme</w:instrText>
      </w:r>
      <w:r w:rsidR="00905EE2">
        <w:rPr>
          <w:rFonts w:ascii="Times New Roman" w:hAnsi="Times New Roman"/>
          <w:sz w:val="24"/>
          <w:szCs w:val="24"/>
          <w:shd w:val="clear" w:color="auto" w:fill="FFFFFF"/>
        </w:rPr>
        <w:instrText>nts,\nand Resilience in the Age of COVID-19","type":"book"},"uris":["http://www.mendeley.com/documents/?uuid=30fc9281-3903-47d2-8c90-6fc491795b98"]}],"mendeley":{"formattedCitation":"(Demirgüç-Kunt et al., 2022)","plainTextFormattedCitation":"(Demirgüç-Kunt et al., 2022)","previouslyFormattedCitation":"(Demirgüç-Kunt et al., 2022)"},"properties":{"noteIndex":0},"schema":"https://github.com/citation-style-language/schema/raw/master/csl-citation.json"}</w:instrText>
      </w:r>
      <w:r w:rsidR="005A4194">
        <w:rPr>
          <w:rFonts w:ascii="Times New Roman" w:hAnsi="Times New Roman"/>
          <w:sz w:val="24"/>
          <w:szCs w:val="24"/>
          <w:shd w:val="clear" w:color="auto" w:fill="FFFFFF"/>
        </w:rPr>
        <w:fldChar w:fldCharType="separate"/>
      </w:r>
      <w:r w:rsidR="005A4194" w:rsidRPr="000B3E23">
        <w:rPr>
          <w:rFonts w:ascii="Times New Roman" w:hAnsi="Times New Roman"/>
          <w:noProof/>
          <w:sz w:val="24"/>
          <w:szCs w:val="24"/>
          <w:shd w:val="clear" w:color="auto" w:fill="FFFFFF"/>
        </w:rPr>
        <w:t>(Demirgüç-Kunt et al., 2022)</w:t>
      </w:r>
      <w:r w:rsidR="005A4194">
        <w:rPr>
          <w:rFonts w:ascii="Times New Roman" w:hAnsi="Times New Roman"/>
          <w:sz w:val="24"/>
          <w:szCs w:val="24"/>
          <w:shd w:val="clear" w:color="auto" w:fill="FFFFFF"/>
        </w:rPr>
        <w:fldChar w:fldCharType="end"/>
      </w:r>
      <w:r w:rsidR="005A4194">
        <w:rPr>
          <w:rFonts w:ascii="Times New Roman" w:hAnsi="Times New Roman"/>
          <w:sz w:val="24"/>
          <w:szCs w:val="24"/>
          <w:shd w:val="clear" w:color="auto" w:fill="FFFFFF"/>
        </w:rPr>
        <w:t xml:space="preserve">. </w:t>
      </w:r>
      <w:r w:rsidR="004F7AA7" w:rsidRPr="004F7AA7">
        <w:rPr>
          <w:rFonts w:ascii="Times New Roman" w:hAnsi="Times New Roman" w:cs="Times New Roman"/>
          <w:sz w:val="24"/>
          <w:szCs w:val="24"/>
        </w:rPr>
        <w:t xml:space="preserve">This gap not only reflects structural barriers, such as lack of access to financial information and services in rural areas, but is also influenced by socio-cultural factors that limit women's participation in the formal economy </w:t>
      </w:r>
      <w:r w:rsidR="000A2418">
        <w:rPr>
          <w:rFonts w:ascii="Times New Roman" w:hAnsi="Times New Roman" w:cs="Times New Roman"/>
          <w:sz w:val="24"/>
          <w:szCs w:val="24"/>
        </w:rPr>
        <w:fldChar w:fldCharType="begin" w:fldLock="1"/>
      </w:r>
      <w:r w:rsidR="000A2418">
        <w:rPr>
          <w:rFonts w:ascii="Times New Roman" w:hAnsi="Times New Roman" w:cs="Times New Roman"/>
          <w:sz w:val="24"/>
          <w:szCs w:val="24"/>
        </w:rPr>
        <w:instrText>ADDIN CSL_CITATION {"citationItems":[{"id":"ITEM-1","itemData":{"DOI":"10.1080/09614524.2021.1937541","ISSN":"0961-4524","author":[{"dropping-particle":"","family":"Gyan","given":"Charles","non-dropping-particle":"","parse-names":false,"suffix":""},{"dropping-particle":"","family":"Malik","given":"Maya","non-dropping-particle":"","parse-names":false,"suffix":""},{"dropping-particle":"","family":"Siddique","given":"Aisha","non-dropping-particle":"","parse-names":false,"suffix":""}],"container-title":"Development in Practice","id":"ITEM-1","issue":"4","issued":{"date-parts":[["2022","5","19"]]},"page":"448-459","title":"Barriers to the participation of women in community development process in rural Ghana: a regression analysis","type":"article-journal","volume":"32"},"uris":["http://www.mendeley.com/documents/?uuid=c1c230ac-04c9-4bc7-be40-1260fe83452f"]},{"id":"ITEM-2","itemData":{"DOI":"10.1007/978-3-031-68803-4_10","author":[{"dropping-particle":"","family":"Herrera-Cano","given":"Carolina","non-dropping-particle":"","parse-names":false,"suffix":""},{"dropping-particle":"","family":"Pino-Villegas","given":"Arley","non-dropping-particle":"","parse-names":false,"suffix":""},{"dropping-particle":"","family":"Munera-Alzate","given":"Carlos Felipe","non-dropping-particle":"","parse-names":false,"suffix":""},{"dropping-particle":"","family":"Gonzalez-Perez","given":"Maria Alejandra","non-dropping-particle":"","parse-names":false,"suffix":""}],"id":"ITEM-2","issued":{"date-parts":[["2024"]]},"page":"123-131","title":"Financial Inclusion of Rural Women in the Global South","type":"chapter"},"uris":["http://www.mendeley.com/documents/?uuid=de9ebfc3-6812-4f5a-a730-380d96634205"]},{"id":"ITEM-3","itemData":{"DOI":"10.34218/IJM.10.5.2019.006","ISSN":"0976-6510","author":[{"dropping-particle":"","family":"Manta","given":"Arpita","non-dropping-particle":"","parse-names":false,"suffix":""}],"container-title":"INTERNATIONAL JOURNAL OF MANAGEMENT","id":"ITEM-3","issue":"5","issued":{"date-parts":[["2019","10","30"]]},"title":"Financial Inclusion and Gender Barriers for Rural Women","type":"article-journal","volume":"10"},"uris":["http://www.mendeley.com/documents/?uuid=8639e3ae-a5ac-4f99-b9f3-e75778f544b4"]}],"mendeley":{"formattedCitation":"(Gyan et al., 2022; Herrera-Cano et al., 2024; Manta, 2019)","plainTextFormattedCitation":"(Gyan et al., 2022; Herrera-Cano et al., 2024; Manta, 2019)","previouslyFormattedCitation":"(Gyan et al., 2022; Herrera-Cano et al., 2024; Manta, 2019)"},"properties":{"noteIndex":0},"schema":"https://github.com/citation-style-language/schema/raw/master/csl-citation.json"}</w:instrText>
      </w:r>
      <w:r w:rsidR="000A2418">
        <w:rPr>
          <w:rFonts w:ascii="Times New Roman" w:hAnsi="Times New Roman" w:cs="Times New Roman"/>
          <w:sz w:val="24"/>
          <w:szCs w:val="24"/>
        </w:rPr>
        <w:fldChar w:fldCharType="separate"/>
      </w:r>
      <w:r w:rsidR="000A2418" w:rsidRPr="000A2418">
        <w:rPr>
          <w:rFonts w:ascii="Times New Roman" w:hAnsi="Times New Roman" w:cs="Times New Roman"/>
          <w:noProof/>
          <w:sz w:val="24"/>
          <w:szCs w:val="24"/>
        </w:rPr>
        <w:t>(Gyan et al., 2022; Herrera-Cano et al., 2024; Manta, 2019)</w:t>
      </w:r>
      <w:r w:rsidR="000A2418">
        <w:rPr>
          <w:rFonts w:ascii="Times New Roman" w:hAnsi="Times New Roman" w:cs="Times New Roman"/>
          <w:sz w:val="24"/>
          <w:szCs w:val="24"/>
        </w:rPr>
        <w:fldChar w:fldCharType="end"/>
      </w:r>
      <w:r w:rsidR="004F7AA7" w:rsidRPr="004F7AA7">
        <w:rPr>
          <w:rFonts w:ascii="Times New Roman" w:hAnsi="Times New Roman" w:cs="Times New Roman"/>
          <w:sz w:val="24"/>
          <w:szCs w:val="24"/>
        </w:rPr>
        <w:t xml:space="preserve">. </w:t>
      </w:r>
    </w:p>
    <w:p w14:paraId="255719C9" w14:textId="67896517" w:rsidR="00B26FA3" w:rsidRDefault="004F7AA7" w:rsidP="0001031B">
      <w:pPr>
        <w:widowControl w:val="0"/>
        <w:spacing w:after="0" w:line="240" w:lineRule="auto"/>
        <w:ind w:firstLine="720"/>
        <w:contextualSpacing/>
        <w:jc w:val="both"/>
        <w:rPr>
          <w:rFonts w:ascii="Times New Roman" w:hAnsi="Times New Roman"/>
          <w:sz w:val="24"/>
          <w:szCs w:val="24"/>
          <w:shd w:val="clear" w:color="auto" w:fill="FFFFFF"/>
        </w:rPr>
      </w:pPr>
      <w:r w:rsidRPr="004F7AA7">
        <w:rPr>
          <w:rFonts w:ascii="Times New Roman" w:hAnsi="Times New Roman" w:cs="Times New Roman"/>
          <w:sz w:val="24"/>
          <w:szCs w:val="24"/>
        </w:rPr>
        <w:t xml:space="preserve">Women, especially in remote areas, often face obstacles such as </w:t>
      </w:r>
      <w:r w:rsidR="00187916" w:rsidRPr="00187916">
        <w:rPr>
          <w:rFonts w:ascii="Times New Roman" w:hAnsi="Times New Roman"/>
          <w:sz w:val="24"/>
          <w:szCs w:val="24"/>
        </w:rPr>
        <w:t xml:space="preserve">not having access to formal financial services, </w:t>
      </w:r>
      <w:r w:rsidRPr="004F7AA7">
        <w:rPr>
          <w:rFonts w:ascii="Times New Roman" w:hAnsi="Times New Roman" w:cs="Times New Roman"/>
          <w:sz w:val="24"/>
          <w:szCs w:val="24"/>
        </w:rPr>
        <w:t xml:space="preserve">low financial literacy, lack of collateral, and social norms that limit their mobility and financial independence </w:t>
      </w:r>
      <w:r w:rsidR="002D76FE">
        <w:rPr>
          <w:rFonts w:ascii="Times New Roman" w:hAnsi="Times New Roman" w:cs="Times New Roman"/>
          <w:sz w:val="24"/>
          <w:szCs w:val="24"/>
        </w:rPr>
        <w:fldChar w:fldCharType="begin" w:fldLock="1"/>
      </w:r>
      <w:r w:rsidR="00274A28">
        <w:rPr>
          <w:rFonts w:ascii="Times New Roman" w:hAnsi="Times New Roman" w:cs="Times New Roman"/>
          <w:sz w:val="24"/>
          <w:szCs w:val="24"/>
        </w:rPr>
        <w:instrText>ADDIN CSL_CITATION {"citationItems":[{"id":"ITEM-1","itemData":{"DOI":"10.4102/sajesbm.v15i1.612","ISSN":"2071-3185","author":[{"dropping-particle":"","family":"Gumbo","given":"Lilian","non-dropping-particle":"","parse-names":false,"suffix":""},{"dropping-particle":"","family":"Marimuthu","given":"Ferina","non-dropping-particle":"","parse-names":false,"suffix":""},{"dropping-particle":"","family":"Vengesai","given":"Edson","non-dropping-particle":"","parse-names":false,"suffix":""}],"container-title":"The Southern African Journal of Entrepreneurship and Small Business Management","id":"ITEM-1","issue":"1","issued":{"date-parts":[["2023","12","14"]]},"title":"Financial literacy competencies of women in agribusiness and their financial experiences during a pandemic","type":"article-journal","volume":"15"},"uris":["http://www.mendeley.com/documents/?uuid=d153867e-9176-4c27-bcd3-aecccea6399d"]},{"id":"ITEM-2","itemData":{"DOI":"10.1504/IJPMB.2024.140640","ISSN":"1460-6739","author":[{"dropping-particle":"","family":"Lavanya","given":"Reganti","non-dropping-particle":"","parse-names":false,"suffix":""},{"dropping-particle":"","family":"Mamilla","given":"Rajesh","non-dropping-particle":"","parse-names":false,"suffix":""}],"container-title":"International Journal of Process Management and Benchmarking","id":"ITEM-2","issue":"1","issued":{"date-parts":[["2024"]]},"page":"16-35","title":"Empowering women's financial well-being: the role of financial literacy and decision making in wealth creation","type":"article-journal","volume":"18"},"uris":["http://www.mendeley.com/documents/?uuid=5333af46-5491-4ca0-b17f-91e0fc8fd013"]},{"id":"ITEM-3","itemData":{"DOI":"10.17233/sosyoekonomi.2024.03.06","ISSN":"1305-5577","abstract":"Several studies around the world identify a gender gap in financial literacy against women regardless of age, education level, and socioeconomic status. Although gender is included as one of the variables in many studies focusing on Türkiye, as far as we know, none of them particularly has examined the gender difference. This paper integrates the outputs of these studies in terms of gender and combines them into one measure by conducting meta-analysis techniques. The results reveal a gender gap in financial literacy among women. Financial literacy is essential for women who mostly experience the gender pay gap, face more significant employment interruption challenges and tend to live longer than men. Given those issues, this study highlights implementing inclusive education policies and establishing comprehensive, long-term education programs to improve women’s financial literacy.","author":[{"dropping-particle":"","family":"Sarıgül","given":"Haşmet","non-dropping-particle":"","parse-names":false,"suffix":""}],"container-title":"Sosyoekonomi","id":"ITEM-3","issue":"61","issued":{"date-parts":[["2024","7","30"]]},"page":"97-123","title":"Financial Literacy Gender Gap: A Meta-Analysis","type":"article-journal","volume":"32"},"uris":["http://www.mendeley.com/documents/?uuid=ca7f9afc-6f24-46cb-ab1d-85732e859baf"]},{"id":"ITEM-4","itemData":{"DOI":"10.1080/00220388.2022.2102897","ISSN":"0022-0388","author":[{"dropping-particle":"","family":"Hoy","given":"Christopher","non-dropping-particle":"","parse-names":false,"suffix":""},{"dropping-particle":"","family":"Toth","given":"Russell","non-dropping-particle":"","parse-names":false,"suffix":""},{"dropping-particle":"","family":"Merdikawati","given":"Nurina","non-dropping-particle":"","parse-names":false,"suffix":""}],"container-title":"The Journal of Development Studies","id":"ITEM-4","issue":"12","issued":{"date-parts":[["2022","12","2"]]},"page":"2460-2482","title":"Can a Multipronged Strategy of “Soft” Interventions Surmount Structural Barriers for Financial Inclusion? Evidence From the Unbanked in Papua New Guinea","type":"article-journal","volume":"58"},"uris":["http://www.mendeley.com/documents/?uuid=d2590506-2593-4ce0-8e3e-8321861612a6"]}],"mendeley":{"formattedCitation":"(Gumbo et al., 2023; Hoy et al., 2022; Lavanya &amp; Mamilla, 2024; Sarıgül, 2024)","plainTextFormattedCitation":"(Gumbo et al., 2023; Hoy et al., 2022; Lavanya &amp; Mamilla, 2024; Sarıgül, 2024)","previouslyFormattedCitation":"(Gumbo et al., 2023; Hoy et al., 2022; Lavanya &amp; Mamilla, 2024; Sarıgül, 2024)"},"properties":{"noteIndex":0},"schema":"https://github.com/citation-style-language/schema/raw/master/csl-citation.json"}</w:instrText>
      </w:r>
      <w:r w:rsidR="002D76FE">
        <w:rPr>
          <w:rFonts w:ascii="Times New Roman" w:hAnsi="Times New Roman" w:cs="Times New Roman"/>
          <w:sz w:val="24"/>
          <w:szCs w:val="24"/>
        </w:rPr>
        <w:fldChar w:fldCharType="separate"/>
      </w:r>
      <w:r w:rsidR="002D76FE" w:rsidRPr="002D76FE">
        <w:rPr>
          <w:rFonts w:ascii="Times New Roman" w:hAnsi="Times New Roman" w:cs="Times New Roman"/>
          <w:noProof/>
          <w:sz w:val="24"/>
          <w:szCs w:val="24"/>
        </w:rPr>
        <w:t>(Gumbo et al., 2023; Hoy et al., 2022; Lavanya &amp; Mamilla, 2024; Sarıgül, 2024)</w:t>
      </w:r>
      <w:r w:rsidR="002D76FE">
        <w:rPr>
          <w:rFonts w:ascii="Times New Roman" w:hAnsi="Times New Roman" w:cs="Times New Roman"/>
          <w:sz w:val="24"/>
          <w:szCs w:val="24"/>
        </w:rPr>
        <w:fldChar w:fldCharType="end"/>
      </w:r>
      <w:r w:rsidRPr="004F7AA7">
        <w:rPr>
          <w:rFonts w:ascii="Times New Roman" w:hAnsi="Times New Roman" w:cs="Times New Roman"/>
          <w:sz w:val="24"/>
          <w:szCs w:val="24"/>
        </w:rPr>
        <w:t xml:space="preserve">. In addition, women who are business owners </w:t>
      </w:r>
      <w:r w:rsidR="00C611A5" w:rsidRPr="009858D2">
        <w:rPr>
          <w:rFonts w:ascii="Times New Roman" w:hAnsi="Times New Roman"/>
          <w:sz w:val="24"/>
          <w:szCs w:val="24"/>
          <w:shd w:val="clear" w:color="auto" w:fill="FFFFFF"/>
        </w:rPr>
        <w:t xml:space="preserve">micro and small in remote areas also get difficulties in financing or credit from banks because they are considered to have no bank accounts </w:t>
      </w:r>
      <w:r w:rsidR="00274A28">
        <w:rPr>
          <w:rFonts w:ascii="Times New Roman" w:hAnsi="Times New Roman"/>
          <w:sz w:val="24"/>
          <w:szCs w:val="24"/>
          <w:shd w:val="clear" w:color="auto" w:fill="FFFFFF"/>
        </w:rPr>
        <w:fldChar w:fldCharType="begin" w:fldLock="1"/>
      </w:r>
      <w:r w:rsidR="006B7052">
        <w:rPr>
          <w:rFonts w:ascii="Times New Roman" w:hAnsi="Times New Roman"/>
          <w:sz w:val="24"/>
          <w:szCs w:val="24"/>
          <w:shd w:val="clear" w:color="auto" w:fill="FFFFFF"/>
        </w:rPr>
        <w:instrText>ADDIN CSL_CITATION {"citationItems":[{"id":"ITEM-1","itemData":{"DOI":"10.1080/15228916.2022.2064677","ISSN":"1522-8916","author":[{"dropping-particle":"","family":"Metu","given":"Amaka Gertrude","non-dropping-particle":"","parse-names":false,"suffix":""},{"dropping-particle":"","family":"Nwogwugwu","given":"Uche C. C.","non-dropping-particle":"","parse-names":false,"suffix":""}],"container-title":"Journal of African Business","id":"ITEM-1","issue":"1","issued":{"date-parts":[["2024","1","2"]]},"page":"142-154","title":"Challenging Factors Affecting Access to Finance by Female Micro Entrepreneurs in Anambra State, Nigeria","type":"article-journal","volume":"25"},"uris":["http://www.mendeley.com/documents/?uuid=564156a4-65bf-4ca5-a713-229b07757509"]},{"id":"ITEM-2","itemData":{"ISSN":"15398706 (ISSN)","abstract":"This article comprehensively presents evidence of shared gender economics in accessing credit for women-owned ventures. The ‘she' based approach has faced financial-market differentiations when it comes to women's access to finance. By reviewing and analysing approximately 125 articles, the researchers try to seek an overview of the degree of influenced financial availability to women-owned businesses, proclivity covers existing, and relevant studies based on pragmatism of gender bigotry, deep-rooted gender biases, and differences in cost and conditions observed by women-owned enterprises in accessing credit, which is an essential driver for businesses' success. The vital detection of this research unveils that while women-owned firms face certain constraints like their men counterparts, there are many challenges that women solely face because of their gender. Risk aversion of banks, lack of financial services, lack of collateral, and low accessibility to finance are some of the specific constraints faced by women-owned businesses. Our results imply that women-owned firms have more often been credit worthy than the men-owned firms in terms of financial penetrability and debarment from the financial markets. Our main findings are focused on evaluating the gender-subordination approach adopted by the financial service providers to women-led businesses in their quest for financing. © 2021 Journal of International Women's Studies. All Rights Reserved.","author":[{"dropping-particle":"","family":"Singh","given":"S","non-dropping-particle":"","parse-names":false,"suffix":""},{"dropping-particle":"","family":"Dash","given":"B M","non-dropping-particle":"","parse-names":false,"suffix":""}],"container-title":"Journal of International Women's Studies","id":"ITEM-2","issue":"9","issued":{"date-parts":[["2021"]]},"language":"English","note":"Export Date: 10 March 2025; Cited By: 4","page":"381-399","publisher":"Bridgewater State College","publisher-place":"Associate Professor, Department of Commerce, Ramjas College, University of Delhi","title":"Gender Discrimination in Accessing Finance by Women-Owned Businesses: A Review","type":"article-journal","volume":"22"},"uris":["http://www.mendeley.com/documents/?uuid=518832fe-6225-4e2c-8912-8a799a793fe9"]}],"mendeley":{"formattedCitation":"(Metu &amp; Nwogwugwu, 2024; Singh &amp; Dash, 2021)","plainTextFormattedCitation":"(Metu &amp; Nwogwugwu, 2024; Singh &amp; Dash, 2021)","previouslyFormattedCitation":"(Metu &amp; Nwogwugwu, 2024; Singh &amp; Dash, 2021)"},"properties":{"noteIndex":0},"schema":"https://github.com/citation-style-language/schema/raw/master/csl-citation.json"}</w:instrText>
      </w:r>
      <w:r w:rsidR="00274A28">
        <w:rPr>
          <w:rFonts w:ascii="Times New Roman" w:hAnsi="Times New Roman"/>
          <w:sz w:val="24"/>
          <w:szCs w:val="24"/>
          <w:shd w:val="clear" w:color="auto" w:fill="FFFFFF"/>
        </w:rPr>
        <w:fldChar w:fldCharType="separate"/>
      </w:r>
      <w:r w:rsidR="00274A28" w:rsidRPr="00274A28">
        <w:rPr>
          <w:rFonts w:ascii="Times New Roman" w:hAnsi="Times New Roman"/>
          <w:noProof/>
          <w:sz w:val="24"/>
          <w:szCs w:val="24"/>
          <w:shd w:val="clear" w:color="auto" w:fill="FFFFFF"/>
        </w:rPr>
        <w:t>(Metu &amp; Nwogwugwu, 2024; Singh &amp; Dash, 2021)</w:t>
      </w:r>
      <w:r w:rsidR="00274A28">
        <w:rPr>
          <w:rFonts w:ascii="Times New Roman" w:hAnsi="Times New Roman"/>
          <w:sz w:val="24"/>
          <w:szCs w:val="24"/>
          <w:shd w:val="clear" w:color="auto" w:fill="FFFFFF"/>
        </w:rPr>
        <w:fldChar w:fldCharType="end"/>
      </w:r>
      <w:r w:rsidR="00C611A5" w:rsidRPr="009858D2">
        <w:rPr>
          <w:rFonts w:ascii="Times New Roman" w:hAnsi="Times New Roman"/>
          <w:sz w:val="24"/>
          <w:szCs w:val="24"/>
          <w:shd w:val="clear" w:color="auto" w:fill="FFFFFF"/>
        </w:rPr>
        <w:t xml:space="preserve">.  As a result, many women are forced to rely on informal financial systems that tend to be insecure and costly </w:t>
      </w:r>
      <w:r w:rsidR="000563C7">
        <w:rPr>
          <w:rFonts w:ascii="Times New Roman" w:hAnsi="Times New Roman"/>
          <w:sz w:val="24"/>
          <w:szCs w:val="24"/>
          <w:shd w:val="clear" w:color="auto" w:fill="FFFFFF"/>
        </w:rPr>
        <w:fldChar w:fldCharType="begin" w:fldLock="1"/>
      </w:r>
      <w:r w:rsidR="00DC4064">
        <w:rPr>
          <w:rFonts w:ascii="Times New Roman" w:hAnsi="Times New Roman"/>
          <w:sz w:val="24"/>
          <w:szCs w:val="24"/>
          <w:shd w:val="clear" w:color="auto" w:fill="FFFFFF"/>
        </w:rPr>
        <w:instrText>ADDIN CSL_CITATION {"citationItems":[{"id":"ITEM-1","itemData":{"DOI":"10.1080/00472778.2024.2418029","ISSN":"0047-2778","author":[{"dropping-particle":"","family":"Simba","given":"Amon","non-dropping-particle":"","parse-names":false,"suffix":""},{"dropping-particle":"","family":"Dabic","given":"Marina","non-dropping-particle":"","parse-names":false,"suffix":""},{"dropping-particle":"","family":"Adegbile","given":"Abiodun","non-dropping-particle":"","parse-names":false,"suffix":""},{"dropping-particle":"","family":"Ogundana","given":"Oyedele Martins","non-dropping-particle":"","parse-names":false,"suffix":""}],"container-title":"Journal of Small Business Management","id":"ITEM-1","issued":{"date-parts":[["2024","11","5"]]},"page":"1-36","title":"Financing women entrepreneurship in the developing world: An fsQCA analysis of informal financing schemes","type":"article-journal"},"uris":["http://www.mendeley.com/documents/?uuid=ee5e0999-02b3-4079-be5f-022b65e0fd26"]},{"id":"ITEM-2","itemData":{"DOI":"10.3390/su16198317","ISSN":"2071-1050","abstract":"Financial inclusion is essential in achieving sustainable development goals in emerging countries. Goal number five of the sustainable development agenda, “Gender equality”, depends on women’s financial empowerment. It enhances women’s ability to make decisions, access resources and income, and control benefits from economic gains and power. The paper investigates the relationship between financial inclusion and women’s financial worries, using the 2021 Global Financial Inclusion Survey recently published by the World Bank for the Kingdom of Saudi Arabia. This paper examines the effects of several aspects of inclusive finance, access, usage, and quality on women’s financial worries. The research implements an ordered probit analysis and contributes to the literature on women’s financial empowerment and inclusion by demonstrating that having access to financial services empowers women to make decisions about their lives, which greatly improves their welfare and sense of security. These findings provide policymakers with different targeted policies and strategic management practices to substantially improve financial inclusion and alleviate financial concerns within the population, especially among women.","author":[{"dropping-particle":"","family":"Binsuwadan","given":"Jawaher","non-dropping-particle":"","parse-names":false,"suffix":""},{"dropping-particle":"","family":"Elhaj","given":"Manal","non-dropping-particle":"","parse-names":false,"suffix":""},{"dropping-particle":"","family":"Bousrih","given":"Jihen","non-dropping-particle":"","parse-names":false,"suffix":""},{"dropping-particle":"","family":"Mabrouk","given":"Fatma","non-dropping-particle":"","parse-names":false,"suffix":""},{"dropping-particle":"","family":"Alofaysan","given":"Hind","non-dropping-particle":"","parse-names":false,"suffix":""}],"container-title":"Sustainability","id":"ITEM-2","issue":"19","issued":{"date-parts":[["2024","9","24"]]},"page":"8317","title":"The Relationship between Financial Inclusion and Women’s Financial Worries: Evidence from Saudi Arabia","type":"article-journal","volume":"16"},"uris":["http://www.mendeley.com/documents/?uuid=d7ae0c4a-2364-4e5b-b408-2c66207c10f6"]}],"mendeley":{"formattedCitation":"(Binsuwadan et al., 2024; Simba et al., 2024)","plainTextFormattedCitation":"(Binsuwadan et al., 2024; Simba et al., 2024)","previouslyFormattedCitation":"(Binsuwadan et al., 2024; Simba et al., 2024)"},"properties":{"noteIndex":0},"schema":"https://github.com/citation-style-language/schema/raw/master/csl-citation.json"}</w:instrText>
      </w:r>
      <w:r w:rsidR="000563C7">
        <w:rPr>
          <w:rFonts w:ascii="Times New Roman" w:hAnsi="Times New Roman"/>
          <w:sz w:val="24"/>
          <w:szCs w:val="24"/>
          <w:shd w:val="clear" w:color="auto" w:fill="FFFFFF"/>
        </w:rPr>
        <w:fldChar w:fldCharType="separate"/>
      </w:r>
      <w:r w:rsidR="000563C7" w:rsidRPr="000563C7">
        <w:rPr>
          <w:rFonts w:ascii="Times New Roman" w:hAnsi="Times New Roman"/>
          <w:noProof/>
          <w:sz w:val="24"/>
          <w:szCs w:val="24"/>
          <w:shd w:val="clear" w:color="auto" w:fill="FFFFFF"/>
        </w:rPr>
        <w:t>(Binsuwadan et al., 2024; Simba et al., 2024)</w:t>
      </w:r>
      <w:r w:rsidR="000563C7">
        <w:rPr>
          <w:rFonts w:ascii="Times New Roman" w:hAnsi="Times New Roman"/>
          <w:sz w:val="24"/>
          <w:szCs w:val="24"/>
          <w:shd w:val="clear" w:color="auto" w:fill="FFFFFF"/>
        </w:rPr>
        <w:fldChar w:fldCharType="end"/>
      </w:r>
      <w:r w:rsidR="00044917" w:rsidRPr="00044917">
        <w:rPr>
          <w:rFonts w:ascii="Times New Roman" w:hAnsi="Times New Roman"/>
          <w:sz w:val="24"/>
          <w:szCs w:val="24"/>
          <w:shd w:val="clear" w:color="auto" w:fill="FFFFFF"/>
        </w:rPr>
        <w:t>. This condition further exacerbates gender inequalities in financial access, as women face not only structural barriers but also systemic discrimination in the formal financial system.</w:t>
      </w:r>
    </w:p>
    <w:p w14:paraId="1D192410" w14:textId="3BB1FF0D" w:rsidR="000A3830" w:rsidRDefault="006B7052" w:rsidP="009858D2">
      <w:pPr>
        <w:widowControl w:val="0"/>
        <w:spacing w:after="0" w:line="240" w:lineRule="auto"/>
        <w:ind w:firstLine="720"/>
        <w:contextualSpacing/>
        <w:jc w:val="both"/>
        <w:rPr>
          <w:rFonts w:ascii="Times New Roman" w:hAnsi="Times New Roman"/>
          <w:sz w:val="24"/>
          <w:szCs w:val="24"/>
        </w:rPr>
      </w:pPr>
      <w:r w:rsidRPr="006B7052">
        <w:rPr>
          <w:rFonts w:ascii="Times New Roman" w:hAnsi="Times New Roman"/>
          <w:sz w:val="24"/>
          <w:szCs w:val="24"/>
          <w:shd w:val="clear" w:color="auto" w:fill="FFFFFF"/>
        </w:rPr>
        <w:t xml:space="preserve">Limited continued access to finance can discourage women from economic participation, ultimately limiting women's efforts to improve family well-being </w:t>
      </w:r>
      <w:r>
        <w:rPr>
          <w:rFonts w:ascii="Times New Roman" w:hAnsi="Times New Roman"/>
          <w:sz w:val="24"/>
          <w:szCs w:val="24"/>
          <w:shd w:val="clear" w:color="auto" w:fill="FFFFFF"/>
        </w:rPr>
        <w:fldChar w:fldCharType="begin" w:fldLock="1"/>
      </w:r>
      <w:r w:rsidR="000563C7">
        <w:rPr>
          <w:rFonts w:ascii="Times New Roman" w:hAnsi="Times New Roman"/>
          <w:sz w:val="24"/>
          <w:szCs w:val="24"/>
          <w:shd w:val="clear" w:color="auto" w:fill="FFFFFF"/>
        </w:rPr>
        <w:instrText>ADDIN CSL_CITATION {"citationItems":[{"id":"ITEM-1","itemData":{"DOI":"10.1111/apce.12376","ISSN":"1370-4788","abstract":"A number of studies have analyzed the determinants of financial inclusion in India, but few if any have focused specifically on the f</w:instrText>
      </w:r>
      <w:r w:rsidR="000563C7">
        <w:rPr>
          <w:rFonts w:ascii="Times New Roman" w:hAnsi="Times New Roman" w:hint="eastAsia"/>
          <w:sz w:val="24"/>
          <w:szCs w:val="24"/>
          <w:shd w:val="clear" w:color="auto" w:fill="FFFFFF"/>
        </w:rPr>
        <w:instrText>actors that shape women's access to finance. This paper draws on the trove of women</w:instrText>
      </w:r>
      <w:r w:rsidR="000563C7">
        <w:rPr>
          <w:rFonts w:ascii="Times New Roman" w:hAnsi="Times New Roman" w:hint="eastAsia"/>
          <w:sz w:val="24"/>
          <w:szCs w:val="24"/>
          <w:shd w:val="clear" w:color="auto" w:fill="FFFFFF"/>
        </w:rPr>
        <w:instrText>‐</w:instrText>
      </w:r>
      <w:r w:rsidR="000563C7">
        <w:rPr>
          <w:rFonts w:ascii="Times New Roman" w:hAnsi="Times New Roman" w:hint="eastAsia"/>
          <w:sz w:val="24"/>
          <w:szCs w:val="24"/>
          <w:shd w:val="clear" w:color="auto" w:fill="FFFFFF"/>
        </w:rPr>
        <w:instrText>specific data collected in the fourth round of the National Family Health Survey (NFHS</w:instrText>
      </w:r>
      <w:r w:rsidR="000563C7">
        <w:rPr>
          <w:rFonts w:ascii="Times New Roman" w:hAnsi="Times New Roman" w:hint="eastAsia"/>
          <w:sz w:val="24"/>
          <w:szCs w:val="24"/>
          <w:shd w:val="clear" w:color="auto" w:fill="FFFFFF"/>
        </w:rPr>
        <w:instrText>‐</w:instrText>
      </w:r>
      <w:r w:rsidR="000563C7">
        <w:rPr>
          <w:rFonts w:ascii="Times New Roman" w:hAnsi="Times New Roman" w:hint="eastAsia"/>
          <w:sz w:val="24"/>
          <w:szCs w:val="24"/>
          <w:shd w:val="clear" w:color="auto" w:fill="FFFFFF"/>
        </w:rPr>
        <w:instrText>4), conducted in 2015</w:instrText>
      </w:r>
      <w:r w:rsidR="000563C7">
        <w:rPr>
          <w:rFonts w:ascii="Times New Roman" w:hAnsi="Times New Roman" w:hint="eastAsia"/>
          <w:sz w:val="24"/>
          <w:szCs w:val="24"/>
          <w:shd w:val="clear" w:color="auto" w:fill="FFFFFF"/>
        </w:rPr>
        <w:instrText>–</w:instrText>
      </w:r>
      <w:r w:rsidR="000563C7">
        <w:rPr>
          <w:rFonts w:ascii="Times New Roman" w:hAnsi="Times New Roman" w:hint="eastAsia"/>
          <w:sz w:val="24"/>
          <w:szCs w:val="24"/>
          <w:shd w:val="clear" w:color="auto" w:fill="FFFFFF"/>
        </w:rPr>
        <w:instrText>16 in India, to examine the factors that influence women's access to finance. The results indicate that while the forces that shape women's access to finance function at multiple levels, micro</w:instrText>
      </w:r>
      <w:r w:rsidR="000563C7">
        <w:rPr>
          <w:rFonts w:ascii="Times New Roman" w:hAnsi="Times New Roman" w:hint="eastAsia"/>
          <w:sz w:val="24"/>
          <w:szCs w:val="24"/>
          <w:shd w:val="clear" w:color="auto" w:fill="FFFFFF"/>
        </w:rPr>
        <w:instrText>‐</w:instrText>
      </w:r>
      <w:r w:rsidR="000563C7">
        <w:rPr>
          <w:rFonts w:ascii="Times New Roman" w:hAnsi="Times New Roman" w:hint="eastAsia"/>
          <w:sz w:val="24"/>
          <w:szCs w:val="24"/>
          <w:shd w:val="clear" w:color="auto" w:fill="FFFFFF"/>
        </w:rPr>
        <w:instrText>level factors appear to be powerful drivers of inclusion. The analysis reveals that household</w:instrText>
      </w:r>
      <w:r w:rsidR="000563C7">
        <w:rPr>
          <w:rFonts w:ascii="Times New Roman" w:hAnsi="Times New Roman" w:hint="eastAsia"/>
          <w:sz w:val="24"/>
          <w:szCs w:val="24"/>
          <w:shd w:val="clear" w:color="auto" w:fill="FFFFFF"/>
        </w:rPr>
        <w:instrText>‐</w:instrText>
      </w:r>
      <w:r w:rsidR="000563C7">
        <w:rPr>
          <w:rFonts w:ascii="Times New Roman" w:hAnsi="Times New Roman" w:hint="eastAsia"/>
          <w:sz w:val="24"/>
          <w:szCs w:val="24"/>
          <w:shd w:val="clear" w:color="auto" w:fill="FFFFFF"/>
        </w:rPr>
        <w:instrText>level economic indicators like wealth, gender of household head and their rural</w:instrText>
      </w:r>
      <w:r w:rsidR="000563C7">
        <w:rPr>
          <w:rFonts w:ascii="Times New Roman" w:hAnsi="Times New Roman" w:hint="eastAsia"/>
          <w:sz w:val="24"/>
          <w:szCs w:val="24"/>
          <w:shd w:val="clear" w:color="auto" w:fill="FFFFFF"/>
        </w:rPr>
        <w:instrText>‐</w:instrText>
      </w:r>
      <w:r w:rsidR="000563C7">
        <w:rPr>
          <w:rFonts w:ascii="Times New Roman" w:hAnsi="Times New Roman" w:hint="eastAsia"/>
          <w:sz w:val="24"/>
          <w:szCs w:val="24"/>
          <w:shd w:val="clear" w:color="auto" w:fill="FFFFFF"/>
        </w:rPr>
        <w:instrText>urban location are crucial, but so are individual</w:instrText>
      </w:r>
      <w:r w:rsidR="000563C7">
        <w:rPr>
          <w:rFonts w:ascii="Times New Roman" w:hAnsi="Times New Roman" w:hint="eastAsia"/>
          <w:sz w:val="24"/>
          <w:szCs w:val="24"/>
          <w:shd w:val="clear" w:color="auto" w:fill="FFFFFF"/>
        </w:rPr>
        <w:instrText>‐</w:instrText>
      </w:r>
      <w:r w:rsidR="000563C7">
        <w:rPr>
          <w:rFonts w:ascii="Times New Roman" w:hAnsi="Times New Roman" w:hint="eastAsia"/>
          <w:sz w:val="24"/>
          <w:szCs w:val="24"/>
          <w:shd w:val="clear" w:color="auto" w:fill="FFFFFF"/>
        </w:rPr>
        <w:instrText>level characteristics which explain approximately 83% of the variation in the multilevel regressions. Informal gender norms that govern women's mobility an</w:instrText>
      </w:r>
      <w:r w:rsidR="000563C7">
        <w:rPr>
          <w:rFonts w:ascii="Times New Roman" w:hAnsi="Times New Roman"/>
          <w:sz w:val="24"/>
          <w:szCs w:val="24"/>
          <w:shd w:val="clear" w:color="auto" w:fill="FFFFFF"/>
        </w:rPr>
        <w:instrText>d economic activity crucially influence the ability of women to access loans and open bank accounts.","author":[{"dropping-particle":"","family":"Govindapuram","given":"Suresh","non-dropping-particle":"","parse-names":false,"suffix":""},{"dropping-particle":"","family":"Bhupatiraju","given":"Samyukta","non-dropping-particle":"","parse-names":false,"suffix":""},{"dropping-particle":"","family":"Sirohi","given":"Rahul A.","non-dropping-particle":"","parse-names":false,"suffix":""}],"container-title":"Annals of Public and Cooperative Economics","id":"ITEM-1","issue":"1","issued":{"date-parts":[["2023","3","30"]]},"page":"131-158","title":"Determinants of women's financial inclusion: Evidence from India","type":"article-journal","volume":"94"},"uris":["http://www.mendeley.com/documents/?uuid=284d260f-1676-4e90-8734-47b6e0167d96"]}],"mendeley":{"formattedCitation":"(Govindapuram et al., 2023)","plainTextFormattedCitation":"(Govindapuram et al., 2023)","previouslyFormattedCitation":"(Govindapuram et al., 2023)"},"properties":{"noteIndex":0},"schema":"https://github.com/citation-style-language/schema/raw/master/csl-citation.json"}</w:instrText>
      </w:r>
      <w:r>
        <w:rPr>
          <w:rFonts w:ascii="Times New Roman" w:hAnsi="Times New Roman"/>
          <w:sz w:val="24"/>
          <w:szCs w:val="24"/>
          <w:shd w:val="clear" w:color="auto" w:fill="FFFFFF"/>
        </w:rPr>
        <w:fldChar w:fldCharType="separate"/>
      </w:r>
      <w:r w:rsidRPr="006B7052">
        <w:rPr>
          <w:rFonts w:ascii="Times New Roman" w:hAnsi="Times New Roman"/>
          <w:noProof/>
          <w:sz w:val="24"/>
          <w:szCs w:val="24"/>
          <w:shd w:val="clear" w:color="auto" w:fill="FFFFFF"/>
        </w:rPr>
        <w:t>(Govindapuram et al., 2023)</w:t>
      </w:r>
      <w:r>
        <w:rPr>
          <w:rFonts w:ascii="Times New Roman" w:hAnsi="Times New Roman"/>
          <w:sz w:val="24"/>
          <w:szCs w:val="24"/>
          <w:shd w:val="clear" w:color="auto" w:fill="FFFFFF"/>
        </w:rPr>
        <w:fldChar w:fldCharType="end"/>
      </w:r>
      <w:r>
        <w:rPr>
          <w:rFonts w:ascii="Times New Roman" w:hAnsi="Times New Roman"/>
          <w:sz w:val="24"/>
          <w:szCs w:val="24"/>
          <w:shd w:val="clear" w:color="auto" w:fill="FFFFFF"/>
        </w:rPr>
        <w:t xml:space="preserve">. </w:t>
      </w:r>
      <w:r w:rsidR="00176A50">
        <w:rPr>
          <w:rFonts w:ascii="Times New Roman" w:hAnsi="Times New Roman" w:cs="Times New Roman"/>
          <w:sz w:val="24"/>
          <w:szCs w:val="24"/>
        </w:rPr>
        <w:t xml:space="preserve">In addition, the limitations that occur affect overall economic growth, so that women who do not have good financial access can have an impact on the local </w:t>
      </w:r>
      <w:r w:rsidR="00176A50">
        <w:rPr>
          <w:rFonts w:ascii="Times New Roman" w:hAnsi="Times New Roman" w:cs="Times New Roman"/>
          <w:sz w:val="24"/>
          <w:szCs w:val="24"/>
        </w:rPr>
        <w:lastRenderedPageBreak/>
        <w:t xml:space="preserve">and national economy.  Gender equality in financial access can stimulate economic growth, by enabling women to contribute more effectively to the economy </w:t>
      </w:r>
      <w:r w:rsidR="00DC4064">
        <w:rPr>
          <w:rFonts w:ascii="Times New Roman" w:hAnsi="Times New Roman" w:cs="Times New Roman"/>
          <w:sz w:val="24"/>
          <w:szCs w:val="24"/>
        </w:rPr>
        <w:fldChar w:fldCharType="begin" w:fldLock="1"/>
      </w:r>
      <w:r w:rsidR="00751481">
        <w:rPr>
          <w:rFonts w:ascii="Times New Roman" w:hAnsi="Times New Roman" w:cs="Times New Roman"/>
          <w:sz w:val="24"/>
          <w:szCs w:val="24"/>
        </w:rPr>
        <w:instrText>ADDIN CSL_CITATION {"citationItems":[{"id":"ITEM-1","itemData":{"DOI":"10.1080/09538259.2010.491285","ISSN":"0953-8259","author":[{"dropping-particle":"","family":"Seguino","given":"Stephanie","non-dropping-particle":"","parse-names":false,"suffix":""}],"container-title":"Review of Political Economy","id":"ITEM-1","issue":"3","issued":{"date-parts":[["2010","7"]]},"page":"373-404","title":"Gender, Distribution, and Balance of Payments Constrained Growth in Developing Countries","type":"article-journal","volume":"22"},"uris":["http://www.mendeley.com/documents/?uuid=4ca1b2c0-e0e1-492c-9c54-cfe9ca525ebb"]}],"mendeley":{"formattedCitation":"(Seguino, 2010)","plainTextFormattedCitation":"(Seguino, 2010)","previouslyFormattedCitation":"(Seguino, 2010)"},"properties":{"noteIndex":0},"schema":"https://github.com/citation-style-language/schema/raw/master/csl-citation.json"}</w:instrText>
      </w:r>
      <w:r w:rsidR="00DC4064">
        <w:rPr>
          <w:rFonts w:ascii="Times New Roman" w:hAnsi="Times New Roman" w:cs="Times New Roman"/>
          <w:sz w:val="24"/>
          <w:szCs w:val="24"/>
        </w:rPr>
        <w:fldChar w:fldCharType="separate"/>
      </w:r>
      <w:r w:rsidR="00DC4064" w:rsidRPr="00DC4064">
        <w:rPr>
          <w:rFonts w:ascii="Times New Roman" w:hAnsi="Times New Roman" w:cs="Times New Roman"/>
          <w:noProof/>
          <w:sz w:val="24"/>
          <w:szCs w:val="24"/>
        </w:rPr>
        <w:t>(Seguino, 2010)</w:t>
      </w:r>
      <w:r w:rsidR="00DC4064">
        <w:rPr>
          <w:rFonts w:ascii="Times New Roman" w:hAnsi="Times New Roman" w:cs="Times New Roman"/>
          <w:sz w:val="24"/>
          <w:szCs w:val="24"/>
        </w:rPr>
        <w:fldChar w:fldCharType="end"/>
      </w:r>
      <w:r w:rsidR="00DC4064">
        <w:rPr>
          <w:rFonts w:ascii="Times New Roman" w:hAnsi="Times New Roman" w:cs="Times New Roman"/>
          <w:sz w:val="24"/>
          <w:szCs w:val="24"/>
        </w:rPr>
        <w:t xml:space="preserve">. Therefore, it is important to implement policies that support women's empowerment and improve their access to financial services, in order to contribute significantly to economic development and the well-being of society as a whole. Answer </w:t>
      </w:r>
      <w:r w:rsidR="00DC4064">
        <w:rPr>
          <w:rFonts w:ascii="Times New Roman" w:hAnsi="Times New Roman"/>
          <w:sz w:val="24"/>
          <w:szCs w:val="24"/>
        </w:rPr>
        <w:t xml:space="preserve">conditions and challenges that occur in striving for financial inclusion, Indonesia provides policies through the Financial Services Authority to establish Micro Waqf Banks (MWB) </w:t>
      </w:r>
      <w:r w:rsidR="00751481">
        <w:rPr>
          <w:rFonts w:ascii="Times New Roman" w:hAnsi="Times New Roman"/>
          <w:sz w:val="24"/>
          <w:szCs w:val="24"/>
        </w:rPr>
        <w:fldChar w:fldCharType="begin" w:fldLock="1"/>
      </w:r>
      <w:r w:rsidR="004A4527">
        <w:rPr>
          <w:rFonts w:ascii="Times New Roman" w:hAnsi="Times New Roman"/>
          <w:sz w:val="24"/>
          <w:szCs w:val="24"/>
        </w:rPr>
        <w:instrText>ADDIN CSL_CITATION {"citationItems":[{"id":"ITEM-1","itemData":{"DOI":"10.22515/shirkah.v4i2.269","ISSN":"2503-4243","abstract":"The launch of the Bank Wakaf Mikro (Micro Wakaf Bank/BWM) at the pesantren by the Financial Services Authority (OJK) has received a positive response to realizing economic opportunities in the pesantren. This study aims to examine the role of pesantren in empowering creative economics through the BWM program. This study was conducted by doing in-depth observations and interviews. The researchers gathered data using purposive sampling and snowball sampling techniques. The research findings illustrate the presence of BWM at the pesantren Buntet, Cirebon, West Java, Indonesia has provided a new forum, both for the leaders of the pesantren and the community around the pesantren to carry out their economic potential. Communities surrounding the pesantren argue that BWM has been able to overcome the difficulties in accessing financing needs on a micro-scale. However, the BWM needs to increase the amount of funding and products to follow customers' needs in order to create more promising business variations. Keywords: pesantren, OJK, micro bank, Buntet, Cirebon","author":[{"dropping-particle":"","family":"Zayanie","given":"Jehan Maya","non-dropping-particle":"","parse-names":false,"suffix":""},{"dropping-particle":"","family":"Fitria","given":"Ahsana","non-dropping-particle":"","parse-names":false,"suffix":""},{"dropping-particle":"","family":"Kamariah","given":"Rosidatul","non-dropping-particle":"","parse-names":false,"suffix":""}],"container-title":"Shirkah: Journal of Economics and Business","id":"ITEM-1","issue":"2","issued":{"date-parts":[["2019","12","25"]]},"title":"Bank Wakaf Mikro and Creative Economics in Pesantren Buntet","type":"article-journal","volume":"4"},"uris":["http://www.mendeley.com/documents/?uuid=afe95710-1038-4710-a29a-4e7215e711a1"]}],"mendeley":{"formattedCitation":"(Zayanie et al., 2019)","plainTextFormattedCitation":"(Zayanie et al., 2019)","previouslyFormattedCitation":"(Zayanie et al., 2019)"},"properties":{"noteIndex":0},"schema":"https://github.com/citation-style-language/schema/raw/master/csl-citation.json"}</w:instrText>
      </w:r>
      <w:r w:rsidR="00751481">
        <w:rPr>
          <w:rFonts w:ascii="Times New Roman" w:hAnsi="Times New Roman"/>
          <w:sz w:val="24"/>
          <w:szCs w:val="24"/>
        </w:rPr>
        <w:fldChar w:fldCharType="separate"/>
      </w:r>
      <w:r w:rsidR="00751481" w:rsidRPr="00751481">
        <w:rPr>
          <w:rFonts w:ascii="Times New Roman" w:hAnsi="Times New Roman"/>
          <w:noProof/>
          <w:sz w:val="24"/>
          <w:szCs w:val="24"/>
        </w:rPr>
        <w:t>(Zayanie et al., 2019)</w:t>
      </w:r>
      <w:r w:rsidR="00751481">
        <w:rPr>
          <w:rFonts w:ascii="Times New Roman" w:hAnsi="Times New Roman"/>
          <w:sz w:val="24"/>
          <w:szCs w:val="24"/>
        </w:rPr>
        <w:fldChar w:fldCharType="end"/>
      </w:r>
      <w:r w:rsidR="00751481">
        <w:rPr>
          <w:rFonts w:ascii="Times New Roman" w:hAnsi="Times New Roman"/>
          <w:sz w:val="24"/>
          <w:szCs w:val="24"/>
        </w:rPr>
        <w:t xml:space="preserve">. </w:t>
      </w:r>
    </w:p>
    <w:p w14:paraId="1D032F38" w14:textId="3D68F2DD" w:rsidR="00C16EFA" w:rsidRPr="00905EE2" w:rsidRDefault="000A3830" w:rsidP="00905EE2">
      <w:pPr>
        <w:widowControl w:val="0"/>
        <w:spacing w:after="0" w:line="240" w:lineRule="auto"/>
        <w:ind w:firstLine="720"/>
        <w:contextualSpacing/>
        <w:jc w:val="both"/>
        <w:rPr>
          <w:rFonts w:ascii="Times New Roman" w:hAnsi="Times New Roman" w:cs="Times New Roman"/>
          <w:sz w:val="24"/>
          <w:szCs w:val="24"/>
        </w:rPr>
      </w:pPr>
      <w:r>
        <w:rPr>
          <w:rFonts w:ascii="Times New Roman" w:hAnsi="Times New Roman"/>
          <w:sz w:val="24"/>
          <w:szCs w:val="24"/>
        </w:rPr>
        <w:t xml:space="preserve">Bank Waqf Mikro (MWB) is a microfinance institution established by the Indonesian government to provide financial services to the lower class, especially those living around Islamic boarding schools </w:t>
      </w:r>
      <w:r w:rsidR="004A4527">
        <w:rPr>
          <w:rFonts w:ascii="Times New Roman" w:hAnsi="Times New Roman"/>
          <w:sz w:val="24"/>
          <w:szCs w:val="24"/>
        </w:rPr>
        <w:fldChar w:fldCharType="begin" w:fldLock="1"/>
      </w:r>
      <w:r w:rsidR="004A4527">
        <w:rPr>
          <w:rFonts w:ascii="Times New Roman" w:hAnsi="Times New Roman"/>
          <w:sz w:val="24"/>
          <w:szCs w:val="24"/>
        </w:rPr>
        <w:instrText>ADDIN CSL_CITATION {"citationItems":[{"id":"ITEM-1","itemData":{"DOI":"10.15642/JIIS.2023.17.1.76-99","ISSN":"2355-6994","author":[{"dropping-particle":"","family":"Anwar","given":"Mokhamad Zainal","non-dropping-particle":"","parse-names":false,"suffix":""},{"dropping-particle":"","family":"Fathan","given":"Fathan","non-dropping-particle":"","parse-names":false,"suffix":""},{"dropping-particle":"","family":"Warto","given":"Warto","non-dropping-particle":"","parse-names":false,"suffix":""},{"dropping-particle":"","family":"Hidayati","given":"Okta Nurul","non-dropping-particle":"","parse-names":false,"suffix":""}],"container-title":"JOURNAL OF INDONESIAN ISLAM","id":"ITEM-1","issue":"1","issued":{"date-parts":[["2023","6","1"]]},"page":"76","title":"Transformation of Economic Theology for Community Empowerment: A Case Study on Pesantren-Based Bank Wakaf Mikro","type":"article-journal","volume":"17"},"uris":["http://www.mendeley.com/documents/?uuid=410b8a07-128a-401d-b62f-9b5c98b8c417"]}],"mendeley":{"formattedCitation":"(Anwar et al., 2023)","plainTextFormattedCitation":"(Anwar et al., 2023)","previouslyFormattedCitation":"(Anwar et al., 2023)"},"properties":{"noteIndex":0},"schema":"https://github.com/citation-style-language/schema/raw/master/csl-citation.json"}</w:instrText>
      </w:r>
      <w:r w:rsidR="004A4527">
        <w:rPr>
          <w:rFonts w:ascii="Times New Roman" w:hAnsi="Times New Roman"/>
          <w:sz w:val="24"/>
          <w:szCs w:val="24"/>
        </w:rPr>
        <w:fldChar w:fldCharType="separate"/>
      </w:r>
      <w:r w:rsidR="004A4527" w:rsidRPr="004A4527">
        <w:rPr>
          <w:rFonts w:ascii="Times New Roman" w:hAnsi="Times New Roman"/>
          <w:noProof/>
          <w:sz w:val="24"/>
          <w:szCs w:val="24"/>
        </w:rPr>
        <w:t>(Anwar et al., 2023)</w:t>
      </w:r>
      <w:r w:rsidR="004A4527">
        <w:rPr>
          <w:rFonts w:ascii="Times New Roman" w:hAnsi="Times New Roman"/>
          <w:sz w:val="24"/>
          <w:szCs w:val="24"/>
        </w:rPr>
        <w:fldChar w:fldCharType="end"/>
      </w:r>
      <w:r w:rsidR="00C611A5" w:rsidRPr="004E16EB">
        <w:rPr>
          <w:rFonts w:ascii="Times New Roman" w:hAnsi="Times New Roman" w:cs="Times New Roman"/>
          <w:sz w:val="24"/>
          <w:szCs w:val="24"/>
        </w:rPr>
        <w:t xml:space="preserve">. MWB is designed to reach groups of people who are often overlooked by the formal financial system, including unbanked women in rural and remote areas, by providing affordable and environmentally friendly sharia-based financing </w:t>
      </w:r>
      <w:r w:rsidR="00905EE2">
        <w:rPr>
          <w:rFonts w:ascii="Times New Roman" w:hAnsi="Times New Roman" w:cs="Times New Roman"/>
          <w:sz w:val="24"/>
          <w:szCs w:val="24"/>
        </w:rPr>
        <w:fldChar w:fldCharType="begin" w:fldLock="1"/>
      </w:r>
      <w:r w:rsidR="00BB220B">
        <w:rPr>
          <w:rFonts w:ascii="Times New Roman" w:hAnsi="Times New Roman" w:cs="Times New Roman"/>
          <w:sz w:val="24"/>
          <w:szCs w:val="24"/>
        </w:rPr>
        <w:instrText>ADDIN CSL_CITATION {"citationItems":[{"id":"ITEM-1","itemData":{"DOI":"10.18860/j-fsh.v13i2.15485","ISSN":"2528-1658","abstract":"Micro Waqf Bank (BKM) is a form of community empowerment innovation through Islamic philanthropy. Even so, its development must still be measured using sharia principles so that it is in accordance with the teachings of Islam. This article aims to describe the potential and role of BKM in empowering Micro, Small and Medium Enterprises (MSMEs) in Indonesia. This article is based on empirical research with a conceptual approach. The location of this research is micro waqf bank located in three provinces, namely East Java, Yogyakarta, and West Nusa Tenggara. The results showed that the micro waqf bank which was the object of the research carried out financing through Corporate Social Responsibility (CSR) funds. The micro waqf banks studied are microfinance institutions that run their business activities based on sharia principles, so all agreements made must be guided by the DSN-MUI fatwa. Micro waqf banks participate in maintaining qasd al-syari' (God's purpose) through financing to their customers in order to realize prosperity.Bank Wakaf Mikro (BKM) merupakan wujud inovasi pemberdayaan masyarakat melalui filantropi Islam. Meskipun dmeikian perkembangannya harus tetap diukur menggunakan prinsip syariah agar sesuai dengan ajaran agama Islam. Artikel ini bertujuan mendeskripsikan potensi dan peran BKM dalam pemberdayaan Usaha Mikro, Kecil dan Menengah (UMKM) di Indonesia. Artikel ini berdasarkan penelitian empiris dengan pendekatan konseptual. Lokasi penelitian ini adalah bank wakaf mikro yang berada di tiga provinsi yaitu Jawa Timur, Yogyakarta, dan Nusa Tenggara Barat. Hasil penelitian menunjukkan bahwa bank wakaf mikro yang menjadi objek penelitian melakukan pembiayaan melalui dana Corporate Social Responsibility (CSR). Bank wakaf mikro yang diteliti merupakan lembaga keuangan mikro yang menjalankan kegiatan usahanya berdasarkan prinsip syariah, sehingga seluruh kesepakatan yang dilakukan harus berpedoman pada fatwa DSN-MUI. Bank wakaf mikro turut menjaga qasd al-syari’ (tujuan Allah) melalui pembiayaan kepada nasabahnya agar terwujud kesejahteraan.","author":[{"dropping-particle":"","family":"Fakhruudin","given":"Fakhruudin","non-dropping-particle":"","parse-names":false,"suffix":""},{"dropping-particle":"","family":"Pratomo","given":"Ahmad Sidi","non-dropping-particle":"","parse-names":false,"suffix":""}],"container-title":"De Jure: Jurnal Hukum dan Syar'iah","id":"ITEM-1","issue":"2","issued":{"date-parts":[["2021","12","25"]]},"page":"323-336","title":"Bank Wakaf Mikro dan Pemberdayaan Usaha Mikro Kecil dan Menengah di Indonesia Perspektif Maqashid Syariah","type":"article-journal","volume":"13"},"uris":["http://www.mendeley.com/documents/?uuid=c0192218-e744-4c7b-b093-e3df9cb68f84"]}],"mendeley":{"formattedCitation":"(Fakhruudin &amp; Pratomo, 2021)","plainTextFormattedCitation":"(Fakhruudin &amp; Pratomo, 2021)","previouslyFormattedCitation":"(Fakhruudin &amp; Pratomo, 2021)"},"properties":{"noteIndex":0},"schema":"https://github.com/citation-style-language/schema/raw/master/csl-citation.json"}</w:instrText>
      </w:r>
      <w:r w:rsidR="00905EE2">
        <w:rPr>
          <w:rFonts w:ascii="Times New Roman" w:hAnsi="Times New Roman" w:cs="Times New Roman"/>
          <w:sz w:val="24"/>
          <w:szCs w:val="24"/>
        </w:rPr>
        <w:fldChar w:fldCharType="separate"/>
      </w:r>
      <w:r w:rsidR="00905EE2" w:rsidRPr="00905EE2">
        <w:rPr>
          <w:rFonts w:ascii="Times New Roman" w:hAnsi="Times New Roman" w:cs="Times New Roman"/>
          <w:noProof/>
          <w:sz w:val="24"/>
          <w:szCs w:val="24"/>
        </w:rPr>
        <w:t>(Fakhruudin &amp; Pratomo, 2021)</w:t>
      </w:r>
      <w:r w:rsidR="00905EE2">
        <w:rPr>
          <w:rFonts w:ascii="Times New Roman" w:hAnsi="Times New Roman" w:cs="Times New Roman"/>
          <w:sz w:val="24"/>
          <w:szCs w:val="24"/>
        </w:rPr>
        <w:fldChar w:fldCharType="end"/>
      </w:r>
      <w:r w:rsidR="0076719B" w:rsidRPr="0076719B">
        <w:rPr>
          <w:rFonts w:ascii="Times New Roman" w:hAnsi="Times New Roman" w:cs="Times New Roman"/>
          <w:sz w:val="24"/>
          <w:szCs w:val="24"/>
        </w:rPr>
        <w:t xml:space="preserve">. Unbanked women are the most vulnerable group to inequalities in financial access, as they often do not have bank accounts or access to formal financial services </w:t>
      </w:r>
      <w:r w:rsidR="00BB220B">
        <w:rPr>
          <w:rFonts w:ascii="Times New Roman" w:hAnsi="Times New Roman" w:cs="Times New Roman"/>
          <w:sz w:val="24"/>
          <w:szCs w:val="24"/>
        </w:rPr>
        <w:fldChar w:fldCharType="begin" w:fldLock="1"/>
      </w:r>
      <w:r w:rsidR="00BB220B">
        <w:rPr>
          <w:rFonts w:ascii="Times New Roman" w:hAnsi="Times New Roman" w:cs="Times New Roman"/>
          <w:sz w:val="24"/>
          <w:szCs w:val="24"/>
        </w:rPr>
        <w:instrText>ADDIN CSL_CITATION {"citationItems":[{"id":"ITEM-1","itemData":{"DOI":"10.17811/ebl.10.4.2021.342-348","ISSN":"2254-4380","abstract":"Gender in financial inclusion is an evolving field of research. This study uses the World Bank’s Global Findex database, along with probit models, to investigate the presence of gender inequality on financial inclusion and its causes. In the Middle East and North Africa samples, we present new evidence of lower women’s financial inclusion. Being a man, older, well-educated and with a high-income increases the likelihood of being financially included. The findings of this study support policymaker in defining policies to promote financial inclusion in the Middle East and North Africa. Increasing the level of financial inclusion enhances the level of official savings in countries, which in turn promotes development.","author":[{"dropping-particle":"","family":"Cicchiello","given":"Antonella Francesca","non-dropping-particle":"","parse-names":false,"suffix":""},{"dropping-particle":"","family":"Kazemikhasragh","given":"Amirreza","non-dropping-particle":"","parse-names":false,"suffix":""},{"dropping-particle":"","family":"Fellegara","given":"Anna Maria","non-dropping-particle":"","parse-names":false,"suffix":""},{"dropping-particle":"","family":"Monferrà","given":"Stefano","non-dropping-particle":"","parse-names":false,"suffix":""}],"container-title":"Economics and Business Letters","id":"ITEM-1","issue":"4","issued":{"date-parts":[["2021","12","9"]]},"page":"342-348","title":"Gender disparity effect among financially included (and excluded) women in Middle East and North Africa","type":"article-journal","volume":"10"},"uris":["http://www.mendeley.com/documents/?uuid=0d407063-d43e-4a38-9304-0a98ba035341"]}],"mendeley":{"formattedCitation":"(Cicchiello et al., 2021)","plainTextFormattedCitation":"(Cicchiello et al., 2021)","previouslyFormattedCitation":"(Cicchiello et al., 2021)"},"properties":{"noteIndex":0},"schema":"https://github.com/citation-style-language/schema/raw/master/csl-citation.json"}</w:instrText>
      </w:r>
      <w:r w:rsidR="00BB220B">
        <w:rPr>
          <w:rFonts w:ascii="Times New Roman" w:hAnsi="Times New Roman" w:cs="Times New Roman"/>
          <w:sz w:val="24"/>
          <w:szCs w:val="24"/>
        </w:rPr>
        <w:fldChar w:fldCharType="separate"/>
      </w:r>
      <w:r w:rsidR="00BB220B" w:rsidRPr="00BB220B">
        <w:rPr>
          <w:rFonts w:ascii="Times New Roman" w:hAnsi="Times New Roman" w:cs="Times New Roman"/>
          <w:noProof/>
          <w:sz w:val="24"/>
          <w:szCs w:val="24"/>
        </w:rPr>
        <w:t>(Cicchiello et al., 2021)</w:t>
      </w:r>
      <w:r w:rsidR="00BB220B">
        <w:rPr>
          <w:rFonts w:ascii="Times New Roman" w:hAnsi="Times New Roman" w:cs="Times New Roman"/>
          <w:sz w:val="24"/>
          <w:szCs w:val="24"/>
        </w:rPr>
        <w:fldChar w:fldCharType="end"/>
      </w:r>
      <w:r w:rsidR="0076719B" w:rsidRPr="0076719B">
        <w:rPr>
          <w:rFonts w:ascii="Times New Roman" w:hAnsi="Times New Roman" w:cs="Times New Roman"/>
          <w:sz w:val="24"/>
          <w:szCs w:val="24"/>
        </w:rPr>
        <w:t xml:space="preserve">. Through MWB, unbanked women can gain access to microfinance in accordance with sharia principles, so that they can start or develop small and micro businesses </w:t>
      </w:r>
      <w:r w:rsidR="00BB220B">
        <w:rPr>
          <w:rFonts w:ascii="Times New Roman" w:hAnsi="Times New Roman" w:cs="Times New Roman"/>
          <w:sz w:val="24"/>
          <w:szCs w:val="24"/>
        </w:rPr>
        <w:fldChar w:fldCharType="begin" w:fldLock="1"/>
      </w:r>
      <w:r w:rsidR="00302A4A">
        <w:rPr>
          <w:rFonts w:ascii="Times New Roman" w:hAnsi="Times New Roman" w:cs="Times New Roman"/>
          <w:sz w:val="24"/>
          <w:szCs w:val="24"/>
        </w:rPr>
        <w:instrText>ADDIN CSL_CITATION {"citationItems":[{"id":"ITEM-1","itemData":{"DOI":"10.3390/economies10070157","ISSN":"2227-7099","abstract":"This study examined the role of the Micro Waqf Bank in empowering women micro-entrepreneurs. This research used a mixed-method with an explanatory design. Quantitatively, this study examines the effect of the joint responsibility system, financing, and mentoring on the growth of the micro-enterprises business. The sample used was 200 women micro-entrepreneurs using a purposive sampling technique. Quantitative data analysis was performed using the Structural Equation Model based on Partial Least Squares (SEM PLS) technique. This research qualitatively analyzes how the Micro Waqf Bank has carried out its role in empowering women, including dealing with crises due to the COVID-19 pandemic. Thematic analysis was used as the qualitative data analysis technique. Informants in this study amounted to 6 informants from MWB Mawaridussalam consisting of Management, Mentors, and female micro-enterprises. The research results quantitatively indicate that there is a positive and significant impact on the joint responsibility system, financing, and mentoring on the development of micro-enterprise members. Mentoring is the most significant variable that impacts the growth of a micro-enterprise business. Qualitatively, the research results show the role of the Micro Waqf Bank in the economic empowerment of women micro-business entrepreneurs by specifically recommending reinforcement of the mentoring function.","author":[{"dropping-particle":"","family":"Soemitra","given":"Andri","non-dropping-particle":"","parse-names":false,"suffix":""},{"dropping-particle":"","family":"Kusmilawaty","given":"","non-dropping-particle":"","parse-names":false,"suffix":""},{"dropping-particle":"","family":"Rahma","given":"Tri Inda Fadhila","non-dropping-particle":"","parse-names":false,"suffix":""}],"container-title":"Economies","id":"ITEM-1","issue":"7","issued":{"date-parts":[["2022","7","1"]]},"page":"157","title":"The Role of Micro Waqf Bank in Women’s Micro-Business Empowerment through Islamic Social Finance: Mixed-Method Evidence from Mawaridussalam Indonesia","type":"article-journal","volume":"10"},"uris":["http://www.mendeley.com/documents/?uuid=757867f4-6fab-434e-80cb-1876573f2fbd"]}],"mendeley":{"formattedCitation":"(Soemitra et al., 2022)","plainTextFormattedCitation":"(Soemitra et al., 2022)","previouslyFormattedCitation":"(Soemitra et al., 2022)"},"properties":{"noteIndex":0},"schema":"https://github.com/citation-style-language/schema/raw/master/csl-citation.json"}</w:instrText>
      </w:r>
      <w:r w:rsidR="00BB220B">
        <w:rPr>
          <w:rFonts w:ascii="Times New Roman" w:hAnsi="Times New Roman" w:cs="Times New Roman"/>
          <w:sz w:val="24"/>
          <w:szCs w:val="24"/>
        </w:rPr>
        <w:fldChar w:fldCharType="separate"/>
      </w:r>
      <w:r w:rsidR="00E3240E" w:rsidRPr="00E3240E">
        <w:rPr>
          <w:rFonts w:ascii="Times New Roman" w:hAnsi="Times New Roman" w:cs="Times New Roman"/>
          <w:noProof/>
          <w:sz w:val="24"/>
          <w:szCs w:val="24"/>
        </w:rPr>
        <w:t>(Soemitra et al., 2022)</w:t>
      </w:r>
      <w:r w:rsidR="00BB220B">
        <w:rPr>
          <w:rFonts w:ascii="Times New Roman" w:hAnsi="Times New Roman" w:cs="Times New Roman"/>
          <w:sz w:val="24"/>
          <w:szCs w:val="24"/>
        </w:rPr>
        <w:fldChar w:fldCharType="end"/>
      </w:r>
      <w:r w:rsidR="0076719B" w:rsidRPr="0076719B">
        <w:rPr>
          <w:rFonts w:ascii="Times New Roman" w:hAnsi="Times New Roman" w:cs="Times New Roman"/>
          <w:sz w:val="24"/>
          <w:szCs w:val="24"/>
        </w:rPr>
        <w:t xml:space="preserve">. This not only helps increase women's income but also strengthens the role of women in the family economy and society. Thus, MWB is a strategic solution in answering the challenge of financial inclusion for unbanked women in Indonesia. </w:t>
      </w:r>
      <w:r w:rsidR="007D10DD">
        <w:rPr>
          <w:rFonts w:ascii="Times New Roman" w:hAnsi="Times New Roman"/>
          <w:sz w:val="24"/>
          <w:szCs w:val="24"/>
        </w:rPr>
        <w:t>Thus, women's struggle against financial marginalization can be carried out through economic empowerment or easy access to finance.</w:t>
      </w:r>
    </w:p>
    <w:p w14:paraId="4CA6EB74" w14:textId="692AE875" w:rsidR="00C16EFA" w:rsidRDefault="008B3A0E" w:rsidP="008B3A0E">
      <w:pPr>
        <w:spacing w:after="0" w:line="240" w:lineRule="auto"/>
        <w:ind w:firstLine="720"/>
        <w:jc w:val="both"/>
        <w:rPr>
          <w:rFonts w:ascii="Times New Roman" w:hAnsi="Times New Roman"/>
          <w:sz w:val="24"/>
          <w:szCs w:val="24"/>
        </w:rPr>
      </w:pPr>
      <w:r>
        <w:rPr>
          <w:rFonts w:ascii="Times New Roman" w:hAnsi="Times New Roman" w:cs="Times New Roman"/>
          <w:sz w:val="24"/>
          <w:szCs w:val="24"/>
        </w:rPr>
        <w:t xml:space="preserve">So that </w:t>
      </w:r>
      <w:r>
        <w:rPr>
          <w:rFonts w:ascii="Times New Roman" w:hAnsi="Times New Roman"/>
          <w:sz w:val="24"/>
          <w:szCs w:val="24"/>
        </w:rPr>
        <w:t xml:space="preserve">women's empowerment is the key to the sustainability of MWB's business model as a Microfinance Institution. This assumption is reinforced by </w:t>
      </w:r>
      <w:r w:rsidRPr="00573487">
        <w:rPr>
          <w:rFonts w:ascii="Times New Roman" w:hAnsi="Times New Roman" w:cs="Times New Roman"/>
          <w:noProof/>
          <w:sz w:val="24"/>
          <w:szCs w:val="24"/>
        </w:rPr>
        <w:t xml:space="preserve">Zitouni &amp; Ben Jedidia </w:t>
      </w:r>
      <w:r w:rsidRPr="004E16EB">
        <w:rPr>
          <w:rFonts w:ascii="Times New Roman" w:hAnsi="Times New Roman" w:cs="Times New Roman"/>
          <w:sz w:val="24"/>
          <w:szCs w:val="24"/>
        </w:rPr>
        <w:fldChar w:fldCharType="begin" w:fldLock="1"/>
      </w:r>
      <w:r w:rsidR="0063086F">
        <w:rPr>
          <w:rFonts w:ascii="Times New Roman" w:hAnsi="Times New Roman" w:cs="Times New Roman"/>
          <w:sz w:val="24"/>
          <w:szCs w:val="24"/>
        </w:rPr>
        <w:instrText>ADDIN CSL_CITATION {"citationItems":[{"id":"ITEM-1","itemData":{"DOI":"10.1108/JBSED-10-2021-0143/FULL/HTML","ISSN":"2635-1374","abstract":"Purpose Islamic microfinance is a substantial tool for poverty alleviation and economic empowerment. The paper aims at accessing the potential of Islamic microfinance for the purpose of achieving the economic empowerment in Tunisia. Design/methodology/approach A structured questionnaire survey method is used. The method is intended for some of the beneficiaries of Zitouna Tamkeen (ZT), the only Islamic microfinance institution in Tunisia. Responses are analyzed using the statistical package for the social sciences program. Findings The authors infer that though the Islamic and conventional microfinance have similar objectives, the methods are different. What is more, the economic empowerment requires not only financial inclusion and entrepreneurship, but also skill development. The results of the survey reveal that ZT has contributed to certain economic empowerment of most of ZT's beneficiaries. In addition, the authors bring to the fore that providing supportive infrastructure and investment is a prominent component of the economic empowerment process. Research limitations/implications In the paper, the sample is limited. Practical implications The authors have highlighted that some structural barriers to entrepreneurship – such as legal, operational and marketing challenges – need to be addressed in a practical way. Originality/value This paper establishes the relationship between the Islamic microfinance and economic empowerment. The current paper is the first investigation in this field in Tunisia.","author":[{"dropping-particle":"","family":"Zitouni","given":"Takwa","non-dropping-particle":"","parse-names":false,"suffix":""},{"dropping-particle":"","family":"Jedidia","given":"Khoutem","non-dropping-particle":"Ben","parse-names":false,"suffix":""}],"container-title":"Journal of Business and Socio-economic Development","id":"ITEM-1","issue":"1","issued":{"date-parts":[["2022","4"]]},"page":"67-81","publisher":"Emerald","title":"Does Islamic microfinance contribute to economic empowerment in Tunisia?: a case study of Zitouna Tamkeen","type":"article-journal","volume":"2"},"suppress-author":1,"uris":["http://www.mendeley.com/documents/?uuid=9cf0db6c-5ad0-3095-b0be-5ba1ac4824df","http://www.mendeley.com/documents/?uuid=5178e822-bd77-40a3-8df2-e89766c3edae"]}],"mendeley":{"formattedCitation":"(2022)","plainTextFormattedCitation":"(2022)","previouslyFormattedCitation":"(2022)"},"properties":{"noteIndex":0},"schema":"https://github.com/citation-style-language/schema/raw/master/csl-citation.json"}</w:instrText>
      </w:r>
      <w:r w:rsidRPr="004E16EB">
        <w:rPr>
          <w:rFonts w:ascii="Times New Roman" w:hAnsi="Times New Roman" w:cs="Times New Roman"/>
          <w:sz w:val="24"/>
          <w:szCs w:val="24"/>
        </w:rPr>
        <w:fldChar w:fldCharType="separate"/>
      </w:r>
      <w:r w:rsidRPr="008B3A0E">
        <w:rPr>
          <w:rFonts w:ascii="Times New Roman" w:hAnsi="Times New Roman" w:cs="Times New Roman"/>
          <w:noProof/>
          <w:sz w:val="24"/>
          <w:szCs w:val="24"/>
        </w:rPr>
        <w:t>(2022)</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who argue that Sharia Microfinance Institutions are an alternative solution to the problems faced by the poor related to access to finance. </w:t>
      </w:r>
      <w:r w:rsidR="007D10DD">
        <w:rPr>
          <w:rFonts w:ascii="Times New Roman" w:hAnsi="Times New Roman"/>
          <w:sz w:val="24"/>
          <w:szCs w:val="24"/>
        </w:rPr>
        <w:t xml:space="preserve">Economic empowerment of productive poor women is carried out through training, financing, and mentoring </w:t>
      </w:r>
      <w:r w:rsidR="00302A4A">
        <w:rPr>
          <w:rFonts w:ascii="Times New Roman" w:hAnsi="Times New Roman"/>
          <w:sz w:val="24"/>
          <w:szCs w:val="24"/>
        </w:rPr>
        <w:fldChar w:fldCharType="begin" w:fldLock="1"/>
      </w:r>
      <w:r>
        <w:rPr>
          <w:rFonts w:ascii="Times New Roman" w:hAnsi="Times New Roman"/>
          <w:sz w:val="24"/>
          <w:szCs w:val="24"/>
        </w:rPr>
        <w:instrText>ADDIN CSL_CITATION {"citationItems":[{"id":"ITEM-1","itemData":{"ISSN":"1943023X (ISSN)","abstract":"Microfinance is a provision of thrift credit and other financial services and provide products of very small amounts to the poor for enabling them to raise their income levels and improve their living standards. Women in rural areas are considered to be less empowered so empowering them is a key not only for the well-being of individuals, families and rural communities, but also for overall economic productivity. This paper mainly focuses on empowering rural women through microfinance. The aim of this study is to analyze whether rural women have been empowered through the provision of microfinance. The study reveals that respondents are aware about micro financing services provided by SHG. From this study we came to a conclusion that majority of the respondents has been empowered after joining SHG. It means that they have the capabilities of decision making power, increased their confidence level, improved their living standards and self-awareness level also increased. © 2019, Institute of Advanced Scientific Research, Inc.. All rights reserved.","author":[{"dropping-particle":"","family":"Ancel","given":"A J","non-dropping-particle":"","parse-names":false,"suffix":""},{"dropping-particle":"","family":"Maya","given":"V","non-dropping-particle":"","parse-names":false,"suffix":""},{"dropping-particle":"","family":"Balasubramanian","given":"P","non-dropping-particle":"","parse-names":false,"suffix":""}],"container-title":"Journal of Advanced Research in Dynamical and Control Systems","id":"ITEM-1","issue":"7 Special Issue","issued":{"date-parts":[["2019"]]},"language":"English","note":"Export Date: 10 March 2025; Cited By: 1","page":"444-450","publisher":"Institute of Advanced Scientific Research, Inc.","publisher-place":"Department of Commerce and Management, School of Arts and Sciences Kochi, Amrita Vishwa Vidyapeetham, Kochi, India","title":"\"Rural women empowerment through microfinance-a study on SHG\"","type":"article-journal","volume":"11"},"uris":["http://www.mendeley.com/documents/?uuid=0a0cf09f-5e7c-4f1b-9091-36a3de2df82c"]}],"mendeley":{"formattedCitation":"(Ancel et al., 2019)","plainTextFormattedCitation":"(Ancel et al., 2019)","previouslyFormattedCitation":"(Ancel et al., 2019)"},"properties":{"noteIndex":0},"schema":"https://github.com/citation-style-language/schema/raw/master/csl-citation.json"}</w:instrText>
      </w:r>
      <w:r w:rsidR="00302A4A">
        <w:rPr>
          <w:rFonts w:ascii="Times New Roman" w:hAnsi="Times New Roman"/>
          <w:sz w:val="24"/>
          <w:szCs w:val="24"/>
        </w:rPr>
        <w:fldChar w:fldCharType="separate"/>
      </w:r>
      <w:r w:rsidR="00302A4A" w:rsidRPr="00302A4A">
        <w:rPr>
          <w:rFonts w:ascii="Times New Roman" w:hAnsi="Times New Roman"/>
          <w:noProof/>
          <w:sz w:val="24"/>
          <w:szCs w:val="24"/>
        </w:rPr>
        <w:t>(Ancel et al., 2019)</w:t>
      </w:r>
      <w:r w:rsidR="00302A4A">
        <w:rPr>
          <w:rFonts w:ascii="Times New Roman" w:hAnsi="Times New Roman"/>
          <w:sz w:val="24"/>
          <w:szCs w:val="24"/>
        </w:rPr>
        <w:fldChar w:fldCharType="end"/>
      </w:r>
      <w:r w:rsidR="00C611A5" w:rsidRPr="004E16EB">
        <w:rPr>
          <w:rFonts w:ascii="Times New Roman" w:hAnsi="Times New Roman"/>
          <w:sz w:val="24"/>
          <w:szCs w:val="24"/>
        </w:rPr>
        <w:t xml:space="preserve">. So that it can overcome the limitations of poor people around Islamic boarding schools to access financial services.  In the context of women's empowerment, there is no bank, </w:t>
      </w:r>
      <w:r w:rsidR="00A9408E">
        <w:rPr>
          <w:rFonts w:ascii="Times New Roman" w:hAnsi="Times New Roman"/>
          <w:i/>
          <w:iCs/>
          <w:sz w:val="24"/>
          <w:szCs w:val="24"/>
        </w:rPr>
        <w:t xml:space="preserve">Halaqoh </w:t>
      </w:r>
      <w:r w:rsidR="00A9408E">
        <w:rPr>
          <w:rFonts w:ascii="Times New Roman" w:hAnsi="Times New Roman"/>
          <w:sz w:val="24"/>
          <w:szCs w:val="24"/>
        </w:rPr>
        <w:t xml:space="preserve">become an innovative and contextual approach to pesantren culture in Indonesia </w:t>
      </w:r>
      <w:r w:rsidR="0063086F">
        <w:rPr>
          <w:rFonts w:ascii="Times New Roman" w:hAnsi="Times New Roman"/>
          <w:sz w:val="24"/>
          <w:szCs w:val="24"/>
        </w:rPr>
        <w:fldChar w:fldCharType="begin" w:fldLock="1"/>
      </w:r>
      <w:r w:rsidR="008210FF">
        <w:rPr>
          <w:rFonts w:ascii="Times New Roman" w:hAnsi="Times New Roman"/>
          <w:sz w:val="24"/>
          <w:szCs w:val="24"/>
        </w:rPr>
        <w:instrText>ADDIN CSL_CITATION {"citationItems":[{"id":"ITEM-1","itemData":{"DOI":"10.18510/hssr.2019.75169","ISSN":"2395-6518","abstract":"Purpose of the study: This research was aimed at constructing a new theory of learning from traditional practice which could give a significant contribution to the educational model. This research was conducted to seek the theory learning and model of teaching of Pondok Pesantren (Islamic Boarding School with Salafi system) in South Tapanuli of Indonesia. Methodology: A qualitative research design was applied to seek the data in the Islamic Boarding School for constructing a theory of learning. This research applied an observation and interview techniques to collect the data from Islamic boarding school Darussalam Parmeraan (PDP) of the Dolok District of South Tapanuli, North Sumatra Province of Indonesia. Main Findings: Data revealed that Sorongan and Halaqoh techniques (circling forum in group learning and discussion models), not like the formal school model in the classrooms, have been more effective in two terms; solidarity and control. Sorong and Halaqoh have been preferred to be practiced in that Islamic Boarding School for many years. This study recommends that theory. Applications of this study: The data obtained of teaching methods in Islamic Boarding School Darussalam Parmeraan (PDP) give the alternative teaching techniques such as Sorongan in which learners put into the circling forum which makes the learners are close to instructors and Halaqoh where the Islamic teachings motivate them to learn more intensively. Those two techniques could be applied to formal school, not only in the Pondok pesantren area. Novelty/Originality of this study: This study offered the system of Pondok pesantren traditional practice of teaching techniques of Sorongan and Hallaq of Pondok Pesantren which have been originally rooted in Islamic teachings in Southeast Asia for modern schools. Those techniques could be transferred to formal school; as learning practice that gives democratic education and contributes to training learners in formal schools.","author":[{"dropping-particle":"","family":"Ritonga","given":"Tamin","non-dropping-particle":"","parse-names":false,"suffix":""},{"dropping-particle":"","family":"Ananda","given":"Azwar","non-dropping-particle":"","parse-names":false,"suffix":""},{"dropping-particle":"","family":"Lanin","given":"Dasman","non-dropping-particle":"","parse-names":false,"suffix":""},{"dropping-particle":"","family":"Hasan","given":"Helmi","non-dropping-particle":"","parse-names":false,"suffix":""}],"container-title":"Humanities &amp; Social Sciences Reviews","id":"ITEM-1","issue":"5","issued":{"date-parts":[["2019","11","13"]]},"page":"1304-1310","title":"PRACTICE TO THEORY OF LEARNING: A LESSON LEARNED FROM ISLAMIC BOARDING SCHOOL IN SOUTH TAPANULI OF INDONESIA","type":"article-journal","volume":"7"},"uris":["http://www.mendeley.com/documents/?uuid=52292d3f-f3e1-44f6-991c-2f76bf402774"]}],"mendeley":{"formattedCitation":"(Ritonga et al., 2019)","plainTextFormattedCitation":"(Ritonga et al., 2019)","previouslyFormattedCitation":"(Ritonga et al., 2019)"},"properties":{"noteIndex":0},"schema":"https://github.com/citation-style-language/schema/raw/master/csl-citation.json"}</w:instrText>
      </w:r>
      <w:r w:rsidR="0063086F">
        <w:rPr>
          <w:rFonts w:ascii="Times New Roman" w:hAnsi="Times New Roman"/>
          <w:sz w:val="24"/>
          <w:szCs w:val="24"/>
        </w:rPr>
        <w:fldChar w:fldCharType="separate"/>
      </w:r>
      <w:r w:rsidR="008210FF" w:rsidRPr="008210FF">
        <w:rPr>
          <w:rFonts w:ascii="Times New Roman" w:hAnsi="Times New Roman"/>
          <w:noProof/>
          <w:sz w:val="24"/>
          <w:szCs w:val="24"/>
        </w:rPr>
        <w:t>(Ritonga et al., 2019)</w:t>
      </w:r>
      <w:r w:rsidR="0063086F">
        <w:rPr>
          <w:rFonts w:ascii="Times New Roman" w:hAnsi="Times New Roman"/>
          <w:sz w:val="24"/>
          <w:szCs w:val="24"/>
        </w:rPr>
        <w:fldChar w:fldCharType="end"/>
      </w:r>
      <w:r w:rsidR="00A9408E">
        <w:rPr>
          <w:rFonts w:ascii="Times New Roman" w:hAnsi="Times New Roman"/>
          <w:sz w:val="24"/>
          <w:szCs w:val="24"/>
        </w:rPr>
        <w:t xml:space="preserve">. Type </w:t>
      </w:r>
      <w:r w:rsidR="00A9408E">
        <w:rPr>
          <w:rFonts w:ascii="Times New Roman" w:hAnsi="Times New Roman"/>
          <w:i/>
          <w:iCs/>
          <w:sz w:val="24"/>
          <w:szCs w:val="24"/>
        </w:rPr>
        <w:t>Halaqoh</w:t>
      </w:r>
      <w:r w:rsidR="00A9408E">
        <w:rPr>
          <w:rFonts w:ascii="Times New Roman" w:hAnsi="Times New Roman"/>
          <w:sz w:val="24"/>
          <w:szCs w:val="24"/>
        </w:rPr>
        <w:t xml:space="preserve"> which comes from the tradition of Islamic learning in the form of group meetings adapted by MWB as a place to carry out community-based economic empowerment. </w:t>
      </w:r>
    </w:p>
    <w:p w14:paraId="11E3BBCA" w14:textId="3A255D0F" w:rsidR="0063086F" w:rsidRDefault="00D24B00" w:rsidP="008B3A0E">
      <w:pPr>
        <w:spacing w:after="0" w:line="240" w:lineRule="auto"/>
        <w:ind w:firstLine="720"/>
        <w:jc w:val="both"/>
        <w:rPr>
          <w:rFonts w:ascii="Times New Roman" w:hAnsi="Times New Roman"/>
          <w:sz w:val="24"/>
          <w:szCs w:val="24"/>
        </w:rPr>
      </w:pPr>
      <w:r>
        <w:rPr>
          <w:rFonts w:ascii="Times New Roman" w:hAnsi="Times New Roman"/>
          <w:sz w:val="24"/>
          <w:szCs w:val="24"/>
        </w:rPr>
        <w:t xml:space="preserve">Through an approach with  the </w:t>
      </w:r>
      <w:r>
        <w:rPr>
          <w:rFonts w:ascii="Times New Roman" w:hAnsi="Times New Roman"/>
          <w:i/>
          <w:iCs/>
          <w:sz w:val="24"/>
          <w:szCs w:val="24"/>
        </w:rPr>
        <w:t>Halaqoh</w:t>
      </w:r>
      <w:r>
        <w:rPr>
          <w:rFonts w:ascii="Times New Roman" w:hAnsi="Times New Roman"/>
          <w:sz w:val="24"/>
          <w:szCs w:val="24"/>
        </w:rPr>
        <w:t xml:space="preserve"> model, unbanked women not only get access to financing, but are also equipped with financial management, entrepreneurship, and social support skills from their groups. Thus making MWB a unique microfinance institution, because it not only focuses on the financial aspect, but also on women's social and spiritual empowerment. This study aims to analyze the model of women's economic empowerment through Micro Waqf Bank (MWB) with a focus on the application of </w:t>
      </w:r>
      <w:r w:rsidR="00F61DBC" w:rsidRPr="00F61DBC">
        <w:rPr>
          <w:rFonts w:ascii="Times New Roman" w:hAnsi="Times New Roman"/>
          <w:i/>
          <w:iCs/>
          <w:sz w:val="24"/>
          <w:szCs w:val="24"/>
        </w:rPr>
        <w:t>the halaqoh</w:t>
      </w:r>
      <w:r w:rsidR="00F61DBC" w:rsidRPr="00F61DBC">
        <w:rPr>
          <w:rFonts w:ascii="Times New Roman" w:hAnsi="Times New Roman"/>
          <w:sz w:val="24"/>
          <w:szCs w:val="24"/>
        </w:rPr>
        <w:t xml:space="preserve"> model  as a financial inclusion strategy for women who do not have bank accounts. By understanding the mechanism and results of this model, this study is expected to provide recommendations for the government and other microfinance institutions in developing more inclusive and sustainable women's empowerment programs. </w:t>
      </w:r>
    </w:p>
    <w:p w14:paraId="79767945" w14:textId="77777777" w:rsidR="00D24B00" w:rsidRPr="00D24B00" w:rsidRDefault="00D24B00" w:rsidP="008B3A0E">
      <w:pPr>
        <w:spacing w:after="0" w:line="240" w:lineRule="auto"/>
        <w:ind w:firstLine="720"/>
        <w:jc w:val="both"/>
        <w:rPr>
          <w:rFonts w:ascii="Times New Roman" w:hAnsi="Times New Roman" w:cs="Times New Roman"/>
          <w:sz w:val="24"/>
          <w:szCs w:val="24"/>
        </w:rPr>
      </w:pPr>
    </w:p>
    <w:p w14:paraId="3AA39A02" w14:textId="77777777" w:rsidR="00C16EFA" w:rsidRPr="004E16EB" w:rsidRDefault="00C611A5" w:rsidP="009858D2">
      <w:pPr>
        <w:pStyle w:val="ListParagraph"/>
        <w:numPr>
          <w:ilvl w:val="0"/>
          <w:numId w:val="1"/>
        </w:numPr>
        <w:spacing w:before="120" w:after="120" w:line="240" w:lineRule="auto"/>
        <w:ind w:left="357" w:hanging="357"/>
        <w:contextualSpacing w:val="0"/>
        <w:jc w:val="both"/>
        <w:rPr>
          <w:rFonts w:ascii="Times New Roman" w:hAnsi="Times New Roman" w:cs="Times New Roman"/>
          <w:b/>
          <w:sz w:val="24"/>
          <w:szCs w:val="24"/>
        </w:rPr>
      </w:pPr>
      <w:r w:rsidRPr="004E16EB">
        <w:rPr>
          <w:rFonts w:ascii="Times New Roman" w:hAnsi="Times New Roman" w:cs="Times New Roman"/>
          <w:b/>
          <w:sz w:val="24"/>
          <w:szCs w:val="24"/>
        </w:rPr>
        <w:t>Literature Review</w:t>
      </w:r>
    </w:p>
    <w:p w14:paraId="18662A5F" w14:textId="77777777" w:rsidR="00C16EFA" w:rsidRPr="004E16EB" w:rsidRDefault="00C611A5" w:rsidP="009858D2">
      <w:pPr>
        <w:pStyle w:val="ListParagraph"/>
        <w:numPr>
          <w:ilvl w:val="0"/>
          <w:numId w:val="2"/>
        </w:numPr>
        <w:spacing w:after="0" w:line="240" w:lineRule="auto"/>
        <w:ind w:left="426"/>
        <w:jc w:val="both"/>
        <w:rPr>
          <w:rFonts w:ascii="Times New Roman" w:hAnsi="Times New Roman" w:cs="Times New Roman"/>
          <w:b/>
          <w:sz w:val="24"/>
          <w:szCs w:val="24"/>
          <w:lang w:val="id-ID"/>
        </w:rPr>
      </w:pPr>
      <w:r w:rsidRPr="004E16EB">
        <w:rPr>
          <w:rFonts w:ascii="Times New Roman" w:hAnsi="Times New Roman" w:cs="Times New Roman"/>
          <w:b/>
          <w:i/>
          <w:iCs/>
          <w:sz w:val="24"/>
          <w:szCs w:val="24"/>
        </w:rPr>
        <w:t>Halaqoh</w:t>
      </w:r>
    </w:p>
    <w:p w14:paraId="227447DE" w14:textId="555E68D5" w:rsidR="00C16EFA" w:rsidRPr="004E16EB" w:rsidRDefault="00C611A5" w:rsidP="009858D2">
      <w:pPr>
        <w:spacing w:after="0" w:line="240" w:lineRule="auto"/>
        <w:ind w:firstLine="720"/>
        <w:jc w:val="both"/>
        <w:rPr>
          <w:rFonts w:ascii="Times New Roman" w:hAnsi="Times New Roman"/>
          <w:iCs/>
          <w:sz w:val="24"/>
          <w:szCs w:val="24"/>
        </w:rPr>
      </w:pPr>
      <w:r w:rsidRPr="004E16EB">
        <w:rPr>
          <w:rFonts w:ascii="Times New Roman" w:hAnsi="Times New Roman"/>
          <w:iCs/>
          <w:sz w:val="24"/>
          <w:szCs w:val="24"/>
          <w:shd w:val="clear" w:color="auto" w:fill="FFFFFF"/>
        </w:rPr>
        <w:t xml:space="preserve">In Islamic terminology, </w:t>
      </w:r>
      <w:r w:rsidRPr="004E16EB">
        <w:rPr>
          <w:rFonts w:ascii="Times New Roman" w:hAnsi="Times New Roman"/>
          <w:i/>
          <w:iCs/>
          <w:sz w:val="24"/>
          <w:szCs w:val="24"/>
          <w:shd w:val="clear" w:color="auto" w:fill="FFFFFF"/>
        </w:rPr>
        <w:t xml:space="preserve">halaqoh </w:t>
      </w:r>
      <w:r w:rsidRPr="004E16EB">
        <w:rPr>
          <w:rFonts w:ascii="Times New Roman" w:hAnsi="Times New Roman"/>
          <w:iCs/>
          <w:sz w:val="24"/>
          <w:szCs w:val="24"/>
          <w:shd w:val="clear" w:color="auto" w:fill="FFFFFF"/>
        </w:rPr>
        <w:t xml:space="preserve">refers to religious gatherings to study Islam and the Qur'an. </w:t>
      </w:r>
      <w:r w:rsidRPr="004E16EB">
        <w:rPr>
          <w:rFonts w:ascii="Times New Roman" w:hAnsi="Times New Roman"/>
          <w:i/>
          <w:sz w:val="24"/>
          <w:szCs w:val="24"/>
          <w:shd w:val="clear" w:color="auto" w:fill="FFFFFF"/>
        </w:rPr>
        <w:t xml:space="preserve">Halaqoh </w:t>
      </w:r>
      <w:r w:rsidRPr="004E16EB">
        <w:rPr>
          <w:rFonts w:ascii="Times New Roman" w:hAnsi="Times New Roman"/>
          <w:iCs/>
          <w:sz w:val="24"/>
          <w:szCs w:val="24"/>
          <w:shd w:val="clear" w:color="auto" w:fill="FFFFFF"/>
        </w:rPr>
        <w:t xml:space="preserve">means circle </w:t>
      </w:r>
      <w:r w:rsidRPr="004E16EB">
        <w:rPr>
          <w:rFonts w:ascii="Times New Roman" w:hAnsi="Times New Roman" w:cs="Times New Roman"/>
          <w:sz w:val="24"/>
          <w:szCs w:val="24"/>
        </w:rPr>
        <w:fldChar w:fldCharType="begin" w:fldLock="1"/>
      </w:r>
      <w:r w:rsidR="00801B7E">
        <w:rPr>
          <w:rFonts w:ascii="Times New Roman" w:hAnsi="Times New Roman" w:cs="Times New Roman"/>
          <w:sz w:val="24"/>
          <w:szCs w:val="24"/>
        </w:rPr>
        <w:instrText>ADDIN CSL_CITATION {"citationItems":[{"id":"ITEM-1","itemData":{"DOI":"10.4108/EAI.14-9-2020.2305680","abstract":"Halaqah, a teaching and learning process takaplace between by students a teacher in the teacher is thetranslator,. It is started by Minangkabau women in traditional Madrasas after independence. The purpose of this paper is to analyze social phenomena related to women …","author":[{"dropping-particle":"","family":"Erman","given":"Erman","non-dropping-particle":"","parse-names":false,"suffix":""},{"dropping-particle":"","family":"Hakim","given":"Lukmanul","non-dropping-particle":"","parse-names":false,"suffix":""},{"dropping-particle":"","family":"Meria","given":"Aziza","non-dropping-particle":"","parse-names":false,"suffix":""},{"dropping-particle":"","family":"Chaniago","given":"Danil","non-dropping-particle":"","parse-names":false,"suffix":""},{"dropping-particle":"","family":"Asril","given":"Asril","non-dropping-particle":"","parse-names":false,"suffix":""}],"container-title":"Proceedings of the 2nd EAI Bukittinggi International Conference on Education, BICED 2020","id":"ITEM-1","issued":{"date-parts":[["2021","4"]]},"page":"14-15","publisher":"European Alliance for Innovation n.o.","title":"Women and Halaqah “the Yellow Book” in Minangkabau in Post Indonesia Freedoom","type":"paper-conference"},"uris":["http://www.mendeley.com/documents/?uuid=af4e2853-b6d1-353d-a35f-08abc42a5c26","http://www.mendeley.com/documents/?uuid=098cc44d-3d15-4509-8652-79bd8e4cb104"]}],"mendeley":{"formattedCitation":"(Erman et al., 2021)","manualFormatting":"(Erman et al., 2021)","plainTextFormattedCitation":"(Erman et al., 2021)","previouslyFormattedCitation":"(Erman et al., 2021)"},"properties":{"noteIndex":0},"schema":"https://github.com/citation-style-language/schema/raw/master/csl-citation.json"}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(Erman et al., 2021)</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while </w:t>
      </w:r>
      <w:r w:rsidRPr="004E16EB">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{"citationItems":[{"id":"ITEM-1","itemData":{"author":[{"dropping-particle":"","family":"Latief","given":"Hilman","non-dropping-particle":"","parse-names":false,"suffix":""}],"container-title":"Kultur: the Indonesian Journal for Muslim Cultur","id":"ITEM-1","issued":{"date-parts":[["2010"]]},"page":"63-88","title":"Youth, Mosques, and Islamic Activism: Islamic Source Books in University-based Halaqah","type":"article-journal","volume":"5"},"uris":["http://www.mendeley.com/documents/?uuid=c9e8f9f0-077a-3b07-8203-5f0400f008df","http://www.mendeley.com/documents/?uuid=ea0fffa0-ce6c-478d-83d0-b3d2c36ce30b"]}],"mendeley":{"formattedCitation":"(Latief, 2010)","plainTextFormattedCitation":"(Latief, 2010)","previouslyFormattedCitation":"(Latief, 2010)"},"properties":{"noteIndex":0},"schema":"https://github.com/citation-style-language/schema/raw/master/csl-citation.json"}</w:instrText>
      </w:r>
      <w:r w:rsidRPr="004E16EB">
        <w:rPr>
          <w:rFonts w:ascii="Times New Roman" w:hAnsi="Times New Roman" w:cs="Times New Roman"/>
          <w:sz w:val="24"/>
          <w:szCs w:val="24"/>
        </w:rPr>
        <w:fldChar w:fldCharType="separate"/>
      </w:r>
      <w:r w:rsidR="00573487" w:rsidRPr="00573487">
        <w:rPr>
          <w:rFonts w:ascii="Times New Roman" w:hAnsi="Times New Roman" w:cs="Times New Roman"/>
          <w:noProof/>
          <w:sz w:val="24"/>
          <w:szCs w:val="24"/>
        </w:rPr>
        <w:t>(Latief, 2010)</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states that it can be translated as 'circle of knowledge' or 'learning community'. It implies an association of two or more people who discuss Islamic science </w:t>
      </w:r>
      <w:r w:rsidRPr="004E16EB">
        <w:rPr>
          <w:rFonts w:ascii="Times New Roman" w:hAnsi="Times New Roman" w:cs="Times New Roman"/>
          <w:sz w:val="24"/>
          <w:szCs w:val="24"/>
          <w:shd w:val="clear" w:color="auto" w:fill="FFFFFF"/>
        </w:rPr>
        <w:fldChar w:fldCharType="begin" w:fldLock="1"/>
      </w:r>
      <w:r w:rsidR="004F1CC0">
        <w:rPr>
          <w:rFonts w:ascii="Times New Roman" w:hAnsi="Times New Roman" w:cs="Times New Roman"/>
          <w:sz w:val="24"/>
          <w:szCs w:val="24"/>
          <w:shd w:val="clear" w:color="auto" w:fill="FFFFFF"/>
        </w:rPr>
        <w:instrText>ADDIN CSL_CITATION {"citationItems":[{"id":"ITEM-1","itemData":{"DOI":"10.46245/IJORER.V2I2.94","ISBN":"2021:224236","ISSN":"2721-7965","abstract":"The fundamental question of the research is how the learning strategies are developed in pesantren. follow the development of modern learning strategies or survive with his salafiah learning system. This research uses a case study. and research tends to be explanatory. Collecting data through observation, interviews and documentation. The data is taken in general, then sorted, selected, selected and reduced only in relation to the problems of this research. To maintain the validity of the data, there were three things done, namely extending the stay and interacting with respondents; make observations seriously and diligently; and tested by triangulation adopting the interactive model from Miles and Huberman. The findings from the data obtained are compiled by categories and themes, analyzed inductively conceptually and then made narrative explanations so that they are arranged into certain propositions and developed into new theories based on data analysis and narrative theoretical interpretation. The results of this research is that pesantren develop all types of learning strategies, namely direct learning strategies, learning indirect strategies, interactive learning strategies, empirical learning strategies and active learning strategies. This fact is reasonable because the education and learning process in pesantren is 24 hours. These findings indicate that pesantren accept all developments while maintaining their characteristics, so that the findings of this study lead to a theory of pesantren flexibility while maintaining their identity. The findings of this study can be continued in research on learning in certain pesantren, because it can be different from a pesantren compared to other pesantren.","author":[{"dropping-particle":"","family":"Mustakim","given":"Muh","non-dropping-particle":"","parse-names":false,"suffix":""}],"container-title":"IJORER : International Journal of Recent Educational Research","id":"ITEM-1","issue":"2","issued":{"date-parts":[["2021","3"]]},"page":"224-236","publisher":"Indonesia Approach Education","title":"The Development of Learning Strategies in Pesantren Studies on the Transformation of the Teaching System in Pesantren","type":"article-journal","volume":"2"},"uris":["http://www.mendeley.com/documents/?uuid=e36c7890-cf25-3dd5-b0ff-70389a03f694","http://www.mendeley.com/documents/?uuid=4505e9f1-6e85-496b-94cb-a9cd38c0dc75"]}],"mendeley":{"formattedCitation":"(Mustakim, 2021)","plainTextFormattedCitation":"(Mustakim, 2021)","previouslyFormattedCitation":"(Mustakim, 2021)"},"properties":{"noteIndex":0},"schema":"https://github.com/citation-style-language/schema/raw/master/csl-citation.json"}</w:instrText>
      </w:r>
      <w:r w:rsidRPr="004E16EB">
        <w:rPr>
          <w:rFonts w:ascii="Times New Roman" w:hAnsi="Times New Roman" w:cs="Times New Roman"/>
          <w:sz w:val="24"/>
          <w:szCs w:val="24"/>
          <w:shd w:val="clear" w:color="auto" w:fill="FFFFFF"/>
        </w:rPr>
        <w:fldChar w:fldCharType="separate"/>
      </w:r>
      <w:r w:rsidRPr="004E16EB">
        <w:rPr>
          <w:rFonts w:ascii="Times New Roman" w:hAnsi="Times New Roman" w:cs="Times New Roman"/>
          <w:noProof/>
          <w:sz w:val="24"/>
          <w:szCs w:val="24"/>
          <w:shd w:val="clear" w:color="auto" w:fill="FFFFFF"/>
        </w:rPr>
        <w:t>(Mustakim, 2021)</w:t>
      </w:r>
      <w:r w:rsidRPr="004E16EB">
        <w:rPr>
          <w:rFonts w:ascii="Times New Roman" w:hAnsi="Times New Roman" w:cs="Times New Roman"/>
          <w:sz w:val="24"/>
          <w:szCs w:val="24"/>
          <w:shd w:val="clear" w:color="auto" w:fill="FFFFFF"/>
        </w:rPr>
        <w:fldChar w:fldCharType="end"/>
      </w:r>
      <w:r w:rsidRPr="004E16EB">
        <w:rPr>
          <w:rFonts w:ascii="Times New Roman" w:hAnsi="Times New Roman" w:cs="Times New Roman"/>
          <w:sz w:val="24"/>
          <w:szCs w:val="24"/>
          <w:shd w:val="clear" w:color="auto" w:fill="FFFFFF"/>
        </w:rPr>
        <w:t xml:space="preserve">. </w:t>
      </w:r>
      <w:r w:rsidRPr="004E16EB">
        <w:rPr>
          <w:rFonts w:ascii="Times New Roman" w:hAnsi="Times New Roman"/>
          <w:sz w:val="24"/>
          <w:szCs w:val="24"/>
          <w:shd w:val="clear" w:color="auto" w:fill="FFFFFF"/>
        </w:rPr>
        <w:t xml:space="preserve">At </w:t>
      </w:r>
      <w:r w:rsidRPr="004E16EB">
        <w:rPr>
          <w:rFonts w:ascii="Times New Roman" w:hAnsi="Times New Roman"/>
          <w:i/>
          <w:iCs/>
          <w:sz w:val="24"/>
          <w:szCs w:val="24"/>
          <w:shd w:val="clear" w:color="auto" w:fill="FFFFFF"/>
        </w:rPr>
        <w:t>halaqoh</w:t>
      </w:r>
      <w:r w:rsidRPr="004E16EB">
        <w:rPr>
          <w:rFonts w:ascii="Times New Roman" w:hAnsi="Times New Roman"/>
          <w:sz w:val="24"/>
          <w:szCs w:val="24"/>
          <w:shd w:val="clear" w:color="auto" w:fill="FFFFFF"/>
        </w:rPr>
        <w:t xml:space="preserve">, the congregation sits in a circle facing each other when communicating. </w:t>
      </w:r>
      <w:r w:rsidRPr="004E16EB">
        <w:rPr>
          <w:rFonts w:ascii="Times New Roman" w:hAnsi="Times New Roman"/>
          <w:i/>
          <w:iCs/>
          <w:sz w:val="24"/>
          <w:szCs w:val="24"/>
          <w:shd w:val="clear" w:color="auto" w:fill="FFFFFF"/>
        </w:rPr>
        <w:t xml:space="preserve">Halaqoh </w:t>
      </w:r>
      <w:r w:rsidRPr="004E16EB">
        <w:rPr>
          <w:rFonts w:ascii="Times New Roman" w:hAnsi="Times New Roman"/>
          <w:sz w:val="24"/>
          <w:szCs w:val="24"/>
          <w:shd w:val="clear" w:color="auto" w:fill="FFFFFF"/>
        </w:rPr>
        <w:t xml:space="preserve">means gathering in circles, where </w:t>
      </w:r>
      <w:r w:rsidRPr="004E16EB">
        <w:rPr>
          <w:rFonts w:ascii="Times New Roman" w:hAnsi="Times New Roman"/>
          <w:sz w:val="24"/>
          <w:szCs w:val="24"/>
          <w:shd w:val="clear" w:color="auto" w:fill="FFFFFF"/>
        </w:rPr>
        <w:lastRenderedPageBreak/>
        <w:t xml:space="preserve">people come and sit down to learn about Islam </w:t>
      </w:r>
      <w:r w:rsidRPr="004E16EB">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{"citationItems":[{"id":"ITEM-1","itemData":{"DOI":"10.1016/J.SBSPRO.2013.08.450","ISSN":"1877-0428","abstract":"This study is to examine role of family communication in Muslim community in southern Thailand in making a culture of peace. Specifically, the objectives are (1) to examine the significance and the role of family communication in the conflict area of southern Thailand; (2) to analyze what type of issues Muslim parents in the area communicate with their children and family members; (3) to examine communication patterns in Muslim families to build a culture of peace; and (4) to analyze how family communication can prevent children from getting involved in violence acts. It is based on interviews with members of families in the southernmost provinces in both Thai language and Melayu dialect. Purposive sampling is used to select the samples of key informants. They are members of seven families; a private Islamic school administrator, an Islamic teacher, a religious leader, a community leader, a government official, a former local politician, and a villager. The findings reveal that selected families improve good lines of communication in family by (1) creating time for talking through meal times, halaqah, a gathering in a circle where people sit and come to learn about Islam and Islamic ways, and family activity; (2) being an active listener, the most important skills for parents to get along with children and to improve positive relationships, (3) paying attention to non-verbal messages to get through children feelings and needs, and (4) greeting any members with the Islamic greeting; “Assalamu Alaikum Wa Rahmatullah”, peace and God's mercy be upon you. Most selected parents talk with their children about daily experiences, what is oing on, and personal problems to share and to guide children in accordance with real teachings of Islam and Islamic principles. This is the most proper way to build peace environment in family. Effective family communication is an essential factor in guiding children toward proper Islamic principles and avoiding being susceptible to movement in the on-going conflict in the south.","author":[{"dropping-particle":"","family":"Benharoon","given":"Sakiroh Yaena","non-dropping-particle":"","parse-names":false,"suffix":""}],"container-title":"Procedia - Social and Behavioral Sciences","id":"ITEM-1","issued":{"date-parts":[["2013","10"]]},"page":"522-531","publisher":"Elsevier","title":"Building a Culture of Peace in Muslim Community in Southern Thailand through Family Communication","type":"article-journal","volume":"91"},"uris":["http://www.mendeley.com/documents/?uuid=eea82bcc-70af-3b34-9ded-391c5ac11e57","http://www.mendeley.com/documents/?uuid=3480ca5c-0c7f-46da-9571-e9486e0bed18"]}],"mendeley":{"formattedCitation":"(Benharoon, 2013)","plainTextFormattedCitation":"(Benharoon, 2013)","previouslyFormattedCitation":"(Benharoon, 2013)"},"properties":{"noteIndex":0},"schema":"https://github.com/citation-style-language/schema/raw/master/csl-citation.json"}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(Benharoon, 2013)</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Therefore, it is a means for education in small groups consisting of </w:t>
      </w:r>
      <w:r w:rsidRPr="004E16EB">
        <w:rPr>
          <w:rFonts w:ascii="Times New Roman" w:hAnsi="Times New Roman"/>
          <w:i/>
          <w:iCs/>
          <w:sz w:val="24"/>
          <w:szCs w:val="24"/>
        </w:rPr>
        <w:t xml:space="preserve">Murabbi </w:t>
      </w:r>
      <w:r w:rsidRPr="004E16EB">
        <w:rPr>
          <w:rFonts w:ascii="Times New Roman" w:hAnsi="Times New Roman"/>
          <w:sz w:val="24"/>
          <w:szCs w:val="24"/>
        </w:rPr>
        <w:t xml:space="preserve">(coach) and some </w:t>
      </w:r>
      <w:r w:rsidRPr="004E16EB">
        <w:rPr>
          <w:rFonts w:ascii="Times New Roman" w:hAnsi="Times New Roman"/>
          <w:i/>
          <w:iCs/>
          <w:sz w:val="24"/>
          <w:szCs w:val="24"/>
        </w:rPr>
        <w:t xml:space="preserve">mutarabbis </w:t>
      </w:r>
      <w:r w:rsidRPr="004E16EB">
        <w:rPr>
          <w:rFonts w:ascii="Times New Roman" w:hAnsi="Times New Roman"/>
          <w:sz w:val="24"/>
          <w:szCs w:val="24"/>
        </w:rPr>
        <w:t xml:space="preserve">(guided students). The process uses clear methods and is regulated through educational facilities </w:t>
      </w:r>
      <w:r w:rsidRPr="004E16EB">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{"citationItems":[{"id":"ITEM-1","itemData":{"DOI":"10.24952/tazkir.v6i2.1315","abstract":"The halaqah method is still used by Muslims Society today, especially when studying in mosques and the learning system during the tàaruf period in Islamic Universities. Meanwhile munazarah, which has begun to be abandoned, has returned to appear in the debate system of presidential election, although not entirely the same. This paper uses historical and philosophical methods. Both of these methods are relevant to the problem. Halaqah and munazarah are well-established and attractive education systems. Halaqah as a learning system is seen from the seated position of the teacher and students who mingle, while munazarah is a stage for a sportive intelectual selection. Halaqah in the classical education system is no longer used today, but the learning system in S2 and S3 is precisely what is used. Munazarah needs to be activated now to test one.","author":[{"dropping-particle":"","family":"Yamin","given":"Asmar","non-dropping-particle":"","parse-names":false,"suffix":""},{"dropping-particle":"","family":"Dalimunthe","given":"","non-dropping-particle":"","parse-names":false,"suffix":""}],"container-title":"194.31.53.129","id":"ITEM-1","issue":"2","issued":{"date-parts":[["2020"]]},"page":"249-343","title":"Classic Islamic Education Heritage in Halaqah and Munazharah","type":"article-journal","volume":"6"},"uris":["http://www.mendeley.com/documents/?uuid=a0482a42-fbf9-35bb-97be-849538f4a251","http://www.mendeley.com/documents/?uuid=9625a29f-d584-416f-8320-aad701f4420a"]}],"mendeley":{"formattedCitation":"(Yamin &amp; Dalimunthe, 2020)","plainTextFormattedCitation":"(Yamin &amp; Dalimunthe, 2020)","previouslyFormattedCitation":"(Yamin &amp; Dalimunthe, 2020)"},"properties":{"noteIndex":0},"schema":"https://github.com/citation-style-language/schema/raw/master/csl-citation.json"}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(Yamin &amp; Dalimunthe, 2020)</w:t>
      </w:r>
      <w:r w:rsidRPr="004E16EB">
        <w:rPr>
          <w:rFonts w:ascii="Times New Roman" w:hAnsi="Times New Roman" w:cs="Times New Roman"/>
          <w:sz w:val="24"/>
          <w:szCs w:val="24"/>
        </w:rPr>
        <w:fldChar w:fldCharType="end"/>
      </w:r>
      <w:r w:rsidRPr="004E16EB">
        <w:rPr>
          <w:rFonts w:ascii="Times New Roman" w:hAnsi="Times New Roman" w:cs="Times New Roman"/>
          <w:i/>
          <w:iCs/>
          <w:sz w:val="24"/>
          <w:szCs w:val="24"/>
        </w:rPr>
        <w:t xml:space="preserve">. </w:t>
      </w:r>
      <w:r w:rsidRPr="004E16EB">
        <w:rPr>
          <w:rFonts w:ascii="Times New Roman" w:hAnsi="Times New Roman"/>
          <w:i/>
          <w:sz w:val="24"/>
          <w:szCs w:val="24"/>
        </w:rPr>
        <w:t xml:space="preserve">Halaqoh </w:t>
      </w:r>
      <w:r w:rsidRPr="004E16EB">
        <w:rPr>
          <w:rFonts w:ascii="Times New Roman" w:hAnsi="Times New Roman"/>
          <w:iCs/>
          <w:sz w:val="24"/>
          <w:szCs w:val="24"/>
        </w:rPr>
        <w:t xml:space="preserve">It is popularly used for religious activities held in groups in mosques or prayer rooms. In the Al-Haram Mosque, in Makkah and Medina, every day is always filled with </w:t>
      </w:r>
      <w:r w:rsidRPr="004E16EB">
        <w:rPr>
          <w:rFonts w:ascii="Times New Roman" w:hAnsi="Times New Roman"/>
          <w:i/>
          <w:sz w:val="24"/>
          <w:szCs w:val="24"/>
        </w:rPr>
        <w:t xml:space="preserve">halaqoh </w:t>
      </w:r>
      <w:r w:rsidRPr="004E16EB">
        <w:rPr>
          <w:rFonts w:ascii="Times New Roman" w:hAnsi="Times New Roman"/>
          <w:iCs/>
          <w:sz w:val="24"/>
          <w:szCs w:val="24"/>
        </w:rPr>
        <w:t xml:space="preserve">Guided by </w:t>
      </w:r>
      <w:r w:rsidRPr="004E16EB">
        <w:rPr>
          <w:rFonts w:ascii="Times New Roman" w:hAnsi="Times New Roman"/>
          <w:i/>
          <w:sz w:val="24"/>
          <w:szCs w:val="24"/>
        </w:rPr>
        <w:t>Masyaikh</w:t>
      </w:r>
      <w:r w:rsidRPr="004E16EB">
        <w:rPr>
          <w:rFonts w:ascii="Times New Roman" w:hAnsi="Times New Roman"/>
          <w:iCs/>
          <w:sz w:val="24"/>
          <w:szCs w:val="24"/>
        </w:rPr>
        <w:t>.</w:t>
      </w:r>
    </w:p>
    <w:p w14:paraId="310B5D98" w14:textId="7D5A6892" w:rsidR="00C16EFA" w:rsidRPr="004E16EB" w:rsidRDefault="00C611A5" w:rsidP="009858D2">
      <w:pPr>
        <w:spacing w:after="120" w:line="240" w:lineRule="auto"/>
        <w:ind w:firstLine="720"/>
        <w:jc w:val="both"/>
        <w:rPr>
          <w:rFonts w:ascii="Times New Roman" w:hAnsi="Times New Roman" w:cs="Times New Roman"/>
          <w:sz w:val="24"/>
          <w:szCs w:val="24"/>
          <w:lang w:val="id-ID"/>
        </w:rPr>
      </w:pPr>
      <w:r w:rsidRPr="004E16EB">
        <w:rPr>
          <w:rFonts w:ascii="Times New Roman" w:hAnsi="Times New Roman"/>
          <w:iCs/>
          <w:sz w:val="24"/>
          <w:szCs w:val="24"/>
        </w:rPr>
        <w:t xml:space="preserve">Muslims still use </w:t>
      </w:r>
      <w:r w:rsidRPr="004E16EB">
        <w:rPr>
          <w:rFonts w:ascii="Times New Roman" w:hAnsi="Times New Roman"/>
          <w:i/>
          <w:sz w:val="24"/>
          <w:szCs w:val="24"/>
        </w:rPr>
        <w:t xml:space="preserve">halaqoh </w:t>
      </w:r>
      <w:r w:rsidRPr="004E16EB">
        <w:rPr>
          <w:rFonts w:ascii="Times New Roman" w:hAnsi="Times New Roman"/>
          <w:iCs/>
          <w:sz w:val="24"/>
          <w:szCs w:val="24"/>
        </w:rPr>
        <w:t xml:space="preserve">method anywhere, such as at home or in the garden. In this system, the speaker sits in the middle of the forum with other members to their left and right </w:t>
      </w:r>
      <w:r w:rsidRPr="004E16EB">
        <w:rPr>
          <w:rFonts w:ascii="Times New Roman" w:hAnsi="Times New Roman" w:cs="Times New Roman"/>
          <w:sz w:val="24"/>
          <w:szCs w:val="24"/>
        </w:rPr>
        <w:fldChar w:fldCharType="begin" w:fldLock="1"/>
      </w:r>
      <w:r w:rsidR="00801B7E">
        <w:rPr>
          <w:rFonts w:ascii="Times New Roman" w:hAnsi="Times New Roman" w:cs="Times New Roman"/>
          <w:sz w:val="24"/>
          <w:szCs w:val="24"/>
        </w:rPr>
        <w:instrText>ADDIN CSL_CITATION {"citationItems":[{"id":"ITEM-1","itemData":{"DOI":"10.15642/JIIS.2019.13.2.267-296","ISSN":"2355-6994","abstract":"Bani ‘Alawiyyin is Arabian Muslims community scattering around the world. Their diaspora is due to many factors and motivations: religion (mission), economy, politic, culture, and so on. They are well-known as a community who hold tenacious principle in disseminating Islamic teaching based on the principle of rahmatan lil ‘ālamīn (blessing to universe). This article endeavors to cast light upon social-religious activities that have been practiced by Bani ‘Alawiyyi&gt;n prioritizing the courtesy aspects of all mankind. This article is also aiming at presenting data findings which can explain that Bani ‘Alawiyyi&gt;n had truly proselytized non-radical mission among people in Southeast Asia: Indonesia, Singapore, and Malaysia. This article also elucidates the role of Bani ‘Alawiyyi&gt;n especially in the form of institutional organization in transmitting Islamic doctrine in a peaceful mission. The finding shows that many organization are used by Bani ‘Alawiyyi&gt;n to spread Islamic teaching in different countries that lead to the success of their mission by determining local and indigenous factors.","author":[{"dropping-particle":"","family":"Suparto","given":"","non-dropping-particle":"","parse-names":false,"suffix":""},{"dropping-particle":"","family":"Halid","given":"","non-dropping-particle":"","parse-names":false,"suffix":""},{"dropping-particle":"","family":"Mamat","given":"Samsul Adabi","non-dropping-particle":"Bin","parse-names":false,"suffix":""}],"container-title":"JOURNAL OF INDONESIAN ISLAM","id":"ITEM-1","issue":"2","issued":{"date-parts":[["2019","12"]]},"page":"267-296","publisher":"State Islamic University of Sunan Ampel","title":"BANI ALAWIYYIN IN INDONESIA AND THE MALAY WORLD: Network, Development and the Role of Institution in Transmitting the Peaceful Mission of Islam","type":"article-journal","volume":"13"},"uris":["http://www.mendeley.com/documents/?uuid=501450d3-3965-31fe-8170-7e376fe6498d","http://www.mendeley.com/documents/?uuid=8252e946-2043-4a6e-9f31-241dd1da611d"]}],"mendeley":{"formattedCitation":"(Suparto et al., 2019)","manualFormatting":"(Suparto et al., 2019)","plainTextFormattedCitation":"(Suparto et al., 2019)","previouslyFormattedCitation":"(Suparto et al., 2019)"},"properties":{"noteIndex":0},"schema":"https://github.com/citation-style-language/schema/raw/master/csl-citation.json"}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(Suparto et al., 2019)</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This forum format is the most common method used by Islamic boarding schools. It has been implemented in the archipelago since the entry of Islam and is categorized as a traditional learning system. The </w:t>
      </w:r>
      <w:r w:rsidRPr="004E16EB">
        <w:rPr>
          <w:rFonts w:ascii="Times New Roman" w:hAnsi="Times New Roman"/>
          <w:i/>
          <w:iCs/>
          <w:sz w:val="24"/>
          <w:szCs w:val="24"/>
        </w:rPr>
        <w:t xml:space="preserve">halaqoh </w:t>
      </w:r>
      <w:r w:rsidRPr="004E16EB">
        <w:rPr>
          <w:rFonts w:ascii="Times New Roman" w:hAnsi="Times New Roman"/>
          <w:sz w:val="24"/>
          <w:szCs w:val="24"/>
        </w:rPr>
        <w:t xml:space="preserve">The learning system is interactive under the guidance of a teacher </w:t>
      </w:r>
      <w:r w:rsidRPr="004E16EB">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{"citationItems":[{"id":"ITEM-1","itemData":{"DOI":"10.2991/ICCD-19.2019.90","abstract":"The objective of this study was to look at the transformation process of school and pesantren in Indonesia, which are initially different, then transformed into one, namely Pesantren-based school. This research is a qualitative-descriptive using a case study in Pesantren Ibnu Abbas Klaten. The results showed an antithesis of Karel A. Steenbrink's coherence theory that pesantren should be transformed into madrasah and then schools so that they continue to be attractive to the public. On the contrary, this research strengthened the theory of non-destructive change, which integrates the system of school education institutions and pesantren without having to damage and lose the pesantren system. The results of the study also negated the theory of pesantren enrollment at the end of the twentieth century where pesantren accepted anyone who wanted to enter to study and \"nyantri\" as stated by Mastuhu, precisely SBP Ibn Abbas is \"forced\" to select candidates for santri because of limited resources and efforts to maintain the best quality and education services. This study confirmed the transformation of pesantren, especially in post-reform in Indonesia, it tends to be more open, develop models of schools without losing their identity in the form of boarding schools. This transformation takes the form of a paradigm shift, administrative modernization, and a shura-participatory leadership-based model. This research showed that a new \"transformative-indigenous\" theory which is open, changes to adjust the needs of the period without leaving the identity of the pesantren.","author":[{"dropping-particle":"","family":"Mustakim","given":"Muh","non-dropping-particle":"","parse-names":false,"suffix":""}],"id":"ITEM-1","issued":{"date-parts":[["2019","11"]]},"publisher":"Atlantis Press","title":"School and Pesantren: Study of Institutional Transformation of Islamic Education in Pesantren-based Schools (SBP) Ibnu Abbas Klaten Indonesia","type":"article-journal"},"uris":["http://www.mendeley.com/documents/?uuid=b74a8d70-e893-3b20-b930-41e7f7ea6fbb","http://www.mendeley.com/documents/?uuid=d4e9ae44-8bdd-45c9-aed3-c41fb291ee3d"]}],"mendeley":{"formattedCitation":"(Mustakim, 2019)","plainTextFormattedCitation":"(Mustakim, 2019)","previouslyFormattedCitation":"(Mustakim, 2019)"},"properties":{"noteIndex":0},"schema":"https://github.com/citation-style-language/schema/raw/master/csl-citation.json"}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(Mustakim, 2019)</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008F2369">
        <w:rPr>
          <w:rFonts w:ascii="Times New Roman" w:hAnsi="Times New Roman" w:cs="Times New Roman"/>
          <w:sz w:val="24"/>
          <w:szCs w:val="24"/>
          <w:shd w:val="clear" w:color="auto" w:fill="FFFFFF"/>
        </w:rPr>
        <w:t xml:space="preserve">Halaqah is a place where they will discuss religion and do self-reflection </w:t>
      </w:r>
      <w:r w:rsidR="008F2369">
        <w:rPr>
          <w:rFonts w:ascii="Times New Roman" w:hAnsi="Times New Roman" w:cs="Times New Roman"/>
          <w:sz w:val="24"/>
          <w:szCs w:val="24"/>
          <w:shd w:val="clear" w:color="auto" w:fill="FFFFFF"/>
        </w:rPr>
        <w:fldChar w:fldCharType="begin" w:fldLock="1"/>
      </w:r>
      <w:r w:rsidR="00801B7E">
        <w:rPr>
          <w:rFonts w:ascii="Times New Roman" w:hAnsi="Times New Roman" w:cs="Times New Roman"/>
          <w:sz w:val="24"/>
          <w:szCs w:val="24"/>
          <w:shd w:val="clear" w:color="auto" w:fill="FFFFFF"/>
        </w:rPr>
        <w:instrText>ADDIN CSL_CITATION {"citationItems":[{"id":"ITEM-1","itemData":{"DOI":"10.14198/jhse.2020.15.Proc2.32","ISSN":"19885202","abstract":"This study is entitled An Exploration of IQ, EQ and Spiritual Quotient (SQ) Elements in the Human Re-Engineering Program (HRP) Practices: A Study on the Drug Rehabilitation Centre in Malaysia. This study involved four drug rehabilitation centres in Northern Malaysia which are Perak, Penang, Kedah and Perlis. However, the rehabilitation centres involved in this study came from three different states only which are Cure and Care rehabilitation centre (CCRC) Kampung Selamat, Penang, Klinik Cure &amp; Care 1 Malaysia, Bukit Mertajam, Penang, Cure &amp; Care rehabilitation centre (CCRC) Batu Kurau, Perak and Cure &amp; Care Rehabilitation Centre (CCRC) Bukit Chabang, Perlis. This study using Qualitative Method and Exploratory Research. Therefore, to explore the phenomenon an in-depth interview has been conducted with one officer of the CCRC and at least 3 patients of the CCRC. In total, 17 respondents had been interviewed for this research. All the respondents are male. Results of the study showed that approximately only 30% of the patients recover. However, this figure is still doubtful due to no exact statistic revealed. The reasons why they are failed to sustain themselves after being freed from the CCRC due to peer's factor (40%), low of self-confidence (30%) and weak of religious practice (30%). Family support is one of the main factors contributed to their recovering process as 90% of the respondents admitted that. Majority of the patients admitted that peers' factor is the main reason they involved with the drug abuse (50%) besides self-exploration (30%) and other factors (20%). In order to rebuild the self-confidence, rehabilitation centre used multi programs such as religious activity, peer's guidance or group maker (Pembimbing Rakan Sebaya (PRS), and therapy community. This study also revealed that 3 out of 4 rehabilitation centres used more than 50% of SQ program in their healing process, 20-25% on EQ activities and IQ activities. Amongst favourite SQ activities are Iqra' class, which is learning how to read the Quran, and Halaqah is where they will discuss about religion and do some self-reflection. Family support and religious commitment and practices are the main contributor to patient's recovery survival after they are freed. As a conclusion, healing process in the rehabilitation centre highly influenced with Spiritual Quotient programs besides others. This shows that internal strength gained via religious commitment and attachment besides continuous prac…","author":[{"dropping-particle":"","family":"Arshad","given":"Mohd Anuar","non-dropping-particle":"","parse-names":false,"suffix":""},{"dropping-particle":"","family":"Shabbir","given":"Muhammad Salman","non-dropping-particle":"","parse-names":false,"suffix":""},{"dropping-particle":"","family":"Mahmood","given":"Arshad","non-dropping-particle":"","parse-names":false,"suffix":""},{"dropping-particle":"","family":"Khan","given":"Shahid","non-dropping-particle":"","parse-names":false,"suffix":""},{"dropping-particle":"","family":"Sulaiman","given":"Mohammed Ali Bait Ali","non-dropping-particle":"","parse-names":false,"suffix":""}],"container-title":"Journal of Human Sport and Exercise","id":"ITEM-1","issue":"Proc2","issued":{"date-parts":[["2020","1"]]},"page":"S417 - S428","publisher":"University of Alicante","title":"An exploration of IQ, EQ, spiritual quotient (SQ) elements in the human reengineering program (HRP) practices: A study on the drug rehabilitation centre in Malaysia","type":"article-journal","volume":"15"},"uris":["http://www.mendeley.com/documents/?uuid=05bae908-1b77-3684-8388-14dacdb4486a","http://www.mendeley.com/documents/?uuid=5254407f-5c34-4202-978e-6f36e000fbb1"]}],"mendeley":{"formattedCitation":"(Arshad et al., 2020)","manualFormatting":"(Arshad et al., 2020)","plainTextFormattedCitation":"(Arshad et al., 2020)","previouslyFormattedCitation":"(Arshad et al., 2020)"},"properties":{"noteIndex":0},"schema":"https://github.com/citation-style-language/schema/raw/master/csl-citation.json"}</w:instrText>
      </w:r>
      <w:r w:rsidR="008F2369">
        <w:rPr>
          <w:rFonts w:ascii="Times New Roman" w:hAnsi="Times New Roman" w:cs="Times New Roman"/>
          <w:sz w:val="24"/>
          <w:szCs w:val="24"/>
          <w:shd w:val="clear" w:color="auto" w:fill="FFFFFF"/>
        </w:rPr>
        <w:fldChar w:fldCharType="separate"/>
      </w:r>
      <w:r w:rsidR="008F2369" w:rsidRPr="008F2369">
        <w:rPr>
          <w:rFonts w:ascii="Times New Roman" w:hAnsi="Times New Roman" w:cs="Times New Roman"/>
          <w:noProof/>
          <w:sz w:val="24"/>
          <w:szCs w:val="24"/>
          <w:shd w:val="clear" w:color="auto" w:fill="FFFFFF"/>
        </w:rPr>
        <w:t>(Arshad et al., 2020)</w:t>
      </w:r>
      <w:r w:rsidR="008F2369">
        <w:rPr>
          <w:rFonts w:ascii="Times New Roman" w:hAnsi="Times New Roman" w:cs="Times New Roman"/>
          <w:sz w:val="24"/>
          <w:szCs w:val="24"/>
          <w:shd w:val="clear" w:color="auto" w:fill="FFFFFF"/>
        </w:rPr>
        <w:fldChar w:fldCharType="end"/>
      </w:r>
      <w:r w:rsidR="008F2369">
        <w:rPr>
          <w:rFonts w:ascii="Arial" w:hAnsi="Arial"/>
          <w:noProof/>
          <w:color w:val="2E2E2E"/>
        </w:rPr>
        <w:t xml:space="preserve">. </w:t>
      </w:r>
      <w:r w:rsidR="00D24B00">
        <w:rPr>
          <w:rFonts w:ascii="Times New Roman" w:hAnsi="Times New Roman"/>
          <w:i/>
          <w:iCs/>
          <w:sz w:val="24"/>
          <w:szCs w:val="24"/>
          <w:shd w:val="clear" w:color="auto" w:fill="FFFFFF"/>
        </w:rPr>
        <w:t xml:space="preserve">Halaqoh </w:t>
      </w:r>
      <w:r w:rsidR="00D24B00">
        <w:rPr>
          <w:rFonts w:ascii="Times New Roman" w:hAnsi="Times New Roman"/>
          <w:sz w:val="24"/>
          <w:szCs w:val="24"/>
          <w:shd w:val="clear" w:color="auto" w:fill="FFFFFF"/>
        </w:rPr>
        <w:t xml:space="preserve">become a model of the traditional learning system, forming students' beliefs, morals, worship character, and scientific insights </w:t>
      </w:r>
      <w:r w:rsidR="00BD56F8">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{"citationItems":[{"id":"ITEM-1","itemData":{"DOI":"10.30651/SR.V2I1.1740","ISSN":"2598-2834","abstract":"This research aims to reveal the basis of the ẖalaqah practice in the Pesantren al-Islam Lamongan, the implementation of the learning and formation of character through ẖalaqah, and the way the system may build Islamic personality. The method used in this reseach was qualitative. The results of this research are as follows. Firstly, the ẖalaqah practiced in the pesantren al-Islam was based on the ideas presented by the kyais and the management  as formulized in the khiththah  of the pesantren namely to have a ­rabbani generation with faith and sincerity, good morals, high spirituality, wide knowledge insights, healthy and strong physical condition, and readiness to make some propaganda about Islam. Secondly, the implementation of ẖalaqah in Pesantren al-Islam may be classified into two categories.  (1) ẖalaqah taklim, intended to give some insights to the santries on the right aqidah and the  correct worship. The employed techniques of the halaqah implementation were bandongan, sorogan  or the combination of the two. (2) ẖalaqah tarbiyah, intended to build santries to become muslims with noble morals and with some awareness and spirits of teaching  and of struggling Islam. The technique of the ẖalaqah implementation is to give materials of tazkiyat al-nafs accompanied with 'amaliah ibadah sunnah, and teaching and harakah materials and also guidance in reciting the Holy Qur'an and in guiding the characters.","author":[{"dropping-particle":"","family":"Hambal","given":"Muhammad","non-dropping-particle":"","parse-names":false,"suffix":""}],"container-title":"Studia Religia : Jurnal Pemikiran dan Pendidikan Islam","id":"ITEM-1","issue":"1","issued":{"date-parts":[["2018","6"]]},"publisher":"Universitas Muhammadiyah Surabaya","title":"ḪALAQAH TRADITION IN BUILDING RABBANI CHARACTERS IN PESANTREN AL-ISLAM LAMONGAN, EAST JAVA, INDONESIA","type":"article-journal","volume":"2"},"uris":["http://www.mendeley.com/documents/?uuid=74c651b6-00bd-3f9a-a66a-05a5778c20ce","http://www.mendeley.com/documents/?uuid=ea696ca0-9a8a-4298-b0e3-56fe8a10451a"]},{"id":"ITEM-2","itemData":{"DOI":"10.20885/millah.vol23.iss1.art10","ISSN":"2527922X","abstract":"This research delves into the education system and network of Quran memorization Islamic boarding schools (also known as pondok pesantren tahfidz Quran in Bahasa Indonesia) in Kudus, Surakarta, and Bogor. The study was conducted in Pondok Pesantren Yanbu'ul Qur'an in Kudus, Ma’had Tahfizhul Qur’an Yayasan Sosial dan Pendidikan Islam Isy Karima in Surakarta, and Pesantren Terpadu Darul Qur’an Mulia in Bogor. The research methodology employed was a descriptive, analytical, and historical approach integrated and presented through qualitative processes involving data collection through observation, interviews, and document analysis at the three Quran memorization Islamic boarding schools. The data analysis steps include data reduction, data display, and data verification through triangulation. The research findings indicate the uniqueness or characteristics of each Quran memorization Islamic boarding schools. Pondok Pesantren Yanbu'ul Qur'an has the uniqueness of five concepts: sincerity, obedience, compliance, the importance of quality, patience, and meticulousness. Meanwhile, Ma’had Tahfizhul Qur’an, Yayasan Sosial dan Pendidikan Islam Isy Karima required students to complete the recitation of the entire Quran, 30 chapters, within a duration of two years, utilizing visual, audio, and kinesthetic techniques. Pesantren Terpadu Darul Qur’an Mulia features comprehensive interaction in a halaqoh format encompassing techniques such as recitation, comprehension, memorization, and application that nurture noble character. Regarding the inevitability of the network, the research emphasizes that the Quran memorization Islamic boarding schools serves as a focal point for the community. Although exclusively owned by the kyai (Muslim leader), these Quran memorization Islamic boarding schools remain a possession of the broader community, with a self-reliant management system independent of specific government or non-governmental organizations. © 2024 Zulhannan &amp; Umi Musyarrofah. Licensee Universitas Islam Indonesia.","author":[{"dropping-particle":"","family":"Zulhannan","given":"","non-dropping-particle":"","parse-names":false,"suffix":""},{"dropping-particle":"","family":"Musyarrofah","given":"Umi","non-dropping-particle":"","parse-names":false,"suffix":""}],"container-title":"Millah: Journal of Religious Studies","id":"ITEM-2","issue":"1","issued":{"date-parts":[["2024","2"]]},"page":"301 - 330","publisher":"Program Studi Ilmu Agama Islam Program Magister, Universitas Islam Indonesia","title":"Education System and Network of Quran Memorization Islamic Boarding Schools in Kudus, Surakarta, and Bogor","type":"article-journal","volume":"23"},"uris":["http://www.mendeley.com/documents/?uuid=41896118-1610-3402-8b0b-d393ef3e3c27","http://www.mendeley.com/documents/?uuid=f62844fc-c29c-40db-beea-794390f6584b"]}],"mendeley":{"formattedCitation":"(Hambal, 2018; Zulhannan &amp; Musyarrofah, 2024)","plainTextFormattedCitation":"(Hambal, 2018; Zulhannan &amp; Musyarrofah, 2024)","previouslyFormattedCitation":"(Hambal, 2018; Zulhannan &amp; Musyarrofah, 2024)"},"properties":{"noteIndex":0},"schema":"https://github.com/citation-style-language/schema/raw/master/csl-citation.json"}</w:instrText>
      </w:r>
      <w:r w:rsidR="00BD56F8">
        <w:rPr>
          <w:rFonts w:ascii="Times New Roman" w:hAnsi="Times New Roman" w:cs="Times New Roman"/>
          <w:sz w:val="24"/>
          <w:szCs w:val="24"/>
        </w:rPr>
        <w:fldChar w:fldCharType="separate"/>
      </w:r>
      <w:r w:rsidR="00BD56F8" w:rsidRPr="00BD56F8">
        <w:rPr>
          <w:rFonts w:ascii="Times New Roman" w:hAnsi="Times New Roman" w:cs="Times New Roman"/>
          <w:noProof/>
          <w:sz w:val="24"/>
          <w:szCs w:val="24"/>
        </w:rPr>
        <w:t>(Hambal, 2018; Zulhannan &amp; Musyarrofah, 2024)</w:t>
      </w:r>
      <w:r w:rsidR="00BD56F8">
        <w:rPr>
          <w:rFonts w:ascii="Times New Roman" w:hAnsi="Times New Roman" w:cs="Times New Roman"/>
          <w:sz w:val="24"/>
          <w:szCs w:val="24"/>
        </w:rPr>
        <w:fldChar w:fldCharType="end"/>
      </w:r>
      <w:r w:rsidR="00D24B00">
        <w:rPr>
          <w:rFonts w:ascii="Times New Roman" w:hAnsi="Times New Roman" w:cs="Times New Roman"/>
          <w:sz w:val="24"/>
          <w:szCs w:val="24"/>
        </w:rPr>
        <w:t>.</w:t>
      </w:r>
    </w:p>
    <w:p w14:paraId="1C1258C0" w14:textId="573F0072" w:rsidR="00C16EFA" w:rsidRPr="004E16EB" w:rsidRDefault="00C611A5" w:rsidP="009858D2">
      <w:pPr>
        <w:pStyle w:val="ListParagraph"/>
        <w:numPr>
          <w:ilvl w:val="0"/>
          <w:numId w:val="2"/>
        </w:numPr>
        <w:spacing w:after="0" w:line="240" w:lineRule="auto"/>
        <w:ind w:left="426"/>
        <w:jc w:val="both"/>
        <w:rPr>
          <w:rFonts w:ascii="Times New Roman" w:hAnsi="Times New Roman" w:cs="Times New Roman"/>
          <w:b/>
          <w:bCs/>
          <w:sz w:val="24"/>
          <w:szCs w:val="24"/>
          <w:lang w:val="id-ID"/>
        </w:rPr>
      </w:pPr>
      <w:r w:rsidRPr="00BD56F8">
        <w:rPr>
          <w:rFonts w:ascii="Times New Roman" w:hAnsi="Times New Roman" w:cs="Times New Roman"/>
          <w:b/>
          <w:bCs/>
          <w:sz w:val="24"/>
          <w:szCs w:val="24"/>
        </w:rPr>
        <w:t xml:space="preserve">Women's Empowerment Unbanked </w:t>
      </w:r>
    </w:p>
    <w:p w14:paraId="06E39100" w14:textId="3A2409B3" w:rsidR="00C16EFA" w:rsidRPr="004E16EB" w:rsidRDefault="005A397B" w:rsidP="009858D2">
      <w:pPr>
        <w:pStyle w:val="NormalWeb"/>
        <w:widowControl w:val="0"/>
        <w:spacing w:before="0" w:beforeAutospacing="0" w:after="0" w:afterAutospacing="0"/>
        <w:ind w:firstLine="567"/>
        <w:jc w:val="both"/>
      </w:pPr>
      <w:r w:rsidRPr="005A397B">
        <w:t>Empowerment denotes the facilitation of power within individuals through the enhancement, encouragement, and elevation of their consciousness regarding their capabilities and growth</w:t>
      </w:r>
      <w:r w:rsidR="00C611A5" w:rsidRPr="00BD56F8">
        <w:t xml:space="preserve"> </w:t>
      </w:r>
      <w:r w:rsidR="00C611A5" w:rsidRPr="004E16EB">
        <w:fldChar w:fldCharType="begin" w:fldLock="1"/>
      </w:r>
      <w:r w:rsidR="004F1CC0">
        <w:instrText>ADDIN CSL_CITATION {"citationItems":[{"id":"ITEM-1","itemData":{"DOI":"10.22515/SHIRKAH.V2I1.35","ISSN":"2503-4235","abstract":"BMT (Islamic saving and loan cooperative) has continuosly been one of the Islamic microfinance institutions playing a significant role in empowering economic society. There has been a number of research discussing on the effort, however none of them discussed on the perception between the empowers and the empowered group. Comparing these perceptions is a salient effort to find similarities or differencess of perceptions. This research seeks to compare empowerment perception between two organizations. One hand hand, the first party taking BMT BIF Ledok Timoho as the empowering organization and on the other hand focusing on a group of women's empowerment Ledok Timoho. Gathering data through doing observation and in-depth interview had been employed with selecting the purposive informants that contains a BMT BIF and four empowerment group representatives. To conclude, this research found that are similarities of perceptions on empowerment goals, process, outcomes and constraints.Keywords : perception, empowerment, BMT (Islamic saving and loan cooperative)","author":[{"dropping-particle":"","family":"Rifqi","given":"Lathif Hanafir","non-dropping-particle":"","parse-names":false,"suffix":""}],"container-title":"Shirkah: Journal of Economics and Business","id":"ITEM-1","issue":"1","issued":{"date-parts":[["2018","1"]]},"publisher":"IAIN Surakarta","title":"Community Empowerment through Islamic Microfinances: Perceptions in Comparison","type":"article-journal","volume":"2"},"uris":["http://www.mendeley.com/documents/?uuid=72f76c63-5d31-3ba5-8ff2-442d4fb5c326","http://www.mendeley.com/documents/?uuid=16746898-0fa3-47f7-952c-4cda82d165b4"]}],"mendeley":{"formattedCitation":"(Rifqi, 2018)","plainTextFormattedCitation":"(Rifqi, 2018)","previouslyFormattedCitation":"(Rifqi, 2018)"},"properties":{"noteIndex":0},"schema":"https://github.com/citation-style-language/schema/raw/master/csl-citation.json"}</w:instrText>
      </w:r>
      <w:r w:rsidR="00C611A5" w:rsidRPr="004E16EB">
        <w:fldChar w:fldCharType="separate"/>
      </w:r>
      <w:r w:rsidR="00C611A5" w:rsidRPr="004E16EB">
        <w:rPr>
          <w:noProof/>
        </w:rPr>
        <w:t>(Rifqi, 2018)</w:t>
      </w:r>
      <w:r w:rsidR="00C611A5" w:rsidRPr="004E16EB">
        <w:fldChar w:fldCharType="end"/>
      </w:r>
      <w:r w:rsidR="00C611A5" w:rsidRPr="004E16EB">
        <w:t xml:space="preserve">. </w:t>
      </w:r>
      <w:r w:rsidR="00B47104" w:rsidRPr="00B47104">
        <w:t>Empowerment pertains to the enhancement of the capabilities of an individual, family, or collective towards a more favorable condition. This multifaceted endeavor encompasses personal transformations related to the augmentation of volition and competence across economic, socio-cultural, familial or interpersonal, legal, political, and psychological spheres</w:t>
      </w:r>
      <w:r w:rsidR="00C611A5" w:rsidRPr="004E16EB">
        <w:t xml:space="preserve"> </w:t>
      </w:r>
      <w:r w:rsidR="00C611A5" w:rsidRPr="004E16EB">
        <w:fldChar w:fldCharType="begin" w:fldLock="1"/>
      </w:r>
      <w:r w:rsidR="004F1CC0">
        <w:instrText>ADDIN CSL_CITATION {"citationItems":[{"id":"ITEM-1","itemData":{"DOI":"10.1111/IJMR.12172","ISSN":"14682370","abstract":"Formalization is constantly being proposed as being of great benefit to business expansion and success. This claim, however, has not been previously tested through a review of the empirical evidence, especially in relation to the large number of women in the developing world that operate in the informal economy. Therefore, the aim of this review is to systematize the current empirical evidence on gender, the informal economy and formalization, using a narrative synthesis of 76 papers. The papers were analysed along three main analytical themes – identity, institutions, and constraints and preferences – highlighting their conceptualization in studies of different academic disciplines – economics, sociology, entrepreneurship and development. The review calls for more accurate accounts of formalization decisions by widening the lens through which formalization decisions are conceptualized. These should take account of the rich contextual and temporal dimensions central to these decisions, and recognize that gender alone is not a sufficient factor in explaining women's choices in the informal economy. The review also highlights limitations in relation to the limited conceptual and empirical evidence on which development priorities such as formalization are set. The authors propose a research agenda centred on the need for conceptual frameworks that are more sensitive towards the multidimensional contexts of women's choices.","author":[{"dropping-particle":"","family":"Xheneti","given":"Mirela","non-dropping-particle":"","parse-names":false,"suffix":""},{"dropping-particle":"","family":"Madden","given":"Adrian","non-dropping-particle":"","parse-names":false,"suffix":""},{"dropping-particle":"","family":"Thapa Karki","given":"Shova","non-dropping-particle":"","parse-names":false,"suffix":""}],"container-title":"International Journal of Management Reviews","id":"ITEM-1","issue":"1","issued":{"date-parts":[["2019","1"]]},"page":"3-23","publisher":"Blackwell Publishing Ltd","title":"Value of Formalization for Women Entrepreneurs in Developing Contexts: A Review and Research Agenda","type":"article-journal","volume":"21"},"uris":["http://www.mendeley.com/documents/?uuid=a55efb66-7d8e-3fb6-b509-2fd0d679710e","http://www.mendeley.com/documents/?uuid=cd52434b-6a45-422b-a451-b7894babbb78"]}],"mendeley":{"formattedCitation":"(Xheneti et al., 2019)","manualFormatting":"(Xheneti et al., 2019","plainTextFormattedCitation":"(Xheneti et al., 2019)","previouslyFormattedCitation":"(Xheneti et al., 2019)"},"properties":{"noteIndex":0},"schema":"https://github.com/citation-style-language/schema/raw/master/csl-citation.json"}</w:instrText>
      </w:r>
      <w:r w:rsidR="00C611A5" w:rsidRPr="004E16EB">
        <w:fldChar w:fldCharType="separate"/>
      </w:r>
      <w:r w:rsidR="00C611A5" w:rsidRPr="004E16EB">
        <w:rPr>
          <w:noProof/>
        </w:rPr>
        <w:t>(Xheneti et al., 2019</w:t>
      </w:r>
      <w:r w:rsidR="00C611A5" w:rsidRPr="004E16EB">
        <w:fldChar w:fldCharType="end"/>
      </w:r>
      <w:r w:rsidR="00C611A5" w:rsidRPr="004E16EB">
        <w:t>;</w:t>
      </w:r>
      <w:r w:rsidR="00C611A5" w:rsidRPr="004E16EB">
        <w:fldChar w:fldCharType="begin" w:fldLock="1"/>
      </w:r>
      <w:r w:rsidR="004F1CC0">
        <w:instrText>ADDIN CSL_CITATION {"citationItems":[{"id":"ITEM-1","itemData":{"DOI":"10.1108/IJSSP-12-2017-0166/FULL/PDF","ISSN":"17586720","abstract":"Purpose: Women’s economic empowerment through entrepreneurship is increasingly being recognised as significant to achieving the Sustainable Development Goals (SDGs). However, women entrepreneurship in developing countries is characterised by an overrepresentation in the informal economy and exposure to high levels of gender disparities. The purpose of this paper is to explore whether formalisation of women’s entrepreneurial activities in the informal economy supports SDGs through ensuring empowerment and equality. Design/methodology/approach: The research adopts a qualitative research design to explore the empowerment outcomes of the formalisation of women’s entrepreneurial activities in the informal economy of Kathmandu, Nepal. Data were collected through interviews with 30 women entrepreneurs engaged in a mix of formal and informal entrepreneurial activities. Findings: By using Mayoux’s (1998) framework of empowerment at the individual, household and community level, the findings show the variation in empowerment outcomes as a result of women’s diverse motivations for engaging in entrepreneurship. Whilst informal entrepreneurial activities improve women’s confidence and life aspirations, they have limited potential in lifting women out of poverty and enable them to significantly challenge gender relations in the society. Formalization does further empower women at the household and community level but this is primarily the case of younger and more educated women. Originality/value: The research contributes to the debates on entrepreneurship as “emancipation” and more specifically, on whether formalization contributes to the SDGs by furthering gender equality and empowerment. Formalization policies need to acknowledge the heterogeneity of women entrepreneurs.","author":[{"dropping-particle":"","family":"Thapa Karki","given":"Shova","non-dropping-particle":"","parse-names":false,"suffix":""},{"dropping-particle":"","family":"Xheneti","given":"Mirela","non-dropping-particle":"","parse-names":false,"suffix":""}],"container-title":"International Journal of Sociology and Social Policy","id":"ITEM-1","issue":"7-8","issued":{"date-parts":[["2018","7"]]},"page":"526-541","publisher":"Emerald Group Publishing Ltd.","title":"Formalizing women entrepreneurs in Kathmandu, Nepal: Pathway towards empowerment?","type":"article-journal","volume":"38"},"uris":["http://www.mendeley.com/documents/?uuid=c89ae07c-050f-3233-86e4-32a624e40332","http://www.mendeley.com/documents/?uuid=df2a195c-1fad-49ab-86d7-0193136d8c54"]}],"mendeley":{"formattedCitation":"(Thapa Karki &amp; Xheneti, 2018)","manualFormatting":" Thapa Karki &amp; Xheneti, 2018)","plainTextFormattedCitation":"(Thapa Karki &amp; Xheneti, 2018)","previouslyFormattedCitation":"(Thapa Karki &amp; Xheneti, 2018)"},"properties":{"noteIndex":0},"schema":"https://github.com/citation-style-language/schema/raw/master/csl-citation.json"}</w:instrText>
      </w:r>
      <w:r w:rsidR="00C611A5" w:rsidRPr="004E16EB">
        <w:fldChar w:fldCharType="separate"/>
      </w:r>
      <w:r w:rsidR="00C611A5" w:rsidRPr="004E16EB">
        <w:rPr>
          <w:noProof/>
        </w:rPr>
        <w:t xml:space="preserve"> Thapa Karki &amp; Xheneti, 2018)</w:t>
      </w:r>
      <w:r w:rsidR="00C611A5" w:rsidRPr="004E16EB">
        <w:fldChar w:fldCharType="end"/>
      </w:r>
      <w:r w:rsidR="00C611A5" w:rsidRPr="004E16EB">
        <w:t xml:space="preserve">. </w:t>
      </w:r>
      <w:r w:rsidRPr="005A397B">
        <w:t>This aims to address societal issues that create disparities in the availability of financial resources, physical infrastructure, technological information, expertise, and competencies</w:t>
      </w:r>
      <w:r w:rsidR="00C611A5" w:rsidRPr="004E16EB">
        <w:t xml:space="preserve"> </w:t>
      </w:r>
      <w:r w:rsidR="00C611A5" w:rsidRPr="004E16EB">
        <w:fldChar w:fldCharType="begin" w:fldLock="1"/>
      </w:r>
      <w:r w:rsidR="004F1CC0">
        <w:instrText>ADDIN CSL_CITATION {"citationItems":[{"id":"ITEM-1","itemData":{"DOI":"10.1108/IJSSP-12-2017-0166/FULL/PDF","ISSN":"17586720","abstract":"Purpose: Women’s economic empowerment through entrepreneurship is increasingly being recognised as significant to achieving the Sustainable Development Goals (SDGs). However, women entrepreneurship in developing countries is characterised by an overrepresentation in the informal economy and exposure to high levels of gender disparities. The purpose of this paper is to explore whether formalisation of women’s entrepreneurial activities in the informal economy supports SDGs through ensuring empowerment and equality. Design/methodology/approach: The research adopts a qualitative research design to explore the empowerment outcomes of the formalisation of women’s entrepreneurial activities in the informal economy of Kathmandu, Nepal. Data were collected through interviews with 30 women entrepreneurs engaged in a mix of formal and informal entrepreneurial activities. Findings: By using Mayoux’s (1998) framework of empowerment at the individual, household and community level, the findings show the variation in empowerment outcomes as a result of women’s diverse motivations for engaging in entrepreneurship. Whilst informal entrepreneurial activities improve women’s confidence and life aspirations, they have limited potential in lifting women out of poverty and enable them to significantly challenge gender relations in the society. Formalization does further empower women at the household and community level but this is primarily the case of younger and more educated women. Originality/value: The research contributes to the debates on entrepreneurship as “emancipation” and more specifically, on whether formalization contributes to the SDGs by furthering gender equality and empowerment. Formalization policies need to acknowledge the heterogeneity of women entrepreneurs.","author":[{"dropping-particle":"","family":"Thapa Karki","given":"Shova","non-dropping-particle":"","parse-names":false,"suffix":""},{"dropping-particle":"","family":"Xheneti","given":"Mirela","non-dropping-particle":"","parse-names":false,"suffix":""}],"container-title":"International Journal of Sociology and Social Policy","id":"ITEM-1","issue":"7-8","issued":{"date-parts":[["2018","7"]]},"page":"526-541","publisher":"Emerald Group Publishing Ltd.","title":"Formalizing women entrepreneurs in Kathmandu, Nepal: Pathway towards empowerment?","type":"article-journal","volume":"38"},"uris":["http://www.mendeley.com/documents/?uuid=df2a195c-1fad-49ab-86d7-0193136d8c54","http://www.mendeley.com/documents/?uuid=c89ae07c-050f-3233-86e4-32a624e40332"]}],"mendeley":{"formattedCitation":"(Thapa Karki &amp; Xheneti, 2018)","plainTextFormattedCitation":"(Thapa Karki &amp; Xheneti, 2018)","previouslyFormattedCitation":"(Thapa Karki &amp; Xheneti, 2018)"},"properties":{"noteIndex":0},"schema":"https://github.com/citation-style-language/schema/raw/master/csl-citation.json"}</w:instrText>
      </w:r>
      <w:r w:rsidR="00C611A5" w:rsidRPr="004E16EB">
        <w:fldChar w:fldCharType="separate"/>
      </w:r>
      <w:r w:rsidR="00C611A5" w:rsidRPr="004E16EB">
        <w:rPr>
          <w:noProof/>
        </w:rPr>
        <w:t>(Thapa Karki &amp; Xheneti, 2018)</w:t>
      </w:r>
      <w:r w:rsidR="00C611A5" w:rsidRPr="004E16EB">
        <w:fldChar w:fldCharType="end"/>
      </w:r>
      <w:r w:rsidR="00C611A5" w:rsidRPr="004E16EB">
        <w:t xml:space="preserve">. Women's empowerment is important for national growth and development </w:t>
      </w:r>
      <w:r w:rsidR="00C611A5" w:rsidRPr="004E16EB">
        <w:fldChar w:fldCharType="begin" w:fldLock="1"/>
      </w:r>
      <w:r w:rsidR="004F1CC0">
        <w:instrText>ADDIN CSL_CITATION {"citationItems":[{"id":"ITEM-1","itemData":{"DOI":"10.1108/JEC-04-2020-0066/FULL/XML","ISSN":"17506204","abstract":"Purpose: Women empowerment is essential for the growth and development of the nation. This study aims to identify the role of non-government organisations (NGOs) in promoting women empowerment through immediate livelihood facilities. Women are creative enough to start their own venture, but they are not able to explore the available opportunities because of male dominance, lack of education and proper government support. Thus, NGOs play a major role in training and empowering women to attain immediate livelihood. Design/methodology/approach: The role of NGOs in empowering women has been explored using the case study method. A total of five case studies of women who attained training and started their own venture have been developed using in-depth interviews. Findings: Women empowerment occurs through venture creation and entrepreneurship, which can be attained with proper training and information. Motivation and effective leadership help women in gaining confidence, and they aim to achieve their goals. Proper information about government policies, networking with customers, relationship with self-help groups (SHGs) and NGOs also help them in attaining empowerment. Practical implications: This study indicates to the government and researchers that, instead of initiating new policies, it is important to focus on the existing policies and improve them. NGOs or SHGs must focus on providing immediate livelihood through venture creation or entrepreneurial activities. Social implications: Women need to be more socialised and develop a habit of partnership with their friends and neighbours to extend their ventures (Dixit et al., 2020). To meet the demand of sustainable and green environment, women must be trained about green manufacturing and to prepare products which are environmentally friendly and sustainable (Agarwal et al., 2020). Instead of initiating new policies, government must review their existing policies and provide equal opportunities to increase female workforce. Originality/value: This study focusses on the role of NGOs in empowering women by focussing on their immediate livelihood through venture creation or entrepreneurship.","author":[{"dropping-particle":"","family":"Gupta","given":"Minisha","non-dropping-particle":"","parse-names":false,"suffix":""}],"container-title":"Journal of Enterprising Communities","id":"ITEM-1","issue":"1","issued":{"date-parts":[["2020"]]},"page":"26-41","publisher":"Emerald Group Holdings Ltd.","title":"Role of NGOs in women empowerment: case studies from Uttarakhand, India","type":"article-journal","volume":"15"},"uris":["http://www.mendeley.com/documents/?uuid=419003c9-7a3f-368d-b408-143f9e3ebe80","http://www.mendeley.com/documents/?uuid=d890074f-11d5-45c4-816a-173571b03ef6"]}],"mendeley":{"formattedCitation":"(Gupta, 2020)","plainTextFormattedCitation":"(Gupta, 2020)","previouslyFormattedCitation":"(Gupta, 2020)"},"properties":{"noteIndex":0},"schema":"https://github.com/citation-style-language/schema/raw/master/csl-citation.json"}</w:instrText>
      </w:r>
      <w:r w:rsidR="00C611A5" w:rsidRPr="004E16EB">
        <w:fldChar w:fldCharType="separate"/>
      </w:r>
      <w:r w:rsidR="00C611A5" w:rsidRPr="004E16EB">
        <w:rPr>
          <w:noProof/>
        </w:rPr>
        <w:t>(Gupta, 2020)</w:t>
      </w:r>
      <w:r w:rsidR="00C611A5" w:rsidRPr="004E16EB">
        <w:fldChar w:fldCharType="end"/>
      </w:r>
      <w:r w:rsidR="00C611A5" w:rsidRPr="004E16EB">
        <w:t xml:space="preserve">. According to </w:t>
      </w:r>
      <w:r w:rsidR="00416523" w:rsidRPr="00416523">
        <w:rPr>
          <w:noProof/>
        </w:rPr>
        <w:t xml:space="preserve">Gulvira et al </w:t>
      </w:r>
      <w:r w:rsidR="00416523">
        <w:fldChar w:fldCharType="begin" w:fldLock="1"/>
      </w:r>
      <w:r w:rsidR="00416523">
        <w:instrText>ADDIN CSL_CITATION {"citationItems":[{"id":"ITEM-1","itemData":{"DOI":"10.2478/eoik-2024-0016","ISSN":"2303-5013","abstract":"Significance. The development of women’s entrepreneurship is still a largely untapped potential for growth and prosperity. The economic role of women is crucial for growth and a more equitable distribution of wealth. Economic opportunities are much more important for women today than for the previous generation, especially for developing countries. In this regard, the impact of women’s entrepreneurship on economic growth is an important area of research reflecting broader interests in gender equality, economic development and human resource optimization. Objectives. Analysis of the impact of women’s entrepreneurship on the economies of developed and developing countries and the development of some recommendations for the development of women’s entrepreneurship. Methods. For this study, the method of ordinary least squares (OLS) was used, which analyses the impact of women’s entrepreneurship on economic growth in developed and developing countries in the period 2012-2022. Results. The under-development of women’s entrepreneurship represents untapped potential for growth and prosperity in many countries. In this regard, there is an urgent need to create more favourable conditions for the development and strengthening of women’s entrepreneurship, more thoughtful policies and decisive measures aimed at empowering women are crucial. The results obtained in the course of this study are important for the development of theoretical and methodological foundations for the study of women’s entrepreneurship. The results of the study may be useful for women entrepreneurs, NGOs/NGOs, development institutions and government agencies.","author":[{"dropping-particle":"","family":"Gulvira","given":"Akybayeva","non-dropping-particle":"","parse-names":false,"suffix":""},{"dropping-particle":"","family":"Ainash","given":"Mussabekova","non-dropping-particle":"","parse-names":false,"suffix":""},{"dropping-particle":"","family":"Sagynysh","given":"Mambetova","non-dropping-particle":"","parse-names":false,"suffix":""},{"dropping-particle":"","family":"Meiramgul","given":"Ayaganova","non-dropping-particle":"","parse-names":false,"suffix":""},{"dropping-particle":"","family":"Aliya","given":"Koitanova","non-dropping-particle":"","parse-names":false,"suffix":""}],"container-title":"ECONOMICS","id":"ITEM-1","issue":"2","issued":{"date-parts":[["2024","8","1"]]},"page":"145-162","title":"The Impact of Female Entrepreneurship on Economic Growth in Developing and Developed Economies","type":"article-journal","volume":"12"},"suppress-author":1,"uris":["http://www.mendeley.com/documents/?uuid=a81e8314-d40b-4e8d-bd7d-7200f8f19781"]}],"mendeley":{"formattedCitation":"(2024)","plainTextFormattedCitation":"(2024)","previouslyFormattedCitation":"(2024)"},"properties":{"noteIndex":0},"schema":"https://github.com/citation-style-language/schema/raw/master/csl-citation.json"}</w:instrText>
      </w:r>
      <w:r w:rsidR="00416523">
        <w:fldChar w:fldCharType="separate"/>
      </w:r>
      <w:r w:rsidR="00416523" w:rsidRPr="00416523">
        <w:rPr>
          <w:noProof/>
        </w:rPr>
        <w:t>(2024)</w:t>
      </w:r>
      <w:r w:rsidR="00416523">
        <w:fldChar w:fldCharType="end"/>
      </w:r>
      <w:r w:rsidR="00416523">
        <w:t xml:space="preserve"> Women's social and economic development is important for overall economic development.</w:t>
      </w:r>
    </w:p>
    <w:p w14:paraId="633E58E8" w14:textId="0BB855D9" w:rsidR="00C16EFA" w:rsidRPr="004E16EB" w:rsidRDefault="00C611A5" w:rsidP="009858D2">
      <w:pPr>
        <w:pStyle w:val="NormalWeb"/>
        <w:widowControl w:val="0"/>
        <w:spacing w:before="0" w:beforeAutospacing="0" w:after="0" w:afterAutospacing="0"/>
        <w:ind w:firstLine="567"/>
        <w:jc w:val="both"/>
        <w:rPr>
          <w:lang w:val="id-ID"/>
        </w:rPr>
      </w:pPr>
      <w:r w:rsidRPr="004E16EB">
        <w:t xml:space="preserve">Empowering women means making them capable and skilled in social, economic, and political fields to improve their quality </w:t>
      </w:r>
      <w:r w:rsidR="00416523">
        <w:fldChar w:fldCharType="begin" w:fldLock="1"/>
      </w:r>
      <w:r w:rsidR="00207A78">
        <w:instrText>ADDIN CSL_CITATION {"citationItems":[{"id":"ITEM-1","itemData":{"DOI":"10.1007/s13132-023-01621-1","ISSN":"1868-7873","author":[{"dropping-particle":"","family":"Bhatia","given":"Shivangi","non-dropping-particle":"","parse-names":false,"suffix":""},{"dropping-particle":"","family":"Dawar","given":"Gaurav","non-dropping-particle":"","parse-names":false,"suffix":""}],"container-title":"Journal of the Knowledge Economy","id":"ITEM-1","issue":"3","issued":{"date-parts":[["2023","12","6"]]},"page":"13727-13744","title":"The Impact of Financial Inclusion on Social and Political Empowerment: Mediating Role of Economic Empowerment","type":"article-journal","volume":"15"},"uris":["http://www.mendeley.com/documents/?uuid=6c1b1ceb-241e-406a-952e-f16e9c140596"]}],"mendeley":{"formattedCitation":"(Bhatia &amp; Dawar, 2023)","plainTextFormattedCitation":"(Bhatia &amp; Dawar, 2023)","previouslyFormattedCitation":"(Bhatia &amp; Dawar, 2023)"},"properties":{"noteIndex":0},"schema":"https://github.com/citation-style-language/schema/raw/master/csl-citation.json"}</w:instrText>
      </w:r>
      <w:r w:rsidR="00416523">
        <w:fldChar w:fldCharType="separate"/>
      </w:r>
      <w:r w:rsidR="00416523" w:rsidRPr="00416523">
        <w:rPr>
          <w:noProof/>
        </w:rPr>
        <w:t>(Bhatia &amp; Dawar, 2023)</w:t>
      </w:r>
      <w:r w:rsidR="00416523">
        <w:fldChar w:fldCharType="end"/>
      </w:r>
      <w:r w:rsidRPr="004E16EB">
        <w:t xml:space="preserve">. This program empowers women through productive economic, health, and educational activities </w:t>
      </w:r>
      <w:r w:rsidRPr="004E16EB">
        <w:fldChar w:fldCharType="begin" w:fldLock="1"/>
      </w:r>
      <w:r w:rsidR="004F1CC0">
        <w:instrText>ADDIN CSL_CITATION {"citationItems":[{"id":"ITEM-1","itemData":{"author":[{"dropping-particle":"","family":"Fuad","given":"Ariyana Wahidah","non-dropping-particle":"","parse-names":false,"suffix":""}],"container-title":"Jurnal Pemikiran Islam Tentang Pemberdayaan Perempuan","editor":[{"dropping-particle":"","family":"Tahir","given":"Mursyidah","non-dropping-particle":"","parse-names":false,"suffix":""}],"id":"ITEM-1","issued":{"date-parts":[["2000"]]},"page":"77-78","publisher":"PP Muslimaat NU dan Logos Wacana Ilmu","publisher-place":"Jakarta","title":"Relevansi Gerakan Feminisme dalam Konsep Pendidikan Islam","type":"article-journal"},"uris":["http://www.mendeley.com/documents/?uuid=1c0988b8-c5c1-445b-b06f-d3d31a3330e7","http://www.mendeley.com/documents/?uuid=72efa531-0d4a-426c-9bf1-738550cb166a"]}],"mendeley":{"formattedCitation":"(Fuad, 2000)","plainTextFormattedCitation":"(Fuad, 2000)","previouslyFormattedCitation":"(Fuad, 2000)"},"properties":{"noteIndex":0},"schema":"https://github.com/citation-style-language/schema/raw/master/csl-citation.json"}</w:instrText>
      </w:r>
      <w:r w:rsidRPr="004E16EB">
        <w:fldChar w:fldCharType="separate"/>
      </w:r>
      <w:r w:rsidRPr="004E16EB">
        <w:rPr>
          <w:noProof/>
        </w:rPr>
        <w:t>(Fuad, 2000)</w:t>
      </w:r>
      <w:r w:rsidRPr="004E16EB">
        <w:fldChar w:fldCharType="end"/>
      </w:r>
      <w:r w:rsidRPr="004E16EB">
        <w:t xml:space="preserve">. </w:t>
      </w:r>
      <w:r w:rsidR="009C5CAE" w:rsidRPr="009C5CAE">
        <w:t>In the realm of economic advancement, women are granted agency across various economic sectors to 1) generate, allocate, and conserve financial resources, 2) acquire, possess, and transact assets, 3) establish and manage enterprises, 4) secure banking services or credit facilities, and 5) engage in or spearhead labor unions and other economic endeavors</w:t>
      </w:r>
      <w:r w:rsidRPr="004E16EB">
        <w:t xml:space="preserve"> </w:t>
      </w:r>
      <w:r w:rsidRPr="004E16EB">
        <w:fldChar w:fldCharType="begin" w:fldLock="1"/>
      </w:r>
      <w:r w:rsidR="004F1CC0">
        <w:instrText>ADDIN CSL_CITATION {"citationItems":[{"id":"ITEM-1","itemData":{"DOI":"10.1596/1813-9450-8079","author":[{"dropping-particle":"","family":"Fox","given":"Louise","non-dropping-particle":"","parse-names":false,"suffix":""},{"dropping-particle":"","family":"Romero","given":"Carolina","non-dropping-particle":"","parse-names":false,"suffix":""}],"collection-title":"Policy Research Working Papers","id":"ITEM-1","issued":{"date-parts":[["2017","5"]]},"publisher":"The World Bank","title":"In the Mind, the Household, or the Market? Concepts and Measurement of Women's Economic Empowerment","type":"book"},"uris":["http://www.mendeley.com/documents/?uuid=2b9f32ef-8990-39ef-8d8e-4f6497a85dc0","http://www.mendeley.com/documents/?uuid=e3bfbec1-217e-49dd-8839-6fcc1efe74e7"]}],"mendeley":{"formattedCitation":"(Fox &amp; Romero, 2017)","plainTextFormattedCitation":"(Fox &amp; Romero, 2017)","previouslyFormattedCitation":"(Fox &amp; Romero, 2017)"},"properties":{"noteIndex":0},"schema":"https://github.com/citation-style-language/schema/raw/master/csl-citation.json"}</w:instrText>
      </w:r>
      <w:r w:rsidRPr="004E16EB">
        <w:fldChar w:fldCharType="separate"/>
      </w:r>
      <w:r w:rsidRPr="004E16EB">
        <w:rPr>
          <w:noProof/>
        </w:rPr>
        <w:t>(Fox &amp; Romero, 2017)</w:t>
      </w:r>
      <w:r w:rsidRPr="004E16EB">
        <w:fldChar w:fldCharType="end"/>
      </w:r>
      <w:r w:rsidRPr="004E16EB">
        <w:t xml:space="preserve">. </w:t>
      </w:r>
      <w:r w:rsidR="00B47104" w:rsidRPr="00B47104">
        <w:t>Consequently, the concept of empowerment seeks to facilitate women's involvement, contribution, and advantage in the developmental process by acknowledging their intrinsic worth and dignity</w:t>
      </w:r>
      <w:r w:rsidRPr="004E16EB">
        <w:t xml:space="preserve"> </w:t>
      </w:r>
      <w:r w:rsidRPr="004E16EB">
        <w:fldChar w:fldCharType="begin" w:fldLock="1"/>
      </w:r>
      <w:r w:rsidR="004F1CC0">
        <w:instrText>ADDIN CSL_CITATION {"citationItems":[{"id":"ITEM-1","itemData":{"author":[{"dropping-particle":"","family":"Kabeer","given":"Naila","non-dropping-particle":"","parse-names":false,"suffix":""}],"id":"ITEM-1","issued":{"date-parts":[["2009"]]},"title":"Women's Economic Empowerment Key Issues and Policy Options","type":"chapter"},"uris":["http://www.mendeley.com/documents/?uuid=125c04c7-56c6-4f76-a6ea-65910378c135","http://www.mendeley.com/documents/?uuid=99822ba1-1f39-4dd8-a334-690b87da95e5"]}],"mendeley":{"formattedCitation":"(Kabeer, 2009)","plainTextFormattedCitation":"(Kabeer, 2009)","previouslyFormattedCitation":"(Kabeer, 2009)"},"properties":{"noteIndex":0},"schema":"https://github.com/citation-style-language/schema/raw/master/csl-citation.json"}</w:instrText>
      </w:r>
      <w:r w:rsidRPr="004E16EB">
        <w:fldChar w:fldCharType="separate"/>
      </w:r>
      <w:r w:rsidRPr="004E16EB">
        <w:rPr>
          <w:noProof/>
        </w:rPr>
        <w:t>(Kabeer, 2009)</w:t>
      </w:r>
      <w:r w:rsidRPr="004E16EB">
        <w:fldChar w:fldCharType="end"/>
      </w:r>
      <w:r w:rsidRPr="004E16EB">
        <w:t xml:space="preserve">. </w:t>
      </w:r>
      <w:r w:rsidR="00B47104" w:rsidRPr="00B47104">
        <w:t>It enhances consciousness regarding individual identity and the capacity of women to achieve autonomy. This empowerment initiative targets women who lack bank accounts or those who face barriers to banking services, thereby experiencing restricted opportunities for savings, investment, and entrepreneurial development</w:t>
      </w:r>
      <w:r w:rsidR="00B47104" w:rsidRPr="00B47104">
        <w:t xml:space="preserve"> </w:t>
      </w:r>
      <w:r w:rsidR="00192A4F">
        <w:fldChar w:fldCharType="begin" w:fldLock="1"/>
      </w:r>
      <w:r w:rsidR="00307003">
        <w:instrText>ADDIN CSL_CITATION {"citationItems":[{"id":"ITEM-1","itemData":{"DOI":"10.1007/s11187-024-00925-z","ISSN":"0921-898X","author":[{"dropping-particle":"","family":"Garg","given":"Sandhya","non-dropping-particle":"","parse-names":false,"suffix":""},{"dropping-particle":"","family":"Gupta","given":"Samarth","non-dropping-particle":"","parse-names":false,"suffix":""},{"dropping-particle":"","family":"Mallick","given":"Sushanta","non-dropping-particle":"","parse-names":false,"suffix":""}],"container-title":"Small Business Economics","id":"ITEM-1","issue":"2","issued":{"date-parts":[["2025","2","10"]]},"page":"729-754","title":"Financial Access and Entrepreneurship by Gender: Evidence from Rural India","type":"article-journal","volume":"64"},"uris":["http://www.mendeley.com/documents/?uuid=58186ec6-fbb8-4872-beb6-f04d70ad11b1"]}],"mendeley":{"formattedCitation":"(Garg et al., 2025)","plainTextFormattedCitation":"(Garg et al., 2025)","previouslyFormattedCitation":"(Garg et al., 2025)"},"properties":{"noteIndex":0},"schema":"https://github.com/citation-style-language/schema/raw/master/csl-citation.json"}</w:instrText>
      </w:r>
      <w:r w:rsidR="00192A4F">
        <w:fldChar w:fldCharType="separate"/>
      </w:r>
      <w:r w:rsidR="00192A4F" w:rsidRPr="00192A4F">
        <w:rPr>
          <w:noProof/>
        </w:rPr>
        <w:t>(Garg et al., 2025)</w:t>
      </w:r>
      <w:r w:rsidR="00192A4F">
        <w:fldChar w:fldCharType="end"/>
      </w:r>
      <w:r w:rsidR="00192A4F">
        <w:t>.</w:t>
      </w:r>
    </w:p>
    <w:p w14:paraId="69E5A70D" w14:textId="77777777" w:rsidR="00C16EFA" w:rsidRPr="004E16EB" w:rsidRDefault="00C16EFA" w:rsidP="009858D2">
      <w:pPr>
        <w:pStyle w:val="NormalWeb"/>
        <w:widowControl w:val="0"/>
        <w:spacing w:before="0" w:beforeAutospacing="0" w:after="0" w:afterAutospacing="0"/>
        <w:ind w:firstLine="567"/>
        <w:jc w:val="both"/>
        <w:rPr>
          <w:lang w:val="id-ID"/>
        </w:rPr>
      </w:pPr>
    </w:p>
    <w:p w14:paraId="2A4697B5" w14:textId="77777777" w:rsidR="00C16EFA" w:rsidRPr="004E16EB" w:rsidRDefault="00C611A5" w:rsidP="009858D2">
      <w:pPr>
        <w:pStyle w:val="NormalWeb"/>
        <w:widowControl w:val="0"/>
        <w:numPr>
          <w:ilvl w:val="0"/>
          <w:numId w:val="2"/>
        </w:numPr>
        <w:spacing w:before="0" w:beforeAutospacing="0" w:after="0" w:afterAutospacing="0"/>
        <w:ind w:left="426"/>
        <w:jc w:val="both"/>
        <w:rPr>
          <w:b/>
          <w:bCs/>
          <w:lang w:val="id-ID"/>
        </w:rPr>
      </w:pPr>
      <w:r w:rsidRPr="004E16EB">
        <w:rPr>
          <w:b/>
        </w:rPr>
        <w:t>Sharia Microfinance Institution Bank Waqf Mikro (SMI MWB)</w:t>
      </w:r>
    </w:p>
    <w:p w14:paraId="7136C980" w14:textId="4CD55475" w:rsidR="00C16EFA" w:rsidRPr="004E16EB" w:rsidRDefault="00C611A5" w:rsidP="009858D2">
      <w:pPr>
        <w:spacing w:after="0" w:line="240" w:lineRule="auto"/>
        <w:ind w:firstLine="720"/>
        <w:contextualSpacing/>
        <w:jc w:val="both"/>
        <w:rPr>
          <w:rFonts w:ascii="Times New Roman" w:hAnsi="Times New Roman" w:cs="Times New Roman"/>
          <w:sz w:val="24"/>
          <w:szCs w:val="24"/>
          <w:lang w:val="id-ID"/>
        </w:rPr>
      </w:pPr>
      <w:r w:rsidRPr="004E16EB">
        <w:rPr>
          <w:rFonts w:ascii="Times New Roman" w:hAnsi="Times New Roman"/>
          <w:sz w:val="24"/>
          <w:szCs w:val="24"/>
        </w:rPr>
        <w:t xml:space="preserve">MWB is an SMI that aims to provide microfinance to the community </w:t>
      </w:r>
      <w:r w:rsidR="00E3240E">
        <w:rPr>
          <w:rFonts w:ascii="Times New Roman" w:hAnsi="Times New Roman"/>
          <w:sz w:val="24"/>
          <w:szCs w:val="24"/>
        </w:rPr>
        <w:fldChar w:fldCharType="begin" w:fldLock="1"/>
      </w:r>
      <w:r w:rsidR="00302A4A">
        <w:rPr>
          <w:rFonts w:ascii="Times New Roman" w:hAnsi="Times New Roman"/>
          <w:sz w:val="24"/>
          <w:szCs w:val="24"/>
        </w:rPr>
        <w:instrText>ADDIN CSL_CITATION {"citationItems":[{"id":"ITEM-1","itemData":{"DOI":"10.3390/economies10070157","ISSN":"2227-7099","abstract":"This study examined the role of the Micro Waqf Bank in empowering women micro-entrepreneurs. This research used a mixed-method with an explanatory design. Quantitatively, this study examines the effect of the joint responsibility system, financing, and mentoring on the growth of the micro-enterprises business. The sample used was 200 women micro-entrepreneurs using a purposive sampling technique. Quantitative data analysis was performed using the Structural Equation Model based on Partial Least Squares (SEM PLS) technique. This research qualitatively analyzes how the Micro Waqf Bank has carried out its role in empowering women, including dealing with crises due to the COVID-19 pandemic. Thematic analysis was used as the qualitative data analysis technique. Informants in this study amounted to 6 informants from MWB Mawaridussalam consisting of Management, Mentors, and female micro-enterprises. The research results quantitatively indicate that there is a positive and significant impact on the joint responsibility system, financing, and mentoring on the development of micro-enterprise members. Mentoring is the most significant variable that impacts the growth of a micro-enterprise business. Qualitatively, the research results show the role of the Micro Waqf Bank in the economic empowerment of women micro-business entrepreneurs by specifically recommending reinforcement of the mentoring function.","author":[{"dropping-particle":"","family":"Soemitra","given":"Andri","non-dropping-particle":"","parse-names":false,"suffix":""},{"dropping-particle":"","family":"Kusmilawaty","given":"","non-dropping-particle":"","parse-names":false,"suffix":""},{"dropping-particle":"","family":"Rahma","given":"Tri Inda Fadhila","non-dropping-particle":"","parse-names":false,"suffix":""}],"container-title":"Economies","id":"ITEM-1","issue":"7","issued":{"date-parts":[["2022","7","1"]]},"page":"157","title":"The Role of Micro Waqf Bank in Women’s Micro-Business Empowerment through Islamic Social Finance: Mixed-Method Evidence from Mawaridussalam Indonesia","type":"article-journal","volume":"10"},"uris":["http://www.mendeley.com/documents/?uuid=757867f4-6fab-434e-80cb-1876573f2fbd"]}],"mendeley":{"formattedCitation":"(Soemitra et al., 2022)","plainTextFormattedCitation":"(Soemitra et al., 2022)","previouslyFormattedCitation":"(Soemitra et al., 2022)"},"properties":{"noteIndex":0},"schema":"https://github.com/citation-style-language/schema/raw/master/csl-citation.json"}</w:instrText>
      </w:r>
      <w:r w:rsidR="00E3240E">
        <w:rPr>
          <w:rFonts w:ascii="Times New Roman" w:hAnsi="Times New Roman"/>
          <w:sz w:val="24"/>
          <w:szCs w:val="24"/>
        </w:rPr>
        <w:fldChar w:fldCharType="separate"/>
      </w:r>
      <w:r w:rsidR="00E3240E" w:rsidRPr="00E3240E">
        <w:rPr>
          <w:rFonts w:ascii="Times New Roman" w:hAnsi="Times New Roman"/>
          <w:noProof/>
          <w:sz w:val="24"/>
          <w:szCs w:val="24"/>
        </w:rPr>
        <w:t>(Soemitra et al., 2022)</w:t>
      </w:r>
      <w:r w:rsidR="00E3240E">
        <w:rPr>
          <w:rFonts w:ascii="Times New Roman" w:hAnsi="Times New Roman"/>
          <w:sz w:val="24"/>
          <w:szCs w:val="24"/>
        </w:rPr>
        <w:fldChar w:fldCharType="end"/>
      </w:r>
      <w:r w:rsidR="00E3240E">
        <w:rPr>
          <w:rFonts w:ascii="Times New Roman" w:hAnsi="Times New Roman"/>
          <w:sz w:val="24"/>
          <w:szCs w:val="24"/>
        </w:rPr>
        <w:t xml:space="preserve">. The government is committed to expanding people's access to finance in Islamic boarding schools that are not connected to formal financial institutions </w:t>
      </w:r>
      <w:r w:rsidR="00941BB9">
        <w:rPr>
          <w:rFonts w:ascii="Times New Roman" w:hAnsi="Times New Roman"/>
          <w:sz w:val="24"/>
          <w:szCs w:val="24"/>
        </w:rPr>
        <w:fldChar w:fldCharType="begin" w:fldLock="1"/>
      </w:r>
      <w:r w:rsidR="00416523">
        <w:rPr>
          <w:rFonts w:ascii="Times New Roman" w:hAnsi="Times New Roman"/>
          <w:sz w:val="24"/>
          <w:szCs w:val="24"/>
        </w:rPr>
        <w:instrText>ADDIN CSL_CITATION {"citationItems":[{"id":"ITEM-1","itemData":{"DOI":"10.1108/JIMA-03-2024-0108","ISSN":"1759-0833","author":[{"dropping-particle":"","family":"Qizam","given":"Ibnu","non-dropping-particle":"","parse-names":false,"suffix":""},{"dropping-particle":"","family":"Berakon","given":"Izra","non-dropping-particle":"","parse-names":false,"suffix":""},{"dropping-particle":"","family":"Ali","given":"Herni","non-dropping-particle":"","parse-names":false,"suffix":""}],"container-title":"Journal of Islamic Marketing","id":"ITEM-1","issue":"3","issued":{"date-parts":[["2025","2","3"]]},"page":"810-840","title":"The role of halal value chain, Sharia financial inclusion, and digital economy in socio-economic transformation: a study of Islamic boarding schools in Indonesia","type":"article-journal","volume":"16"},"uris":["http://www.mendeley.com/documents/?uuid=952a6e40-6b36-4fc0-b74c-d4cc8a31be85"]}],"mendeley":{"formattedCitation":"(Qizam et al., 2025)","plainTextFormattedCitation":"(Qizam et al., 2025)","previouslyFormattedCitation":"(Qizam et al., 2025)"},"properties":{"noteIndex":0},"schema":"https://github.com/citation-style-language/schema/raw/master/csl-citation.json"}</w:instrText>
      </w:r>
      <w:r w:rsidR="00941BB9">
        <w:rPr>
          <w:rFonts w:ascii="Times New Roman" w:hAnsi="Times New Roman"/>
          <w:sz w:val="24"/>
          <w:szCs w:val="24"/>
        </w:rPr>
        <w:fldChar w:fldCharType="separate"/>
      </w:r>
      <w:r w:rsidR="00941BB9" w:rsidRPr="00941BB9">
        <w:rPr>
          <w:rFonts w:ascii="Times New Roman" w:hAnsi="Times New Roman"/>
          <w:noProof/>
          <w:sz w:val="24"/>
          <w:szCs w:val="24"/>
        </w:rPr>
        <w:t>(Qizam et al., 2025)</w:t>
      </w:r>
      <w:r w:rsidR="00941BB9">
        <w:rPr>
          <w:rFonts w:ascii="Times New Roman" w:hAnsi="Times New Roman"/>
          <w:sz w:val="24"/>
          <w:szCs w:val="24"/>
        </w:rPr>
        <w:fldChar w:fldCharType="end"/>
      </w:r>
      <w:r w:rsidR="00941BB9">
        <w:rPr>
          <w:rFonts w:ascii="Times New Roman" w:hAnsi="Times New Roman"/>
          <w:sz w:val="24"/>
          <w:szCs w:val="24"/>
        </w:rPr>
        <w:t xml:space="preserve">. This financial institution does not collect and manage public savings funds (Non-Deposit Taking). </w:t>
      </w:r>
      <w:r w:rsidR="009C5CAE" w:rsidRPr="009C5CAE">
        <w:rPr>
          <w:rFonts w:ascii="Times New Roman" w:hAnsi="Times New Roman"/>
          <w:sz w:val="24"/>
          <w:szCs w:val="24"/>
        </w:rPr>
        <w:t xml:space="preserve">MWB exclusively offers support and financial resources to economically disadvantaged women exhibiting productive potential in proximity to Islamic boarding </w:t>
      </w:r>
      <w:r w:rsidR="009C5CAE" w:rsidRPr="009C5CAE">
        <w:rPr>
          <w:rFonts w:ascii="Times New Roman" w:hAnsi="Times New Roman"/>
          <w:sz w:val="24"/>
          <w:szCs w:val="24"/>
        </w:rPr>
        <w:lastRenderedPageBreak/>
        <w:t>institutions, adhering to sharia regulations. The allocation of financial resources employs a collective approach characterized by a system of shared accountability.</w:t>
      </w:r>
      <w:r w:rsidR="009C5CAE" w:rsidRPr="009C5CAE">
        <w:rPr>
          <w:rFonts w:ascii="Times New Roman" w:hAnsi="Times New Roman"/>
          <w:sz w:val="24"/>
          <w:szCs w:val="24"/>
        </w:rPr>
        <w:t xml:space="preserve"> </w:t>
      </w:r>
      <w:r w:rsidRPr="004E16EB">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{"citationItems":[{"id":"ITEM-1","itemData":{"author":[{"dropping-particle":"","family":"Rozalinda","given":"","non-dropping-particle":"","parse-names":false,"suffix":""}],"container-title":"Islam Realitas: Journal of Islamic and Social Studies","id":"ITEM-1","issue":"1","issued":{"date-parts":[["2020"]]},"page":"47-60","title":"Bank Wakaf Mikro: Its Operations and Its Role in Empowering Communities Surrounding Islamic Boarding Schools in Indonesia","type":"article-journal","volume":"6"},"uris":["http://www.mendeley.com/documents/?uuid=d7c9bd3e-539b-3576-8b04-dfeaa0a473a5","http://www.mendeley.com/documents/?uuid=abed36fa-c1a5-4e57-acdf-d6bc7ca1dbb9"]}],"mendeley":{"formattedCitation":"(Rozalinda, 2020)","plainTextFormattedCitation":"(Rozalinda, 2020)","previouslyFormattedCitation":"(Rozalinda, 2020)"},"properties":{"noteIndex":0},"schema":"https://github.com/citation-style-language/schema/raw/master/csl-citation.json"}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(Rozalinda, 2020)</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w:t>
      </w:r>
    </w:p>
    <w:p w14:paraId="5DDD3008" w14:textId="578CF1A9" w:rsidR="00C16EFA" w:rsidRPr="004E16EB" w:rsidRDefault="00C611A5" w:rsidP="009858D2">
      <w:pPr>
        <w:spacing w:after="0" w:line="240" w:lineRule="auto"/>
        <w:ind w:firstLine="720"/>
        <w:contextualSpacing/>
        <w:jc w:val="both"/>
        <w:rPr>
          <w:rFonts w:ascii="Times New Roman" w:hAnsi="Times New Roman" w:cs="Times New Roman"/>
          <w:sz w:val="24"/>
          <w:szCs w:val="24"/>
          <w:lang w:val="id-ID"/>
        </w:rPr>
      </w:pPr>
      <w:r w:rsidRPr="004E16EB">
        <w:rPr>
          <w:rFonts w:ascii="Times New Roman" w:hAnsi="Times New Roman"/>
          <w:sz w:val="24"/>
          <w:szCs w:val="24"/>
        </w:rPr>
        <w:t xml:space="preserve">MWB was established to 1) improve the welfare of the community around the pesantren by helping and training customers to increase their business, 2) improve the living standards of the productive poor, 3) maximize the role of the pesantren as an educational institution that is close to the socio-religious life of the surrounding community to empower women through weekly </w:t>
      </w:r>
      <w:r w:rsidRPr="004E16EB">
        <w:rPr>
          <w:rFonts w:ascii="Times New Roman" w:hAnsi="Times New Roman"/>
          <w:i/>
          <w:iCs/>
          <w:sz w:val="24"/>
          <w:szCs w:val="24"/>
        </w:rPr>
        <w:t xml:space="preserve">Halaqoh </w:t>
      </w:r>
      <w:r w:rsidRPr="004E16EB">
        <w:rPr>
          <w:rFonts w:ascii="Times New Roman" w:hAnsi="Times New Roman"/>
          <w:sz w:val="24"/>
          <w:szCs w:val="24"/>
        </w:rPr>
        <w:t xml:space="preserve">(WH) for each group member, 4) building and strengthening socio-economic institutions by using professional, accountable, and independent MWB by growing Community Business Groups around Islamic Boarding Schools in Indonesia (CBGIBSI). Institutionally, MWB is a cooperative legal entity </w:t>
      </w:r>
      <w:r w:rsidRPr="004E16EB">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{"citationItems":[{"id":"ITEM-1","itemData":{"DOI":"10.31603/variajusticia.v16i1.3205","ISSN":"1907-3216","abstract":"The presence of types of financial institutions in Indonesia makes it easy for people to choose which financial services they need. Micro Waqf Bank is one of the Microfinance Institutions that applies sharia principles that are currently growing and developing. However, there are legal issues related to arrangements for organizing a Micro Waqf Bank with a cooperative legal entity, namely, there are two overlapping regulations, namely the Microfinance Institution legislation, and Cooperative regulations. The purpose of this study is necessary to find out whether the legal consequences arising in the process of establishment, implementation, or if there are problems encountered by Mikro Waqf Banks as a Sharia Microfinance Institution incorporated as a cooperative. This study uses a normative legal research method with a statutory approach and conceptual approach. This study shows that the dualism of Micro Waqf Bank arrangements gives rise to contradictions in the arrangements for the establishment, guidance, and supervision. The existence of this dualism of regulation also gives rise to legal consequences in the establishment of a Micro Waqf Bank incorporated as a cooperative. The legal consequences are related to the broader aspects of business activities based on MFI regulations compared to cooperative regulations. Legal consequences related to capital aspects that require Micro Waqf Banks have a certain amount of capital by MFI regulations. Then from the aspect of coaching and supervision in which there are an examination and evaluation, there is also a dualism which in the regulation of the function of the cooperative is carried out by the Ministry of Cooperatives but the existence of the MFI regulation of the fostering and supervision function is under the authority of the Financial Services Authority.","author":[{"dropping-particle":"","family":"Paramita","given":"","non-dropping-particle":"","parse-names":false,"suffix":""},{"dropping-particle":"","family":"Prananingtyas","given":"Hari Sutra Disemadi","non-dropping-particle":"","parse-names":false,"suffix":""}],"container-title":"Varia Justicia","id":"ITEM-1","issue":"1","issued":{"date-parts":[["2020","4"]]},"page":"1-14","publisher":"Universitas Muhammadiyah Magelang","title":"Legal Consequences of Dualism Regulations on Micro Waqf Bank as a Sharia Microfinance Institutions in Indonesia","type":"article-journal","volume":"16"},"uris":["http://www.mendeley.com/documents/?uuid=391d62c0-6a4e-4c58-896e-c05b86bd98bd","http://www.mendeley.com/documents/?uuid=c298e79a-aa7e-3e93-81d3-a24989badb84"]}],"mendeley":{"formattedCitation":"(Paramita &amp; Prananingtyas, 2020)","plainTextFormattedCitation":"(Paramita &amp; Prananingtyas, 2020)","previouslyFormattedCitation":"(Paramita &amp; Prananingtyas, 2020)"},"properties":{"noteIndex":0},"schema":"https://github.com/citation-style-language/schema/raw/master/csl-citation.json"}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(Paramita &amp; Prananingtyas, 2020)</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that </w:t>
      </w:r>
      <w:r w:rsidRPr="004E16EB">
        <w:rPr>
          <w:rFonts w:ascii="Times New Roman" w:hAnsi="Times New Roman"/>
          <w:sz w:val="24"/>
          <w:szCs w:val="24"/>
        </w:rPr>
        <w:t xml:space="preserve">using the SMI platform which is licensed and supervised by the Financial Services Authority (OJK) </w:t>
      </w:r>
      <w:r w:rsidRPr="004E16EB">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{"citationItems":[{"id":"ITEM-1","itemData":{"DOI":"10.46799/JSS.V1I1.2","ISSN":"2721-5202","abstract":"This study aims to find out how the implementation ofmarketing at the Sharia Micro Typical Sharia Bank KempekCirebon and marketing strategies used by the Micro WaqfBank in increasing the number of corporate customers. Theresearch method used is a qualitative method. The marketingstrategy used by the Typical Sharia Micro Waqf Bank inKempek Cirebon is to use segmenting, targeting andpositioning. Applying the characteristics of sharia marketingin the form of God, realistic, moral and humanistic. Marketsegments determined by the Micro Islamic Waqf Bank aregeographical segments, demographic segments,psychographic segments, and behavioral segments.Customers at the Micro Islamic Waqf Bank each year haveincreased, which of course this institution continues toincrease turnover. Customers are very interested in theproducts owned by this institution because they have very lowmargins. Islamic Micro Waqf Bank has done a goodmarketing implementation, even has a marketing strategy.The name of the Micro-Islamic Waqf Bank is already greatbecause it carries the name Pondok Pesantren TypicalKempek.Keywords: Marketing Strategy, Micro Islamic Waqf Bank,Customers.","author":[{"dropping-particle":"","family":"Widyanti","given":"Asih","non-dropping-particle":"","parse-names":false,"suffix":""}],"container-title":"Journal of Social Science","id":"ITEM-1","issue":"1","issued":{"date-parts":[["2020","3"]]},"page":"1-9","title":"STRATEGY MARKETING OF SHARIA BANKS OF MICRO SHARIA WAKAF IN INCREASING THE NUMBER OF CUSTOMERS (Case Study: Typical Islamic Micro Waqf Bank Kempek Cirebon)","type":"article-journal","volume":"1"},"uris":["http://www.mendeley.com/documents/?uuid=de17bbbd-84aa-31bf-854a-5a0c588ac397","http://www.mendeley.com/documents/?uuid=ec9bab56-e082-4c51-8048-c0d20bfb6acf"]}],"mendeley":{"formattedCitation":"(Widyanti, 2020)","plainTextFormattedCitation":"(Widyanti, 2020)","previouslyFormattedCitation":"(Widyanti, 2020)"},"properties":{"noteIndex":0},"schema":"https://github.com/citation-style-language/schema/raw/master/csl-citation.json"}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(Widyanti, 2020)</w:t>
      </w:r>
      <w:r w:rsidRPr="004E16EB">
        <w:rPr>
          <w:rFonts w:ascii="Times New Roman" w:hAnsi="Times New Roman" w:cs="Times New Roman"/>
          <w:sz w:val="24"/>
          <w:szCs w:val="24"/>
        </w:rPr>
        <w:fldChar w:fldCharType="end"/>
      </w:r>
      <w:r w:rsidR="008210FF">
        <w:rPr>
          <w:rFonts w:ascii="Times New Roman" w:hAnsi="Times New Roman" w:cs="Times New Roman"/>
          <w:sz w:val="24"/>
          <w:szCs w:val="24"/>
        </w:rPr>
        <w:t xml:space="preserve">. </w:t>
      </w:r>
      <w:r w:rsidR="00B47104" w:rsidRPr="00B47104">
        <w:rPr>
          <w:rFonts w:ascii="Times New Roman" w:hAnsi="Times New Roman"/>
          <w:sz w:val="24"/>
          <w:szCs w:val="24"/>
        </w:rPr>
        <w:t>Since its national launch in 2017 and up to March 31, 2019, a total of 43 WMBs have been established across Indonesia. Concurrently, the financing allocated by WMB by March 2019 amounted to Rp 18,543,680,000, benefiting a cumulative total of 15,236 clients dispersed among 10,003 CBGIBS</w:t>
      </w:r>
      <w:r w:rsidRPr="004E16EB">
        <w:rPr>
          <w:rFonts w:ascii="Times New Roman" w:hAnsi="Times New Roman"/>
          <w:sz w:val="24"/>
          <w:szCs w:val="24"/>
        </w:rPr>
        <w:t xml:space="preserve">I </w:t>
      </w:r>
      <w:r w:rsidRPr="004E16EB">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author":[{"dropping-particle":"","family":"BWM","given":"","non-dropping-particle":"","parse-names":false,"suffix":""}],"container-title":"http://www.lkmsbwm.id/","id":"ITEM-1","issued":{"date-parts":[["2019"]]},"page":"1","title":"LKMS-BWM","type":"webpage"},"uris":["http://www.mendeley.com/documents/?uuid=e99a964b-d87d-3aff-a414-914192f9cd5f","http://www.mendeley.com/documents/?uuid=521df574-db7d-4fee-9419-f56848a3ebe8"]}],"mendeley":{"formattedCitation":"(BWM, 2019)","plainTextFormattedCitation":"(BWM, 2019)","previouslyFormattedCitation":"(BWM, 2019)"},"properties":{"noteIndex":0},"schema":"https://github.com/citation-style-language/schema/raw/master/csl-citation.json"}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(BWM, 2019)</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p>
    <w:p w14:paraId="0988788E" w14:textId="77777777" w:rsidR="00C16EFA" w:rsidRPr="004E16EB" w:rsidRDefault="00C16EFA" w:rsidP="009858D2">
      <w:pPr>
        <w:spacing w:after="0" w:line="240" w:lineRule="auto"/>
        <w:ind w:firstLine="720"/>
        <w:contextualSpacing/>
        <w:jc w:val="both"/>
        <w:rPr>
          <w:rFonts w:ascii="Times New Roman" w:hAnsi="Times New Roman" w:cs="Times New Roman"/>
          <w:sz w:val="24"/>
          <w:szCs w:val="24"/>
        </w:rPr>
      </w:pPr>
    </w:p>
    <w:p w14:paraId="5385844D" w14:textId="6C1E2A54" w:rsidR="00C16EFA" w:rsidRPr="00207A78" w:rsidRDefault="00C611A5" w:rsidP="00207A78">
      <w:pPr>
        <w:pStyle w:val="ListParagraph"/>
        <w:numPr>
          <w:ilvl w:val="0"/>
          <w:numId w:val="1"/>
        </w:numPr>
        <w:spacing w:before="120" w:after="120" w:line="240" w:lineRule="auto"/>
        <w:ind w:left="357" w:hanging="357"/>
        <w:contextualSpacing w:val="0"/>
        <w:jc w:val="both"/>
        <w:rPr>
          <w:rFonts w:ascii="Times New Roman" w:hAnsi="Times New Roman" w:cs="Times New Roman"/>
          <w:b/>
          <w:sz w:val="24"/>
          <w:szCs w:val="24"/>
        </w:rPr>
      </w:pPr>
      <w:r w:rsidRPr="00207A78">
        <w:rPr>
          <w:rFonts w:ascii="Times New Roman" w:hAnsi="Times New Roman" w:cs="Times New Roman"/>
          <w:b/>
          <w:sz w:val="24"/>
          <w:szCs w:val="24"/>
        </w:rPr>
        <w:t>Method</w:t>
      </w:r>
    </w:p>
    <w:p w14:paraId="443157F6" w14:textId="77777777" w:rsidR="00C16EFA" w:rsidRPr="004E16EB" w:rsidRDefault="00C611A5" w:rsidP="009858D2">
      <w:pPr>
        <w:spacing w:after="120" w:line="240" w:lineRule="auto"/>
        <w:ind w:firstLine="720"/>
        <w:jc w:val="both"/>
        <w:rPr>
          <w:rFonts w:ascii="Times New Roman" w:hAnsi="Times New Roman" w:cs="Times New Roman"/>
          <w:sz w:val="24"/>
          <w:szCs w:val="24"/>
        </w:rPr>
      </w:pPr>
      <w:r w:rsidRPr="004E16EB">
        <w:rPr>
          <w:rFonts w:ascii="Times New Roman" w:eastAsia="Times New Roman" w:hAnsi="Times New Roman" w:cs="Times New Roman"/>
          <w:sz w:val="24"/>
          <w:szCs w:val="24"/>
          <w:lang w:eastAsia="id-ID"/>
        </w:rPr>
        <w:t xml:space="preserve"> </w:t>
      </w:r>
      <w:r w:rsidRPr="004E16EB">
        <w:rPr>
          <w:rFonts w:ascii="Times New Roman" w:hAnsi="Times New Roman"/>
          <w:sz w:val="24"/>
          <w:szCs w:val="24"/>
        </w:rPr>
        <w:t>This research was conducted in MWB in Yogyakarta Province, West Sumatra, and Central and East Java, Indonesia, as shown in Table 1.</w:t>
      </w:r>
    </w:p>
    <w:p w14:paraId="340857FA" w14:textId="77777777" w:rsidR="00C16EFA" w:rsidRPr="004E16EB" w:rsidRDefault="00C611A5" w:rsidP="00D24B00">
      <w:pPr>
        <w:spacing w:after="0" w:line="240" w:lineRule="auto"/>
        <w:jc w:val="center"/>
        <w:rPr>
          <w:rFonts w:ascii="Times New Roman" w:hAnsi="Times New Roman" w:cs="Times New Roman"/>
          <w:sz w:val="24"/>
          <w:szCs w:val="24"/>
        </w:rPr>
      </w:pPr>
      <w:r w:rsidRPr="004E16EB">
        <w:rPr>
          <w:rFonts w:ascii="Times New Roman" w:hAnsi="Times New Roman" w:cs="Times New Roman"/>
          <w:sz w:val="24"/>
          <w:szCs w:val="24"/>
        </w:rPr>
        <w:t>Table 1. Study Location</w:t>
      </w:r>
    </w:p>
    <w:tbl>
      <w:tblPr>
        <w:tblStyle w:val="TableGrid"/>
        <w:tblW w:w="0" w:type="auto"/>
        <w:tblLook w:val="04A0" w:firstRow="1" w:lastRow="0" w:firstColumn="1" w:lastColumn="0" w:noHBand="0" w:noVBand="1"/>
      </w:tblPr>
      <w:tblGrid>
        <w:gridCol w:w="1715"/>
        <w:gridCol w:w="7311"/>
      </w:tblGrid>
      <w:tr w:rsidR="00C16EFA" w:rsidRPr="004E16EB" w14:paraId="16335E40" w14:textId="77777777">
        <w:tc>
          <w:tcPr>
            <w:tcW w:w="1728" w:type="dxa"/>
            <w:tcBorders>
              <w:top w:val="single" w:sz="4" w:space="0" w:color="auto"/>
              <w:left w:val="nil"/>
              <w:bottom w:val="single" w:sz="4" w:space="0" w:color="auto"/>
              <w:right w:val="nil"/>
            </w:tcBorders>
          </w:tcPr>
          <w:p w14:paraId="3F23E2F8" w14:textId="77777777" w:rsidR="00C16EFA" w:rsidRPr="004E16EB" w:rsidRDefault="00C611A5" w:rsidP="009858D2">
            <w:pPr>
              <w:spacing w:after="0" w:line="240" w:lineRule="auto"/>
              <w:jc w:val="both"/>
              <w:rPr>
                <w:rFonts w:ascii="Times New Roman" w:hAnsi="Times New Roman" w:cs="Times New Roman"/>
                <w:sz w:val="24"/>
                <w:szCs w:val="24"/>
              </w:rPr>
            </w:pPr>
            <w:r w:rsidRPr="004E16EB">
              <w:rPr>
                <w:rFonts w:ascii="Times New Roman" w:hAnsi="Times New Roman" w:cs="Times New Roman"/>
                <w:sz w:val="24"/>
                <w:szCs w:val="24"/>
              </w:rPr>
              <w:t>Province</w:t>
            </w:r>
          </w:p>
        </w:tc>
        <w:tc>
          <w:tcPr>
            <w:tcW w:w="7514" w:type="dxa"/>
            <w:tcBorders>
              <w:top w:val="single" w:sz="4" w:space="0" w:color="auto"/>
              <w:left w:val="nil"/>
              <w:bottom w:val="single" w:sz="4" w:space="0" w:color="auto"/>
              <w:right w:val="nil"/>
            </w:tcBorders>
          </w:tcPr>
          <w:p w14:paraId="5EC71311" w14:textId="77777777" w:rsidR="00C16EFA" w:rsidRPr="004E16EB" w:rsidRDefault="00C611A5" w:rsidP="009858D2">
            <w:pPr>
              <w:spacing w:after="0" w:line="240" w:lineRule="auto"/>
              <w:jc w:val="center"/>
              <w:rPr>
                <w:rFonts w:ascii="Times New Roman" w:hAnsi="Times New Roman" w:cs="Times New Roman"/>
                <w:sz w:val="24"/>
                <w:szCs w:val="24"/>
              </w:rPr>
            </w:pPr>
            <w:r w:rsidRPr="004E16EB">
              <w:rPr>
                <w:rFonts w:ascii="Times New Roman" w:hAnsi="Times New Roman" w:cs="Times New Roman"/>
                <w:sz w:val="24"/>
                <w:szCs w:val="24"/>
              </w:rPr>
              <w:t xml:space="preserve">SMI MWB </w:t>
            </w:r>
          </w:p>
        </w:tc>
      </w:tr>
      <w:tr w:rsidR="00C16EFA" w:rsidRPr="004E16EB" w14:paraId="7A34EB50" w14:textId="77777777">
        <w:tc>
          <w:tcPr>
            <w:tcW w:w="1728" w:type="dxa"/>
            <w:tcBorders>
              <w:top w:val="single" w:sz="4" w:space="0" w:color="auto"/>
              <w:left w:val="nil"/>
              <w:bottom w:val="nil"/>
              <w:right w:val="nil"/>
            </w:tcBorders>
          </w:tcPr>
          <w:p w14:paraId="4BB38661" w14:textId="77777777" w:rsidR="00C16EFA" w:rsidRPr="004E16EB" w:rsidRDefault="00C611A5" w:rsidP="009858D2">
            <w:pPr>
              <w:spacing w:after="0" w:line="240" w:lineRule="auto"/>
              <w:jc w:val="both"/>
              <w:rPr>
                <w:rFonts w:ascii="Times New Roman" w:hAnsi="Times New Roman" w:cs="Times New Roman"/>
                <w:sz w:val="24"/>
                <w:szCs w:val="24"/>
              </w:rPr>
            </w:pPr>
            <w:r w:rsidRPr="004E16EB">
              <w:rPr>
                <w:rFonts w:ascii="Times New Roman" w:hAnsi="Times New Roman" w:cs="Times New Roman"/>
                <w:sz w:val="24"/>
                <w:szCs w:val="24"/>
              </w:rPr>
              <w:t>West Sumatra</w:t>
            </w:r>
          </w:p>
        </w:tc>
        <w:tc>
          <w:tcPr>
            <w:tcW w:w="7514" w:type="dxa"/>
            <w:tcBorders>
              <w:top w:val="single" w:sz="4" w:space="0" w:color="auto"/>
              <w:left w:val="nil"/>
              <w:bottom w:val="nil"/>
              <w:right w:val="nil"/>
            </w:tcBorders>
          </w:tcPr>
          <w:p w14:paraId="41371BDE" w14:textId="77777777" w:rsidR="00C16EFA" w:rsidRPr="004E16EB" w:rsidRDefault="00C611A5" w:rsidP="009858D2">
            <w:pPr>
              <w:pStyle w:val="ListParagraph"/>
              <w:numPr>
                <w:ilvl w:val="0"/>
                <w:numId w:val="4"/>
              </w:numPr>
              <w:spacing w:after="0" w:line="240" w:lineRule="auto"/>
              <w:ind w:left="252"/>
              <w:jc w:val="both"/>
              <w:rPr>
                <w:rFonts w:ascii="Times New Roman" w:hAnsi="Times New Roman" w:cs="Times New Roman"/>
                <w:sz w:val="24"/>
                <w:szCs w:val="24"/>
              </w:rPr>
            </w:pPr>
            <w:r w:rsidRPr="004E16EB">
              <w:rPr>
                <w:rFonts w:ascii="Times New Roman" w:hAnsi="Times New Roman" w:cs="Times New Roman"/>
                <w:sz w:val="24"/>
                <w:szCs w:val="24"/>
              </w:rPr>
              <w:t>SMI MWB Al Kausar Sari Lamak Kec. Harau, Lima Puluh Kota, West Sumatra</w:t>
            </w:r>
          </w:p>
        </w:tc>
      </w:tr>
      <w:tr w:rsidR="00C16EFA" w:rsidRPr="004E16EB" w14:paraId="4D245108" w14:textId="77777777">
        <w:tc>
          <w:tcPr>
            <w:tcW w:w="1728" w:type="dxa"/>
            <w:vMerge w:val="restart"/>
            <w:tcBorders>
              <w:top w:val="nil"/>
              <w:left w:val="nil"/>
              <w:bottom w:val="nil"/>
              <w:right w:val="nil"/>
            </w:tcBorders>
          </w:tcPr>
          <w:p w14:paraId="5B3449D5" w14:textId="77777777" w:rsidR="00C16EFA" w:rsidRPr="004E16EB" w:rsidRDefault="00C611A5" w:rsidP="009858D2">
            <w:pPr>
              <w:spacing w:after="0" w:line="240" w:lineRule="auto"/>
              <w:jc w:val="both"/>
              <w:rPr>
                <w:rFonts w:ascii="Times New Roman" w:hAnsi="Times New Roman" w:cs="Times New Roman"/>
                <w:sz w:val="24"/>
                <w:szCs w:val="24"/>
              </w:rPr>
            </w:pPr>
            <w:r w:rsidRPr="004E16EB">
              <w:rPr>
                <w:rFonts w:ascii="Times New Roman" w:hAnsi="Times New Roman" w:cs="Times New Roman"/>
                <w:sz w:val="24"/>
                <w:szCs w:val="24"/>
              </w:rPr>
              <w:t>Yogyakarta</w:t>
            </w:r>
          </w:p>
        </w:tc>
        <w:tc>
          <w:tcPr>
            <w:tcW w:w="7514" w:type="dxa"/>
            <w:tcBorders>
              <w:top w:val="nil"/>
              <w:left w:val="nil"/>
              <w:bottom w:val="nil"/>
              <w:right w:val="nil"/>
            </w:tcBorders>
          </w:tcPr>
          <w:p w14:paraId="00014E45" w14:textId="77777777" w:rsidR="00C16EFA" w:rsidRPr="004E16EB" w:rsidRDefault="00C611A5" w:rsidP="009858D2">
            <w:pPr>
              <w:pStyle w:val="ListParagraph"/>
              <w:numPr>
                <w:ilvl w:val="0"/>
                <w:numId w:val="4"/>
              </w:numPr>
              <w:spacing w:after="0" w:line="240" w:lineRule="auto"/>
              <w:ind w:left="252"/>
              <w:jc w:val="both"/>
              <w:rPr>
                <w:rFonts w:ascii="Times New Roman" w:hAnsi="Times New Roman" w:cs="Times New Roman"/>
                <w:sz w:val="24"/>
                <w:szCs w:val="24"/>
              </w:rPr>
            </w:pPr>
            <w:r w:rsidRPr="004E16EB">
              <w:rPr>
                <w:rFonts w:ascii="Times New Roman" w:hAnsi="Times New Roman" w:cs="Times New Roman"/>
                <w:sz w:val="24"/>
                <w:szCs w:val="24"/>
              </w:rPr>
              <w:t>SMI MWB Usaha Mandiri Sakinah, Aisyiyah University (UNISA) Yogyakarta</w:t>
            </w:r>
          </w:p>
        </w:tc>
      </w:tr>
      <w:tr w:rsidR="00C16EFA" w:rsidRPr="004E16EB" w14:paraId="313FA46B" w14:textId="77777777">
        <w:tc>
          <w:tcPr>
            <w:tcW w:w="1728" w:type="dxa"/>
            <w:vMerge/>
            <w:tcBorders>
              <w:top w:val="nil"/>
              <w:left w:val="nil"/>
              <w:bottom w:val="nil"/>
              <w:right w:val="nil"/>
            </w:tcBorders>
          </w:tcPr>
          <w:p w14:paraId="054580F2" w14:textId="77777777" w:rsidR="00C16EFA" w:rsidRPr="004E16EB" w:rsidRDefault="00C16EFA" w:rsidP="009858D2">
            <w:pPr>
              <w:spacing w:after="0" w:line="240" w:lineRule="auto"/>
              <w:jc w:val="both"/>
              <w:rPr>
                <w:rFonts w:ascii="Times New Roman" w:hAnsi="Times New Roman" w:cs="Times New Roman"/>
                <w:sz w:val="24"/>
                <w:szCs w:val="24"/>
              </w:rPr>
            </w:pPr>
          </w:p>
        </w:tc>
        <w:tc>
          <w:tcPr>
            <w:tcW w:w="7514" w:type="dxa"/>
            <w:tcBorders>
              <w:top w:val="nil"/>
              <w:left w:val="nil"/>
              <w:bottom w:val="nil"/>
              <w:right w:val="nil"/>
            </w:tcBorders>
          </w:tcPr>
          <w:p w14:paraId="56706781" w14:textId="77777777" w:rsidR="00C16EFA" w:rsidRPr="004E16EB" w:rsidRDefault="00C611A5" w:rsidP="009858D2">
            <w:pPr>
              <w:pStyle w:val="ListParagraph"/>
              <w:numPr>
                <w:ilvl w:val="0"/>
                <w:numId w:val="4"/>
              </w:numPr>
              <w:spacing w:after="0" w:line="240" w:lineRule="auto"/>
              <w:ind w:left="252"/>
              <w:jc w:val="both"/>
              <w:rPr>
                <w:rFonts w:ascii="Times New Roman" w:hAnsi="Times New Roman" w:cs="Times New Roman"/>
                <w:sz w:val="24"/>
                <w:szCs w:val="24"/>
              </w:rPr>
            </w:pPr>
            <w:r w:rsidRPr="004E16EB">
              <w:rPr>
                <w:rFonts w:ascii="Times New Roman" w:hAnsi="Times New Roman" w:cs="Times New Roman"/>
                <w:sz w:val="24"/>
                <w:szCs w:val="24"/>
              </w:rPr>
              <w:t>SMI MWB Almuna Berkah Mandiri, Al Munawwir Islamic Boarding School, Krapyak Yogyakarta</w:t>
            </w:r>
          </w:p>
        </w:tc>
      </w:tr>
      <w:tr w:rsidR="00C16EFA" w:rsidRPr="004E16EB" w14:paraId="737CA91C" w14:textId="77777777">
        <w:tc>
          <w:tcPr>
            <w:tcW w:w="1728" w:type="dxa"/>
            <w:vMerge/>
            <w:tcBorders>
              <w:top w:val="nil"/>
              <w:left w:val="nil"/>
              <w:bottom w:val="nil"/>
              <w:right w:val="nil"/>
            </w:tcBorders>
          </w:tcPr>
          <w:p w14:paraId="71936D91" w14:textId="77777777" w:rsidR="00C16EFA" w:rsidRPr="004E16EB" w:rsidRDefault="00C16EFA" w:rsidP="009858D2">
            <w:pPr>
              <w:spacing w:after="0" w:line="240" w:lineRule="auto"/>
              <w:jc w:val="both"/>
              <w:rPr>
                <w:rFonts w:ascii="Times New Roman" w:hAnsi="Times New Roman" w:cs="Times New Roman"/>
                <w:sz w:val="24"/>
                <w:szCs w:val="24"/>
              </w:rPr>
            </w:pPr>
          </w:p>
        </w:tc>
        <w:tc>
          <w:tcPr>
            <w:tcW w:w="7514" w:type="dxa"/>
            <w:tcBorders>
              <w:top w:val="nil"/>
              <w:left w:val="nil"/>
              <w:bottom w:val="nil"/>
              <w:right w:val="nil"/>
            </w:tcBorders>
          </w:tcPr>
          <w:p w14:paraId="3FDF4591" w14:textId="77777777" w:rsidR="00C16EFA" w:rsidRPr="004E16EB" w:rsidRDefault="00C611A5" w:rsidP="009858D2">
            <w:pPr>
              <w:pStyle w:val="ListParagraph"/>
              <w:numPr>
                <w:ilvl w:val="0"/>
                <w:numId w:val="4"/>
              </w:numPr>
              <w:spacing w:after="0" w:line="240" w:lineRule="auto"/>
              <w:ind w:left="252"/>
              <w:jc w:val="both"/>
              <w:rPr>
                <w:rFonts w:ascii="Times New Roman" w:hAnsi="Times New Roman" w:cs="Times New Roman"/>
                <w:sz w:val="24"/>
                <w:szCs w:val="24"/>
              </w:rPr>
            </w:pPr>
            <w:r w:rsidRPr="004E16EB">
              <w:rPr>
                <w:rFonts w:ascii="Times New Roman" w:hAnsi="Times New Roman" w:cs="Times New Roman"/>
                <w:sz w:val="24"/>
                <w:szCs w:val="24"/>
              </w:rPr>
              <w:t>SMI MWB Al Manshur Barokahing Gusti, Klaten Regency, Yogyakarta</w:t>
            </w:r>
          </w:p>
        </w:tc>
      </w:tr>
      <w:tr w:rsidR="00C16EFA" w:rsidRPr="004E16EB" w14:paraId="330C60A7" w14:textId="77777777">
        <w:tc>
          <w:tcPr>
            <w:tcW w:w="1728" w:type="dxa"/>
            <w:vMerge/>
            <w:tcBorders>
              <w:top w:val="nil"/>
              <w:left w:val="nil"/>
              <w:bottom w:val="nil"/>
              <w:right w:val="nil"/>
            </w:tcBorders>
          </w:tcPr>
          <w:p w14:paraId="1070846C" w14:textId="77777777" w:rsidR="00C16EFA" w:rsidRPr="004E16EB" w:rsidRDefault="00C16EFA" w:rsidP="009858D2">
            <w:pPr>
              <w:spacing w:after="0" w:line="240" w:lineRule="auto"/>
              <w:jc w:val="both"/>
              <w:rPr>
                <w:rFonts w:ascii="Times New Roman" w:hAnsi="Times New Roman" w:cs="Times New Roman"/>
                <w:sz w:val="24"/>
                <w:szCs w:val="24"/>
              </w:rPr>
            </w:pPr>
          </w:p>
        </w:tc>
        <w:tc>
          <w:tcPr>
            <w:tcW w:w="7514" w:type="dxa"/>
            <w:tcBorders>
              <w:top w:val="nil"/>
              <w:left w:val="nil"/>
              <w:bottom w:val="nil"/>
              <w:right w:val="nil"/>
            </w:tcBorders>
          </w:tcPr>
          <w:p w14:paraId="4794D06A" w14:textId="77777777" w:rsidR="00C16EFA" w:rsidRPr="004E16EB" w:rsidRDefault="00C611A5" w:rsidP="009858D2">
            <w:pPr>
              <w:pStyle w:val="ListParagraph"/>
              <w:numPr>
                <w:ilvl w:val="0"/>
                <w:numId w:val="4"/>
              </w:numPr>
              <w:spacing w:after="0" w:line="240" w:lineRule="auto"/>
              <w:ind w:left="252"/>
              <w:jc w:val="both"/>
              <w:rPr>
                <w:rFonts w:ascii="Times New Roman" w:hAnsi="Times New Roman" w:cs="Times New Roman"/>
                <w:sz w:val="24"/>
                <w:szCs w:val="24"/>
              </w:rPr>
            </w:pPr>
            <w:r w:rsidRPr="004E16EB">
              <w:rPr>
                <w:rFonts w:ascii="Times New Roman" w:hAnsi="Times New Roman" w:cs="Times New Roman"/>
                <w:sz w:val="24"/>
                <w:szCs w:val="24"/>
              </w:rPr>
              <w:t>SMI Bank Waqf Syariah Alpansa, Klaten Regency, Yogyakarta</w:t>
            </w:r>
          </w:p>
        </w:tc>
      </w:tr>
      <w:tr w:rsidR="00C16EFA" w:rsidRPr="004E16EB" w14:paraId="0834284B" w14:textId="77777777">
        <w:tc>
          <w:tcPr>
            <w:tcW w:w="1728" w:type="dxa"/>
            <w:vMerge w:val="restart"/>
            <w:tcBorders>
              <w:top w:val="nil"/>
              <w:left w:val="nil"/>
              <w:bottom w:val="single" w:sz="4" w:space="0" w:color="auto"/>
              <w:right w:val="nil"/>
            </w:tcBorders>
          </w:tcPr>
          <w:p w14:paraId="7CE4C0F4" w14:textId="77777777" w:rsidR="00C16EFA" w:rsidRPr="004E16EB" w:rsidRDefault="00C611A5" w:rsidP="009858D2">
            <w:pPr>
              <w:spacing w:after="0" w:line="240" w:lineRule="auto"/>
              <w:jc w:val="both"/>
              <w:rPr>
                <w:rFonts w:ascii="Times New Roman" w:hAnsi="Times New Roman" w:cs="Times New Roman"/>
                <w:sz w:val="24"/>
                <w:szCs w:val="24"/>
              </w:rPr>
            </w:pPr>
            <w:r w:rsidRPr="004E16EB">
              <w:rPr>
                <w:rFonts w:ascii="Times New Roman" w:hAnsi="Times New Roman" w:cs="Times New Roman"/>
                <w:sz w:val="24"/>
                <w:szCs w:val="24"/>
              </w:rPr>
              <w:t>East Java</w:t>
            </w:r>
          </w:p>
        </w:tc>
        <w:tc>
          <w:tcPr>
            <w:tcW w:w="7514" w:type="dxa"/>
            <w:tcBorders>
              <w:top w:val="nil"/>
              <w:left w:val="nil"/>
              <w:bottom w:val="nil"/>
              <w:right w:val="nil"/>
            </w:tcBorders>
          </w:tcPr>
          <w:p w14:paraId="6ECB4C1F" w14:textId="77777777" w:rsidR="00C16EFA" w:rsidRPr="004E16EB" w:rsidRDefault="00C611A5" w:rsidP="009858D2">
            <w:pPr>
              <w:pStyle w:val="ListParagraph"/>
              <w:numPr>
                <w:ilvl w:val="0"/>
                <w:numId w:val="4"/>
              </w:numPr>
              <w:spacing w:after="0" w:line="240" w:lineRule="auto"/>
              <w:ind w:left="252"/>
              <w:jc w:val="both"/>
              <w:rPr>
                <w:rFonts w:ascii="Times New Roman" w:hAnsi="Times New Roman" w:cs="Times New Roman"/>
                <w:sz w:val="24"/>
                <w:szCs w:val="24"/>
              </w:rPr>
            </w:pPr>
            <w:r w:rsidRPr="004E16EB">
              <w:rPr>
                <w:rFonts w:ascii="Times New Roman" w:hAnsi="Times New Roman" w:cs="Times New Roman"/>
                <w:sz w:val="24"/>
                <w:szCs w:val="24"/>
              </w:rPr>
              <w:t>SMI MWB Alfitrah Wafa Mandiri, As-Salafi Al-Fithrah Islamic Boarding School, Kewall Surabaya, East Java</w:t>
            </w:r>
          </w:p>
        </w:tc>
      </w:tr>
      <w:tr w:rsidR="00C16EFA" w:rsidRPr="004E16EB" w14:paraId="7589A0AF" w14:textId="77777777">
        <w:tc>
          <w:tcPr>
            <w:tcW w:w="1728" w:type="dxa"/>
            <w:vMerge/>
            <w:tcBorders>
              <w:top w:val="nil"/>
              <w:left w:val="nil"/>
              <w:bottom w:val="nil"/>
              <w:right w:val="nil"/>
            </w:tcBorders>
          </w:tcPr>
          <w:p w14:paraId="53FA6F6E" w14:textId="77777777" w:rsidR="00C16EFA" w:rsidRPr="004E16EB" w:rsidRDefault="00C16EFA" w:rsidP="009858D2">
            <w:pPr>
              <w:spacing w:after="0" w:line="240" w:lineRule="auto"/>
              <w:jc w:val="both"/>
              <w:rPr>
                <w:rFonts w:ascii="Times New Roman" w:hAnsi="Times New Roman" w:cs="Times New Roman"/>
                <w:sz w:val="24"/>
                <w:szCs w:val="24"/>
              </w:rPr>
            </w:pPr>
          </w:p>
        </w:tc>
        <w:tc>
          <w:tcPr>
            <w:tcW w:w="7514" w:type="dxa"/>
            <w:tcBorders>
              <w:top w:val="nil"/>
              <w:left w:val="nil"/>
              <w:bottom w:val="nil"/>
              <w:right w:val="nil"/>
            </w:tcBorders>
          </w:tcPr>
          <w:p w14:paraId="4991B2EA" w14:textId="77777777" w:rsidR="00C16EFA" w:rsidRPr="004E16EB" w:rsidRDefault="00C611A5" w:rsidP="009858D2">
            <w:pPr>
              <w:pStyle w:val="ListParagraph"/>
              <w:numPr>
                <w:ilvl w:val="0"/>
                <w:numId w:val="4"/>
              </w:numPr>
              <w:spacing w:after="0" w:line="240" w:lineRule="auto"/>
              <w:ind w:left="252"/>
              <w:jc w:val="both"/>
              <w:rPr>
                <w:rFonts w:ascii="Times New Roman" w:hAnsi="Times New Roman" w:cs="Times New Roman"/>
                <w:sz w:val="24"/>
                <w:szCs w:val="24"/>
              </w:rPr>
            </w:pPr>
            <w:r w:rsidRPr="004E16EB">
              <w:rPr>
                <w:rFonts w:ascii="Times New Roman" w:hAnsi="Times New Roman" w:cs="Times New Roman"/>
                <w:sz w:val="24"/>
                <w:szCs w:val="24"/>
              </w:rPr>
              <w:t>SMI MWB at Mambaul Maarif Islamic Boarding School, Denanyar, Jombang Regency, East Java</w:t>
            </w:r>
          </w:p>
        </w:tc>
      </w:tr>
      <w:tr w:rsidR="00C16EFA" w:rsidRPr="004E16EB" w14:paraId="021B2BE1" w14:textId="77777777">
        <w:tc>
          <w:tcPr>
            <w:tcW w:w="1728" w:type="dxa"/>
            <w:vMerge w:val="restart"/>
            <w:tcBorders>
              <w:top w:val="nil"/>
              <w:left w:val="nil"/>
              <w:bottom w:val="single" w:sz="4" w:space="0" w:color="auto"/>
              <w:right w:val="nil"/>
            </w:tcBorders>
          </w:tcPr>
          <w:p w14:paraId="3BE64612" w14:textId="77777777" w:rsidR="00C16EFA" w:rsidRPr="004E16EB" w:rsidRDefault="00C611A5" w:rsidP="009858D2">
            <w:pPr>
              <w:spacing w:after="0" w:line="240" w:lineRule="auto"/>
              <w:jc w:val="both"/>
              <w:rPr>
                <w:rFonts w:ascii="Times New Roman" w:hAnsi="Times New Roman" w:cs="Times New Roman"/>
                <w:sz w:val="24"/>
                <w:szCs w:val="24"/>
              </w:rPr>
            </w:pPr>
            <w:r w:rsidRPr="004E16EB">
              <w:rPr>
                <w:rFonts w:ascii="Times New Roman" w:hAnsi="Times New Roman" w:cs="Times New Roman"/>
                <w:sz w:val="24"/>
                <w:szCs w:val="24"/>
              </w:rPr>
              <w:t>Central Java</w:t>
            </w:r>
          </w:p>
        </w:tc>
        <w:tc>
          <w:tcPr>
            <w:tcW w:w="7514" w:type="dxa"/>
            <w:tcBorders>
              <w:top w:val="nil"/>
              <w:left w:val="nil"/>
              <w:bottom w:val="nil"/>
              <w:right w:val="nil"/>
            </w:tcBorders>
          </w:tcPr>
          <w:p w14:paraId="0C1AFAFB" w14:textId="77777777" w:rsidR="00C16EFA" w:rsidRPr="004E16EB" w:rsidRDefault="00C611A5" w:rsidP="009858D2">
            <w:pPr>
              <w:pStyle w:val="ListParagraph"/>
              <w:numPr>
                <w:ilvl w:val="0"/>
                <w:numId w:val="4"/>
              </w:numPr>
              <w:spacing w:after="0" w:line="240" w:lineRule="auto"/>
              <w:ind w:left="252"/>
              <w:jc w:val="both"/>
              <w:rPr>
                <w:rFonts w:ascii="Times New Roman" w:hAnsi="Times New Roman" w:cs="Times New Roman"/>
                <w:sz w:val="24"/>
                <w:szCs w:val="24"/>
              </w:rPr>
            </w:pPr>
            <w:r w:rsidRPr="004E16EB">
              <w:rPr>
                <w:rFonts w:ascii="Times New Roman" w:hAnsi="Times New Roman" w:cs="Times New Roman"/>
                <w:sz w:val="24"/>
                <w:szCs w:val="24"/>
              </w:rPr>
              <w:t>SMI MWB at Bahrul Ulum Islamic Boarding School, Rice Farm</w:t>
            </w:r>
          </w:p>
        </w:tc>
      </w:tr>
      <w:tr w:rsidR="00C16EFA" w:rsidRPr="004E16EB" w14:paraId="26BE90D9" w14:textId="77777777">
        <w:tc>
          <w:tcPr>
            <w:tcW w:w="1728" w:type="dxa"/>
            <w:vMerge/>
            <w:tcBorders>
              <w:top w:val="nil"/>
              <w:left w:val="nil"/>
              <w:bottom w:val="single" w:sz="4" w:space="0" w:color="auto"/>
              <w:right w:val="nil"/>
            </w:tcBorders>
          </w:tcPr>
          <w:p w14:paraId="676F0F28" w14:textId="77777777" w:rsidR="00C16EFA" w:rsidRPr="004E16EB" w:rsidRDefault="00C16EFA" w:rsidP="009858D2">
            <w:pPr>
              <w:spacing w:after="0" w:line="240" w:lineRule="auto"/>
              <w:jc w:val="both"/>
              <w:rPr>
                <w:rFonts w:ascii="Times New Roman" w:hAnsi="Times New Roman" w:cs="Times New Roman"/>
                <w:sz w:val="24"/>
                <w:szCs w:val="24"/>
              </w:rPr>
            </w:pPr>
          </w:p>
        </w:tc>
        <w:tc>
          <w:tcPr>
            <w:tcW w:w="7514" w:type="dxa"/>
            <w:tcBorders>
              <w:top w:val="nil"/>
              <w:left w:val="nil"/>
              <w:bottom w:val="single" w:sz="4" w:space="0" w:color="auto"/>
              <w:right w:val="nil"/>
            </w:tcBorders>
          </w:tcPr>
          <w:p w14:paraId="2AA5691F" w14:textId="77777777" w:rsidR="00C16EFA" w:rsidRPr="004E16EB" w:rsidRDefault="00C611A5" w:rsidP="009858D2">
            <w:pPr>
              <w:pStyle w:val="ListParagraph"/>
              <w:numPr>
                <w:ilvl w:val="0"/>
                <w:numId w:val="4"/>
              </w:numPr>
              <w:spacing w:after="0" w:line="240" w:lineRule="auto"/>
              <w:ind w:left="252"/>
              <w:jc w:val="both"/>
              <w:rPr>
                <w:rFonts w:ascii="Times New Roman" w:hAnsi="Times New Roman" w:cs="Times New Roman"/>
                <w:sz w:val="24"/>
                <w:szCs w:val="24"/>
              </w:rPr>
            </w:pPr>
            <w:r w:rsidRPr="004E16EB">
              <w:rPr>
                <w:rFonts w:ascii="Times New Roman" w:hAnsi="Times New Roman" w:cs="Times New Roman"/>
                <w:sz w:val="24"/>
                <w:szCs w:val="24"/>
              </w:rPr>
              <w:t>SMI MWB at Tebuireng Islamic Boarding School, Central Java</w:t>
            </w:r>
          </w:p>
        </w:tc>
      </w:tr>
    </w:tbl>
    <w:p w14:paraId="77C78C5A" w14:textId="77777777" w:rsidR="00C16EFA" w:rsidRPr="004E16EB" w:rsidRDefault="00C16EFA" w:rsidP="009858D2">
      <w:pPr>
        <w:spacing w:after="0" w:line="240" w:lineRule="auto"/>
        <w:ind w:firstLine="720"/>
        <w:jc w:val="both"/>
        <w:rPr>
          <w:rFonts w:ascii="Times New Roman" w:hAnsi="Times New Roman" w:cs="Times New Roman"/>
          <w:sz w:val="24"/>
          <w:szCs w:val="24"/>
        </w:rPr>
      </w:pPr>
    </w:p>
    <w:p w14:paraId="3D604963" w14:textId="373AA8E5" w:rsidR="00C16EFA" w:rsidRPr="004E16EB" w:rsidRDefault="00C611A5" w:rsidP="009858D2">
      <w:pPr>
        <w:pStyle w:val="ListParagraph"/>
        <w:spacing w:after="0" w:line="240" w:lineRule="auto"/>
        <w:ind w:left="0" w:firstLine="720"/>
        <w:jc w:val="both"/>
        <w:rPr>
          <w:rFonts w:ascii="Times New Roman" w:hAnsi="Times New Roman" w:cs="Times New Roman"/>
          <w:sz w:val="24"/>
          <w:szCs w:val="24"/>
          <w:lang w:val="id-ID"/>
        </w:rPr>
      </w:pPr>
      <w:r w:rsidRPr="004E16EB">
        <w:rPr>
          <w:rFonts w:ascii="Times New Roman" w:hAnsi="Times New Roman"/>
          <w:sz w:val="24"/>
          <w:szCs w:val="24"/>
        </w:rPr>
        <w:t xml:space="preserve">During this study, MWB has been established in forty-three Islamic boarding schools, thirty-four of which are spread across the island of Java, seven in Sumatra, one in Kalimantan, one in Sulawesi, and one in Papua </w:t>
      </w:r>
      <w:r w:rsidRPr="004E16EB">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author":[{"dropping-particle":"","family":"BWM","given":"","non-dropping-particle":"","parse-names":false,"suffix":""}],"container-title":"http://www.lkmsbwm.id/","id":"ITEM-1","issued":{"date-parts":[["2019"]]},"page":"1","title":"LKMS-BWM","type":"webpage"},"uris":["http://www.mendeley.com/documents/?uuid=521df574-db7d-4fee-9419-f56848a3ebe8","http://www.mendeley.com/documents/?uuid=e99a964b-d87d-3aff-a414-914192f9cd5f"]}],"mendeley":{"formattedCitation":"(BWM, 2019)","plainTextFormattedCitation":"(BWM, 2019)","previouslyFormattedCitation":"(BWM, 2019)"},"properties":{"noteIndex":0},"schema":"https://github.com/citation-style-language/schema/raw/master/csl-citation.json"}</w:instrText>
      </w:r>
      <w:r w:rsidRPr="004E16EB">
        <w:rPr>
          <w:rFonts w:ascii="Times New Roman" w:hAnsi="Times New Roman" w:cs="Times New Roman"/>
          <w:sz w:val="24"/>
          <w:szCs w:val="24"/>
        </w:rPr>
        <w:fldChar w:fldCharType="separate"/>
      </w:r>
      <w:r w:rsidR="00573487" w:rsidRPr="00573487">
        <w:rPr>
          <w:rFonts w:ascii="Times New Roman" w:hAnsi="Times New Roman" w:cs="Times New Roman"/>
          <w:noProof/>
          <w:sz w:val="24"/>
          <w:szCs w:val="24"/>
        </w:rPr>
        <w:t>(BWM, 2019)</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Next </w:t>
      </w:r>
      <w:r w:rsidRPr="004E16EB">
        <w:rPr>
          <w:rFonts w:ascii="Times New Roman" w:hAnsi="Times New Roman"/>
          <w:sz w:val="24"/>
          <w:szCs w:val="24"/>
        </w:rPr>
        <w:t>Java Island was designated as the study location because it had the largest number of MWBs, followed by Sumatra</w:t>
      </w:r>
      <w:r w:rsidRPr="004E16EB">
        <w:rPr>
          <w:rFonts w:ascii="Times New Roman" w:hAnsi="Times New Roman" w:cs="Times New Roman"/>
          <w:sz w:val="24"/>
          <w:szCs w:val="24"/>
        </w:rPr>
        <w:t>.</w:t>
      </w:r>
    </w:p>
    <w:p w14:paraId="31EC3C00" w14:textId="253ADB96" w:rsidR="00C16EFA" w:rsidRPr="004E16EB" w:rsidRDefault="00C611A5" w:rsidP="009858D2">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Qualitative descriptive studies </w:t>
      </w:r>
      <w:r w:rsidR="008210FF">
        <w:rPr>
          <w:rFonts w:ascii="Times New Roman" w:hAnsi="Times New Roman"/>
          <w:noProof/>
          <w:sz w:val="24"/>
          <w:szCs w:val="24"/>
        </w:rPr>
        <w:t xml:space="preserve">according to Rogo </w:t>
      </w:r>
      <w:r w:rsidR="008210FF">
        <w:rPr>
          <w:rFonts w:ascii="Times New Roman" w:hAnsi="Times New Roman"/>
          <w:sz w:val="24"/>
          <w:szCs w:val="24"/>
        </w:rPr>
        <w:fldChar w:fldCharType="begin" w:fldLock="1"/>
      </w:r>
      <w:r w:rsidR="00941BB9">
        <w:rPr>
          <w:rFonts w:ascii="Times New Roman" w:hAnsi="Times New Roman"/>
          <w:sz w:val="24"/>
          <w:szCs w:val="24"/>
        </w:rPr>
        <w:instrText>ADDIN CSL_CITATION {"citationItems":[{"id":"ITEM-1","itemData":{"ISSN":"1553-0205","PMID":"39137996","abstract":"Qualitative research is a relatively new approach for conducting studies in health disciplines. The value of this research approach is to explore peoples' experiences and gain a deeper understanding of the meaning of their experiences. Qualitative inquiries answer research questions about what, why and how by implementing various research designs such as qualitative descriptive, qualitative case study, ethnological, phenomenology, or grounded theory designs. Purposive and snowball sampling methods are commonly used to recruit participants followed by personal interviews or focus group discussions to collect data. Data analysis requires several coding procedures performed by the researcher or an alternative is using a coding software program. Preparing a manuscript for dissemination of the results can be challenging, although achievable.","author":[{"dropping-particle":"","family":"Rogo","given":"Ellen J","non-dropping-particle":"","parse-names":false,"suffix":""}],"container-title":"Journal of dental hygiene : JDH","id":"ITEM-1","issue":"4","issued":{"date-parts":[["2024","8"]]},"page":"56-61","title":"Exploring Qualitative Research.","type":"article-journal","volume":"98"},"suppress-author":1,"uris":["http://www.mendeley.com/documents/?uuid=86e529b4-6ac6-40c1-a65a-2f0c034b4df6"]}],"mendeley":{"formattedCitation":"(2024)","plainTextFormattedCitation":"(2024)","previouslyFormattedCitation":"(2024)"},"properties":{"noteIndex":0},"schema":"https://github.com/citation-style-language/schema/raw/master/csl-citation.json"}</w:instrText>
      </w:r>
      <w:r w:rsidR="008210FF">
        <w:rPr>
          <w:rFonts w:ascii="Times New Roman" w:hAnsi="Times New Roman"/>
          <w:sz w:val="24"/>
          <w:szCs w:val="24"/>
        </w:rPr>
        <w:fldChar w:fldCharType="separate"/>
      </w:r>
      <w:r w:rsidR="008210FF" w:rsidRPr="008210FF">
        <w:rPr>
          <w:rFonts w:ascii="Times New Roman" w:hAnsi="Times New Roman"/>
          <w:noProof/>
          <w:sz w:val="24"/>
          <w:szCs w:val="24"/>
        </w:rPr>
        <w:t>(2024)</w:t>
      </w:r>
      <w:r w:rsidR="008210FF">
        <w:rPr>
          <w:rFonts w:ascii="Times New Roman" w:hAnsi="Times New Roman"/>
          <w:sz w:val="24"/>
          <w:szCs w:val="24"/>
        </w:rPr>
        <w:fldChar w:fldCharType="end"/>
      </w:r>
      <w:r w:rsidR="008210FF">
        <w:rPr>
          <w:rFonts w:ascii="Times New Roman" w:hAnsi="Times New Roman"/>
          <w:sz w:val="24"/>
          <w:szCs w:val="24"/>
        </w:rPr>
        <w:t xml:space="preserve"> aims to analyze the data holistically to provide information about the women's economic empowerment model. </w:t>
      </w:r>
      <w:r w:rsidRPr="004E16EB">
        <w:rPr>
          <w:rFonts w:ascii="Times New Roman" w:eastAsia="Calibri" w:hAnsi="Times New Roman"/>
          <w:sz w:val="24"/>
          <w:szCs w:val="24"/>
        </w:rPr>
        <w:t>A descriptive qualitative approach is used in the context of elaborating the model of women's economic empowerment in MWB for productive poor women around Islamic boarding schools in depth</w:t>
      </w:r>
      <w:r w:rsidRPr="004E16EB">
        <w:rPr>
          <w:rFonts w:ascii="Times New Roman" w:eastAsia="Times New Roman" w:hAnsi="Times New Roman" w:cs="Times New Roman"/>
          <w:sz w:val="24"/>
          <w:szCs w:val="24"/>
          <w:lang w:eastAsia="id-ID"/>
        </w:rPr>
        <w:t xml:space="preserve">. </w:t>
      </w:r>
      <w:r w:rsidRPr="004E16EB">
        <w:rPr>
          <w:rFonts w:ascii="Times New Roman" w:hAnsi="Times New Roman"/>
          <w:sz w:val="24"/>
          <w:szCs w:val="24"/>
        </w:rPr>
        <w:t xml:space="preserve">Data was obtained from MWB customers, leaders, and assistants. Informants consist of parties directly involved with an important role in empowerment. They understand MWB's operations that contribute to women's economic empowerment. The empowerment model was obtained through interviews and observations. This study observes the mandatory group training and customer mentoring process during WH meetings. Interviews were conducted with </w:t>
      </w:r>
      <w:r w:rsidRPr="004E16EB">
        <w:rPr>
          <w:rFonts w:ascii="Times New Roman" w:hAnsi="Times New Roman"/>
          <w:sz w:val="24"/>
          <w:szCs w:val="24"/>
        </w:rPr>
        <w:lastRenderedPageBreak/>
        <w:t>MWB leaders, assistants, and customers about the empowerment model conducted. Structured interviews are conducted naturally to establish a friendly atmosphere for the informant</w:t>
      </w:r>
      <w:r w:rsidRPr="004E16EB">
        <w:rPr>
          <w:rFonts w:ascii="Times New Roman" w:hAnsi="Times New Roman" w:cs="Times New Roman"/>
          <w:sz w:val="24"/>
          <w:szCs w:val="24"/>
        </w:rPr>
        <w:t xml:space="preserve">. </w:t>
      </w:r>
    </w:p>
    <w:p w14:paraId="4EC68818" w14:textId="7D8B346D" w:rsidR="00C16EFA" w:rsidRDefault="00C16EFA" w:rsidP="009858D2">
      <w:pPr>
        <w:pStyle w:val="ListParagraph"/>
        <w:spacing w:after="0" w:line="240" w:lineRule="auto"/>
        <w:ind w:left="0" w:firstLine="720"/>
        <w:jc w:val="both"/>
        <w:rPr>
          <w:rFonts w:ascii="Times New Roman" w:hAnsi="Times New Roman" w:cs="Times New Roman"/>
          <w:sz w:val="24"/>
          <w:szCs w:val="24"/>
        </w:rPr>
      </w:pPr>
    </w:p>
    <w:p w14:paraId="60673FDE" w14:textId="77777777" w:rsidR="00CE09FE" w:rsidRPr="004E16EB" w:rsidRDefault="00CE09FE" w:rsidP="009858D2">
      <w:pPr>
        <w:pStyle w:val="ListParagraph"/>
        <w:spacing w:after="0" w:line="240" w:lineRule="auto"/>
        <w:ind w:left="0" w:firstLine="720"/>
        <w:jc w:val="both"/>
        <w:rPr>
          <w:rFonts w:ascii="Times New Roman" w:hAnsi="Times New Roman" w:cs="Times New Roman"/>
          <w:sz w:val="24"/>
          <w:szCs w:val="24"/>
        </w:rPr>
      </w:pPr>
    </w:p>
    <w:p w14:paraId="59ACA8AD" w14:textId="77777777" w:rsidR="00207A78" w:rsidRPr="00207A78" w:rsidRDefault="00207A78" w:rsidP="00207A78">
      <w:pPr>
        <w:pStyle w:val="ListParagraph"/>
        <w:widowControl w:val="0"/>
        <w:numPr>
          <w:ilvl w:val="0"/>
          <w:numId w:val="3"/>
        </w:numPr>
        <w:autoSpaceDE w:val="0"/>
        <w:autoSpaceDN w:val="0"/>
        <w:spacing w:after="0" w:line="240" w:lineRule="auto"/>
        <w:ind w:right="138"/>
        <w:contextualSpacing w:val="0"/>
        <w:jc w:val="both"/>
        <w:rPr>
          <w:rFonts w:ascii="Times New Roman" w:eastAsia="Times New Roman" w:hAnsi="Times New Roman" w:cs="Times New Roman"/>
          <w:b/>
          <w:vanish/>
          <w:sz w:val="24"/>
          <w:szCs w:val="24"/>
        </w:rPr>
      </w:pPr>
    </w:p>
    <w:p w14:paraId="76DC3232" w14:textId="77777777" w:rsidR="00207A78" w:rsidRPr="00207A78" w:rsidRDefault="00207A78" w:rsidP="00207A78">
      <w:pPr>
        <w:pStyle w:val="ListParagraph"/>
        <w:widowControl w:val="0"/>
        <w:numPr>
          <w:ilvl w:val="0"/>
          <w:numId w:val="3"/>
        </w:numPr>
        <w:autoSpaceDE w:val="0"/>
        <w:autoSpaceDN w:val="0"/>
        <w:spacing w:after="0" w:line="240" w:lineRule="auto"/>
        <w:ind w:right="138"/>
        <w:contextualSpacing w:val="0"/>
        <w:jc w:val="both"/>
        <w:rPr>
          <w:rFonts w:ascii="Times New Roman" w:eastAsia="Times New Roman" w:hAnsi="Times New Roman" w:cs="Times New Roman"/>
          <w:b/>
          <w:vanish/>
          <w:sz w:val="24"/>
          <w:szCs w:val="24"/>
        </w:rPr>
      </w:pPr>
    </w:p>
    <w:p w14:paraId="315FCE1F" w14:textId="2BE328EE" w:rsidR="00C16EFA" w:rsidRPr="004E16EB" w:rsidRDefault="00207A78" w:rsidP="00207A78">
      <w:pPr>
        <w:pStyle w:val="BodyText"/>
        <w:numPr>
          <w:ilvl w:val="1"/>
          <w:numId w:val="3"/>
        </w:numPr>
        <w:ind w:left="360" w:right="138"/>
        <w:jc w:val="both"/>
        <w:rPr>
          <w:b/>
        </w:rPr>
      </w:pPr>
      <w:r>
        <w:rPr>
          <w:b/>
        </w:rPr>
        <w:t xml:space="preserve">  Socio-Demographic</w:t>
      </w:r>
    </w:p>
    <w:p w14:paraId="43734717" w14:textId="222C6697" w:rsidR="00C16EFA" w:rsidRDefault="00C611A5" w:rsidP="009858D2">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The study involved 95 women aged 30-39 (40%) and 40-49 (39%) to participate in in-depth interviews. </w:t>
      </w:r>
      <w:r w:rsidR="000F1614" w:rsidRPr="000F1614">
        <w:rPr>
          <w:rFonts w:ascii="Times New Roman" w:hAnsi="Times New Roman"/>
          <w:sz w:val="24"/>
          <w:szCs w:val="24"/>
        </w:rPr>
        <w:t>In accordance with educational attainment, 57% of participants possess a high school diploma, whereas merely nine individuals hold a college degree</w:t>
      </w:r>
      <w:r w:rsidRPr="004E16EB">
        <w:rPr>
          <w:rFonts w:ascii="Times New Roman" w:hAnsi="Times New Roman"/>
          <w:sz w:val="24"/>
          <w:szCs w:val="24"/>
        </w:rPr>
        <w:t>. Most respondents (53%) have been in the business for 1-5 years, and only 6% for more than 15 years. In addition, 27 respondents (29%) had an income of less than 1.9 million rupiah, and 17 respondents had an income of more than 4 million rupiah, as shown in Table 1</w:t>
      </w:r>
      <w:r w:rsidRPr="004E16EB">
        <w:rPr>
          <w:rFonts w:ascii="Times New Roman" w:hAnsi="Times New Roman" w:cs="Times New Roman"/>
          <w:sz w:val="24"/>
          <w:szCs w:val="24"/>
        </w:rPr>
        <w:t>.</w:t>
      </w:r>
    </w:p>
    <w:p w14:paraId="1C68712B" w14:textId="77777777" w:rsidR="00234FC1" w:rsidRPr="004E16EB" w:rsidRDefault="00234FC1" w:rsidP="009858D2">
      <w:pPr>
        <w:spacing w:after="0" w:line="240" w:lineRule="auto"/>
        <w:ind w:firstLine="720"/>
        <w:jc w:val="both"/>
        <w:rPr>
          <w:rFonts w:ascii="Times New Roman" w:hAnsi="Times New Roman" w:cs="Times New Roman"/>
          <w:sz w:val="24"/>
          <w:szCs w:val="24"/>
        </w:rPr>
      </w:pPr>
    </w:p>
    <w:p w14:paraId="387B104D" w14:textId="77777777" w:rsidR="00C16EFA" w:rsidRPr="004E16EB" w:rsidRDefault="00C611A5" w:rsidP="00234FC1">
      <w:pPr>
        <w:pStyle w:val="BodyText"/>
        <w:ind w:right="138"/>
        <w:jc w:val="center"/>
        <w:rPr>
          <w:spacing w:val="-5"/>
          <w:w w:val="104"/>
        </w:rPr>
      </w:pPr>
      <w:r w:rsidRPr="004E16EB">
        <w:rPr>
          <w:spacing w:val="-5"/>
          <w:w w:val="104"/>
        </w:rPr>
        <w:t>Table 1. Sociodemographics of respondents</w:t>
      </w:r>
    </w:p>
    <w:tbl>
      <w:tblPr>
        <w:tblW w:w="8587" w:type="dxa"/>
        <w:tblInd w:w="93" w:type="dxa"/>
        <w:tblLook w:val="04A0" w:firstRow="1" w:lastRow="0" w:firstColumn="1" w:lastColumn="0" w:noHBand="0" w:noVBand="1"/>
      </w:tblPr>
      <w:tblGrid>
        <w:gridCol w:w="946"/>
        <w:gridCol w:w="654"/>
        <w:gridCol w:w="510"/>
        <w:gridCol w:w="994"/>
        <w:gridCol w:w="685"/>
        <w:gridCol w:w="510"/>
        <w:gridCol w:w="932"/>
        <w:gridCol w:w="685"/>
        <w:gridCol w:w="484"/>
        <w:gridCol w:w="1130"/>
        <w:gridCol w:w="685"/>
        <w:gridCol w:w="508"/>
      </w:tblGrid>
      <w:tr w:rsidR="00C16EFA" w:rsidRPr="00CE09FE" w14:paraId="7D951AE6" w14:textId="77777777" w:rsidTr="00CE09FE">
        <w:trPr>
          <w:trHeight w:val="252"/>
        </w:trPr>
        <w:tc>
          <w:tcPr>
            <w:tcW w:w="2056" w:type="dxa"/>
            <w:gridSpan w:val="3"/>
            <w:tcBorders>
              <w:top w:val="single" w:sz="4" w:space="0" w:color="auto"/>
              <w:bottom w:val="single" w:sz="4" w:space="0" w:color="auto"/>
            </w:tcBorders>
            <w:shd w:val="clear" w:color="auto" w:fill="auto"/>
            <w:noWrap/>
            <w:vAlign w:val="center"/>
          </w:tcPr>
          <w:p w14:paraId="642D36BB" w14:textId="77777777" w:rsidR="00C16EFA" w:rsidRPr="00CE09FE" w:rsidRDefault="00C611A5" w:rsidP="009858D2">
            <w:pPr>
              <w:spacing w:after="0" w:line="240" w:lineRule="auto"/>
              <w:jc w:val="center"/>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Education</w:t>
            </w:r>
          </w:p>
        </w:tc>
        <w:tc>
          <w:tcPr>
            <w:tcW w:w="2136" w:type="dxa"/>
            <w:gridSpan w:val="3"/>
            <w:tcBorders>
              <w:top w:val="single" w:sz="4" w:space="0" w:color="auto"/>
              <w:left w:val="nil"/>
              <w:bottom w:val="single" w:sz="4" w:space="0" w:color="auto"/>
            </w:tcBorders>
            <w:shd w:val="clear" w:color="auto" w:fill="auto"/>
            <w:noWrap/>
            <w:vAlign w:val="center"/>
          </w:tcPr>
          <w:p w14:paraId="35999F31" w14:textId="77777777" w:rsidR="00C16EFA" w:rsidRPr="00CE09FE" w:rsidRDefault="00C611A5" w:rsidP="009858D2">
            <w:pPr>
              <w:spacing w:after="0" w:line="240" w:lineRule="auto"/>
              <w:jc w:val="center"/>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Age</w:t>
            </w:r>
          </w:p>
        </w:tc>
        <w:tc>
          <w:tcPr>
            <w:tcW w:w="2072" w:type="dxa"/>
            <w:gridSpan w:val="3"/>
            <w:tcBorders>
              <w:top w:val="single" w:sz="4" w:space="0" w:color="auto"/>
              <w:left w:val="nil"/>
              <w:bottom w:val="single" w:sz="4" w:space="0" w:color="auto"/>
            </w:tcBorders>
            <w:shd w:val="clear" w:color="auto" w:fill="auto"/>
            <w:noWrap/>
            <w:vAlign w:val="center"/>
          </w:tcPr>
          <w:p w14:paraId="617CECEC" w14:textId="77777777" w:rsidR="00C16EFA" w:rsidRPr="00CE09FE" w:rsidRDefault="00C611A5" w:rsidP="009858D2">
            <w:pPr>
              <w:spacing w:after="0" w:line="240" w:lineRule="auto"/>
              <w:jc w:val="center"/>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Length of business</w:t>
            </w:r>
          </w:p>
        </w:tc>
        <w:tc>
          <w:tcPr>
            <w:tcW w:w="2323" w:type="dxa"/>
            <w:gridSpan w:val="3"/>
            <w:tcBorders>
              <w:top w:val="single" w:sz="4" w:space="0" w:color="auto"/>
              <w:left w:val="nil"/>
              <w:bottom w:val="single" w:sz="4" w:space="0" w:color="auto"/>
            </w:tcBorders>
            <w:shd w:val="clear" w:color="auto" w:fill="auto"/>
            <w:noWrap/>
            <w:vAlign w:val="center"/>
          </w:tcPr>
          <w:p w14:paraId="1099F693" w14:textId="77777777" w:rsidR="00C16EFA" w:rsidRPr="00CE09FE" w:rsidRDefault="00C611A5" w:rsidP="009858D2">
            <w:pPr>
              <w:spacing w:after="0" w:line="240" w:lineRule="auto"/>
              <w:jc w:val="center"/>
              <w:rPr>
                <w:rFonts w:ascii="Times New Roman" w:eastAsia="Times New Roman" w:hAnsi="Times New Roman" w:cs="Times New Roman"/>
                <w:color w:val="000000"/>
                <w:sz w:val="16"/>
                <w:szCs w:val="16"/>
              </w:rPr>
            </w:pPr>
            <w:r w:rsidRPr="00CE09FE">
              <w:rPr>
                <w:rFonts w:ascii="Times New Roman" w:eastAsia="Times New Roman" w:hAnsi="Times New Roman"/>
                <w:color w:val="000000"/>
                <w:sz w:val="16"/>
                <w:szCs w:val="16"/>
              </w:rPr>
              <w:t>Income After Getting Financing</w:t>
            </w:r>
          </w:p>
        </w:tc>
      </w:tr>
      <w:tr w:rsidR="00C16EFA" w:rsidRPr="00CE09FE" w14:paraId="3AE405A4" w14:textId="77777777" w:rsidTr="00CE09FE">
        <w:trPr>
          <w:trHeight w:val="252"/>
        </w:trPr>
        <w:tc>
          <w:tcPr>
            <w:tcW w:w="946" w:type="dxa"/>
            <w:tcBorders>
              <w:top w:val="single" w:sz="4" w:space="0" w:color="auto"/>
              <w:bottom w:val="single" w:sz="4" w:space="0" w:color="auto"/>
            </w:tcBorders>
            <w:shd w:val="clear" w:color="auto" w:fill="auto"/>
            <w:noWrap/>
            <w:vAlign w:val="center"/>
          </w:tcPr>
          <w:p w14:paraId="5C35DDEB"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Education</w:t>
            </w:r>
          </w:p>
        </w:tc>
        <w:tc>
          <w:tcPr>
            <w:tcW w:w="654" w:type="dxa"/>
            <w:tcBorders>
              <w:top w:val="single" w:sz="4" w:space="0" w:color="auto"/>
              <w:bottom w:val="single" w:sz="4" w:space="0" w:color="auto"/>
            </w:tcBorders>
            <w:shd w:val="clear" w:color="auto" w:fill="auto"/>
            <w:noWrap/>
            <w:vAlign w:val="center"/>
          </w:tcPr>
          <w:p w14:paraId="198F5DA9" w14:textId="77777777" w:rsidR="00C16EFA" w:rsidRPr="00CE09FE" w:rsidRDefault="00C611A5" w:rsidP="009858D2">
            <w:pPr>
              <w:spacing w:after="0" w:line="240" w:lineRule="auto"/>
              <w:ind w:left="-65"/>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Entire</w:t>
            </w:r>
          </w:p>
        </w:tc>
        <w:tc>
          <w:tcPr>
            <w:tcW w:w="456" w:type="dxa"/>
            <w:tcBorders>
              <w:top w:val="single" w:sz="4" w:space="0" w:color="auto"/>
              <w:bottom w:val="single" w:sz="4" w:space="0" w:color="auto"/>
            </w:tcBorders>
            <w:shd w:val="clear" w:color="auto" w:fill="auto"/>
            <w:noWrap/>
            <w:vAlign w:val="center"/>
          </w:tcPr>
          <w:p w14:paraId="2C08D557"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w:t>
            </w:r>
          </w:p>
        </w:tc>
        <w:tc>
          <w:tcPr>
            <w:tcW w:w="994" w:type="dxa"/>
            <w:tcBorders>
              <w:top w:val="single" w:sz="4" w:space="0" w:color="auto"/>
              <w:bottom w:val="single" w:sz="4" w:space="0" w:color="auto"/>
            </w:tcBorders>
            <w:shd w:val="clear" w:color="auto" w:fill="auto"/>
            <w:noWrap/>
            <w:vAlign w:val="center"/>
          </w:tcPr>
          <w:p w14:paraId="69ED463E"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Age</w:t>
            </w:r>
          </w:p>
        </w:tc>
        <w:tc>
          <w:tcPr>
            <w:tcW w:w="685" w:type="dxa"/>
            <w:tcBorders>
              <w:top w:val="single" w:sz="4" w:space="0" w:color="auto"/>
              <w:bottom w:val="single" w:sz="4" w:space="0" w:color="auto"/>
            </w:tcBorders>
            <w:shd w:val="clear" w:color="auto" w:fill="auto"/>
            <w:noWrap/>
            <w:vAlign w:val="center"/>
          </w:tcPr>
          <w:p w14:paraId="4EAC97FB" w14:textId="77777777" w:rsidR="00C16EFA" w:rsidRPr="00CE09FE" w:rsidRDefault="00C611A5" w:rsidP="009858D2">
            <w:pPr>
              <w:spacing w:after="0" w:line="240" w:lineRule="auto"/>
              <w:ind w:left="-25"/>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Entire</w:t>
            </w:r>
          </w:p>
        </w:tc>
        <w:tc>
          <w:tcPr>
            <w:tcW w:w="456" w:type="dxa"/>
            <w:tcBorders>
              <w:top w:val="single" w:sz="4" w:space="0" w:color="auto"/>
              <w:bottom w:val="single" w:sz="4" w:space="0" w:color="auto"/>
            </w:tcBorders>
            <w:shd w:val="clear" w:color="auto" w:fill="auto"/>
            <w:noWrap/>
            <w:vAlign w:val="center"/>
          </w:tcPr>
          <w:p w14:paraId="4E4F61C2"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w:t>
            </w:r>
          </w:p>
        </w:tc>
        <w:tc>
          <w:tcPr>
            <w:tcW w:w="932" w:type="dxa"/>
            <w:tcBorders>
              <w:top w:val="single" w:sz="4" w:space="0" w:color="auto"/>
              <w:bottom w:val="single" w:sz="4" w:space="0" w:color="auto"/>
            </w:tcBorders>
            <w:shd w:val="clear" w:color="auto" w:fill="auto"/>
            <w:noWrap/>
            <w:vAlign w:val="center"/>
          </w:tcPr>
          <w:p w14:paraId="566626B1"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Length of business</w:t>
            </w:r>
          </w:p>
        </w:tc>
        <w:tc>
          <w:tcPr>
            <w:tcW w:w="685" w:type="dxa"/>
            <w:tcBorders>
              <w:top w:val="single" w:sz="4" w:space="0" w:color="auto"/>
              <w:bottom w:val="single" w:sz="4" w:space="0" w:color="auto"/>
            </w:tcBorders>
            <w:shd w:val="clear" w:color="auto" w:fill="auto"/>
            <w:noWrap/>
            <w:vAlign w:val="center"/>
          </w:tcPr>
          <w:p w14:paraId="27E73EA0" w14:textId="77777777" w:rsidR="00C16EFA" w:rsidRPr="00CE09FE" w:rsidRDefault="00C611A5" w:rsidP="009858D2">
            <w:pPr>
              <w:spacing w:after="0" w:line="240" w:lineRule="auto"/>
              <w:ind w:left="-25"/>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Entire</w:t>
            </w:r>
          </w:p>
        </w:tc>
        <w:tc>
          <w:tcPr>
            <w:tcW w:w="453" w:type="dxa"/>
            <w:tcBorders>
              <w:top w:val="single" w:sz="4" w:space="0" w:color="auto"/>
              <w:bottom w:val="single" w:sz="4" w:space="0" w:color="auto"/>
            </w:tcBorders>
            <w:shd w:val="clear" w:color="auto" w:fill="auto"/>
            <w:noWrap/>
            <w:vAlign w:val="center"/>
          </w:tcPr>
          <w:p w14:paraId="6D5A504C" w14:textId="77777777" w:rsidR="00C16EFA" w:rsidRPr="00CE09FE" w:rsidRDefault="00C611A5" w:rsidP="009858D2">
            <w:pPr>
              <w:spacing w:after="0" w:line="240" w:lineRule="auto"/>
              <w:ind w:left="-26"/>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w:t>
            </w:r>
          </w:p>
        </w:tc>
        <w:tc>
          <w:tcPr>
            <w:tcW w:w="1130" w:type="dxa"/>
            <w:tcBorders>
              <w:top w:val="single" w:sz="4" w:space="0" w:color="auto"/>
              <w:bottom w:val="single" w:sz="4" w:space="0" w:color="auto"/>
            </w:tcBorders>
            <w:shd w:val="clear" w:color="auto" w:fill="auto"/>
            <w:noWrap/>
            <w:vAlign w:val="center"/>
          </w:tcPr>
          <w:p w14:paraId="3CC75B16" w14:textId="77777777" w:rsidR="00C16EFA" w:rsidRPr="00CE09FE" w:rsidRDefault="00C611A5" w:rsidP="009858D2">
            <w:pPr>
              <w:spacing w:after="0" w:line="240" w:lineRule="auto"/>
              <w:ind w:left="-28"/>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Income</w:t>
            </w:r>
          </w:p>
        </w:tc>
        <w:tc>
          <w:tcPr>
            <w:tcW w:w="685" w:type="dxa"/>
            <w:tcBorders>
              <w:top w:val="single" w:sz="4" w:space="0" w:color="auto"/>
              <w:bottom w:val="single" w:sz="4" w:space="0" w:color="auto"/>
            </w:tcBorders>
            <w:shd w:val="clear" w:color="auto" w:fill="auto"/>
            <w:noWrap/>
            <w:vAlign w:val="center"/>
          </w:tcPr>
          <w:p w14:paraId="46FE2EFD" w14:textId="77777777" w:rsidR="00C16EFA" w:rsidRPr="00CE09FE" w:rsidRDefault="00C611A5" w:rsidP="009858D2">
            <w:pPr>
              <w:spacing w:after="0" w:line="240" w:lineRule="auto"/>
              <w:ind w:left="-25"/>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Entire</w:t>
            </w:r>
          </w:p>
        </w:tc>
        <w:tc>
          <w:tcPr>
            <w:tcW w:w="507" w:type="dxa"/>
            <w:tcBorders>
              <w:top w:val="single" w:sz="4" w:space="0" w:color="auto"/>
              <w:bottom w:val="single" w:sz="4" w:space="0" w:color="auto"/>
            </w:tcBorders>
            <w:shd w:val="clear" w:color="auto" w:fill="auto"/>
            <w:noWrap/>
            <w:vAlign w:val="center"/>
          </w:tcPr>
          <w:p w14:paraId="205D6B24"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w:t>
            </w:r>
          </w:p>
        </w:tc>
      </w:tr>
      <w:tr w:rsidR="00C16EFA" w:rsidRPr="00CE09FE" w14:paraId="6112E305" w14:textId="77777777" w:rsidTr="00CE09FE">
        <w:trPr>
          <w:trHeight w:val="252"/>
        </w:trPr>
        <w:tc>
          <w:tcPr>
            <w:tcW w:w="946" w:type="dxa"/>
            <w:tcBorders>
              <w:top w:val="single" w:sz="4" w:space="0" w:color="auto"/>
              <w:bottom w:val="single" w:sz="4" w:space="0" w:color="auto"/>
            </w:tcBorders>
            <w:shd w:val="clear" w:color="auto" w:fill="auto"/>
            <w:noWrap/>
            <w:vAlign w:val="center"/>
          </w:tcPr>
          <w:p w14:paraId="58B93BF1"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Higher Education</w:t>
            </w:r>
          </w:p>
        </w:tc>
        <w:tc>
          <w:tcPr>
            <w:tcW w:w="654" w:type="dxa"/>
            <w:tcBorders>
              <w:top w:val="single" w:sz="4" w:space="0" w:color="auto"/>
              <w:bottom w:val="single" w:sz="4" w:space="0" w:color="auto"/>
            </w:tcBorders>
            <w:shd w:val="clear" w:color="auto" w:fill="auto"/>
            <w:noWrap/>
            <w:vAlign w:val="center"/>
          </w:tcPr>
          <w:p w14:paraId="553D84CF"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9</w:t>
            </w:r>
          </w:p>
        </w:tc>
        <w:tc>
          <w:tcPr>
            <w:tcW w:w="456" w:type="dxa"/>
            <w:tcBorders>
              <w:top w:val="single" w:sz="4" w:space="0" w:color="auto"/>
              <w:bottom w:val="single" w:sz="4" w:space="0" w:color="auto"/>
            </w:tcBorders>
            <w:shd w:val="clear" w:color="auto" w:fill="auto"/>
            <w:noWrap/>
            <w:vAlign w:val="center"/>
          </w:tcPr>
          <w:p w14:paraId="341CE77F"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9%</w:t>
            </w:r>
          </w:p>
        </w:tc>
        <w:tc>
          <w:tcPr>
            <w:tcW w:w="994" w:type="dxa"/>
            <w:tcBorders>
              <w:top w:val="single" w:sz="4" w:space="0" w:color="auto"/>
              <w:bottom w:val="single" w:sz="4" w:space="0" w:color="auto"/>
            </w:tcBorders>
            <w:shd w:val="clear" w:color="auto" w:fill="auto"/>
            <w:noWrap/>
            <w:vAlign w:val="center"/>
          </w:tcPr>
          <w:p w14:paraId="53E9B4FF"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&gt;50 years</w:t>
            </w:r>
          </w:p>
        </w:tc>
        <w:tc>
          <w:tcPr>
            <w:tcW w:w="685" w:type="dxa"/>
            <w:tcBorders>
              <w:top w:val="single" w:sz="4" w:space="0" w:color="auto"/>
              <w:bottom w:val="single" w:sz="4" w:space="0" w:color="auto"/>
            </w:tcBorders>
            <w:shd w:val="clear" w:color="auto" w:fill="auto"/>
            <w:noWrap/>
            <w:vAlign w:val="center"/>
          </w:tcPr>
          <w:p w14:paraId="47D18DE0"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13</w:t>
            </w:r>
          </w:p>
        </w:tc>
        <w:tc>
          <w:tcPr>
            <w:tcW w:w="456" w:type="dxa"/>
            <w:tcBorders>
              <w:top w:val="single" w:sz="4" w:space="0" w:color="auto"/>
              <w:bottom w:val="single" w:sz="4" w:space="0" w:color="auto"/>
            </w:tcBorders>
            <w:shd w:val="clear" w:color="auto" w:fill="auto"/>
            <w:noWrap/>
            <w:vAlign w:val="center"/>
          </w:tcPr>
          <w:p w14:paraId="4D3CB226"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14%</w:t>
            </w:r>
          </w:p>
        </w:tc>
        <w:tc>
          <w:tcPr>
            <w:tcW w:w="932" w:type="dxa"/>
            <w:tcBorders>
              <w:top w:val="single" w:sz="4" w:space="0" w:color="auto"/>
              <w:bottom w:val="single" w:sz="4" w:space="0" w:color="auto"/>
            </w:tcBorders>
            <w:shd w:val="clear" w:color="auto" w:fill="auto"/>
            <w:noWrap/>
            <w:vAlign w:val="center"/>
          </w:tcPr>
          <w:p w14:paraId="2C8B4B99"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1-5 years</w:t>
            </w:r>
          </w:p>
        </w:tc>
        <w:tc>
          <w:tcPr>
            <w:tcW w:w="685" w:type="dxa"/>
            <w:tcBorders>
              <w:top w:val="single" w:sz="4" w:space="0" w:color="auto"/>
              <w:bottom w:val="single" w:sz="4" w:space="0" w:color="auto"/>
            </w:tcBorders>
            <w:shd w:val="clear" w:color="auto" w:fill="auto"/>
            <w:noWrap/>
            <w:vAlign w:val="center"/>
          </w:tcPr>
          <w:p w14:paraId="76E006B8"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50</w:t>
            </w:r>
          </w:p>
        </w:tc>
        <w:tc>
          <w:tcPr>
            <w:tcW w:w="453" w:type="dxa"/>
            <w:tcBorders>
              <w:top w:val="single" w:sz="4" w:space="0" w:color="auto"/>
              <w:bottom w:val="single" w:sz="4" w:space="0" w:color="auto"/>
            </w:tcBorders>
            <w:shd w:val="clear" w:color="auto" w:fill="auto"/>
            <w:noWrap/>
            <w:vAlign w:val="center"/>
          </w:tcPr>
          <w:p w14:paraId="0B6EAE64" w14:textId="77777777" w:rsidR="00C16EFA" w:rsidRPr="00CE09FE" w:rsidRDefault="00C611A5" w:rsidP="009858D2">
            <w:pPr>
              <w:spacing w:after="0" w:line="240" w:lineRule="auto"/>
              <w:ind w:left="-26"/>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53%</w:t>
            </w:r>
          </w:p>
        </w:tc>
        <w:tc>
          <w:tcPr>
            <w:tcW w:w="1130" w:type="dxa"/>
            <w:tcBorders>
              <w:top w:val="single" w:sz="4" w:space="0" w:color="auto"/>
              <w:bottom w:val="single" w:sz="4" w:space="0" w:color="auto"/>
            </w:tcBorders>
            <w:shd w:val="clear" w:color="auto" w:fill="auto"/>
            <w:noWrap/>
            <w:vAlign w:val="center"/>
          </w:tcPr>
          <w:p w14:paraId="3024FB62" w14:textId="77777777" w:rsidR="00C16EFA" w:rsidRPr="00CE09FE" w:rsidRDefault="00C611A5" w:rsidP="009858D2">
            <w:pPr>
              <w:spacing w:line="240" w:lineRule="auto"/>
              <w:rPr>
                <w:rFonts w:cs="Calibri"/>
                <w:color w:val="000000"/>
                <w:sz w:val="16"/>
                <w:szCs w:val="16"/>
              </w:rPr>
            </w:pPr>
            <w:r w:rsidRPr="00CE09FE">
              <w:rPr>
                <w:rFonts w:cs="Calibri"/>
                <w:color w:val="000000"/>
                <w:sz w:val="16"/>
                <w:szCs w:val="16"/>
              </w:rPr>
              <w:t>&lt;1.9 million rupiah</w:t>
            </w:r>
          </w:p>
        </w:tc>
        <w:tc>
          <w:tcPr>
            <w:tcW w:w="685" w:type="dxa"/>
            <w:tcBorders>
              <w:top w:val="single" w:sz="4" w:space="0" w:color="auto"/>
              <w:bottom w:val="single" w:sz="4" w:space="0" w:color="auto"/>
            </w:tcBorders>
            <w:shd w:val="clear" w:color="auto" w:fill="auto"/>
            <w:noWrap/>
            <w:vAlign w:val="center"/>
          </w:tcPr>
          <w:p w14:paraId="15CCBC44" w14:textId="77777777" w:rsidR="00C16EFA" w:rsidRPr="00CE09FE" w:rsidRDefault="00C611A5" w:rsidP="009858D2">
            <w:pPr>
              <w:spacing w:line="240" w:lineRule="auto"/>
              <w:jc w:val="right"/>
              <w:rPr>
                <w:rFonts w:cs="Calibri"/>
                <w:color w:val="000000"/>
                <w:sz w:val="16"/>
                <w:szCs w:val="16"/>
              </w:rPr>
            </w:pPr>
            <w:r w:rsidRPr="00CE09FE">
              <w:rPr>
                <w:rFonts w:cs="Calibri"/>
                <w:color w:val="000000"/>
                <w:sz w:val="16"/>
                <w:szCs w:val="16"/>
              </w:rPr>
              <w:t>27</w:t>
            </w:r>
          </w:p>
        </w:tc>
        <w:tc>
          <w:tcPr>
            <w:tcW w:w="507" w:type="dxa"/>
            <w:tcBorders>
              <w:top w:val="single" w:sz="4" w:space="0" w:color="auto"/>
              <w:bottom w:val="single" w:sz="4" w:space="0" w:color="auto"/>
            </w:tcBorders>
            <w:shd w:val="clear" w:color="auto" w:fill="auto"/>
            <w:noWrap/>
            <w:vAlign w:val="center"/>
          </w:tcPr>
          <w:p w14:paraId="6A5F3220" w14:textId="77777777" w:rsidR="00C16EFA" w:rsidRPr="00CE09FE" w:rsidRDefault="00C611A5" w:rsidP="009858D2">
            <w:pPr>
              <w:spacing w:line="240" w:lineRule="auto"/>
              <w:jc w:val="right"/>
              <w:rPr>
                <w:rFonts w:cs="Calibri"/>
                <w:color w:val="000000"/>
                <w:sz w:val="16"/>
                <w:szCs w:val="16"/>
              </w:rPr>
            </w:pPr>
            <w:r w:rsidRPr="00CE09FE">
              <w:rPr>
                <w:rFonts w:cs="Calibri"/>
                <w:color w:val="000000"/>
                <w:sz w:val="16"/>
                <w:szCs w:val="16"/>
              </w:rPr>
              <w:t>29%</w:t>
            </w:r>
          </w:p>
        </w:tc>
      </w:tr>
      <w:tr w:rsidR="00C16EFA" w:rsidRPr="00CE09FE" w14:paraId="494281EC" w14:textId="77777777" w:rsidTr="00CE09FE">
        <w:trPr>
          <w:trHeight w:val="252"/>
        </w:trPr>
        <w:tc>
          <w:tcPr>
            <w:tcW w:w="946" w:type="dxa"/>
            <w:tcBorders>
              <w:top w:val="single" w:sz="4" w:space="0" w:color="auto"/>
              <w:bottom w:val="single" w:sz="4" w:space="0" w:color="auto"/>
            </w:tcBorders>
            <w:shd w:val="clear" w:color="auto" w:fill="auto"/>
            <w:noWrap/>
            <w:vAlign w:val="center"/>
          </w:tcPr>
          <w:p w14:paraId="2C9C1826"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High School</w:t>
            </w:r>
          </w:p>
        </w:tc>
        <w:tc>
          <w:tcPr>
            <w:tcW w:w="654" w:type="dxa"/>
            <w:tcBorders>
              <w:top w:val="single" w:sz="4" w:space="0" w:color="auto"/>
              <w:bottom w:val="single" w:sz="4" w:space="0" w:color="auto"/>
            </w:tcBorders>
            <w:shd w:val="clear" w:color="auto" w:fill="auto"/>
            <w:noWrap/>
            <w:vAlign w:val="center"/>
          </w:tcPr>
          <w:p w14:paraId="7B5741C4"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54</w:t>
            </w:r>
          </w:p>
        </w:tc>
        <w:tc>
          <w:tcPr>
            <w:tcW w:w="456" w:type="dxa"/>
            <w:tcBorders>
              <w:top w:val="single" w:sz="4" w:space="0" w:color="auto"/>
              <w:bottom w:val="single" w:sz="4" w:space="0" w:color="auto"/>
            </w:tcBorders>
            <w:shd w:val="clear" w:color="auto" w:fill="auto"/>
            <w:noWrap/>
            <w:vAlign w:val="center"/>
          </w:tcPr>
          <w:p w14:paraId="5D8305D8"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57%</w:t>
            </w:r>
          </w:p>
        </w:tc>
        <w:tc>
          <w:tcPr>
            <w:tcW w:w="994" w:type="dxa"/>
            <w:tcBorders>
              <w:top w:val="single" w:sz="4" w:space="0" w:color="auto"/>
              <w:bottom w:val="single" w:sz="4" w:space="0" w:color="auto"/>
            </w:tcBorders>
            <w:shd w:val="clear" w:color="auto" w:fill="auto"/>
            <w:noWrap/>
            <w:vAlign w:val="center"/>
          </w:tcPr>
          <w:p w14:paraId="0684233D"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40-49 years old</w:t>
            </w:r>
          </w:p>
        </w:tc>
        <w:tc>
          <w:tcPr>
            <w:tcW w:w="685" w:type="dxa"/>
            <w:tcBorders>
              <w:top w:val="single" w:sz="4" w:space="0" w:color="auto"/>
              <w:bottom w:val="single" w:sz="4" w:space="0" w:color="auto"/>
            </w:tcBorders>
            <w:shd w:val="clear" w:color="auto" w:fill="auto"/>
            <w:noWrap/>
            <w:vAlign w:val="center"/>
          </w:tcPr>
          <w:p w14:paraId="164880A1"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37</w:t>
            </w:r>
          </w:p>
        </w:tc>
        <w:tc>
          <w:tcPr>
            <w:tcW w:w="456" w:type="dxa"/>
            <w:tcBorders>
              <w:top w:val="single" w:sz="4" w:space="0" w:color="auto"/>
              <w:bottom w:val="single" w:sz="4" w:space="0" w:color="auto"/>
            </w:tcBorders>
            <w:shd w:val="clear" w:color="auto" w:fill="auto"/>
            <w:noWrap/>
            <w:vAlign w:val="center"/>
          </w:tcPr>
          <w:p w14:paraId="767B4D11"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39%</w:t>
            </w:r>
          </w:p>
        </w:tc>
        <w:tc>
          <w:tcPr>
            <w:tcW w:w="932" w:type="dxa"/>
            <w:tcBorders>
              <w:top w:val="single" w:sz="4" w:space="0" w:color="auto"/>
              <w:bottom w:val="single" w:sz="4" w:space="0" w:color="auto"/>
            </w:tcBorders>
            <w:shd w:val="clear" w:color="auto" w:fill="auto"/>
            <w:noWrap/>
            <w:vAlign w:val="center"/>
          </w:tcPr>
          <w:p w14:paraId="7348884C"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6-10 years</w:t>
            </w:r>
          </w:p>
        </w:tc>
        <w:tc>
          <w:tcPr>
            <w:tcW w:w="685" w:type="dxa"/>
            <w:tcBorders>
              <w:top w:val="single" w:sz="4" w:space="0" w:color="auto"/>
              <w:bottom w:val="single" w:sz="4" w:space="0" w:color="auto"/>
            </w:tcBorders>
            <w:shd w:val="clear" w:color="auto" w:fill="auto"/>
            <w:noWrap/>
            <w:vAlign w:val="center"/>
          </w:tcPr>
          <w:p w14:paraId="40A1C704"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28</w:t>
            </w:r>
          </w:p>
        </w:tc>
        <w:tc>
          <w:tcPr>
            <w:tcW w:w="453" w:type="dxa"/>
            <w:tcBorders>
              <w:top w:val="single" w:sz="4" w:space="0" w:color="auto"/>
              <w:bottom w:val="single" w:sz="4" w:space="0" w:color="auto"/>
            </w:tcBorders>
            <w:shd w:val="clear" w:color="auto" w:fill="auto"/>
            <w:noWrap/>
            <w:vAlign w:val="center"/>
          </w:tcPr>
          <w:p w14:paraId="195CC497" w14:textId="77777777" w:rsidR="00C16EFA" w:rsidRPr="00CE09FE" w:rsidRDefault="00C611A5" w:rsidP="009858D2">
            <w:pPr>
              <w:spacing w:after="0" w:line="240" w:lineRule="auto"/>
              <w:ind w:left="-26"/>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29%</w:t>
            </w:r>
          </w:p>
        </w:tc>
        <w:tc>
          <w:tcPr>
            <w:tcW w:w="1130" w:type="dxa"/>
            <w:tcBorders>
              <w:top w:val="single" w:sz="4" w:space="0" w:color="auto"/>
              <w:bottom w:val="single" w:sz="4" w:space="0" w:color="auto"/>
            </w:tcBorders>
            <w:shd w:val="clear" w:color="auto" w:fill="auto"/>
            <w:noWrap/>
            <w:vAlign w:val="center"/>
          </w:tcPr>
          <w:p w14:paraId="16EE8A0F" w14:textId="77777777" w:rsidR="00C16EFA" w:rsidRPr="00CE09FE" w:rsidRDefault="00C611A5" w:rsidP="009858D2">
            <w:pPr>
              <w:spacing w:line="240" w:lineRule="auto"/>
              <w:rPr>
                <w:rFonts w:cs="Calibri"/>
                <w:color w:val="000000"/>
                <w:sz w:val="16"/>
                <w:szCs w:val="16"/>
              </w:rPr>
            </w:pPr>
            <w:r w:rsidRPr="00CE09FE">
              <w:rPr>
                <w:rFonts w:cs="Calibri"/>
                <w:color w:val="000000"/>
                <w:sz w:val="16"/>
                <w:szCs w:val="16"/>
              </w:rPr>
              <w:t>2 -2.9 million rupiah</w:t>
            </w:r>
          </w:p>
        </w:tc>
        <w:tc>
          <w:tcPr>
            <w:tcW w:w="685" w:type="dxa"/>
            <w:tcBorders>
              <w:top w:val="single" w:sz="4" w:space="0" w:color="auto"/>
              <w:bottom w:val="single" w:sz="4" w:space="0" w:color="auto"/>
            </w:tcBorders>
            <w:shd w:val="clear" w:color="auto" w:fill="auto"/>
            <w:noWrap/>
            <w:vAlign w:val="center"/>
          </w:tcPr>
          <w:p w14:paraId="58331393" w14:textId="77777777" w:rsidR="00C16EFA" w:rsidRPr="00CE09FE" w:rsidRDefault="00C611A5" w:rsidP="009858D2">
            <w:pPr>
              <w:spacing w:line="240" w:lineRule="auto"/>
              <w:jc w:val="right"/>
              <w:rPr>
                <w:rFonts w:cs="Calibri"/>
                <w:color w:val="000000"/>
                <w:sz w:val="16"/>
                <w:szCs w:val="16"/>
              </w:rPr>
            </w:pPr>
            <w:r w:rsidRPr="00CE09FE">
              <w:rPr>
                <w:rFonts w:cs="Calibri"/>
                <w:color w:val="000000"/>
                <w:sz w:val="16"/>
                <w:szCs w:val="16"/>
              </w:rPr>
              <w:t>21</w:t>
            </w:r>
          </w:p>
        </w:tc>
        <w:tc>
          <w:tcPr>
            <w:tcW w:w="507" w:type="dxa"/>
            <w:tcBorders>
              <w:top w:val="single" w:sz="4" w:space="0" w:color="auto"/>
              <w:bottom w:val="single" w:sz="4" w:space="0" w:color="auto"/>
            </w:tcBorders>
            <w:shd w:val="clear" w:color="auto" w:fill="auto"/>
            <w:noWrap/>
            <w:vAlign w:val="center"/>
          </w:tcPr>
          <w:p w14:paraId="3A82DC19" w14:textId="77777777" w:rsidR="00C16EFA" w:rsidRPr="00CE09FE" w:rsidRDefault="00C611A5" w:rsidP="009858D2">
            <w:pPr>
              <w:spacing w:line="240" w:lineRule="auto"/>
              <w:jc w:val="right"/>
              <w:rPr>
                <w:rFonts w:cs="Calibri"/>
                <w:color w:val="000000"/>
                <w:sz w:val="16"/>
                <w:szCs w:val="16"/>
              </w:rPr>
            </w:pPr>
            <w:r w:rsidRPr="00CE09FE">
              <w:rPr>
                <w:rFonts w:cs="Calibri"/>
                <w:color w:val="000000"/>
                <w:sz w:val="16"/>
                <w:szCs w:val="16"/>
              </w:rPr>
              <w:t>23%</w:t>
            </w:r>
          </w:p>
        </w:tc>
      </w:tr>
      <w:tr w:rsidR="00C16EFA" w:rsidRPr="00CE09FE" w14:paraId="784A063A" w14:textId="77777777" w:rsidTr="00CE09FE">
        <w:trPr>
          <w:trHeight w:val="252"/>
        </w:trPr>
        <w:tc>
          <w:tcPr>
            <w:tcW w:w="946" w:type="dxa"/>
            <w:tcBorders>
              <w:top w:val="single" w:sz="4" w:space="0" w:color="auto"/>
              <w:bottom w:val="single" w:sz="4" w:space="0" w:color="auto"/>
            </w:tcBorders>
            <w:shd w:val="clear" w:color="auto" w:fill="auto"/>
            <w:noWrap/>
            <w:vAlign w:val="center"/>
          </w:tcPr>
          <w:p w14:paraId="177F2895"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Junior High School</w:t>
            </w:r>
          </w:p>
        </w:tc>
        <w:tc>
          <w:tcPr>
            <w:tcW w:w="654" w:type="dxa"/>
            <w:tcBorders>
              <w:top w:val="single" w:sz="4" w:space="0" w:color="auto"/>
              <w:bottom w:val="single" w:sz="4" w:space="0" w:color="auto"/>
            </w:tcBorders>
            <w:shd w:val="clear" w:color="auto" w:fill="auto"/>
            <w:noWrap/>
            <w:vAlign w:val="center"/>
          </w:tcPr>
          <w:p w14:paraId="04449A8C"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19</w:t>
            </w:r>
          </w:p>
        </w:tc>
        <w:tc>
          <w:tcPr>
            <w:tcW w:w="456" w:type="dxa"/>
            <w:tcBorders>
              <w:top w:val="single" w:sz="4" w:space="0" w:color="auto"/>
              <w:bottom w:val="single" w:sz="4" w:space="0" w:color="auto"/>
            </w:tcBorders>
            <w:shd w:val="clear" w:color="auto" w:fill="auto"/>
            <w:noWrap/>
            <w:vAlign w:val="center"/>
          </w:tcPr>
          <w:p w14:paraId="56E9AC19"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20%</w:t>
            </w:r>
          </w:p>
        </w:tc>
        <w:tc>
          <w:tcPr>
            <w:tcW w:w="994" w:type="dxa"/>
            <w:tcBorders>
              <w:top w:val="single" w:sz="4" w:space="0" w:color="auto"/>
              <w:bottom w:val="single" w:sz="4" w:space="0" w:color="auto"/>
            </w:tcBorders>
            <w:shd w:val="clear" w:color="auto" w:fill="auto"/>
            <w:noWrap/>
            <w:vAlign w:val="center"/>
          </w:tcPr>
          <w:p w14:paraId="5D7C209C"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30-39 years old</w:t>
            </w:r>
          </w:p>
        </w:tc>
        <w:tc>
          <w:tcPr>
            <w:tcW w:w="685" w:type="dxa"/>
            <w:tcBorders>
              <w:top w:val="single" w:sz="4" w:space="0" w:color="auto"/>
              <w:bottom w:val="single" w:sz="4" w:space="0" w:color="auto"/>
            </w:tcBorders>
            <w:shd w:val="clear" w:color="auto" w:fill="auto"/>
            <w:noWrap/>
            <w:vAlign w:val="center"/>
          </w:tcPr>
          <w:p w14:paraId="7DFBDF3A"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38</w:t>
            </w:r>
          </w:p>
        </w:tc>
        <w:tc>
          <w:tcPr>
            <w:tcW w:w="456" w:type="dxa"/>
            <w:tcBorders>
              <w:top w:val="single" w:sz="4" w:space="0" w:color="auto"/>
              <w:bottom w:val="single" w:sz="4" w:space="0" w:color="auto"/>
            </w:tcBorders>
            <w:shd w:val="clear" w:color="auto" w:fill="auto"/>
            <w:noWrap/>
            <w:vAlign w:val="center"/>
          </w:tcPr>
          <w:p w14:paraId="42AFBD1D"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40%</w:t>
            </w:r>
          </w:p>
        </w:tc>
        <w:tc>
          <w:tcPr>
            <w:tcW w:w="932" w:type="dxa"/>
            <w:tcBorders>
              <w:top w:val="single" w:sz="4" w:space="0" w:color="auto"/>
              <w:bottom w:val="single" w:sz="4" w:space="0" w:color="auto"/>
            </w:tcBorders>
            <w:shd w:val="clear" w:color="auto" w:fill="auto"/>
            <w:noWrap/>
            <w:vAlign w:val="center"/>
          </w:tcPr>
          <w:p w14:paraId="6AF6E3EA" w14:textId="77777777" w:rsidR="00C16EFA" w:rsidRPr="00CE09FE" w:rsidRDefault="00C611A5" w:rsidP="009858D2">
            <w:pPr>
              <w:spacing w:after="0" w:line="240" w:lineRule="auto"/>
              <w:ind w:left="-57"/>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11-15 years</w:t>
            </w:r>
          </w:p>
        </w:tc>
        <w:tc>
          <w:tcPr>
            <w:tcW w:w="685" w:type="dxa"/>
            <w:tcBorders>
              <w:top w:val="single" w:sz="4" w:space="0" w:color="auto"/>
              <w:bottom w:val="single" w:sz="4" w:space="0" w:color="auto"/>
            </w:tcBorders>
            <w:shd w:val="clear" w:color="auto" w:fill="auto"/>
            <w:noWrap/>
            <w:vAlign w:val="center"/>
          </w:tcPr>
          <w:p w14:paraId="1C9274CE"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11</w:t>
            </w:r>
          </w:p>
        </w:tc>
        <w:tc>
          <w:tcPr>
            <w:tcW w:w="453" w:type="dxa"/>
            <w:tcBorders>
              <w:top w:val="single" w:sz="4" w:space="0" w:color="auto"/>
              <w:bottom w:val="single" w:sz="4" w:space="0" w:color="auto"/>
            </w:tcBorders>
            <w:shd w:val="clear" w:color="auto" w:fill="auto"/>
            <w:noWrap/>
            <w:vAlign w:val="center"/>
          </w:tcPr>
          <w:p w14:paraId="3997D2C9" w14:textId="77777777" w:rsidR="00C16EFA" w:rsidRPr="00CE09FE" w:rsidRDefault="00C611A5" w:rsidP="009858D2">
            <w:pPr>
              <w:spacing w:after="0" w:line="240" w:lineRule="auto"/>
              <w:ind w:left="-26"/>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12%</w:t>
            </w:r>
          </w:p>
        </w:tc>
        <w:tc>
          <w:tcPr>
            <w:tcW w:w="1130" w:type="dxa"/>
            <w:tcBorders>
              <w:top w:val="single" w:sz="4" w:space="0" w:color="auto"/>
              <w:bottom w:val="single" w:sz="4" w:space="0" w:color="auto"/>
            </w:tcBorders>
            <w:shd w:val="clear" w:color="auto" w:fill="auto"/>
            <w:noWrap/>
            <w:vAlign w:val="center"/>
          </w:tcPr>
          <w:p w14:paraId="107E3B98" w14:textId="77777777" w:rsidR="00C16EFA" w:rsidRPr="00CE09FE" w:rsidRDefault="00C611A5" w:rsidP="009858D2">
            <w:pPr>
              <w:spacing w:line="240" w:lineRule="auto"/>
              <w:rPr>
                <w:rFonts w:cs="Calibri"/>
                <w:color w:val="000000"/>
                <w:sz w:val="16"/>
                <w:szCs w:val="16"/>
              </w:rPr>
            </w:pPr>
            <w:r w:rsidRPr="00CE09FE">
              <w:rPr>
                <w:rFonts w:cs="Calibri"/>
                <w:color w:val="000000"/>
                <w:sz w:val="16"/>
                <w:szCs w:val="16"/>
              </w:rPr>
              <w:t>3 -3.9 million rupiah</w:t>
            </w:r>
          </w:p>
        </w:tc>
        <w:tc>
          <w:tcPr>
            <w:tcW w:w="685" w:type="dxa"/>
            <w:tcBorders>
              <w:top w:val="single" w:sz="4" w:space="0" w:color="auto"/>
              <w:bottom w:val="single" w:sz="4" w:space="0" w:color="auto"/>
            </w:tcBorders>
            <w:shd w:val="clear" w:color="auto" w:fill="auto"/>
            <w:noWrap/>
            <w:vAlign w:val="center"/>
          </w:tcPr>
          <w:p w14:paraId="55C0F023" w14:textId="77777777" w:rsidR="00C16EFA" w:rsidRPr="00CE09FE" w:rsidRDefault="00C611A5" w:rsidP="009858D2">
            <w:pPr>
              <w:spacing w:line="240" w:lineRule="auto"/>
              <w:jc w:val="right"/>
              <w:rPr>
                <w:rFonts w:cs="Calibri"/>
                <w:color w:val="000000"/>
                <w:sz w:val="16"/>
                <w:szCs w:val="16"/>
              </w:rPr>
            </w:pPr>
            <w:r w:rsidRPr="00CE09FE">
              <w:rPr>
                <w:rFonts w:cs="Calibri"/>
                <w:color w:val="000000"/>
                <w:sz w:val="16"/>
                <w:szCs w:val="16"/>
              </w:rPr>
              <w:t>30</w:t>
            </w:r>
          </w:p>
        </w:tc>
        <w:tc>
          <w:tcPr>
            <w:tcW w:w="507" w:type="dxa"/>
            <w:tcBorders>
              <w:top w:val="single" w:sz="4" w:space="0" w:color="auto"/>
              <w:bottom w:val="single" w:sz="4" w:space="0" w:color="auto"/>
            </w:tcBorders>
            <w:shd w:val="clear" w:color="auto" w:fill="auto"/>
            <w:noWrap/>
            <w:vAlign w:val="center"/>
          </w:tcPr>
          <w:p w14:paraId="65C95836" w14:textId="77777777" w:rsidR="00C16EFA" w:rsidRPr="00CE09FE" w:rsidRDefault="00C611A5" w:rsidP="009858D2">
            <w:pPr>
              <w:spacing w:line="240" w:lineRule="auto"/>
              <w:jc w:val="right"/>
              <w:rPr>
                <w:rFonts w:cs="Calibri"/>
                <w:color w:val="000000"/>
                <w:sz w:val="16"/>
                <w:szCs w:val="16"/>
              </w:rPr>
            </w:pPr>
            <w:r w:rsidRPr="00CE09FE">
              <w:rPr>
                <w:rFonts w:cs="Calibri"/>
                <w:color w:val="000000"/>
                <w:sz w:val="16"/>
                <w:szCs w:val="16"/>
              </w:rPr>
              <w:t>32%</w:t>
            </w:r>
          </w:p>
        </w:tc>
      </w:tr>
      <w:tr w:rsidR="00C16EFA" w:rsidRPr="00CE09FE" w14:paraId="6DA025CF" w14:textId="77777777" w:rsidTr="00CE09FE">
        <w:trPr>
          <w:trHeight w:val="252"/>
        </w:trPr>
        <w:tc>
          <w:tcPr>
            <w:tcW w:w="946" w:type="dxa"/>
            <w:tcBorders>
              <w:top w:val="single" w:sz="4" w:space="0" w:color="auto"/>
              <w:bottom w:val="single" w:sz="4" w:space="0" w:color="auto"/>
            </w:tcBorders>
            <w:shd w:val="clear" w:color="auto" w:fill="auto"/>
            <w:noWrap/>
            <w:vAlign w:val="center"/>
          </w:tcPr>
          <w:p w14:paraId="4ADDCD84"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Sd</w:t>
            </w:r>
          </w:p>
        </w:tc>
        <w:tc>
          <w:tcPr>
            <w:tcW w:w="654" w:type="dxa"/>
            <w:tcBorders>
              <w:top w:val="single" w:sz="4" w:space="0" w:color="auto"/>
              <w:bottom w:val="single" w:sz="4" w:space="0" w:color="auto"/>
            </w:tcBorders>
            <w:shd w:val="clear" w:color="auto" w:fill="auto"/>
            <w:noWrap/>
            <w:vAlign w:val="center"/>
          </w:tcPr>
          <w:p w14:paraId="3A2210E7"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13</w:t>
            </w:r>
          </w:p>
        </w:tc>
        <w:tc>
          <w:tcPr>
            <w:tcW w:w="456" w:type="dxa"/>
            <w:tcBorders>
              <w:top w:val="single" w:sz="4" w:space="0" w:color="auto"/>
              <w:bottom w:val="single" w:sz="4" w:space="0" w:color="auto"/>
            </w:tcBorders>
            <w:shd w:val="clear" w:color="auto" w:fill="auto"/>
            <w:noWrap/>
            <w:vAlign w:val="center"/>
          </w:tcPr>
          <w:p w14:paraId="47EF407D"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14%</w:t>
            </w:r>
          </w:p>
        </w:tc>
        <w:tc>
          <w:tcPr>
            <w:tcW w:w="994" w:type="dxa"/>
            <w:tcBorders>
              <w:top w:val="single" w:sz="4" w:space="0" w:color="auto"/>
              <w:bottom w:val="single" w:sz="4" w:space="0" w:color="auto"/>
            </w:tcBorders>
            <w:shd w:val="clear" w:color="auto" w:fill="auto"/>
            <w:noWrap/>
            <w:vAlign w:val="center"/>
          </w:tcPr>
          <w:p w14:paraId="4089DBB1"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29 years</w:t>
            </w:r>
          </w:p>
        </w:tc>
        <w:tc>
          <w:tcPr>
            <w:tcW w:w="685" w:type="dxa"/>
            <w:tcBorders>
              <w:top w:val="single" w:sz="4" w:space="0" w:color="auto"/>
              <w:bottom w:val="single" w:sz="4" w:space="0" w:color="auto"/>
            </w:tcBorders>
            <w:shd w:val="clear" w:color="auto" w:fill="auto"/>
            <w:noWrap/>
            <w:vAlign w:val="center"/>
          </w:tcPr>
          <w:p w14:paraId="03BDFECE"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7</w:t>
            </w:r>
          </w:p>
        </w:tc>
        <w:tc>
          <w:tcPr>
            <w:tcW w:w="456" w:type="dxa"/>
            <w:tcBorders>
              <w:top w:val="single" w:sz="4" w:space="0" w:color="auto"/>
              <w:bottom w:val="single" w:sz="4" w:space="0" w:color="auto"/>
            </w:tcBorders>
            <w:shd w:val="clear" w:color="auto" w:fill="auto"/>
            <w:noWrap/>
            <w:vAlign w:val="center"/>
          </w:tcPr>
          <w:p w14:paraId="2AE4CEB9"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7%</w:t>
            </w:r>
          </w:p>
        </w:tc>
        <w:tc>
          <w:tcPr>
            <w:tcW w:w="932" w:type="dxa"/>
            <w:tcBorders>
              <w:top w:val="single" w:sz="4" w:space="0" w:color="auto"/>
              <w:bottom w:val="single" w:sz="4" w:space="0" w:color="auto"/>
            </w:tcBorders>
            <w:shd w:val="clear" w:color="auto" w:fill="auto"/>
            <w:noWrap/>
            <w:vAlign w:val="center"/>
          </w:tcPr>
          <w:p w14:paraId="26DB574A"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&gt;15 years</w:t>
            </w:r>
          </w:p>
        </w:tc>
        <w:tc>
          <w:tcPr>
            <w:tcW w:w="685" w:type="dxa"/>
            <w:tcBorders>
              <w:top w:val="single" w:sz="4" w:space="0" w:color="auto"/>
              <w:bottom w:val="single" w:sz="4" w:space="0" w:color="auto"/>
            </w:tcBorders>
            <w:shd w:val="clear" w:color="auto" w:fill="auto"/>
            <w:noWrap/>
            <w:vAlign w:val="center"/>
          </w:tcPr>
          <w:p w14:paraId="47B081AE"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6</w:t>
            </w:r>
          </w:p>
        </w:tc>
        <w:tc>
          <w:tcPr>
            <w:tcW w:w="453" w:type="dxa"/>
            <w:tcBorders>
              <w:top w:val="single" w:sz="4" w:space="0" w:color="auto"/>
              <w:bottom w:val="single" w:sz="4" w:space="0" w:color="auto"/>
            </w:tcBorders>
            <w:shd w:val="clear" w:color="auto" w:fill="auto"/>
            <w:noWrap/>
            <w:vAlign w:val="center"/>
          </w:tcPr>
          <w:p w14:paraId="596BDB35" w14:textId="77777777" w:rsidR="00C16EFA" w:rsidRPr="00CE09FE" w:rsidRDefault="00C611A5" w:rsidP="009858D2">
            <w:pPr>
              <w:spacing w:after="0" w:line="240" w:lineRule="auto"/>
              <w:ind w:left="-26"/>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6%</w:t>
            </w:r>
          </w:p>
        </w:tc>
        <w:tc>
          <w:tcPr>
            <w:tcW w:w="1130" w:type="dxa"/>
            <w:tcBorders>
              <w:top w:val="single" w:sz="4" w:space="0" w:color="auto"/>
              <w:bottom w:val="single" w:sz="4" w:space="0" w:color="auto"/>
            </w:tcBorders>
            <w:shd w:val="clear" w:color="auto" w:fill="auto"/>
            <w:noWrap/>
            <w:vAlign w:val="center"/>
          </w:tcPr>
          <w:p w14:paraId="19C568C8" w14:textId="77777777" w:rsidR="00C16EFA" w:rsidRPr="00CE09FE" w:rsidRDefault="00C611A5" w:rsidP="009858D2">
            <w:pPr>
              <w:spacing w:line="240" w:lineRule="auto"/>
              <w:rPr>
                <w:rFonts w:cs="Calibri"/>
                <w:color w:val="000000"/>
                <w:sz w:val="16"/>
                <w:szCs w:val="16"/>
              </w:rPr>
            </w:pPr>
            <w:r w:rsidRPr="00CE09FE">
              <w:rPr>
                <w:rFonts w:cs="Calibri"/>
                <w:color w:val="000000"/>
                <w:sz w:val="16"/>
                <w:szCs w:val="16"/>
              </w:rPr>
              <w:t>&gt;4 million rupiah</w:t>
            </w:r>
          </w:p>
        </w:tc>
        <w:tc>
          <w:tcPr>
            <w:tcW w:w="685" w:type="dxa"/>
            <w:tcBorders>
              <w:top w:val="single" w:sz="4" w:space="0" w:color="auto"/>
              <w:bottom w:val="single" w:sz="4" w:space="0" w:color="auto"/>
            </w:tcBorders>
            <w:shd w:val="clear" w:color="auto" w:fill="auto"/>
            <w:noWrap/>
            <w:vAlign w:val="center"/>
          </w:tcPr>
          <w:p w14:paraId="4551830B" w14:textId="77777777" w:rsidR="00C16EFA" w:rsidRPr="00CE09FE" w:rsidRDefault="00C611A5" w:rsidP="009858D2">
            <w:pPr>
              <w:spacing w:line="240" w:lineRule="auto"/>
              <w:jc w:val="right"/>
              <w:rPr>
                <w:rFonts w:cs="Calibri"/>
                <w:color w:val="000000"/>
                <w:sz w:val="16"/>
                <w:szCs w:val="16"/>
              </w:rPr>
            </w:pPr>
            <w:r w:rsidRPr="00CE09FE">
              <w:rPr>
                <w:rFonts w:cs="Calibri"/>
                <w:color w:val="000000"/>
                <w:sz w:val="16"/>
                <w:szCs w:val="16"/>
              </w:rPr>
              <w:t>17</w:t>
            </w:r>
          </w:p>
        </w:tc>
        <w:tc>
          <w:tcPr>
            <w:tcW w:w="507" w:type="dxa"/>
            <w:tcBorders>
              <w:top w:val="single" w:sz="4" w:space="0" w:color="auto"/>
              <w:bottom w:val="single" w:sz="4" w:space="0" w:color="auto"/>
            </w:tcBorders>
            <w:shd w:val="clear" w:color="auto" w:fill="auto"/>
            <w:noWrap/>
            <w:vAlign w:val="center"/>
          </w:tcPr>
          <w:p w14:paraId="631D1449" w14:textId="77777777" w:rsidR="00C16EFA" w:rsidRPr="00CE09FE" w:rsidRDefault="00C611A5" w:rsidP="009858D2">
            <w:pPr>
              <w:spacing w:line="240" w:lineRule="auto"/>
              <w:jc w:val="right"/>
              <w:rPr>
                <w:rFonts w:cs="Calibri"/>
                <w:color w:val="000000"/>
                <w:sz w:val="16"/>
                <w:szCs w:val="16"/>
              </w:rPr>
            </w:pPr>
            <w:r w:rsidRPr="00CE09FE">
              <w:rPr>
                <w:rFonts w:cs="Calibri"/>
                <w:color w:val="000000"/>
                <w:sz w:val="16"/>
                <w:szCs w:val="16"/>
              </w:rPr>
              <w:t>17%</w:t>
            </w:r>
          </w:p>
        </w:tc>
      </w:tr>
      <w:tr w:rsidR="00C16EFA" w:rsidRPr="00CE09FE" w14:paraId="293B1360" w14:textId="77777777" w:rsidTr="00CE09FE">
        <w:trPr>
          <w:trHeight w:val="252"/>
        </w:trPr>
        <w:tc>
          <w:tcPr>
            <w:tcW w:w="946" w:type="dxa"/>
            <w:tcBorders>
              <w:top w:val="single" w:sz="4" w:space="0" w:color="auto"/>
            </w:tcBorders>
            <w:shd w:val="clear" w:color="auto" w:fill="auto"/>
            <w:noWrap/>
            <w:vAlign w:val="center"/>
          </w:tcPr>
          <w:p w14:paraId="33D7689E"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 </w:t>
            </w:r>
          </w:p>
        </w:tc>
        <w:tc>
          <w:tcPr>
            <w:tcW w:w="654" w:type="dxa"/>
            <w:tcBorders>
              <w:top w:val="single" w:sz="4" w:space="0" w:color="auto"/>
            </w:tcBorders>
            <w:shd w:val="clear" w:color="auto" w:fill="auto"/>
            <w:noWrap/>
            <w:vAlign w:val="center"/>
          </w:tcPr>
          <w:p w14:paraId="69D536F5"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95</w:t>
            </w:r>
          </w:p>
        </w:tc>
        <w:tc>
          <w:tcPr>
            <w:tcW w:w="456" w:type="dxa"/>
            <w:tcBorders>
              <w:top w:val="single" w:sz="4" w:space="0" w:color="auto"/>
            </w:tcBorders>
            <w:shd w:val="clear" w:color="auto" w:fill="auto"/>
            <w:noWrap/>
            <w:vAlign w:val="center"/>
          </w:tcPr>
          <w:p w14:paraId="33AA52BC"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 </w:t>
            </w:r>
          </w:p>
        </w:tc>
        <w:tc>
          <w:tcPr>
            <w:tcW w:w="994" w:type="dxa"/>
            <w:tcBorders>
              <w:top w:val="single" w:sz="4" w:space="0" w:color="auto"/>
            </w:tcBorders>
            <w:shd w:val="clear" w:color="auto" w:fill="auto"/>
            <w:noWrap/>
            <w:vAlign w:val="center"/>
          </w:tcPr>
          <w:p w14:paraId="2834C832"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 </w:t>
            </w:r>
          </w:p>
        </w:tc>
        <w:tc>
          <w:tcPr>
            <w:tcW w:w="685" w:type="dxa"/>
            <w:tcBorders>
              <w:top w:val="single" w:sz="4" w:space="0" w:color="auto"/>
            </w:tcBorders>
            <w:shd w:val="clear" w:color="auto" w:fill="auto"/>
            <w:noWrap/>
            <w:vAlign w:val="center"/>
          </w:tcPr>
          <w:p w14:paraId="0BF0EE19"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95</w:t>
            </w:r>
          </w:p>
        </w:tc>
        <w:tc>
          <w:tcPr>
            <w:tcW w:w="456" w:type="dxa"/>
            <w:tcBorders>
              <w:top w:val="single" w:sz="4" w:space="0" w:color="auto"/>
            </w:tcBorders>
            <w:shd w:val="clear" w:color="auto" w:fill="auto"/>
            <w:noWrap/>
            <w:vAlign w:val="center"/>
          </w:tcPr>
          <w:p w14:paraId="34EAF6F2"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 </w:t>
            </w:r>
          </w:p>
        </w:tc>
        <w:tc>
          <w:tcPr>
            <w:tcW w:w="932" w:type="dxa"/>
            <w:tcBorders>
              <w:top w:val="single" w:sz="4" w:space="0" w:color="auto"/>
            </w:tcBorders>
            <w:shd w:val="clear" w:color="auto" w:fill="auto"/>
            <w:noWrap/>
            <w:vAlign w:val="center"/>
          </w:tcPr>
          <w:p w14:paraId="35106ECB"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 </w:t>
            </w:r>
          </w:p>
        </w:tc>
        <w:tc>
          <w:tcPr>
            <w:tcW w:w="685" w:type="dxa"/>
            <w:tcBorders>
              <w:top w:val="single" w:sz="4" w:space="0" w:color="auto"/>
            </w:tcBorders>
            <w:shd w:val="clear" w:color="auto" w:fill="auto"/>
            <w:noWrap/>
            <w:vAlign w:val="center"/>
          </w:tcPr>
          <w:p w14:paraId="52772328"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95</w:t>
            </w:r>
          </w:p>
        </w:tc>
        <w:tc>
          <w:tcPr>
            <w:tcW w:w="453" w:type="dxa"/>
            <w:tcBorders>
              <w:top w:val="single" w:sz="4" w:space="0" w:color="auto"/>
            </w:tcBorders>
            <w:shd w:val="clear" w:color="auto" w:fill="auto"/>
            <w:noWrap/>
            <w:vAlign w:val="center"/>
          </w:tcPr>
          <w:p w14:paraId="3F8CA553"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 </w:t>
            </w:r>
          </w:p>
        </w:tc>
        <w:tc>
          <w:tcPr>
            <w:tcW w:w="1130" w:type="dxa"/>
            <w:tcBorders>
              <w:top w:val="single" w:sz="4" w:space="0" w:color="auto"/>
            </w:tcBorders>
            <w:shd w:val="clear" w:color="auto" w:fill="auto"/>
            <w:noWrap/>
            <w:vAlign w:val="center"/>
          </w:tcPr>
          <w:p w14:paraId="11AF3B4B"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 </w:t>
            </w:r>
          </w:p>
        </w:tc>
        <w:tc>
          <w:tcPr>
            <w:tcW w:w="685" w:type="dxa"/>
            <w:tcBorders>
              <w:top w:val="single" w:sz="4" w:space="0" w:color="auto"/>
            </w:tcBorders>
            <w:shd w:val="clear" w:color="auto" w:fill="auto"/>
            <w:noWrap/>
            <w:vAlign w:val="center"/>
          </w:tcPr>
          <w:p w14:paraId="0A82736E" w14:textId="77777777" w:rsidR="00C16EFA" w:rsidRPr="00CE09FE" w:rsidRDefault="00C611A5" w:rsidP="009858D2">
            <w:pPr>
              <w:spacing w:after="0" w:line="240" w:lineRule="auto"/>
              <w:jc w:val="right"/>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95</w:t>
            </w:r>
          </w:p>
        </w:tc>
        <w:tc>
          <w:tcPr>
            <w:tcW w:w="507" w:type="dxa"/>
            <w:tcBorders>
              <w:top w:val="single" w:sz="4" w:space="0" w:color="auto"/>
            </w:tcBorders>
            <w:shd w:val="clear" w:color="auto" w:fill="auto"/>
            <w:noWrap/>
            <w:vAlign w:val="center"/>
          </w:tcPr>
          <w:p w14:paraId="49930BDE" w14:textId="77777777" w:rsidR="00C16EFA" w:rsidRPr="00CE09FE" w:rsidRDefault="00C611A5" w:rsidP="009858D2">
            <w:pPr>
              <w:spacing w:after="0" w:line="240" w:lineRule="auto"/>
              <w:rPr>
                <w:rFonts w:ascii="Times New Roman" w:eastAsia="Times New Roman" w:hAnsi="Times New Roman" w:cs="Times New Roman"/>
                <w:color w:val="000000"/>
                <w:sz w:val="16"/>
                <w:szCs w:val="16"/>
              </w:rPr>
            </w:pPr>
            <w:r w:rsidRPr="00CE09FE">
              <w:rPr>
                <w:rFonts w:ascii="Times New Roman" w:eastAsia="Times New Roman" w:hAnsi="Times New Roman" w:cs="Times New Roman"/>
                <w:color w:val="000000"/>
                <w:sz w:val="16"/>
                <w:szCs w:val="16"/>
              </w:rPr>
              <w:t> </w:t>
            </w:r>
          </w:p>
        </w:tc>
      </w:tr>
    </w:tbl>
    <w:p w14:paraId="5A63078A" w14:textId="77777777" w:rsidR="00C16EFA" w:rsidRPr="004E16EB" w:rsidRDefault="00C16EFA" w:rsidP="009858D2">
      <w:pPr>
        <w:pStyle w:val="BodyText"/>
        <w:ind w:right="138"/>
        <w:jc w:val="both"/>
        <w:rPr>
          <w:spacing w:val="-5"/>
          <w:w w:val="104"/>
        </w:rPr>
      </w:pPr>
    </w:p>
    <w:p w14:paraId="242525C8" w14:textId="77777777" w:rsidR="00C16EFA" w:rsidRPr="004E16EB" w:rsidRDefault="00C611A5" w:rsidP="009858D2">
      <w:pPr>
        <w:pStyle w:val="ListParagraph"/>
        <w:numPr>
          <w:ilvl w:val="1"/>
          <w:numId w:val="3"/>
        </w:numPr>
        <w:spacing w:after="0" w:line="240" w:lineRule="auto"/>
        <w:ind w:left="360"/>
        <w:rPr>
          <w:rFonts w:ascii="Times New Roman" w:hAnsi="Times New Roman" w:cs="Times New Roman"/>
          <w:b/>
          <w:sz w:val="24"/>
          <w:szCs w:val="24"/>
        </w:rPr>
      </w:pPr>
      <w:r w:rsidRPr="004E16EB">
        <w:rPr>
          <w:rFonts w:ascii="Times New Roman" w:hAnsi="Times New Roman" w:cs="Times New Roman"/>
          <w:b/>
          <w:sz w:val="24"/>
          <w:szCs w:val="24"/>
        </w:rPr>
        <w:t xml:space="preserve"> Data Analysis Procedure </w:t>
      </w:r>
    </w:p>
    <w:p w14:paraId="40272BAB" w14:textId="772866C6" w:rsidR="00C16EFA" w:rsidRPr="004E16EB" w:rsidRDefault="000F1614" w:rsidP="009858D2">
      <w:pPr>
        <w:spacing w:line="240" w:lineRule="auto"/>
        <w:ind w:firstLine="720"/>
        <w:jc w:val="both"/>
        <w:rPr>
          <w:rFonts w:ascii="Times New Roman" w:hAnsi="Times New Roman" w:cs="Times New Roman"/>
          <w:sz w:val="24"/>
          <w:szCs w:val="24"/>
        </w:rPr>
      </w:pPr>
      <w:r w:rsidRPr="000F1614">
        <w:rPr>
          <w:rFonts w:ascii="Times New Roman" w:hAnsi="Times New Roman"/>
          <w:sz w:val="24"/>
          <w:szCs w:val="24"/>
        </w:rPr>
        <w:t>Based on the educational attainment of the participants, 57% of individuals surveyed have completed high school, while a mere nine have obtained a college degree. This research employs qualitative analysis utilizing a thematic methodology through the processes of data collection, reduction, interpretation, and presentation. Throughout the data collection phase, all pertinent information is meticulously recorded and transcribed. The reduction phase entails the identification and organization of raw data prior to the processes of summarization, coding, and categorization in alignment with the research questions</w:t>
      </w:r>
      <w:r>
        <w:rPr>
          <w:rFonts w:ascii="Times New Roman" w:hAnsi="Times New Roman"/>
          <w:sz w:val="24"/>
          <w:szCs w:val="24"/>
        </w:rPr>
        <w:t xml:space="preserve"> </w:t>
      </w:r>
      <w:r w:rsidR="00C611A5" w:rsidRPr="004E16EB">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{"citationItems":[{"id":"ITEM-1","itemData":{"DOI":"10.1002/0470013192.BSA514","author":[{"dropping-particle":"","family":"Patton","given":"Michael Quinn","non-dropping-particle":"","parse-names":false,"suffix":""}],"container-title":"Encyclopedia of Statistics in Behavioral Science","id":"ITEM-1","issued":{"date-parts":[["2005","10"]]},"publisher":"John Wiley &amp; Sons, Ltd","publisher-place":"Chichester, UK","title":"Qualitative Research","type":"article-journal"},"uris":["http://www.mendeley.com/documents/?uuid=c84e8ddb-91f4-382f-a2d6-80dcbbfa7bce","http://www.mendeley.com/documents/?uuid=724a379f-f049-4c78-a7ad-0bbaf723ad82"]}],"mendeley":{"formattedCitation":"(Patton, 2005)","plainTextFormattedCitation":"(Patton, 2005)","previouslyFormattedCitation":"(Patton, 2005)"},"properties":{"noteIndex":0},"schema":"https://github.com/citation-style-language/schema/raw/master/csl-citation.json"}</w:instrText>
      </w:r>
      <w:r w:rsidR="00C611A5" w:rsidRPr="004E16EB">
        <w:rPr>
          <w:rFonts w:ascii="Times New Roman" w:hAnsi="Times New Roman" w:cs="Times New Roman"/>
          <w:sz w:val="24"/>
          <w:szCs w:val="24"/>
        </w:rPr>
        <w:fldChar w:fldCharType="separate"/>
      </w:r>
      <w:r w:rsidR="00C611A5" w:rsidRPr="004E16EB">
        <w:rPr>
          <w:rFonts w:ascii="Times New Roman" w:hAnsi="Times New Roman" w:cs="Times New Roman"/>
          <w:noProof/>
          <w:sz w:val="24"/>
          <w:szCs w:val="24"/>
        </w:rPr>
        <w:t>(Patton, 2005)</w:t>
      </w:r>
      <w:r w:rsidR="00C611A5" w:rsidRPr="004E16EB">
        <w:rPr>
          <w:rFonts w:ascii="Times New Roman" w:hAnsi="Times New Roman" w:cs="Times New Roman"/>
          <w:sz w:val="24"/>
          <w:szCs w:val="24"/>
        </w:rPr>
        <w:fldChar w:fldCharType="end"/>
      </w:r>
      <w:r w:rsidR="00C611A5" w:rsidRPr="004E16EB">
        <w:rPr>
          <w:rFonts w:ascii="Times New Roman" w:hAnsi="Times New Roman" w:cs="Times New Roman"/>
          <w:sz w:val="24"/>
          <w:szCs w:val="24"/>
        </w:rPr>
        <w:t xml:space="preserve">. According to </w:t>
      </w:r>
      <w:r w:rsidRPr="000F1614">
        <w:rPr>
          <w:rFonts w:ascii="Times New Roman" w:hAnsi="Times New Roman" w:cs="Times New Roman"/>
          <w:sz w:val="24"/>
          <w:szCs w:val="24"/>
        </w:rPr>
        <w:t>Malik</w:t>
      </w:r>
      <w:r w:rsidRPr="000F1614">
        <w:rPr>
          <w:rFonts w:ascii="Times New Roman" w:hAnsi="Times New Roman" w:cs="Times New Roman"/>
          <w:sz w:val="24"/>
          <w:szCs w:val="24"/>
        </w:rPr>
        <w:t xml:space="preserve"> </w:t>
      </w:r>
      <w:r w:rsidR="00C611A5"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{"citationItems":[{"id":"ITEM-1","itemData":{"ISSN":"2339-2649","abstract":"Qualitative research is exploratory as its purpose is to discover new ideas and insights or even generate new theories. It focuses on understanding the particular and the distinctive and does not necessarily seek to generalize findings to other contexts. Researcher do not define specific research questions at the outset of the study, as doing so would likely impose their own framework on the research context. Collecting, analyzing and interpreting data are done largely simultaneously, with researcher constantly moving back and forth until new information does not add to their understanding of a topic, a point called data saturation. In fact data analysis steers data collection. Five stages of doing qualitative research; a) Choosing research sites and sample populations; b) Obtaining and encoding quailtative data (taking field notes); c) Preparing for and under taking focused interviews; d) Developing and maintaining field relations; and e) Organizing and analyzing the qualitative data gathered.","author":[{"dropping-particle":"","family":"Malik","given":"Ranbir Singh","non-dropping-particle":"","parse-names":false,"suffix":""}],"container-title":"Jurnal Edubio Tropika","id":"ITEM-1","issue":"2","issued":{"date-parts":[["2013"]]},"title":"QUALITATIVE RESEARCH METHODOLOGY IN EDUCATION","type":"article-journal","volume":"1"},"suppress-author":1,"uris":["http://www.mendeley.com/documents/?uuid=89922c4f-8570-3688-be84-e5f11ce03406","http://www.mendeley.com/documents/?uuid=0906ea43-0b31-4ce1-a0ba-f614fd06e117"]}],"mendeley":{"formattedCitation":"(2013)","plainTextFormattedCitation":"(2013)","previouslyFormattedCitation":"(Malik, 2013)"},"properties":{"noteIndex":0},"schema":"https://github.com/citation-style-language/schema/raw/master/csl-citation.json"}</w:instrText>
      </w:r>
      <w:r w:rsidR="00C611A5" w:rsidRPr="004E16EB">
        <w:rPr>
          <w:rFonts w:ascii="Times New Roman" w:hAnsi="Times New Roman" w:cs="Times New Roman"/>
          <w:sz w:val="24"/>
          <w:szCs w:val="24"/>
        </w:rPr>
        <w:fldChar w:fldCharType="separate"/>
      </w:r>
      <w:r w:rsidRPr="000F1614">
        <w:rPr>
          <w:rFonts w:ascii="Times New Roman" w:hAnsi="Times New Roman" w:cs="Times New Roman"/>
          <w:noProof/>
          <w:sz w:val="24"/>
          <w:szCs w:val="24"/>
        </w:rPr>
        <w:t>(2013)</w:t>
      </w:r>
      <w:r w:rsidR="00C611A5" w:rsidRPr="004E16EB">
        <w:rPr>
          <w:rFonts w:ascii="Times New Roman" w:hAnsi="Times New Roman" w:cs="Times New Roman"/>
          <w:sz w:val="24"/>
          <w:szCs w:val="24"/>
        </w:rPr>
        <w:fldChar w:fldCharType="end"/>
      </w:r>
      <w:r w:rsidR="00C611A5" w:rsidRPr="004E16EB">
        <w:rPr>
          <w:rFonts w:ascii="Times New Roman" w:hAnsi="Times New Roman" w:cs="Times New Roman"/>
          <w:sz w:val="24"/>
          <w:szCs w:val="24"/>
        </w:rPr>
        <w:t xml:space="preserve">, </w:t>
      </w:r>
      <w:r w:rsidRPr="000F1614">
        <w:rPr>
          <w:rFonts w:ascii="Times New Roman" w:hAnsi="Times New Roman"/>
          <w:sz w:val="24"/>
          <w:szCs w:val="24"/>
        </w:rPr>
        <w:t>thematic analysis refines aggregated data into more significant constructs in order to extract salient themes through the processes of underlining, italicizing, or encoding. Interpretation is conducted based on categorical data to identify crucial patterns that consistently manifest from the empirical data. Consequently, thematic analysis necessitates a greater degree of engagement and interpretative effort</w:t>
      </w:r>
      <w:r>
        <w:rPr>
          <w:rFonts w:ascii="Times New Roman" w:hAnsi="Times New Roman"/>
          <w:sz w:val="24"/>
          <w:szCs w:val="24"/>
        </w:rPr>
        <w:t xml:space="preserve"> </w:t>
      </w:r>
      <w:r w:rsidR="00207A78">
        <w:rPr>
          <w:rFonts w:ascii="Times New Roman" w:hAnsi="Times New Roman" w:cs="Times New Roman"/>
          <w:sz w:val="24"/>
          <w:szCs w:val="24"/>
        </w:rPr>
        <w:fldChar w:fldCharType="begin" w:fldLock="1"/>
      </w:r>
      <w:r w:rsidR="00192A4F">
        <w:rPr>
          <w:rFonts w:ascii="Times New Roman" w:hAnsi="Times New Roman" w:cs="Times New Roman"/>
          <w:sz w:val="24"/>
          <w:szCs w:val="24"/>
        </w:rPr>
        <w:instrText>ADDIN CSL_CITATION {"citationItems":[{"id":"ITEM-1","itemData":{"DOI":"10.1177/146879410100100307","ISSN":"1468-7941","abstract":"The growth in qualitative research is a well-noted and welcomed fact within the social sciences; however, there is a regrettable lack of tools available for the analysis of qualitative material. There is a need for greater disclosure in qualitative analysis, and for more sophisticated tools to facilitate such analyses. This article details a technique for conducting thematic analysis of qualitative material, presenting a step-by-step guide of the analytic process, with the aid of an empirical example. The analytic method presented employs established, well-known techniques; the article proposes that thematic analyses can be usefully aided by and presented as thematic networks. Thematic networks are web-like illustrations that summarize the main themes constituting a piece of text. The thematic networks technique is a robust and highly sensitive tool for the systematization and presentation of qualitative analyses.","author":[{"dropping-particle":"","family":"Attride-Stirling","given":"Jennifer","non-dropping-particle":"","parse-names":false,"suffix":""}],"container-title":"Qualitative Research","id":"ITEM-1","issue":"3","issued":{"date-parts":[["2001","12","1"]]},"page":"385-405","title":"Thematic networks: an analytic tool for qualitative research","type":"article-journal","volume":"1"},"uris":["http://www.mendeley.com/documents/?uuid=bfd6a23a-bb3a-4754-bc01-af14fb7f309a"]}],"mendeley":{"formattedCitation":"(Attride-Stirling, 2001)","plainTextFormattedCitation":"(Attride-Stirling, 2001)","previouslyFormattedCitation":"(Attride-Stirling, 2001)"},"properties":{"noteIndex":0},"schema":"https://github.com/citation-style-language/schema/raw/master/csl-citation.json"}</w:instrText>
      </w:r>
      <w:r w:rsidR="00207A78">
        <w:rPr>
          <w:rFonts w:ascii="Times New Roman" w:hAnsi="Times New Roman" w:cs="Times New Roman"/>
          <w:sz w:val="24"/>
          <w:szCs w:val="24"/>
        </w:rPr>
        <w:fldChar w:fldCharType="separate"/>
      </w:r>
      <w:r w:rsidR="00207A78" w:rsidRPr="00207A78">
        <w:rPr>
          <w:rFonts w:ascii="Times New Roman" w:hAnsi="Times New Roman" w:cs="Times New Roman"/>
          <w:noProof/>
          <w:sz w:val="24"/>
          <w:szCs w:val="24"/>
        </w:rPr>
        <w:t>(Attride-Stirling, 2001)</w:t>
      </w:r>
      <w:r w:rsidR="00207A78">
        <w:rPr>
          <w:rFonts w:ascii="Times New Roman" w:hAnsi="Times New Roman" w:cs="Times New Roman"/>
          <w:sz w:val="24"/>
          <w:szCs w:val="24"/>
        </w:rPr>
        <w:fldChar w:fldCharType="end"/>
      </w:r>
      <w:r w:rsidR="00C611A5" w:rsidRPr="004E16EB">
        <w:rPr>
          <w:rFonts w:ascii="Times New Roman" w:hAnsi="Times New Roman" w:cs="Times New Roman"/>
          <w:sz w:val="24"/>
          <w:szCs w:val="24"/>
        </w:rPr>
        <w:t xml:space="preserve">. </w:t>
      </w:r>
    </w:p>
    <w:p w14:paraId="39C319EF" w14:textId="44A60F99" w:rsidR="00C16EFA" w:rsidRPr="004E16EB" w:rsidRDefault="00207A78" w:rsidP="009858D2">
      <w:pPr>
        <w:pStyle w:val="ListParagraph"/>
        <w:numPr>
          <w:ilvl w:val="1"/>
          <w:numId w:val="3"/>
        </w:numPr>
        <w:spacing w:after="0" w:line="240" w:lineRule="auto"/>
        <w:ind w:left="360"/>
      </w:pPr>
      <w:r>
        <w:rPr>
          <w:rFonts w:ascii="Times New Roman" w:hAnsi="Times New Roman"/>
          <w:b/>
          <w:sz w:val="24"/>
          <w:szCs w:val="24"/>
        </w:rPr>
        <w:t xml:space="preserve"> Credibility and Transferability</w:t>
      </w:r>
    </w:p>
    <w:p w14:paraId="0CC6C55C" w14:textId="6CAE7BD4" w:rsidR="00C16EFA" w:rsidRDefault="00C611A5" w:rsidP="009858D2">
      <w:pPr>
        <w:spacing w:line="240" w:lineRule="auto"/>
        <w:ind w:firstLine="720"/>
        <w:jc w:val="both"/>
        <w:rPr>
          <w:rFonts w:ascii="Times New Roman" w:hAnsi="Times New Roman" w:cs="Times New Roman"/>
          <w:sz w:val="24"/>
          <w:szCs w:val="24"/>
        </w:rPr>
      </w:pPr>
      <w:r w:rsidRPr="004E16EB">
        <w:rPr>
          <w:rFonts w:ascii="Times New Roman" w:hAnsi="Times New Roman"/>
          <w:sz w:val="24"/>
          <w:szCs w:val="24"/>
        </w:rPr>
        <w:t>The credibility, trustworthiness, transferability, and generalization of findings are essential in qualitative studies. To ensure credibility, the study recorded the explanations of the respondents and reflected on the issues examined. Furthermore, the transferability of the results is ensured by presenting and expanding the existing data. The goal is to use the applicable data for empowerment carried out by MWB for women who do not have bank accounts. In-depth interviews with participants are also used to ensure the validity and integrity of the data. Written responses are read to the interviewee to ensure the accuracy and confirmation of the existing responses</w:t>
      </w:r>
      <w:r w:rsidRPr="004E16EB">
        <w:rPr>
          <w:rFonts w:ascii="Times New Roman" w:hAnsi="Times New Roman" w:cs="Times New Roman"/>
          <w:sz w:val="24"/>
          <w:szCs w:val="24"/>
        </w:rPr>
        <w:t>.</w:t>
      </w:r>
    </w:p>
    <w:p w14:paraId="7CD1726B" w14:textId="0A1F5D33" w:rsidR="000F1614" w:rsidRDefault="000F1614" w:rsidP="009858D2">
      <w:pPr>
        <w:spacing w:line="240" w:lineRule="auto"/>
        <w:ind w:firstLine="720"/>
        <w:jc w:val="both"/>
        <w:rPr>
          <w:rFonts w:ascii="Times New Roman" w:hAnsi="Times New Roman" w:cs="Times New Roman"/>
          <w:sz w:val="24"/>
          <w:szCs w:val="24"/>
        </w:rPr>
      </w:pPr>
    </w:p>
    <w:p w14:paraId="70471769" w14:textId="77777777" w:rsidR="000F1614" w:rsidRDefault="000F1614" w:rsidP="009858D2">
      <w:pPr>
        <w:spacing w:line="240" w:lineRule="auto"/>
        <w:ind w:firstLine="720"/>
        <w:jc w:val="both"/>
        <w:rPr>
          <w:rFonts w:ascii="Times New Roman" w:hAnsi="Times New Roman" w:cs="Times New Roman"/>
          <w:sz w:val="24"/>
          <w:szCs w:val="24"/>
        </w:rPr>
      </w:pPr>
    </w:p>
    <w:p w14:paraId="408E249A" w14:textId="77777777" w:rsidR="00C16EFA" w:rsidRPr="004E16EB" w:rsidRDefault="00C611A5" w:rsidP="009858D2">
      <w:pPr>
        <w:pStyle w:val="ListParagraph"/>
        <w:numPr>
          <w:ilvl w:val="0"/>
          <w:numId w:val="3"/>
        </w:numPr>
        <w:spacing w:after="0" w:line="240" w:lineRule="auto"/>
        <w:jc w:val="both"/>
        <w:outlineLvl w:val="1"/>
        <w:rPr>
          <w:rFonts w:ascii="Times New Roman" w:hAnsi="Times New Roman" w:cs="Times New Roman"/>
          <w:b/>
          <w:bCs/>
          <w:sz w:val="24"/>
          <w:szCs w:val="24"/>
        </w:rPr>
      </w:pPr>
      <w:r w:rsidRPr="004E16EB">
        <w:rPr>
          <w:rFonts w:ascii="Times New Roman" w:hAnsi="Times New Roman" w:cs="Times New Roman"/>
          <w:b/>
          <w:bCs/>
          <w:sz w:val="24"/>
          <w:szCs w:val="24"/>
        </w:rPr>
        <w:t>Result</w:t>
      </w:r>
    </w:p>
    <w:p w14:paraId="281EFB0B" w14:textId="0FB34D70" w:rsidR="00C16EFA" w:rsidRPr="004E16EB" w:rsidRDefault="00C611A5" w:rsidP="009858D2">
      <w:pPr>
        <w:pStyle w:val="ListParagraph"/>
        <w:widowControl w:val="0"/>
        <w:numPr>
          <w:ilvl w:val="1"/>
          <w:numId w:val="3"/>
        </w:numPr>
        <w:spacing w:after="0" w:line="240" w:lineRule="auto"/>
        <w:ind w:left="360"/>
        <w:jc w:val="both"/>
        <w:rPr>
          <w:rFonts w:ascii="Times New Roman" w:hAnsi="Times New Roman" w:cs="Times New Roman"/>
          <w:b/>
          <w:sz w:val="24"/>
          <w:szCs w:val="24"/>
        </w:rPr>
      </w:pPr>
      <w:r w:rsidRPr="004E16EB">
        <w:rPr>
          <w:rFonts w:ascii="Times New Roman" w:hAnsi="Times New Roman" w:cs="Times New Roman"/>
          <w:sz w:val="24"/>
          <w:szCs w:val="24"/>
        </w:rPr>
        <w:t xml:space="preserve"> </w:t>
      </w:r>
      <w:r w:rsidR="000F1614" w:rsidRPr="000F1614">
        <w:rPr>
          <w:rFonts w:ascii="Times New Roman" w:hAnsi="Times New Roman"/>
          <w:b/>
          <w:sz w:val="24"/>
          <w:szCs w:val="24"/>
        </w:rPr>
        <w:t>Stages of Women's Economic Empowerment within</w:t>
      </w:r>
      <w:r w:rsidR="000F1614">
        <w:rPr>
          <w:rFonts w:ascii="Times New Roman" w:hAnsi="Times New Roman"/>
          <w:b/>
          <w:sz w:val="24"/>
          <w:szCs w:val="24"/>
        </w:rPr>
        <w:t xml:space="preserve"> </w:t>
      </w:r>
      <w:r w:rsidRPr="004E16EB">
        <w:rPr>
          <w:rFonts w:ascii="Times New Roman" w:hAnsi="Times New Roman"/>
          <w:b/>
          <w:sz w:val="24"/>
          <w:szCs w:val="24"/>
        </w:rPr>
        <w:t>Sharia Microfinance Institutions of Micro Waqf Banks (SMI MWB)</w:t>
      </w:r>
    </w:p>
    <w:p w14:paraId="3ADCC3FA" w14:textId="240C7668" w:rsidR="009C5CAE" w:rsidRPr="009C5CAE" w:rsidRDefault="009C5CAE" w:rsidP="009C5CAE">
      <w:pPr>
        <w:widowControl w:val="0"/>
        <w:spacing w:after="0" w:line="240" w:lineRule="auto"/>
        <w:ind w:firstLine="720"/>
        <w:jc w:val="both"/>
        <w:rPr>
          <w:rFonts w:ascii="Times New Roman" w:hAnsi="Times New Roman"/>
          <w:sz w:val="24"/>
          <w:szCs w:val="24"/>
        </w:rPr>
      </w:pPr>
      <w:r w:rsidRPr="009C5CAE">
        <w:rPr>
          <w:rFonts w:ascii="Times New Roman" w:hAnsi="Times New Roman"/>
          <w:sz w:val="24"/>
          <w:szCs w:val="24"/>
        </w:rPr>
        <w:t>Initially, the process of identifying potential clients is conducted to ascertain the appropriateness of the program's target criteria, encompassing residential proximity, business type, and location. Subsequently, MWB socialization within the community is executed via maternal gatherings, social events, and Family Welfare Empowerment (FEW) initiatives. The objective of this socialization is to disseminate information pertaining to the conceptual framework, developmental stages, participation prerequisites, and activities of CBGIBSI. The third stage involves conducting a survey of prospective clients. The fourth step entails an assessment of the eligibility of these potential clients. Drawing from interviews with Dafril (2019) and Safitri (2019), both Trustees of MWB AlKautsar Payakumbuh and MWB UNISA Yogyakarta, the feasibility examination validated the accuracy of impoverished family data derived from the identification process and facilitated the selection of potential participants. This feasibility evaluation includes an onsite visit to the residence to assess living conditions and gather economic and business-related information.</w:t>
      </w:r>
    </w:p>
    <w:p w14:paraId="67A5A314" w14:textId="425723FD" w:rsidR="006F1716" w:rsidRPr="009C5CAE" w:rsidRDefault="009C5CAE" w:rsidP="009C5CAE">
      <w:pPr>
        <w:widowControl w:val="0"/>
        <w:spacing w:after="0" w:line="240" w:lineRule="auto"/>
        <w:ind w:firstLine="720"/>
        <w:jc w:val="both"/>
        <w:rPr>
          <w:rFonts w:ascii="Times New Roman" w:hAnsi="Times New Roman"/>
          <w:sz w:val="24"/>
          <w:szCs w:val="24"/>
        </w:rPr>
      </w:pPr>
      <w:r w:rsidRPr="009C5CAE">
        <w:rPr>
          <w:rFonts w:ascii="Times New Roman" w:hAnsi="Times New Roman"/>
          <w:sz w:val="24"/>
          <w:szCs w:val="24"/>
        </w:rPr>
        <w:t>Fifth, a Group Mandatory Pre-Training (GCP) session is conducted prior to the implementation of CGT for potential clients. This activity is facilitated by trainers and prospective CBGIBSI members. The aim is to bolster the group’s commitment and enthusiasm for engaging in the MWB program, forming CBGIBSI, and familiarizing them with financing distribution mechanisms. This initiative prepares the group for their participation in the program's execution (BSM, 2017a). Additional details are illustrated in Figure 1.</w:t>
      </w:r>
    </w:p>
    <w:p w14:paraId="15ED59A0" w14:textId="77777777" w:rsidR="006F1716" w:rsidRPr="004E16EB" w:rsidRDefault="006F1716" w:rsidP="009858D2">
      <w:pPr>
        <w:widowControl w:val="0"/>
        <w:spacing w:after="0" w:line="240" w:lineRule="auto"/>
        <w:ind w:firstLine="720"/>
        <w:jc w:val="both"/>
        <w:rPr>
          <w:rFonts w:ascii="Times New Roman" w:hAnsi="Times New Roman" w:cs="Times New Roman"/>
          <w:sz w:val="24"/>
          <w:szCs w:val="24"/>
        </w:rPr>
      </w:pPr>
    </w:p>
    <w:p w14:paraId="1C6EF6FA" w14:textId="77777777" w:rsidR="00C16EFA" w:rsidRPr="004E16EB" w:rsidRDefault="00C611A5" w:rsidP="009858D2">
      <w:pPr>
        <w:widowControl w:val="0"/>
        <w:spacing w:after="0" w:line="240" w:lineRule="auto"/>
        <w:jc w:val="both"/>
        <w:rPr>
          <w:rFonts w:ascii="Times New Roman" w:hAnsi="Times New Roman" w:cs="Times New Roman"/>
          <w:sz w:val="24"/>
          <w:szCs w:val="24"/>
        </w:rPr>
      </w:pPr>
      <w:r w:rsidRPr="004E16EB">
        <w:rPr>
          <w:rFonts w:ascii="Times New Roman" w:hAnsi="Times New Roman" w:cs="Times New Roman"/>
          <w:noProof/>
          <w:sz w:val="24"/>
          <w:szCs w:val="24"/>
        </w:rPr>
        <w:drawing>
          <wp:inline distT="0" distB="0" distL="0" distR="0" wp14:anchorId="6704DF32" wp14:editId="40F36737">
            <wp:extent cx="5731510" cy="2310765"/>
            <wp:effectExtent l="0" t="0" r="2540" b="0"/>
            <wp:docPr id="104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5"/>
                    <pic:cNvPicPr/>
                  </pic:nvPicPr>
                  <pic:blipFill>
                    <a:blip r:embed="rId10" cstate="print"/>
                    <a:srcRect/>
                    <a:stretch/>
                  </pic:blipFill>
                  <pic:spPr>
                    <a:xfrm>
                      <a:off x="0" y="0"/>
                      <a:ext cx="5731510" cy="2310765"/>
                    </a:xfrm>
                    <a:prstGeom prst="rect">
                      <a:avLst/>
                    </a:prstGeom>
                  </pic:spPr>
                </pic:pic>
              </a:graphicData>
            </a:graphic>
          </wp:inline>
        </w:drawing>
      </w:r>
    </w:p>
    <w:p w14:paraId="68058ED0" w14:textId="77777777" w:rsidR="00C16EFA" w:rsidRPr="004E16EB" w:rsidRDefault="00C16EFA" w:rsidP="009858D2">
      <w:pPr>
        <w:pStyle w:val="ListParagraph"/>
        <w:widowControl w:val="0"/>
        <w:spacing w:after="0" w:line="240" w:lineRule="auto"/>
        <w:jc w:val="both"/>
        <w:rPr>
          <w:rFonts w:ascii="Times New Roman" w:hAnsi="Times New Roman" w:cs="Times New Roman"/>
          <w:sz w:val="24"/>
          <w:szCs w:val="24"/>
        </w:rPr>
      </w:pPr>
    </w:p>
    <w:p w14:paraId="077FED99" w14:textId="77777777" w:rsidR="006F1716" w:rsidRPr="004E16EB" w:rsidRDefault="006F1716" w:rsidP="006F1716">
      <w:pPr>
        <w:pStyle w:val="ListParagraph"/>
        <w:widowControl w:val="0"/>
        <w:spacing w:before="120" w:after="0" w:line="240" w:lineRule="auto"/>
        <w:jc w:val="center"/>
        <w:rPr>
          <w:rFonts w:ascii="Times New Roman" w:hAnsi="Times New Roman" w:cs="Times New Roman"/>
          <w:sz w:val="24"/>
          <w:szCs w:val="24"/>
        </w:rPr>
      </w:pPr>
      <w:r w:rsidRPr="004E16EB">
        <w:rPr>
          <w:rFonts w:ascii="Times New Roman" w:hAnsi="Times New Roman" w:cs="Times New Roman"/>
          <w:sz w:val="24"/>
          <w:szCs w:val="24"/>
        </w:rPr>
        <w:t xml:space="preserve">Figure 1. </w:t>
      </w:r>
      <w:r w:rsidRPr="004E16EB">
        <w:rPr>
          <w:rFonts w:ascii="Times New Roman" w:hAnsi="Times New Roman"/>
          <w:sz w:val="24"/>
          <w:szCs w:val="24"/>
        </w:rPr>
        <w:t>Stages of Women's Empowerment in MWB</w:t>
      </w:r>
    </w:p>
    <w:p w14:paraId="51CAAB5F" w14:textId="77777777" w:rsidR="006F1716" w:rsidRPr="004E16EB" w:rsidRDefault="006F1716" w:rsidP="006F1716">
      <w:pPr>
        <w:pStyle w:val="ListParagraph"/>
        <w:widowControl w:val="0"/>
        <w:spacing w:after="0" w:line="240" w:lineRule="auto"/>
        <w:jc w:val="both"/>
        <w:rPr>
          <w:rFonts w:ascii="Times New Roman" w:hAnsi="Times New Roman" w:cs="Times New Roman"/>
          <w:sz w:val="24"/>
          <w:szCs w:val="24"/>
        </w:rPr>
      </w:pPr>
    </w:p>
    <w:p w14:paraId="3844B208" w14:textId="77777777" w:rsidR="00C16EFA" w:rsidRPr="004E16EB" w:rsidRDefault="00C16EFA" w:rsidP="009858D2">
      <w:pPr>
        <w:widowControl w:val="0"/>
        <w:spacing w:after="0" w:line="240" w:lineRule="auto"/>
        <w:contextualSpacing/>
        <w:jc w:val="both"/>
        <w:rPr>
          <w:rFonts w:ascii="Times New Roman" w:hAnsi="Times New Roman" w:cs="Times New Roman"/>
          <w:sz w:val="24"/>
          <w:szCs w:val="24"/>
        </w:rPr>
      </w:pPr>
    </w:p>
    <w:p w14:paraId="3E6EA909" w14:textId="77777777" w:rsidR="00C16EFA" w:rsidRPr="004E16EB" w:rsidRDefault="00C611A5" w:rsidP="009858D2">
      <w:pPr>
        <w:pStyle w:val="ListParagraph"/>
        <w:widowControl w:val="0"/>
        <w:numPr>
          <w:ilvl w:val="1"/>
          <w:numId w:val="3"/>
        </w:numPr>
        <w:spacing w:after="0" w:line="240" w:lineRule="auto"/>
        <w:ind w:left="360"/>
        <w:jc w:val="both"/>
        <w:rPr>
          <w:rFonts w:ascii="Times New Roman" w:hAnsi="Times New Roman" w:cs="Times New Roman"/>
          <w:b/>
          <w:sz w:val="24"/>
          <w:szCs w:val="24"/>
        </w:rPr>
      </w:pPr>
      <w:r w:rsidRPr="004E16EB">
        <w:rPr>
          <w:rFonts w:ascii="Times New Roman" w:hAnsi="Times New Roman" w:cs="Times New Roman"/>
          <w:b/>
          <w:sz w:val="24"/>
          <w:szCs w:val="24"/>
        </w:rPr>
        <w:t xml:space="preserve"> </w:t>
      </w:r>
      <w:r w:rsidRPr="004E16EB">
        <w:rPr>
          <w:rFonts w:ascii="Times New Roman" w:hAnsi="Times New Roman"/>
          <w:b/>
          <w:sz w:val="24"/>
          <w:szCs w:val="24"/>
        </w:rPr>
        <w:t>Women's Empowerment Model in Sharia Microfinance Institutions of Micro Waqf Banks (SMI MWB)</w:t>
      </w:r>
    </w:p>
    <w:p w14:paraId="5DBBD041" w14:textId="02E17657" w:rsidR="00192A4F" w:rsidRDefault="00C611A5" w:rsidP="00801B7E">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Women are empowered through CGT, provision of financing, and customer assistance. </w:t>
      </w:r>
      <w:r w:rsidRPr="00234FC1">
        <w:rPr>
          <w:rFonts w:ascii="Times New Roman" w:hAnsi="Times New Roman"/>
          <w:bCs/>
          <w:i/>
          <w:sz w:val="24"/>
        </w:rPr>
        <w:t>First</w:t>
      </w:r>
      <w:r w:rsidRPr="00234FC1">
        <w:rPr>
          <w:rFonts w:ascii="Times New Roman" w:hAnsi="Times New Roman"/>
          <w:bCs/>
          <w:sz w:val="24"/>
        </w:rPr>
        <w:t>, CGT</w:t>
      </w:r>
      <w:r w:rsidRPr="004E16EB">
        <w:rPr>
          <w:rFonts w:ascii="Times New Roman" w:hAnsi="Times New Roman"/>
          <w:b/>
          <w:sz w:val="24"/>
        </w:rPr>
        <w:t xml:space="preserve"> </w:t>
      </w:r>
      <w:r w:rsidRPr="004E16EB">
        <w:rPr>
          <w:rFonts w:ascii="Times New Roman" w:hAnsi="Times New Roman"/>
          <w:sz w:val="24"/>
          <w:szCs w:val="24"/>
        </w:rPr>
        <w:t xml:space="preserve">is the initial stage of the empowerment program carried out by MWB for women who do not have a bank account. Management emphasizes the character of potential customers, including discipline, trust, responsibility, and concern for others. </w:t>
      </w:r>
      <w:r w:rsidR="00490929" w:rsidRPr="00490929">
        <w:rPr>
          <w:rFonts w:ascii="Times New Roman" w:hAnsi="Times New Roman"/>
          <w:sz w:val="24"/>
          <w:szCs w:val="24"/>
        </w:rPr>
        <w:t>The CGT convenes subsequent to the establishment of no fewer than three groups, each comprising five members</w:t>
      </w:r>
      <w:r w:rsidRPr="004E16EB">
        <w:rPr>
          <w:rFonts w:ascii="Times New Roman" w:hAnsi="Times New Roman"/>
          <w:sz w:val="24"/>
          <w:szCs w:val="24"/>
        </w:rPr>
        <w:t xml:space="preserve">. This is done for 1 hour on five consecutive days </w:t>
      </w:r>
      <w:r w:rsidRPr="004E16EB">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{"citationItems":[{"id":"ITEM-1","itemData":{"author":[{"dropping-particle":"","family":"BSM","given":"LAZNAS","non-dropping-particle":"","parse-names":false,"suffix":""}],"id":"ITEM-1","issued":{"date-parts":[["2017"]]},"page":"8","publisher":"LAZNAS BSM","publisher-place":"Jakarta","title":"“SOP &amp; SOM Standar Operasional Prosedure Dan Management Untuk LKM Syariah-Bank Wakaf Mikro","type":"chapter"},"uris":["http://www.mendeley.com/documents/?uuid=94b5505c-1ca3-4d79-b81f-0f15564da175","http://www.mendeley.com/documents/?uuid=a489da26-2a15-42ec-b23c-9ab72769dff1"]}],"mendeley":{"formattedCitation":"(BSM, 2017a)","plainTextFormattedCitation":"(BSM, 2017a)","previouslyFormattedCitation":"(BSM, 2017a)"},"properties":{"noteIndex":0},"schema":"https://github.com/citation-style-language/schema/raw/master/csl-citation.json"}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(BSM, 2017a)</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as shown in Table 1</w:t>
      </w:r>
      <w:r w:rsidRPr="004E16EB">
        <w:rPr>
          <w:rFonts w:ascii="Times New Roman" w:hAnsi="Times New Roman" w:cs="Times New Roman"/>
          <w:sz w:val="24"/>
          <w:szCs w:val="24"/>
        </w:rPr>
        <w:t xml:space="preserve">: </w:t>
      </w:r>
    </w:p>
    <w:p w14:paraId="4235AB9A" w14:textId="77777777" w:rsidR="00192A4F" w:rsidRPr="004E16EB" w:rsidRDefault="00192A4F" w:rsidP="009858D2">
      <w:pPr>
        <w:spacing w:after="0" w:line="240" w:lineRule="auto"/>
        <w:ind w:firstLine="720"/>
        <w:jc w:val="both"/>
        <w:rPr>
          <w:rFonts w:ascii="Times New Roman" w:hAnsi="Times New Roman" w:cs="Times New Roman"/>
          <w:sz w:val="24"/>
          <w:szCs w:val="24"/>
        </w:rPr>
      </w:pPr>
    </w:p>
    <w:p w14:paraId="56D859D9" w14:textId="054368F8" w:rsidR="00C16EFA" w:rsidRPr="004E16EB" w:rsidRDefault="00C611A5" w:rsidP="00192A4F">
      <w:pPr>
        <w:spacing w:before="120" w:after="0" w:line="240" w:lineRule="auto"/>
        <w:ind w:firstLine="720"/>
        <w:jc w:val="center"/>
        <w:rPr>
          <w:rFonts w:ascii="Times New Roman" w:hAnsi="Times New Roman" w:cs="Times New Roman"/>
          <w:sz w:val="24"/>
          <w:szCs w:val="24"/>
        </w:rPr>
      </w:pPr>
      <w:r w:rsidRPr="004E16EB">
        <w:rPr>
          <w:rFonts w:ascii="Times New Roman" w:hAnsi="Times New Roman" w:cs="Times New Roman"/>
          <w:sz w:val="24"/>
          <w:szCs w:val="24"/>
        </w:rPr>
        <w:t xml:space="preserve">Table </w:t>
      </w:r>
      <w:r w:rsidR="00234FC1">
        <w:rPr>
          <w:rFonts w:ascii="Times New Roman" w:hAnsi="Times New Roman" w:cs="Times New Roman"/>
          <w:sz w:val="24"/>
          <w:szCs w:val="24"/>
        </w:rPr>
        <w:t>2</w:t>
      </w:r>
      <w:r w:rsidRPr="004E16EB">
        <w:rPr>
          <w:rFonts w:ascii="Times New Roman" w:hAnsi="Times New Roman" w:cs="Times New Roman"/>
          <w:sz w:val="24"/>
          <w:szCs w:val="24"/>
        </w:rPr>
        <w:t xml:space="preserve">. </w:t>
      </w:r>
      <w:r w:rsidRPr="004E16EB">
        <w:rPr>
          <w:rFonts w:ascii="Times New Roman" w:hAnsi="Times New Roman"/>
          <w:sz w:val="24"/>
          <w:szCs w:val="24"/>
        </w:rPr>
        <w:t>CGT Material</w:t>
      </w:r>
    </w:p>
    <w:tbl>
      <w:tblPr>
        <w:tblStyle w:val="TableGrid"/>
        <w:tblW w:w="0" w:type="auto"/>
        <w:tblLook w:val="04A0" w:firstRow="1" w:lastRow="0" w:firstColumn="1" w:lastColumn="0" w:noHBand="0" w:noVBand="1"/>
      </w:tblPr>
      <w:tblGrid>
        <w:gridCol w:w="1005"/>
        <w:gridCol w:w="8021"/>
      </w:tblGrid>
      <w:tr w:rsidR="00C16EFA" w:rsidRPr="004E16EB" w14:paraId="6BC793F3" w14:textId="77777777">
        <w:tc>
          <w:tcPr>
            <w:tcW w:w="1008" w:type="dxa"/>
            <w:tcBorders>
              <w:top w:val="single" w:sz="4" w:space="0" w:color="auto"/>
              <w:left w:val="nil"/>
              <w:bottom w:val="single" w:sz="4" w:space="0" w:color="auto"/>
              <w:right w:val="nil"/>
            </w:tcBorders>
          </w:tcPr>
          <w:p w14:paraId="44FBB039" w14:textId="77777777" w:rsidR="00C16EFA" w:rsidRPr="004E16EB" w:rsidRDefault="00C611A5" w:rsidP="009858D2">
            <w:pPr>
              <w:spacing w:after="0" w:line="240" w:lineRule="auto"/>
              <w:jc w:val="both"/>
              <w:rPr>
                <w:rFonts w:ascii="Times New Roman" w:hAnsi="Times New Roman" w:cs="Times New Roman"/>
                <w:sz w:val="24"/>
                <w:szCs w:val="24"/>
              </w:rPr>
            </w:pPr>
            <w:r w:rsidRPr="004E16EB">
              <w:rPr>
                <w:rFonts w:ascii="Times New Roman" w:hAnsi="Times New Roman" w:cs="Times New Roman"/>
                <w:sz w:val="24"/>
                <w:szCs w:val="24"/>
              </w:rPr>
              <w:t>Day</w:t>
            </w:r>
          </w:p>
        </w:tc>
        <w:tc>
          <w:tcPr>
            <w:tcW w:w="8234" w:type="dxa"/>
            <w:tcBorders>
              <w:top w:val="single" w:sz="4" w:space="0" w:color="auto"/>
              <w:left w:val="nil"/>
              <w:bottom w:val="single" w:sz="4" w:space="0" w:color="auto"/>
              <w:right w:val="nil"/>
            </w:tcBorders>
          </w:tcPr>
          <w:p w14:paraId="06A4651C" w14:textId="77777777" w:rsidR="00C16EFA" w:rsidRPr="004E16EB" w:rsidRDefault="00C611A5" w:rsidP="009858D2">
            <w:pPr>
              <w:spacing w:after="0" w:line="240" w:lineRule="auto"/>
              <w:jc w:val="center"/>
              <w:rPr>
                <w:rFonts w:ascii="Times New Roman" w:hAnsi="Times New Roman" w:cs="Times New Roman"/>
                <w:sz w:val="24"/>
                <w:szCs w:val="24"/>
              </w:rPr>
            </w:pPr>
            <w:r w:rsidRPr="004E16EB">
              <w:rPr>
                <w:rFonts w:ascii="Times New Roman" w:hAnsi="Times New Roman" w:cs="Times New Roman"/>
                <w:sz w:val="24"/>
                <w:szCs w:val="24"/>
              </w:rPr>
              <w:t>Material</w:t>
            </w:r>
          </w:p>
        </w:tc>
      </w:tr>
      <w:tr w:rsidR="00C16EFA" w:rsidRPr="004E16EB" w14:paraId="5AE15548" w14:textId="77777777">
        <w:tc>
          <w:tcPr>
            <w:tcW w:w="1008" w:type="dxa"/>
            <w:tcBorders>
              <w:top w:val="single" w:sz="4" w:space="0" w:color="auto"/>
              <w:left w:val="nil"/>
              <w:bottom w:val="single" w:sz="4" w:space="0" w:color="auto"/>
              <w:right w:val="nil"/>
            </w:tcBorders>
          </w:tcPr>
          <w:p w14:paraId="6283B4A1" w14:textId="77777777" w:rsidR="00C16EFA" w:rsidRPr="004E16EB" w:rsidRDefault="00C611A5" w:rsidP="009858D2">
            <w:pPr>
              <w:spacing w:after="0" w:line="240" w:lineRule="auto"/>
              <w:jc w:val="both"/>
              <w:rPr>
                <w:rFonts w:ascii="Times New Roman" w:hAnsi="Times New Roman" w:cs="Times New Roman"/>
                <w:sz w:val="24"/>
                <w:szCs w:val="24"/>
              </w:rPr>
            </w:pPr>
            <w:r w:rsidRPr="004E16EB">
              <w:rPr>
                <w:rFonts w:ascii="Times New Roman" w:hAnsi="Times New Roman" w:cs="Times New Roman"/>
                <w:sz w:val="24"/>
                <w:szCs w:val="24"/>
              </w:rPr>
              <w:t>First</w:t>
            </w:r>
          </w:p>
        </w:tc>
        <w:tc>
          <w:tcPr>
            <w:tcW w:w="8234" w:type="dxa"/>
            <w:tcBorders>
              <w:top w:val="single" w:sz="4" w:space="0" w:color="auto"/>
              <w:left w:val="nil"/>
              <w:bottom w:val="single" w:sz="4" w:space="0" w:color="auto"/>
              <w:right w:val="nil"/>
            </w:tcBorders>
          </w:tcPr>
          <w:p w14:paraId="71B57F4B" w14:textId="77777777" w:rsidR="00C16EFA" w:rsidRPr="004E16EB" w:rsidRDefault="00C611A5" w:rsidP="009858D2">
            <w:pPr>
              <w:spacing w:after="0" w:line="240" w:lineRule="auto"/>
              <w:jc w:val="both"/>
              <w:rPr>
                <w:rFonts w:ascii="Times New Roman" w:hAnsi="Times New Roman" w:cs="Times New Roman"/>
                <w:sz w:val="24"/>
                <w:szCs w:val="24"/>
              </w:rPr>
            </w:pPr>
            <w:r w:rsidRPr="004E16EB">
              <w:rPr>
                <w:rFonts w:ascii="Times New Roman" w:hAnsi="Times New Roman"/>
                <w:sz w:val="24"/>
                <w:szCs w:val="24"/>
              </w:rPr>
              <w:t>1) Explanation of CGT, 2) Introduction to MWB. 3) Introduction and principles of CBGIBSI membership, Introduction of CGT participants, 4) Introduction of pledges, 5) Motivational materials</w:t>
            </w:r>
            <w:r w:rsidRPr="004E16EB">
              <w:rPr>
                <w:rFonts w:ascii="Times New Roman" w:hAnsi="Times New Roman" w:cs="Times New Roman"/>
                <w:sz w:val="24"/>
                <w:szCs w:val="24"/>
              </w:rPr>
              <w:t>.</w:t>
            </w:r>
          </w:p>
        </w:tc>
      </w:tr>
      <w:tr w:rsidR="00C16EFA" w:rsidRPr="004E16EB" w14:paraId="03D91B6B" w14:textId="77777777">
        <w:tc>
          <w:tcPr>
            <w:tcW w:w="1008" w:type="dxa"/>
            <w:tcBorders>
              <w:top w:val="single" w:sz="4" w:space="0" w:color="auto"/>
              <w:left w:val="nil"/>
              <w:bottom w:val="single" w:sz="4" w:space="0" w:color="auto"/>
              <w:right w:val="nil"/>
            </w:tcBorders>
          </w:tcPr>
          <w:p w14:paraId="1191A0DF" w14:textId="77777777" w:rsidR="00C16EFA" w:rsidRPr="004E16EB" w:rsidRDefault="00C611A5" w:rsidP="009858D2">
            <w:pPr>
              <w:spacing w:after="0" w:line="240" w:lineRule="auto"/>
              <w:jc w:val="both"/>
              <w:rPr>
                <w:rFonts w:ascii="Times New Roman" w:hAnsi="Times New Roman" w:cs="Times New Roman"/>
                <w:sz w:val="24"/>
                <w:szCs w:val="24"/>
              </w:rPr>
            </w:pPr>
            <w:r w:rsidRPr="004E16EB">
              <w:rPr>
                <w:rFonts w:ascii="Times New Roman" w:hAnsi="Times New Roman" w:cs="Times New Roman"/>
                <w:sz w:val="24"/>
                <w:szCs w:val="24"/>
              </w:rPr>
              <w:t>Second</w:t>
            </w:r>
          </w:p>
        </w:tc>
        <w:tc>
          <w:tcPr>
            <w:tcW w:w="8234" w:type="dxa"/>
            <w:tcBorders>
              <w:top w:val="single" w:sz="4" w:space="0" w:color="auto"/>
              <w:left w:val="nil"/>
              <w:bottom w:val="single" w:sz="4" w:space="0" w:color="auto"/>
              <w:right w:val="nil"/>
            </w:tcBorders>
          </w:tcPr>
          <w:p w14:paraId="1AD54C34" w14:textId="77777777" w:rsidR="00C16EFA" w:rsidRPr="004E16EB" w:rsidRDefault="00C611A5" w:rsidP="009858D2">
            <w:pPr>
              <w:spacing w:after="0" w:line="240" w:lineRule="auto"/>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the pledge, 2) Capacity building materials, 6) Rights and obligations of members, 7) Election of group leaders and deputy leaders, 8) Discussion of the responsibilities of leaders, secretaries, and group members</w:t>
            </w:r>
            <w:r w:rsidRPr="004E16EB">
              <w:rPr>
                <w:rFonts w:ascii="Times New Roman" w:hAnsi="Times New Roman" w:cs="Times New Roman"/>
                <w:sz w:val="24"/>
                <w:szCs w:val="24"/>
              </w:rPr>
              <w:t>.</w:t>
            </w:r>
          </w:p>
        </w:tc>
      </w:tr>
      <w:tr w:rsidR="00C16EFA" w:rsidRPr="004E16EB" w14:paraId="57AA9246" w14:textId="77777777">
        <w:tc>
          <w:tcPr>
            <w:tcW w:w="1008" w:type="dxa"/>
            <w:tcBorders>
              <w:top w:val="single" w:sz="4" w:space="0" w:color="auto"/>
              <w:left w:val="nil"/>
              <w:bottom w:val="single" w:sz="4" w:space="0" w:color="auto"/>
              <w:right w:val="nil"/>
            </w:tcBorders>
          </w:tcPr>
          <w:p w14:paraId="3AFD9803" w14:textId="77777777" w:rsidR="00C16EFA" w:rsidRPr="004E16EB" w:rsidRDefault="00C611A5" w:rsidP="009858D2">
            <w:pPr>
              <w:spacing w:after="0" w:line="240" w:lineRule="auto"/>
              <w:jc w:val="both"/>
              <w:rPr>
                <w:rFonts w:ascii="Times New Roman" w:hAnsi="Times New Roman" w:cs="Times New Roman"/>
                <w:sz w:val="24"/>
                <w:szCs w:val="24"/>
              </w:rPr>
            </w:pPr>
            <w:r w:rsidRPr="004E16EB">
              <w:rPr>
                <w:rFonts w:ascii="Times New Roman" w:hAnsi="Times New Roman" w:cs="Times New Roman"/>
                <w:sz w:val="24"/>
                <w:szCs w:val="24"/>
              </w:rPr>
              <w:t>Third</w:t>
            </w:r>
          </w:p>
        </w:tc>
        <w:tc>
          <w:tcPr>
            <w:tcW w:w="8234" w:type="dxa"/>
            <w:tcBorders>
              <w:top w:val="single" w:sz="4" w:space="0" w:color="auto"/>
              <w:left w:val="nil"/>
              <w:bottom w:val="single" w:sz="4" w:space="0" w:color="auto"/>
              <w:right w:val="nil"/>
            </w:tcBorders>
          </w:tcPr>
          <w:p w14:paraId="2DBD7126" w14:textId="77777777" w:rsidR="00C16EFA" w:rsidRPr="004E16EB" w:rsidRDefault="00C611A5" w:rsidP="009858D2">
            <w:pPr>
              <w:spacing w:after="0" w:line="240" w:lineRule="auto"/>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guarantees, 2) Introduction of contracts and financing procedures and installment payments, 3) Stories and how to create a business profile</w:t>
            </w:r>
            <w:r w:rsidRPr="004E16EB">
              <w:rPr>
                <w:rFonts w:ascii="Times New Roman" w:hAnsi="Times New Roman" w:cs="Times New Roman"/>
                <w:sz w:val="24"/>
                <w:szCs w:val="24"/>
              </w:rPr>
              <w:t xml:space="preserve">. </w:t>
            </w:r>
          </w:p>
        </w:tc>
      </w:tr>
      <w:tr w:rsidR="00C16EFA" w:rsidRPr="004E16EB" w14:paraId="476B7D96" w14:textId="77777777">
        <w:tc>
          <w:tcPr>
            <w:tcW w:w="1008" w:type="dxa"/>
            <w:tcBorders>
              <w:top w:val="single" w:sz="4" w:space="0" w:color="auto"/>
              <w:left w:val="nil"/>
              <w:bottom w:val="single" w:sz="4" w:space="0" w:color="auto"/>
              <w:right w:val="nil"/>
            </w:tcBorders>
          </w:tcPr>
          <w:p w14:paraId="45BA6E9B" w14:textId="77777777" w:rsidR="00C16EFA" w:rsidRPr="004E16EB" w:rsidRDefault="00C611A5" w:rsidP="009858D2">
            <w:pPr>
              <w:spacing w:after="0" w:line="240" w:lineRule="auto"/>
              <w:jc w:val="both"/>
              <w:rPr>
                <w:rFonts w:ascii="Times New Roman" w:hAnsi="Times New Roman" w:cs="Times New Roman"/>
                <w:sz w:val="24"/>
                <w:szCs w:val="24"/>
              </w:rPr>
            </w:pPr>
            <w:r w:rsidRPr="004E16EB">
              <w:rPr>
                <w:rFonts w:ascii="Times New Roman" w:hAnsi="Times New Roman" w:cs="Times New Roman"/>
                <w:sz w:val="24"/>
                <w:szCs w:val="24"/>
              </w:rPr>
              <w:t>Fourth</w:t>
            </w:r>
          </w:p>
        </w:tc>
        <w:tc>
          <w:tcPr>
            <w:tcW w:w="8234" w:type="dxa"/>
            <w:tcBorders>
              <w:top w:val="single" w:sz="4" w:space="0" w:color="auto"/>
              <w:left w:val="nil"/>
              <w:bottom w:val="single" w:sz="4" w:space="0" w:color="auto"/>
              <w:right w:val="nil"/>
            </w:tcBorders>
          </w:tcPr>
          <w:p w14:paraId="1C320EB9" w14:textId="77777777" w:rsidR="00C16EFA" w:rsidRPr="004E16EB" w:rsidRDefault="00C611A5" w:rsidP="009858D2">
            <w:pPr>
              <w:spacing w:after="0" w:line="240" w:lineRule="auto"/>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the pledge, 2) Giving the name and number of CBGIBSI, 3) Election of leaders and deputy leaders, 4) Discussion of the responsibilities of leaders, deputy leaders, and members, and 5) discussion of WH.</w:t>
            </w:r>
          </w:p>
        </w:tc>
      </w:tr>
      <w:tr w:rsidR="00C16EFA" w:rsidRPr="004E16EB" w14:paraId="4357333C" w14:textId="77777777">
        <w:tc>
          <w:tcPr>
            <w:tcW w:w="1008" w:type="dxa"/>
            <w:tcBorders>
              <w:top w:val="single" w:sz="4" w:space="0" w:color="auto"/>
              <w:left w:val="nil"/>
              <w:bottom w:val="single" w:sz="4" w:space="0" w:color="auto"/>
              <w:right w:val="nil"/>
            </w:tcBorders>
          </w:tcPr>
          <w:p w14:paraId="01BDCE0B" w14:textId="77777777" w:rsidR="00C16EFA" w:rsidRPr="004E16EB" w:rsidRDefault="00C611A5" w:rsidP="009858D2">
            <w:pPr>
              <w:spacing w:after="0" w:line="240" w:lineRule="auto"/>
              <w:jc w:val="both"/>
              <w:rPr>
                <w:rFonts w:ascii="Times New Roman" w:hAnsi="Times New Roman" w:cs="Times New Roman"/>
                <w:sz w:val="24"/>
                <w:szCs w:val="24"/>
              </w:rPr>
            </w:pPr>
            <w:r w:rsidRPr="004E16EB">
              <w:rPr>
                <w:rFonts w:ascii="Times New Roman" w:hAnsi="Times New Roman" w:cs="Times New Roman"/>
                <w:sz w:val="24"/>
                <w:szCs w:val="24"/>
              </w:rPr>
              <w:t>Fifth</w:t>
            </w:r>
          </w:p>
        </w:tc>
        <w:tc>
          <w:tcPr>
            <w:tcW w:w="8234" w:type="dxa"/>
            <w:tcBorders>
              <w:top w:val="single" w:sz="4" w:space="0" w:color="auto"/>
              <w:left w:val="nil"/>
              <w:bottom w:val="single" w:sz="4" w:space="0" w:color="auto"/>
              <w:right w:val="nil"/>
            </w:tcBorders>
          </w:tcPr>
          <w:p w14:paraId="69963AB5" w14:textId="77777777" w:rsidR="00C16EFA" w:rsidRPr="004E16EB" w:rsidRDefault="00C611A5" w:rsidP="009858D2">
            <w:pPr>
              <w:spacing w:after="0" w:line="240" w:lineRule="auto"/>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the pledge, 2) Review of CGT material, 3) CBGIBSI validation test.</w:t>
            </w:r>
          </w:p>
        </w:tc>
      </w:tr>
    </w:tbl>
    <w:p w14:paraId="03554A7C" w14:textId="0268BAA7" w:rsidR="00C16EFA" w:rsidRPr="004E16EB" w:rsidRDefault="00C611A5" w:rsidP="009858D2">
      <w:pPr>
        <w:spacing w:after="120" w:line="240" w:lineRule="auto"/>
        <w:ind w:firstLine="720"/>
        <w:jc w:val="both"/>
        <w:rPr>
          <w:rFonts w:ascii="Times New Roman" w:hAnsi="Times New Roman" w:cs="Times New Roman"/>
          <w:sz w:val="24"/>
          <w:szCs w:val="24"/>
        </w:rPr>
      </w:pPr>
      <w:r w:rsidRPr="004E16EB">
        <w:rPr>
          <w:rFonts w:ascii="Times New Roman" w:hAnsi="Times New Roman" w:cs="Times New Roman"/>
          <w:sz w:val="24"/>
          <w:szCs w:val="24"/>
        </w:rPr>
        <w:t xml:space="preserve">Source: </w:t>
      </w:r>
      <w:r w:rsidRPr="004E16EB">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{"citationItems":[{"id":"ITEM-1","itemData":{"author":[{"dropping-particle":"","family":"BSM","given":"LAZNAS","non-dropping-particle":"","parse-names":false,"suffix":""}],"id":"ITEM-1","issued":{"date-parts":[["2017"]]},"publisher":"LAZNAS BSM","publisher-place":"Jakarta","title":"Manajemen Lembaga Keuangan Mikro Syariah","type":"chapter"},"uris":["http://www.mendeley.com/documents/?uuid=eeb4f070-fbd7-410f-b9f3-5b6d3b76da95","http://www.mendeley.com/documents/?uuid=5914630c-7e47-4bd9-8dc3-edf6962e1595"]}],"mendeley":{"formattedCitation":"(BSM, 2017b)","plainTextFormattedCitation":"(BSM, 2017b)","previouslyFormattedCitation":"(BSM, 2017b)"},"properties":{"noteIndex":0},"schema":"https://github.com/citation-style-language/schema/raw/master/csl-citation.json"}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(BSM, 2017b)</w:t>
      </w:r>
      <w:r w:rsidRPr="004E16EB">
        <w:rPr>
          <w:rFonts w:ascii="Times New Roman" w:hAnsi="Times New Roman" w:cs="Times New Roman"/>
          <w:sz w:val="24"/>
          <w:szCs w:val="24"/>
        </w:rPr>
        <w:fldChar w:fldCharType="end"/>
      </w:r>
    </w:p>
    <w:p w14:paraId="5EF34713" w14:textId="65A2161F" w:rsidR="00490929" w:rsidRPr="00490929" w:rsidRDefault="00490929" w:rsidP="00490929">
      <w:pPr>
        <w:widowControl w:val="0"/>
        <w:spacing w:after="0" w:line="240" w:lineRule="auto"/>
        <w:ind w:firstLine="450"/>
        <w:contextualSpacing/>
        <w:jc w:val="both"/>
        <w:rPr>
          <w:rFonts w:ascii="Times New Roman" w:hAnsi="Times New Roman"/>
          <w:sz w:val="24"/>
          <w:szCs w:val="24"/>
        </w:rPr>
      </w:pPr>
      <w:r w:rsidRPr="00490929">
        <w:rPr>
          <w:rFonts w:ascii="Times New Roman" w:hAnsi="Times New Roman"/>
          <w:sz w:val="24"/>
          <w:szCs w:val="24"/>
        </w:rPr>
        <w:t>The distinctive aspect of this training lies in the character assessment of prospective clients. According to Sari (2019) and Dafril (2019), participants from MWB Al Kautsar Lima Puluh Kota in West Sumatra and MWB UNISA Yogyakarta each contributed small denominations of Rp 2,000 on the initial day. The supervisor documented the serial numbers and entrusted them to the participants situated at the rear. On the following day, the supervisor requested the returned funds to verify the serial numbers. Participants were deemed reliable if the serial numbers remained unchanged, and conversely, they were not. Supervisors underscored the significance of trustworthiness in behavior. After the meeting on the second day, the supervisor gathered the Rp 2,000 contributions and recorded their serial numbers. These numbers were then distributed to participants seated in the second row from both the back and the front.</w:t>
      </w:r>
    </w:p>
    <w:p w14:paraId="45F03D51" w14:textId="7395AEF6" w:rsidR="00C16EFA" w:rsidRDefault="00490929" w:rsidP="00490929">
      <w:pPr>
        <w:widowControl w:val="0"/>
        <w:spacing w:after="0" w:line="240" w:lineRule="auto"/>
        <w:ind w:firstLine="450"/>
        <w:contextualSpacing/>
        <w:jc w:val="both"/>
        <w:rPr>
          <w:rFonts w:ascii="Times New Roman" w:hAnsi="Times New Roman"/>
          <w:sz w:val="24"/>
          <w:szCs w:val="24"/>
        </w:rPr>
      </w:pPr>
      <w:r w:rsidRPr="00490929">
        <w:rPr>
          <w:rFonts w:ascii="Times New Roman" w:hAnsi="Times New Roman"/>
          <w:sz w:val="24"/>
          <w:szCs w:val="24"/>
        </w:rPr>
        <w:t>All prospective clients are mandated to undertake the Group Validation Exam (GVE) administered by MWB supervisors on the fifth day. Prospective group members who demonstrate comprehension of the training content are declared eligible and officially recognized as MWB customers, thereby forming CBGIBSI</w:t>
      </w:r>
      <w:r>
        <w:rPr>
          <w:rFonts w:ascii="Times New Roman" w:hAnsi="Times New Roman"/>
          <w:sz w:val="24"/>
          <w:szCs w:val="24"/>
        </w:rPr>
        <w:t xml:space="preserve"> </w:t>
      </w:r>
      <w:r w:rsidR="00C611A5" w:rsidRPr="004E16EB">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{"citationItems":[{"id":"ITEM-1","itemData":{"author":[{"dropping-particle":"","family":"BSM","given":"LAZNAS","non-dropping-particle":"","parse-names":false,"suffix":""}],"id":"ITEM-1","issued":{"date-parts":[["2017"]]},"publisher":"LAZNAS BSM","publisher-place":"Jakarta","title":"Manajemen Lembaga Keuangan Mikro Syariah","type":"chapter"},"uris":["http://www.mendeley.com/documents/?uuid=5914630c-7e47-4bd9-8dc3-edf6962e1595","http://www.mendeley.com/documents/?uuid=eeb4f070-fbd7-410f-b9f3-5b6d3b76da95"]}],"mendeley":{"formattedCitation":"(BSM, 2017b)","plainTextFormattedCitation":"(BSM, 2017b)","previouslyFormattedCitation":"(BSM, 2017b)"},"properties":{"noteIndex":0},"schema":"https://github.com/citation-style-language/schema/raw/master/csl-citation.json"}</w:instrText>
      </w:r>
      <w:r w:rsidR="00C611A5" w:rsidRPr="004E16EB">
        <w:rPr>
          <w:rFonts w:ascii="Times New Roman" w:hAnsi="Times New Roman" w:cs="Times New Roman"/>
          <w:sz w:val="24"/>
          <w:szCs w:val="24"/>
        </w:rPr>
        <w:fldChar w:fldCharType="separate"/>
      </w:r>
      <w:r w:rsidR="00C611A5" w:rsidRPr="004E16EB">
        <w:rPr>
          <w:rFonts w:ascii="Times New Roman" w:hAnsi="Times New Roman" w:cs="Times New Roman"/>
          <w:noProof/>
          <w:sz w:val="24"/>
          <w:szCs w:val="24"/>
        </w:rPr>
        <w:t>(BSM, 2017b)</w:t>
      </w:r>
      <w:r w:rsidR="00C611A5" w:rsidRPr="004E16EB">
        <w:rPr>
          <w:rFonts w:ascii="Times New Roman" w:hAnsi="Times New Roman" w:cs="Times New Roman"/>
          <w:sz w:val="24"/>
          <w:szCs w:val="24"/>
        </w:rPr>
        <w:fldChar w:fldCharType="end"/>
      </w:r>
      <w:r w:rsidR="00C611A5" w:rsidRPr="004E16EB">
        <w:rPr>
          <w:rFonts w:ascii="Times New Roman" w:hAnsi="Times New Roman" w:cs="Times New Roman"/>
          <w:sz w:val="24"/>
          <w:szCs w:val="24"/>
        </w:rPr>
        <w:t>. Prospective customers are declared to have passed based on the indicators a) Discipline, b) Cohesiveness, c) Trust, d) Ability to answer at least 50% of the statements, e) Getting family support</w:t>
      </w:r>
      <w:r w:rsidR="00C611A5" w:rsidRPr="004E16EB">
        <w:rPr>
          <w:rFonts w:ascii="Times New Roman" w:hAnsi="Times New Roman"/>
          <w:sz w:val="24"/>
          <w:szCs w:val="24"/>
        </w:rPr>
        <w:t>. Based on an interview with Puguh, Amalia (2019), Supervisor of the MWB Alfitrah Wafa Mandiri As-Salafi Al-Fithrah Islamic Boarding School, Kewall Surabaya and MWB Tebu Ireng Jombang, the participants were classified in the order of most needing to receive the first financing. Members who get financing disbursements first sit in the back. The leader sitting at the front receives the latest financing according to the arrangement shown in Figure 2.</w:t>
      </w:r>
    </w:p>
    <w:p w14:paraId="3BDE2A6C" w14:textId="550E3F9C" w:rsidR="00192A4F" w:rsidRDefault="00192A4F" w:rsidP="009858D2">
      <w:pPr>
        <w:widowControl w:val="0"/>
        <w:spacing w:after="0" w:line="240" w:lineRule="auto"/>
        <w:ind w:firstLine="450"/>
        <w:contextualSpacing/>
        <w:jc w:val="both"/>
        <w:rPr>
          <w:rFonts w:ascii="Times New Roman" w:hAnsi="Times New Roman"/>
          <w:sz w:val="24"/>
          <w:szCs w:val="24"/>
        </w:rPr>
      </w:pPr>
    </w:p>
    <w:p w14:paraId="0DBF4B12" w14:textId="77777777" w:rsidR="00C16EFA" w:rsidRPr="004E16EB" w:rsidRDefault="00C611A5" w:rsidP="009858D2">
      <w:pPr>
        <w:spacing w:after="0" w:line="240" w:lineRule="auto"/>
        <w:ind w:left="90"/>
        <w:contextualSpacing/>
        <w:jc w:val="both"/>
        <w:rPr>
          <w:rFonts w:ascii="Times New Roman" w:hAnsi="Times New Roman" w:cs="Times New Roman"/>
          <w:sz w:val="24"/>
          <w:szCs w:val="24"/>
        </w:rPr>
      </w:pPr>
      <w:r w:rsidRPr="004E16EB">
        <w:rPr>
          <w:rFonts w:ascii="Times New Roman" w:hAnsi="Times New Roman" w:cs="Times New Roman"/>
          <w:noProof/>
          <w:sz w:val="24"/>
          <w:szCs w:val="24"/>
        </w:rPr>
        <w:lastRenderedPageBreak/>
        <w:drawing>
          <wp:inline distT="0" distB="0" distL="0" distR="0" wp14:anchorId="54CB91F4" wp14:editId="75B7467B">
            <wp:extent cx="5610225" cy="2990850"/>
            <wp:effectExtent l="0" t="0" r="9525" b="0"/>
            <wp:docPr id="104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8"/>
                    <pic:cNvPicPr/>
                  </pic:nvPicPr>
                  <pic:blipFill>
                    <a:blip r:embed="rId11" cstate="print"/>
                    <a:srcRect/>
                    <a:stretch/>
                  </pic:blipFill>
                  <pic:spPr>
                    <a:xfrm>
                      <a:off x="0" y="0"/>
                      <a:ext cx="5610225" cy="2990850"/>
                    </a:xfrm>
                    <a:prstGeom prst="rect">
                      <a:avLst/>
                    </a:prstGeom>
                  </pic:spPr>
                </pic:pic>
              </a:graphicData>
            </a:graphic>
          </wp:inline>
        </w:drawing>
      </w:r>
    </w:p>
    <w:p w14:paraId="637763C2" w14:textId="32597441" w:rsidR="00192A4F" w:rsidRDefault="006F1716" w:rsidP="006F1716">
      <w:pPr>
        <w:widowControl w:val="0"/>
        <w:spacing w:after="0" w:line="240" w:lineRule="auto"/>
        <w:ind w:left="360" w:firstLine="450"/>
        <w:contextualSpacing/>
        <w:jc w:val="center"/>
        <w:rPr>
          <w:rFonts w:ascii="Times New Roman" w:hAnsi="Times New Roman"/>
          <w:sz w:val="24"/>
          <w:szCs w:val="24"/>
        </w:rPr>
      </w:pPr>
      <w:r w:rsidRPr="004E16EB">
        <w:rPr>
          <w:rFonts w:ascii="Times New Roman" w:hAnsi="Times New Roman" w:cs="Times New Roman"/>
          <w:sz w:val="24"/>
          <w:szCs w:val="24"/>
        </w:rPr>
        <w:t xml:space="preserve">Figure 2. </w:t>
      </w:r>
      <w:r w:rsidRPr="004E16EB">
        <w:rPr>
          <w:rFonts w:ascii="Times New Roman" w:hAnsi="Times New Roman"/>
          <w:sz w:val="24"/>
          <w:szCs w:val="24"/>
        </w:rPr>
        <w:t>Group Member Seating Order Model</w:t>
      </w:r>
    </w:p>
    <w:p w14:paraId="2CCDAD11" w14:textId="77777777" w:rsidR="006F1716" w:rsidRDefault="006F1716" w:rsidP="006F1716">
      <w:pPr>
        <w:widowControl w:val="0"/>
        <w:spacing w:after="0" w:line="240" w:lineRule="auto"/>
        <w:ind w:left="360" w:firstLine="450"/>
        <w:contextualSpacing/>
        <w:jc w:val="center"/>
        <w:rPr>
          <w:rFonts w:ascii="Times New Roman" w:hAnsi="Times New Roman"/>
          <w:b/>
          <w:bCs/>
          <w:sz w:val="24"/>
          <w:szCs w:val="24"/>
        </w:rPr>
      </w:pPr>
    </w:p>
    <w:p w14:paraId="33AAD881" w14:textId="55D2645D" w:rsidR="00C16EFA" w:rsidRDefault="00C611A5" w:rsidP="00490929">
      <w:pPr>
        <w:widowControl w:val="0"/>
        <w:spacing w:after="0" w:line="240" w:lineRule="auto"/>
        <w:ind w:firstLine="426"/>
        <w:contextualSpacing/>
        <w:jc w:val="both"/>
        <w:rPr>
          <w:rFonts w:ascii="Times New Roman" w:hAnsi="Times New Roman"/>
          <w:sz w:val="24"/>
          <w:szCs w:val="24"/>
        </w:rPr>
      </w:pPr>
      <w:r w:rsidRPr="00490929">
        <w:rPr>
          <w:rFonts w:ascii="Times New Roman" w:hAnsi="Times New Roman"/>
          <w:sz w:val="24"/>
          <w:szCs w:val="24"/>
        </w:rPr>
        <w:t>The second step is</w:t>
      </w:r>
      <w:r w:rsidRPr="00490929">
        <w:rPr>
          <w:rFonts w:ascii="Times New Roman" w:hAnsi="Times New Roman"/>
          <w:sz w:val="24"/>
        </w:rPr>
        <w:t xml:space="preserve"> the disbursement</w:t>
      </w:r>
      <w:r w:rsidRPr="004E16EB">
        <w:rPr>
          <w:rFonts w:ascii="Times New Roman" w:hAnsi="Times New Roman"/>
          <w:b/>
          <w:sz w:val="24"/>
        </w:rPr>
        <w:t xml:space="preserve"> </w:t>
      </w:r>
      <w:r w:rsidRPr="004E16EB">
        <w:rPr>
          <w:rFonts w:ascii="Times New Roman" w:hAnsi="Times New Roman"/>
          <w:sz w:val="24"/>
          <w:szCs w:val="24"/>
        </w:rPr>
        <w:t xml:space="preserve"> of financing after seating arrangements during GCT. As explained by Sari and Umami (2019), Managers and Customers of MWB Mandiri Sakinah UNISA Yogyakarta and MWB Alpansa Klaten, financing is disbursed in three stages with a 2-2-1 pattern. </w:t>
      </w:r>
      <w:r w:rsidR="00490929" w:rsidRPr="00490929">
        <w:rPr>
          <w:rFonts w:ascii="Times New Roman" w:hAnsi="Times New Roman"/>
          <w:sz w:val="24"/>
          <w:szCs w:val="24"/>
        </w:rPr>
        <w:t>This framework serves as a paradigm that cultivates compassionate dispositions among peer constituents.</w:t>
      </w:r>
      <w:r w:rsidR="00490929">
        <w:rPr>
          <w:rFonts w:ascii="Times New Roman" w:hAnsi="Times New Roman"/>
          <w:sz w:val="24"/>
          <w:szCs w:val="24"/>
        </w:rPr>
        <w:t xml:space="preserve"> </w:t>
      </w:r>
      <w:r w:rsidRPr="004E16EB">
        <w:rPr>
          <w:rFonts w:ascii="Times New Roman" w:hAnsi="Times New Roman"/>
          <w:sz w:val="24"/>
          <w:szCs w:val="24"/>
        </w:rPr>
        <w:t xml:space="preserve">Financing disbursements are sorted by urgency, where members who need it the most receive it first. This was distributed to participants who sat in the back with the number 5 and 4 in the first week of WH. Participants with serial numbers 3 and 2 receive financing in the second stage. The funding was disbursed in the second week of WH. The group leader will get the last chance to disburse to sit at the front. The financing was disbursed in the third week of WH. </w:t>
      </w:r>
      <w:r w:rsidRPr="00490929">
        <w:rPr>
          <w:rFonts w:ascii="Times New Roman" w:hAnsi="Times New Roman"/>
          <w:bCs/>
          <w:sz w:val="24"/>
        </w:rPr>
        <w:t>Third, customer assistance</w:t>
      </w:r>
      <w:r w:rsidRPr="004E16EB">
        <w:rPr>
          <w:rFonts w:ascii="Times New Roman" w:hAnsi="Times New Roman"/>
          <w:b/>
          <w:sz w:val="24"/>
        </w:rPr>
        <w:t xml:space="preserve"> </w:t>
      </w:r>
      <w:r w:rsidRPr="004E16EB">
        <w:rPr>
          <w:rFonts w:ascii="Times New Roman" w:hAnsi="Times New Roman"/>
          <w:sz w:val="24"/>
          <w:szCs w:val="24"/>
        </w:rPr>
        <w:t>is provided after the disbursement of financing during WH, as illustrated in Figure 3.</w:t>
      </w:r>
    </w:p>
    <w:p w14:paraId="4D37E033" w14:textId="73A0E28F" w:rsidR="00192A4F" w:rsidRDefault="00192A4F" w:rsidP="009858D2">
      <w:pPr>
        <w:widowControl w:val="0"/>
        <w:spacing w:after="0" w:line="240" w:lineRule="auto"/>
        <w:ind w:left="360" w:firstLine="450"/>
        <w:contextualSpacing/>
        <w:jc w:val="both"/>
        <w:rPr>
          <w:rFonts w:ascii="Times New Roman" w:hAnsi="Times New Roman" w:cs="Times New Roman"/>
          <w:sz w:val="24"/>
          <w:szCs w:val="24"/>
        </w:rPr>
      </w:pPr>
    </w:p>
    <w:p w14:paraId="7E208693" w14:textId="40D7B4B5" w:rsidR="00192A4F" w:rsidRDefault="00192A4F" w:rsidP="009858D2">
      <w:pPr>
        <w:widowControl w:val="0"/>
        <w:spacing w:after="0" w:line="240" w:lineRule="auto"/>
        <w:ind w:left="360" w:firstLine="450"/>
        <w:contextualSpacing/>
        <w:jc w:val="both"/>
        <w:rPr>
          <w:rFonts w:ascii="Times New Roman" w:hAnsi="Times New Roman" w:cs="Times New Roman"/>
          <w:sz w:val="24"/>
          <w:szCs w:val="24"/>
        </w:rPr>
      </w:pPr>
    </w:p>
    <w:p w14:paraId="2E3C4E9C" w14:textId="5AA07BC1" w:rsidR="00192A4F" w:rsidRDefault="00192A4F" w:rsidP="009858D2">
      <w:pPr>
        <w:widowControl w:val="0"/>
        <w:spacing w:after="0" w:line="240" w:lineRule="auto"/>
        <w:ind w:left="360" w:firstLine="450"/>
        <w:contextualSpacing/>
        <w:jc w:val="both"/>
        <w:rPr>
          <w:rFonts w:ascii="Times New Roman" w:hAnsi="Times New Roman" w:cs="Times New Roman"/>
          <w:sz w:val="24"/>
          <w:szCs w:val="24"/>
        </w:rPr>
      </w:pPr>
    </w:p>
    <w:p w14:paraId="59B88715" w14:textId="17232705" w:rsidR="00192A4F" w:rsidRDefault="00192A4F" w:rsidP="009858D2">
      <w:pPr>
        <w:widowControl w:val="0"/>
        <w:spacing w:after="0" w:line="240" w:lineRule="auto"/>
        <w:ind w:left="360" w:firstLine="450"/>
        <w:contextualSpacing/>
        <w:jc w:val="both"/>
        <w:rPr>
          <w:rFonts w:ascii="Times New Roman" w:hAnsi="Times New Roman" w:cs="Times New Roman"/>
          <w:sz w:val="24"/>
          <w:szCs w:val="24"/>
        </w:rPr>
      </w:pPr>
    </w:p>
    <w:p w14:paraId="17311A1A" w14:textId="7C28ACC3" w:rsidR="00C16EFA" w:rsidRPr="004E16EB" w:rsidRDefault="00C611A5" w:rsidP="009858D2">
      <w:pPr>
        <w:widowControl w:val="0"/>
        <w:spacing w:after="0" w:line="240" w:lineRule="auto"/>
        <w:ind w:left="360" w:firstLine="66"/>
        <w:contextualSpacing/>
        <w:jc w:val="both"/>
        <w:rPr>
          <w:rFonts w:ascii="Times New Roman" w:hAnsi="Times New Roman" w:cs="Times New Roman"/>
          <w:sz w:val="24"/>
          <w:szCs w:val="24"/>
        </w:rPr>
      </w:pPr>
      <w:r w:rsidRPr="004E16EB">
        <w:rPr>
          <w:rFonts w:ascii="Times New Roman" w:hAnsi="Times New Roman" w:cs="Times New Roman"/>
          <w:noProof/>
          <w:sz w:val="24"/>
          <w:szCs w:val="24"/>
        </w:rPr>
        <w:lastRenderedPageBreak/>
        <w:drawing>
          <wp:inline distT="0" distB="0" distL="0" distR="0" wp14:anchorId="6170DBAB" wp14:editId="41A822A9">
            <wp:extent cx="5505450" cy="3298825"/>
            <wp:effectExtent l="0" t="0" r="0" b="0"/>
            <wp:docPr id="1045"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7"/>
                    <pic:cNvPicPr/>
                  </pic:nvPicPr>
                  <pic:blipFill>
                    <a:blip r:embed="rId12" cstate="print"/>
                    <a:srcRect/>
                    <a:stretch/>
                  </pic:blipFill>
                  <pic:spPr>
                    <a:xfrm>
                      <a:off x="0" y="0"/>
                      <a:ext cx="5505450" cy="3298825"/>
                    </a:xfrm>
                    <a:prstGeom prst="rect">
                      <a:avLst/>
                    </a:prstGeom>
                  </pic:spPr>
                </pic:pic>
              </a:graphicData>
            </a:graphic>
          </wp:inline>
        </w:drawing>
      </w:r>
    </w:p>
    <w:p w14:paraId="3F78AEC0" w14:textId="77777777" w:rsidR="006F1716" w:rsidRPr="004E16EB" w:rsidRDefault="006F1716" w:rsidP="006F1716">
      <w:pPr>
        <w:widowControl w:val="0"/>
        <w:spacing w:before="120" w:after="0" w:line="240" w:lineRule="auto"/>
        <w:ind w:left="357" w:firstLine="448"/>
        <w:jc w:val="center"/>
        <w:rPr>
          <w:rFonts w:ascii="Times New Roman" w:hAnsi="Times New Roman" w:cs="Times New Roman"/>
          <w:sz w:val="24"/>
          <w:szCs w:val="24"/>
        </w:rPr>
      </w:pPr>
      <w:r w:rsidRPr="004E16EB">
        <w:rPr>
          <w:rFonts w:ascii="Times New Roman" w:hAnsi="Times New Roman" w:cs="Times New Roman"/>
          <w:sz w:val="24"/>
          <w:szCs w:val="24"/>
        </w:rPr>
        <w:t xml:space="preserve">Figure 3: </w:t>
      </w:r>
      <w:r w:rsidRPr="004E16EB">
        <w:rPr>
          <w:rFonts w:ascii="Times New Roman" w:hAnsi="Times New Roman"/>
          <w:sz w:val="24"/>
          <w:szCs w:val="24"/>
        </w:rPr>
        <w:t xml:space="preserve">Implementation </w:t>
      </w:r>
      <w:r w:rsidRPr="004E16EB">
        <w:rPr>
          <w:rFonts w:ascii="Times New Roman" w:hAnsi="Times New Roman"/>
          <w:i/>
          <w:iCs/>
          <w:sz w:val="24"/>
          <w:szCs w:val="24"/>
        </w:rPr>
        <w:t xml:space="preserve"> of Halaqoh </w:t>
      </w:r>
      <w:r w:rsidRPr="004E16EB">
        <w:rPr>
          <w:rFonts w:ascii="Times New Roman" w:hAnsi="Times New Roman"/>
          <w:sz w:val="24"/>
          <w:szCs w:val="24"/>
        </w:rPr>
        <w:t>in MWB</w:t>
      </w:r>
    </w:p>
    <w:p w14:paraId="51C30513" w14:textId="77777777" w:rsidR="00C16EFA" w:rsidRPr="004E16EB" w:rsidRDefault="00C16EFA" w:rsidP="009858D2">
      <w:pPr>
        <w:widowControl w:val="0"/>
        <w:spacing w:after="0" w:line="240" w:lineRule="auto"/>
        <w:ind w:left="360" w:firstLine="450"/>
        <w:contextualSpacing/>
        <w:jc w:val="both"/>
        <w:rPr>
          <w:rFonts w:ascii="Times New Roman" w:hAnsi="Times New Roman" w:cs="Times New Roman"/>
          <w:sz w:val="24"/>
          <w:szCs w:val="24"/>
        </w:rPr>
      </w:pPr>
    </w:p>
    <w:p w14:paraId="41A69B7E" w14:textId="77777777" w:rsidR="00C16EFA" w:rsidRPr="004E16EB" w:rsidRDefault="00C611A5" w:rsidP="009858D2">
      <w:pPr>
        <w:pStyle w:val="ListParagraph"/>
        <w:widowControl w:val="0"/>
        <w:numPr>
          <w:ilvl w:val="1"/>
          <w:numId w:val="3"/>
        </w:numPr>
        <w:spacing w:after="0" w:line="240" w:lineRule="auto"/>
        <w:ind w:left="360"/>
        <w:jc w:val="both"/>
        <w:rPr>
          <w:rFonts w:ascii="Times New Roman" w:hAnsi="Times New Roman" w:cs="Times New Roman"/>
          <w:b/>
          <w:bCs/>
          <w:sz w:val="24"/>
          <w:szCs w:val="24"/>
        </w:rPr>
      </w:pPr>
      <w:r w:rsidRPr="004E16EB">
        <w:rPr>
          <w:rFonts w:ascii="Times New Roman" w:hAnsi="Times New Roman" w:cs="Times New Roman"/>
          <w:b/>
          <w:bCs/>
          <w:iCs/>
          <w:sz w:val="24"/>
          <w:szCs w:val="24"/>
        </w:rPr>
        <w:t xml:space="preserve"> </w:t>
      </w:r>
      <w:r w:rsidRPr="004E16EB">
        <w:rPr>
          <w:rFonts w:ascii="Times New Roman" w:hAnsi="Times New Roman"/>
          <w:b/>
          <w:bCs/>
          <w:i/>
          <w:iCs/>
          <w:sz w:val="24"/>
          <w:szCs w:val="24"/>
        </w:rPr>
        <w:t xml:space="preserve">Halaqoh </w:t>
      </w:r>
      <w:r w:rsidRPr="004E16EB">
        <w:rPr>
          <w:rFonts w:ascii="Times New Roman" w:hAnsi="Times New Roman"/>
          <w:b/>
          <w:bCs/>
          <w:sz w:val="24"/>
          <w:szCs w:val="24"/>
        </w:rPr>
        <w:t>at SMI MWB</w:t>
      </w:r>
    </w:p>
    <w:p w14:paraId="2FA818B3" w14:textId="3A05F593" w:rsidR="00C16EFA" w:rsidRPr="004E16EB" w:rsidRDefault="00490929" w:rsidP="009858D2">
      <w:pPr>
        <w:widowControl w:val="0"/>
        <w:spacing w:after="0" w:line="240" w:lineRule="auto"/>
        <w:ind w:firstLine="540"/>
        <w:contextualSpacing/>
        <w:jc w:val="both"/>
        <w:rPr>
          <w:rFonts w:ascii="Times New Roman" w:hAnsi="Times New Roman" w:cs="Times New Roman"/>
          <w:sz w:val="24"/>
          <w:szCs w:val="24"/>
        </w:rPr>
      </w:pPr>
      <w:r w:rsidRPr="00490929">
        <w:rPr>
          <w:rFonts w:ascii="Times New Roman" w:hAnsi="Times New Roman"/>
          <w:sz w:val="24"/>
          <w:szCs w:val="24"/>
        </w:rPr>
        <w:t>Each client settles their financial obligation on a weekly basis during the WH assembly to be eligible for additional funding. The empowerment framework implemented in MWB through the WH format is executed at the residence of the group chairperson or CBGIBSI. WH serves as a customer support initiative wherein all attendees and facilitators are positioned cross-legged on the floor. The assembly comprises several CBGIBSI members who are arranged in a line facing the facilitator. Puguh (2019), the manager of MWB Tebu Ireng Jombang in East Java, remarked that the halaqoh model cultivates the mental disposition of clients. Halaqoh sessions occur systematically once a week and are mandatory for every client. This practice enhances client attitudes, fosters a sense of community, commitment, and discipline. It also cultivates solidarity, accountability, and collaborative efforts through a collective responsibility in meeting loan repayments. Halaqoh is conducted for one hour, led by the MWB supervisor, following a predetermined agenda, as detailed in Table 2</w:t>
      </w:r>
      <w:r w:rsidR="00C611A5" w:rsidRPr="004E16EB">
        <w:rPr>
          <w:rFonts w:ascii="Times New Roman" w:hAnsi="Times New Roman"/>
          <w:sz w:val="24"/>
          <w:szCs w:val="24"/>
        </w:rPr>
        <w:t>.</w:t>
      </w:r>
    </w:p>
    <w:p w14:paraId="6209E977" w14:textId="77777777" w:rsidR="00490929" w:rsidRDefault="00490929" w:rsidP="00192A4F">
      <w:pPr>
        <w:widowControl w:val="0"/>
        <w:spacing w:after="0" w:line="240" w:lineRule="auto"/>
        <w:ind w:firstLine="540"/>
        <w:contextualSpacing/>
        <w:jc w:val="center"/>
        <w:rPr>
          <w:rFonts w:ascii="Times New Roman" w:hAnsi="Times New Roman" w:cs="Times New Roman"/>
          <w:sz w:val="24"/>
          <w:szCs w:val="24"/>
        </w:rPr>
      </w:pPr>
    </w:p>
    <w:p w14:paraId="5EC86264" w14:textId="5EA63C06" w:rsidR="00C16EFA" w:rsidRPr="004E16EB" w:rsidRDefault="00C611A5" w:rsidP="00192A4F">
      <w:pPr>
        <w:widowControl w:val="0"/>
        <w:spacing w:after="0" w:line="240" w:lineRule="auto"/>
        <w:ind w:firstLine="540"/>
        <w:contextualSpacing/>
        <w:jc w:val="center"/>
        <w:rPr>
          <w:rFonts w:ascii="Times New Roman" w:hAnsi="Times New Roman" w:cs="Times New Roman"/>
          <w:sz w:val="24"/>
          <w:szCs w:val="24"/>
        </w:rPr>
      </w:pPr>
      <w:r w:rsidRPr="004E16EB">
        <w:rPr>
          <w:rFonts w:ascii="Times New Roman" w:hAnsi="Times New Roman" w:cs="Times New Roman"/>
          <w:sz w:val="24"/>
          <w:szCs w:val="24"/>
        </w:rPr>
        <w:t xml:space="preserve">Table </w:t>
      </w:r>
      <w:r w:rsidR="00234FC1">
        <w:rPr>
          <w:rFonts w:ascii="Times New Roman" w:hAnsi="Times New Roman" w:cs="Times New Roman"/>
          <w:sz w:val="24"/>
          <w:szCs w:val="24"/>
        </w:rPr>
        <w:t>3</w:t>
      </w:r>
      <w:r w:rsidRPr="004E16EB">
        <w:rPr>
          <w:rFonts w:ascii="Times New Roman" w:hAnsi="Times New Roman" w:cs="Times New Roman"/>
          <w:sz w:val="24"/>
          <w:szCs w:val="24"/>
        </w:rPr>
        <w:t xml:space="preserve">. </w:t>
      </w:r>
      <w:r w:rsidRPr="004E16EB">
        <w:rPr>
          <w:rFonts w:ascii="Times New Roman" w:hAnsi="Times New Roman" w:cs="Times New Roman"/>
          <w:i/>
          <w:sz w:val="24"/>
          <w:szCs w:val="24"/>
        </w:rPr>
        <w:t xml:space="preserve">Halaqoh Agenda </w:t>
      </w:r>
      <w:r w:rsidRPr="004E16EB">
        <w:rPr>
          <w:rFonts w:ascii="Times New Roman" w:hAnsi="Times New Roman" w:cs="Times New Roman"/>
          <w:sz w:val="24"/>
          <w:szCs w:val="24"/>
        </w:rPr>
        <w:t xml:space="preserve"> at MWB</w:t>
      </w:r>
    </w:p>
    <w:tbl>
      <w:tblPr>
        <w:tblStyle w:val="TableGrid"/>
        <w:tblW w:w="0" w:type="auto"/>
        <w:tblLook w:val="04A0" w:firstRow="1" w:lastRow="0" w:firstColumn="1" w:lastColumn="0" w:noHBand="0" w:noVBand="1"/>
      </w:tblPr>
      <w:tblGrid>
        <w:gridCol w:w="576"/>
        <w:gridCol w:w="7158"/>
      </w:tblGrid>
      <w:tr w:rsidR="00C16EFA" w:rsidRPr="004E16EB" w14:paraId="5D084D3E" w14:textId="77777777">
        <w:tc>
          <w:tcPr>
            <w:tcW w:w="510" w:type="dxa"/>
            <w:tcBorders>
              <w:top w:val="single" w:sz="4" w:space="0" w:color="auto"/>
              <w:left w:val="nil"/>
              <w:bottom w:val="single" w:sz="4" w:space="0" w:color="auto"/>
              <w:right w:val="nil"/>
            </w:tcBorders>
          </w:tcPr>
          <w:p w14:paraId="48738E96" w14:textId="77777777" w:rsidR="00C16EFA" w:rsidRPr="004E16EB" w:rsidRDefault="00C611A5" w:rsidP="009858D2">
            <w:pPr>
              <w:widowControl w:val="0"/>
              <w:spacing w:after="0" w:line="240" w:lineRule="auto"/>
              <w:contextualSpacing/>
              <w:jc w:val="both"/>
              <w:rPr>
                <w:rFonts w:ascii="Times New Roman" w:hAnsi="Times New Roman" w:cs="Times New Roman"/>
                <w:sz w:val="24"/>
                <w:szCs w:val="24"/>
              </w:rPr>
            </w:pPr>
            <w:r w:rsidRPr="004E16EB">
              <w:rPr>
                <w:rFonts w:ascii="Times New Roman" w:hAnsi="Times New Roman" w:cs="Times New Roman"/>
                <w:sz w:val="24"/>
                <w:szCs w:val="24"/>
              </w:rPr>
              <w:t>Not</w:t>
            </w:r>
          </w:p>
        </w:tc>
        <w:tc>
          <w:tcPr>
            <w:tcW w:w="7158" w:type="dxa"/>
            <w:tcBorders>
              <w:top w:val="single" w:sz="4" w:space="0" w:color="auto"/>
              <w:left w:val="nil"/>
              <w:bottom w:val="single" w:sz="4" w:space="0" w:color="auto"/>
              <w:right w:val="nil"/>
            </w:tcBorders>
          </w:tcPr>
          <w:p w14:paraId="1431FECA" w14:textId="77777777" w:rsidR="00C16EFA" w:rsidRPr="004E16EB" w:rsidRDefault="00C611A5" w:rsidP="009858D2">
            <w:pPr>
              <w:widowControl w:val="0"/>
              <w:spacing w:after="0" w:line="240" w:lineRule="auto"/>
              <w:contextualSpacing/>
              <w:jc w:val="center"/>
              <w:rPr>
                <w:rFonts w:ascii="Times New Roman" w:hAnsi="Times New Roman" w:cs="Times New Roman"/>
                <w:sz w:val="24"/>
                <w:szCs w:val="24"/>
              </w:rPr>
            </w:pPr>
            <w:r w:rsidRPr="004E16EB">
              <w:rPr>
                <w:rFonts w:ascii="Times New Roman" w:hAnsi="Times New Roman" w:cs="Times New Roman"/>
                <w:sz w:val="24"/>
                <w:szCs w:val="24"/>
              </w:rPr>
              <w:t>Material</w:t>
            </w:r>
          </w:p>
        </w:tc>
      </w:tr>
      <w:tr w:rsidR="00C16EFA" w:rsidRPr="004E16EB" w14:paraId="31027CD4" w14:textId="77777777">
        <w:tc>
          <w:tcPr>
            <w:tcW w:w="510" w:type="dxa"/>
            <w:tcBorders>
              <w:top w:val="single" w:sz="4" w:space="0" w:color="auto"/>
              <w:left w:val="nil"/>
              <w:bottom w:val="nil"/>
              <w:right w:val="nil"/>
            </w:tcBorders>
          </w:tcPr>
          <w:p w14:paraId="228836C4" w14:textId="77777777" w:rsidR="00C16EFA" w:rsidRPr="004E16EB" w:rsidRDefault="00C611A5" w:rsidP="009858D2">
            <w:pPr>
              <w:widowControl w:val="0"/>
              <w:spacing w:after="0" w:line="240" w:lineRule="auto"/>
              <w:contextualSpacing/>
              <w:jc w:val="both"/>
              <w:rPr>
                <w:rFonts w:ascii="Times New Roman" w:hAnsi="Times New Roman" w:cs="Times New Roman"/>
                <w:sz w:val="24"/>
                <w:szCs w:val="24"/>
              </w:rPr>
            </w:pPr>
            <w:r w:rsidRPr="004E16EB">
              <w:rPr>
                <w:rFonts w:ascii="Times New Roman" w:hAnsi="Times New Roman" w:cs="Times New Roman"/>
                <w:sz w:val="24"/>
                <w:szCs w:val="24"/>
              </w:rPr>
              <w:t>1</w:t>
            </w:r>
          </w:p>
        </w:tc>
        <w:tc>
          <w:tcPr>
            <w:tcW w:w="7158" w:type="dxa"/>
            <w:tcBorders>
              <w:top w:val="single" w:sz="4" w:space="0" w:color="auto"/>
              <w:left w:val="nil"/>
              <w:bottom w:val="nil"/>
              <w:right w:val="nil"/>
            </w:tcBorders>
          </w:tcPr>
          <w:p w14:paraId="5EA9BE9D" w14:textId="77777777" w:rsidR="00C16EFA" w:rsidRPr="004E16EB" w:rsidRDefault="00C611A5" w:rsidP="009858D2">
            <w:pPr>
              <w:widowControl w:val="0"/>
              <w:spacing w:after="0" w:line="240" w:lineRule="auto"/>
              <w:contextualSpacing/>
              <w:jc w:val="both"/>
              <w:rPr>
                <w:rFonts w:ascii="Times New Roman" w:hAnsi="Times New Roman" w:cs="Times New Roman"/>
                <w:sz w:val="24"/>
                <w:szCs w:val="24"/>
              </w:rPr>
            </w:pPr>
            <w:r w:rsidRPr="004E16EB">
              <w:rPr>
                <w:rFonts w:ascii="Times New Roman" w:hAnsi="Times New Roman" w:cs="Times New Roman"/>
                <w:sz w:val="24"/>
                <w:szCs w:val="24"/>
              </w:rPr>
              <w:t>Mouth</w:t>
            </w:r>
          </w:p>
        </w:tc>
      </w:tr>
      <w:tr w:rsidR="00C16EFA" w:rsidRPr="004E16EB" w14:paraId="3C900963" w14:textId="77777777">
        <w:tc>
          <w:tcPr>
            <w:tcW w:w="510" w:type="dxa"/>
            <w:tcBorders>
              <w:top w:val="nil"/>
              <w:left w:val="nil"/>
              <w:bottom w:val="nil"/>
              <w:right w:val="nil"/>
            </w:tcBorders>
          </w:tcPr>
          <w:p w14:paraId="477BAB27" w14:textId="77777777" w:rsidR="00C16EFA" w:rsidRPr="004E16EB" w:rsidRDefault="00C611A5" w:rsidP="009858D2">
            <w:pPr>
              <w:widowControl w:val="0"/>
              <w:spacing w:after="0" w:line="240" w:lineRule="auto"/>
              <w:contextualSpacing/>
              <w:jc w:val="both"/>
              <w:rPr>
                <w:rFonts w:ascii="Times New Roman" w:hAnsi="Times New Roman" w:cs="Times New Roman"/>
                <w:sz w:val="24"/>
                <w:szCs w:val="24"/>
              </w:rPr>
            </w:pPr>
            <w:r w:rsidRPr="004E16EB">
              <w:rPr>
                <w:rFonts w:ascii="Times New Roman" w:hAnsi="Times New Roman" w:cs="Times New Roman"/>
                <w:sz w:val="24"/>
                <w:szCs w:val="24"/>
              </w:rPr>
              <w:t>2</w:t>
            </w:r>
          </w:p>
        </w:tc>
        <w:tc>
          <w:tcPr>
            <w:tcW w:w="7158" w:type="dxa"/>
            <w:tcBorders>
              <w:top w:val="nil"/>
              <w:left w:val="nil"/>
              <w:bottom w:val="nil"/>
              <w:right w:val="nil"/>
            </w:tcBorders>
          </w:tcPr>
          <w:p w14:paraId="6E61E4B6" w14:textId="77777777" w:rsidR="00C16EFA" w:rsidRPr="004E16EB" w:rsidRDefault="00C611A5" w:rsidP="009858D2">
            <w:pPr>
              <w:widowControl w:val="0"/>
              <w:spacing w:after="0" w:line="240" w:lineRule="auto"/>
              <w:contextualSpacing/>
              <w:jc w:val="both"/>
              <w:rPr>
                <w:rFonts w:ascii="Times New Roman" w:hAnsi="Times New Roman" w:cs="Times New Roman"/>
                <w:sz w:val="24"/>
                <w:szCs w:val="24"/>
              </w:rPr>
            </w:pPr>
            <w:r w:rsidRPr="004E16EB">
              <w:rPr>
                <w:rFonts w:ascii="Times New Roman" w:hAnsi="Times New Roman" w:cs="Times New Roman"/>
                <w:sz w:val="24"/>
                <w:szCs w:val="24"/>
              </w:rPr>
              <w:t>Reading of the pledge</w:t>
            </w:r>
          </w:p>
        </w:tc>
      </w:tr>
      <w:tr w:rsidR="00C16EFA" w:rsidRPr="004E16EB" w14:paraId="280B6B45" w14:textId="77777777">
        <w:tc>
          <w:tcPr>
            <w:tcW w:w="510" w:type="dxa"/>
            <w:tcBorders>
              <w:top w:val="nil"/>
              <w:left w:val="nil"/>
              <w:bottom w:val="nil"/>
              <w:right w:val="nil"/>
            </w:tcBorders>
          </w:tcPr>
          <w:p w14:paraId="7CC4EAC3" w14:textId="77777777" w:rsidR="00C16EFA" w:rsidRPr="004E16EB" w:rsidRDefault="00C611A5" w:rsidP="009858D2">
            <w:pPr>
              <w:widowControl w:val="0"/>
              <w:spacing w:after="0" w:line="240" w:lineRule="auto"/>
              <w:contextualSpacing/>
              <w:jc w:val="both"/>
              <w:rPr>
                <w:rFonts w:ascii="Times New Roman" w:hAnsi="Times New Roman" w:cs="Times New Roman"/>
                <w:sz w:val="24"/>
                <w:szCs w:val="24"/>
              </w:rPr>
            </w:pPr>
            <w:r w:rsidRPr="004E16EB">
              <w:rPr>
                <w:rFonts w:ascii="Times New Roman" w:hAnsi="Times New Roman" w:cs="Times New Roman"/>
                <w:sz w:val="24"/>
                <w:szCs w:val="24"/>
              </w:rPr>
              <w:t>3</w:t>
            </w:r>
          </w:p>
        </w:tc>
        <w:tc>
          <w:tcPr>
            <w:tcW w:w="7158" w:type="dxa"/>
            <w:tcBorders>
              <w:top w:val="nil"/>
              <w:left w:val="nil"/>
              <w:bottom w:val="nil"/>
              <w:right w:val="nil"/>
            </w:tcBorders>
          </w:tcPr>
          <w:p w14:paraId="296F25D7" w14:textId="77777777" w:rsidR="00C16EFA" w:rsidRPr="004E16EB" w:rsidRDefault="00C611A5" w:rsidP="009858D2">
            <w:pPr>
              <w:widowControl w:val="0"/>
              <w:spacing w:after="0" w:line="240" w:lineRule="auto"/>
              <w:contextualSpacing/>
              <w:jc w:val="both"/>
              <w:rPr>
                <w:rFonts w:ascii="Times New Roman" w:hAnsi="Times New Roman" w:cs="Times New Roman"/>
                <w:sz w:val="24"/>
                <w:szCs w:val="24"/>
              </w:rPr>
            </w:pPr>
            <w:r w:rsidRPr="004E16EB">
              <w:rPr>
                <w:rFonts w:ascii="Times New Roman" w:hAnsi="Times New Roman" w:cs="Times New Roman"/>
                <w:sz w:val="24"/>
                <w:szCs w:val="24"/>
              </w:rPr>
              <w:t>Member attendance reports</w:t>
            </w:r>
          </w:p>
        </w:tc>
      </w:tr>
      <w:tr w:rsidR="00C16EFA" w:rsidRPr="004E16EB" w14:paraId="4FF6DA40" w14:textId="77777777">
        <w:tc>
          <w:tcPr>
            <w:tcW w:w="510" w:type="dxa"/>
            <w:tcBorders>
              <w:top w:val="nil"/>
              <w:left w:val="nil"/>
              <w:bottom w:val="nil"/>
              <w:right w:val="nil"/>
            </w:tcBorders>
          </w:tcPr>
          <w:p w14:paraId="591EF874" w14:textId="77777777" w:rsidR="00C16EFA" w:rsidRPr="004E16EB" w:rsidRDefault="00C611A5" w:rsidP="009858D2">
            <w:pPr>
              <w:widowControl w:val="0"/>
              <w:spacing w:after="0" w:line="240" w:lineRule="auto"/>
              <w:contextualSpacing/>
              <w:jc w:val="both"/>
              <w:rPr>
                <w:rFonts w:ascii="Times New Roman" w:hAnsi="Times New Roman" w:cs="Times New Roman"/>
                <w:sz w:val="24"/>
                <w:szCs w:val="24"/>
              </w:rPr>
            </w:pPr>
            <w:r w:rsidRPr="004E16EB">
              <w:rPr>
                <w:rFonts w:ascii="Times New Roman" w:hAnsi="Times New Roman" w:cs="Times New Roman"/>
                <w:sz w:val="24"/>
                <w:szCs w:val="24"/>
              </w:rPr>
              <w:t>4</w:t>
            </w:r>
          </w:p>
        </w:tc>
        <w:tc>
          <w:tcPr>
            <w:tcW w:w="7158" w:type="dxa"/>
            <w:tcBorders>
              <w:top w:val="nil"/>
              <w:left w:val="nil"/>
              <w:bottom w:val="nil"/>
              <w:right w:val="nil"/>
            </w:tcBorders>
          </w:tcPr>
          <w:p w14:paraId="142E516F" w14:textId="77777777" w:rsidR="00C16EFA" w:rsidRPr="004E16EB" w:rsidRDefault="00C611A5" w:rsidP="009858D2">
            <w:pPr>
              <w:widowControl w:val="0"/>
              <w:spacing w:after="0" w:line="240" w:lineRule="auto"/>
              <w:contextualSpacing/>
              <w:jc w:val="both"/>
              <w:rPr>
                <w:rFonts w:ascii="Times New Roman" w:hAnsi="Times New Roman" w:cs="Times New Roman"/>
                <w:sz w:val="24"/>
                <w:szCs w:val="24"/>
              </w:rPr>
            </w:pPr>
            <w:r w:rsidRPr="004E16EB">
              <w:rPr>
                <w:rFonts w:ascii="Times New Roman" w:hAnsi="Times New Roman" w:cs="Times New Roman"/>
                <w:sz w:val="24"/>
                <w:szCs w:val="24"/>
              </w:rPr>
              <w:t>Disbursement of financing</w:t>
            </w:r>
          </w:p>
        </w:tc>
      </w:tr>
      <w:tr w:rsidR="00C16EFA" w:rsidRPr="004E16EB" w14:paraId="61744111" w14:textId="77777777">
        <w:tc>
          <w:tcPr>
            <w:tcW w:w="510" w:type="dxa"/>
            <w:tcBorders>
              <w:top w:val="nil"/>
              <w:left w:val="nil"/>
              <w:bottom w:val="nil"/>
              <w:right w:val="nil"/>
            </w:tcBorders>
          </w:tcPr>
          <w:p w14:paraId="4C1FBBAA" w14:textId="77777777" w:rsidR="00C16EFA" w:rsidRPr="004E16EB" w:rsidRDefault="00C611A5" w:rsidP="009858D2">
            <w:pPr>
              <w:widowControl w:val="0"/>
              <w:spacing w:after="0" w:line="240" w:lineRule="auto"/>
              <w:contextualSpacing/>
              <w:jc w:val="both"/>
              <w:rPr>
                <w:rFonts w:ascii="Times New Roman" w:hAnsi="Times New Roman" w:cs="Times New Roman"/>
                <w:sz w:val="24"/>
                <w:szCs w:val="24"/>
              </w:rPr>
            </w:pPr>
            <w:r w:rsidRPr="004E16EB">
              <w:rPr>
                <w:rFonts w:ascii="Times New Roman" w:hAnsi="Times New Roman" w:cs="Times New Roman"/>
                <w:sz w:val="24"/>
                <w:szCs w:val="24"/>
              </w:rPr>
              <w:t>5</w:t>
            </w:r>
          </w:p>
        </w:tc>
        <w:tc>
          <w:tcPr>
            <w:tcW w:w="7158" w:type="dxa"/>
            <w:tcBorders>
              <w:top w:val="nil"/>
              <w:left w:val="nil"/>
              <w:bottom w:val="nil"/>
              <w:right w:val="nil"/>
            </w:tcBorders>
          </w:tcPr>
          <w:p w14:paraId="786F509B" w14:textId="77777777" w:rsidR="00C16EFA" w:rsidRPr="004E16EB" w:rsidRDefault="00C611A5" w:rsidP="009858D2">
            <w:pPr>
              <w:widowControl w:val="0"/>
              <w:spacing w:after="0" w:line="240" w:lineRule="auto"/>
              <w:contextualSpacing/>
              <w:jc w:val="both"/>
              <w:rPr>
                <w:rFonts w:ascii="Times New Roman" w:hAnsi="Times New Roman" w:cs="Times New Roman"/>
                <w:sz w:val="24"/>
                <w:szCs w:val="24"/>
              </w:rPr>
            </w:pPr>
            <w:r w:rsidRPr="004E16EB">
              <w:rPr>
                <w:rFonts w:ascii="Times New Roman" w:hAnsi="Times New Roman" w:cs="Times New Roman"/>
                <w:sz w:val="24"/>
                <w:szCs w:val="24"/>
              </w:rPr>
              <w:t>Customer Support</w:t>
            </w:r>
          </w:p>
        </w:tc>
      </w:tr>
      <w:tr w:rsidR="00C16EFA" w:rsidRPr="004E16EB" w14:paraId="7458F87F" w14:textId="77777777">
        <w:tc>
          <w:tcPr>
            <w:tcW w:w="510" w:type="dxa"/>
            <w:tcBorders>
              <w:top w:val="nil"/>
              <w:left w:val="nil"/>
              <w:bottom w:val="nil"/>
              <w:right w:val="nil"/>
            </w:tcBorders>
          </w:tcPr>
          <w:p w14:paraId="43F125A2" w14:textId="77777777" w:rsidR="00C16EFA" w:rsidRPr="004E16EB" w:rsidRDefault="00C611A5" w:rsidP="009858D2">
            <w:pPr>
              <w:widowControl w:val="0"/>
              <w:spacing w:after="0" w:line="240" w:lineRule="auto"/>
              <w:contextualSpacing/>
              <w:jc w:val="both"/>
              <w:rPr>
                <w:rFonts w:ascii="Times New Roman" w:hAnsi="Times New Roman" w:cs="Times New Roman"/>
                <w:sz w:val="24"/>
                <w:szCs w:val="24"/>
              </w:rPr>
            </w:pPr>
            <w:r w:rsidRPr="004E16EB">
              <w:rPr>
                <w:rFonts w:ascii="Times New Roman" w:hAnsi="Times New Roman" w:cs="Times New Roman"/>
                <w:sz w:val="24"/>
                <w:szCs w:val="24"/>
              </w:rPr>
              <w:t>6</w:t>
            </w:r>
          </w:p>
        </w:tc>
        <w:tc>
          <w:tcPr>
            <w:tcW w:w="7158" w:type="dxa"/>
            <w:tcBorders>
              <w:top w:val="nil"/>
              <w:left w:val="nil"/>
              <w:bottom w:val="nil"/>
              <w:right w:val="nil"/>
            </w:tcBorders>
          </w:tcPr>
          <w:p w14:paraId="153D8661" w14:textId="77777777" w:rsidR="00C16EFA" w:rsidRPr="004E16EB" w:rsidRDefault="00C611A5" w:rsidP="009858D2">
            <w:pPr>
              <w:widowControl w:val="0"/>
              <w:spacing w:after="0" w:line="240" w:lineRule="auto"/>
              <w:contextualSpacing/>
              <w:jc w:val="both"/>
              <w:rPr>
                <w:rFonts w:ascii="Times New Roman" w:hAnsi="Times New Roman" w:cs="Times New Roman"/>
                <w:sz w:val="24"/>
                <w:szCs w:val="24"/>
              </w:rPr>
            </w:pPr>
            <w:r w:rsidRPr="004E16EB">
              <w:rPr>
                <w:rFonts w:ascii="Times New Roman" w:hAnsi="Times New Roman" w:cs="Times New Roman"/>
                <w:sz w:val="24"/>
                <w:szCs w:val="24"/>
              </w:rPr>
              <w:t>Installment payment</w:t>
            </w:r>
          </w:p>
        </w:tc>
      </w:tr>
      <w:tr w:rsidR="00C16EFA" w:rsidRPr="004E16EB" w14:paraId="7AFD2E39" w14:textId="77777777">
        <w:tc>
          <w:tcPr>
            <w:tcW w:w="510" w:type="dxa"/>
            <w:tcBorders>
              <w:top w:val="nil"/>
              <w:left w:val="nil"/>
              <w:bottom w:val="single" w:sz="4" w:space="0" w:color="auto"/>
              <w:right w:val="nil"/>
            </w:tcBorders>
          </w:tcPr>
          <w:p w14:paraId="1442285C" w14:textId="77777777" w:rsidR="00C16EFA" w:rsidRPr="004E16EB" w:rsidRDefault="00C611A5" w:rsidP="009858D2">
            <w:pPr>
              <w:widowControl w:val="0"/>
              <w:spacing w:after="0" w:line="240" w:lineRule="auto"/>
              <w:contextualSpacing/>
              <w:jc w:val="both"/>
              <w:rPr>
                <w:rFonts w:ascii="Times New Roman" w:hAnsi="Times New Roman" w:cs="Times New Roman"/>
                <w:sz w:val="24"/>
                <w:szCs w:val="24"/>
              </w:rPr>
            </w:pPr>
            <w:r w:rsidRPr="004E16EB">
              <w:rPr>
                <w:rFonts w:ascii="Times New Roman" w:hAnsi="Times New Roman" w:cs="Times New Roman"/>
                <w:sz w:val="24"/>
                <w:szCs w:val="24"/>
              </w:rPr>
              <w:t>7</w:t>
            </w:r>
          </w:p>
        </w:tc>
        <w:tc>
          <w:tcPr>
            <w:tcW w:w="7158" w:type="dxa"/>
            <w:tcBorders>
              <w:top w:val="nil"/>
              <w:left w:val="nil"/>
              <w:bottom w:val="single" w:sz="4" w:space="0" w:color="auto"/>
              <w:right w:val="nil"/>
            </w:tcBorders>
          </w:tcPr>
          <w:p w14:paraId="49130D97" w14:textId="77777777" w:rsidR="00C16EFA" w:rsidRPr="004E16EB" w:rsidRDefault="00C611A5" w:rsidP="009858D2">
            <w:pPr>
              <w:widowControl w:val="0"/>
              <w:spacing w:after="0" w:line="240" w:lineRule="auto"/>
              <w:contextualSpacing/>
              <w:jc w:val="both"/>
              <w:rPr>
                <w:rFonts w:ascii="Times New Roman" w:hAnsi="Times New Roman" w:cs="Times New Roman"/>
                <w:sz w:val="24"/>
                <w:szCs w:val="24"/>
              </w:rPr>
            </w:pPr>
            <w:r w:rsidRPr="004E16EB">
              <w:rPr>
                <w:rFonts w:ascii="Times New Roman" w:hAnsi="Times New Roman" w:cs="Times New Roman"/>
                <w:sz w:val="24"/>
                <w:szCs w:val="24"/>
              </w:rPr>
              <w:t>Prayer and closing</w:t>
            </w:r>
          </w:p>
        </w:tc>
      </w:tr>
    </w:tbl>
    <w:p w14:paraId="5DE32EC6" w14:textId="7B278797" w:rsidR="00C16EFA" w:rsidRPr="004E16EB" w:rsidRDefault="00C611A5" w:rsidP="009858D2">
      <w:pPr>
        <w:widowControl w:val="0"/>
        <w:spacing w:after="0" w:line="240" w:lineRule="auto"/>
        <w:ind w:firstLine="540"/>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Source: </w:t>
      </w:r>
      <w:r w:rsidRPr="004E16EB">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{"citationItems":[{"id":"ITEM-1","itemData":{"author":[{"dropping-particle":"","family":"BSM","given":"LAZNAS","non-dropping-particle":"","parse-names":false,"suffix":""}],"id":"ITEM-1","issued":{"date-parts":[["2017"]]},"page":"8","publisher":"LAZNAS BSM","publisher-place":"Jakarta","title":"“SOP &amp; SOM Standar Operasional Prosedure Dan Management Untuk LKM Syariah-Bank Wakaf Mikro","type":"chapter"},"uris":["http://www.mendeley.com/documents/?uuid=a489da26-2a15-42ec-b23c-9ab72769dff1","http://www.mendeley.com/documents/?uuid=94b5505c-1ca3-4d79-b81f-0f15564da175"]}],"mendeley":{"formattedCitation":"(BSM, 2017a)","plainTextFormattedCitation":"(BSM, 2017a)","previouslyFormattedCitation":"(BSM, 2017a)"},"properties":{"noteIndex":0},"schema":"https://github.com/citation-style-language/schema/raw/master/csl-citation.json"}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(BSM, 2017a)</w:t>
      </w:r>
      <w:r w:rsidRPr="004E16EB">
        <w:rPr>
          <w:rFonts w:ascii="Times New Roman" w:hAnsi="Times New Roman" w:cs="Times New Roman"/>
          <w:sz w:val="24"/>
          <w:szCs w:val="24"/>
        </w:rPr>
        <w:fldChar w:fldCharType="end"/>
      </w:r>
    </w:p>
    <w:p w14:paraId="2F68E937" w14:textId="77777777" w:rsidR="00192A4F" w:rsidRDefault="00192A4F" w:rsidP="009858D2">
      <w:pPr>
        <w:widowControl w:val="0"/>
        <w:spacing w:after="0" w:line="240" w:lineRule="auto"/>
        <w:ind w:firstLine="540"/>
        <w:contextualSpacing/>
        <w:jc w:val="both"/>
        <w:rPr>
          <w:rFonts w:ascii="Times New Roman" w:hAnsi="Times New Roman"/>
          <w:sz w:val="24"/>
          <w:szCs w:val="24"/>
        </w:rPr>
      </w:pPr>
    </w:p>
    <w:p w14:paraId="6F865BB0" w14:textId="37786C0B" w:rsidR="00C16EFA" w:rsidRPr="004E16EB" w:rsidRDefault="00C611A5" w:rsidP="009858D2">
      <w:pPr>
        <w:widowControl w:val="0"/>
        <w:spacing w:after="0" w:line="240" w:lineRule="auto"/>
        <w:ind w:firstLine="540"/>
        <w:contextualSpacing/>
        <w:jc w:val="both"/>
        <w:rPr>
          <w:rFonts w:ascii="Times New Roman" w:hAnsi="Times New Roman"/>
          <w:sz w:val="24"/>
          <w:szCs w:val="24"/>
        </w:rPr>
      </w:pPr>
      <w:r w:rsidRPr="004E16EB">
        <w:rPr>
          <w:rFonts w:ascii="Times New Roman" w:hAnsi="Times New Roman"/>
          <w:sz w:val="24"/>
          <w:szCs w:val="24"/>
        </w:rPr>
        <w:t xml:space="preserve">Assistance is provided directly by supervisors or external resource persons in the form of HALMI Akbar (WH Agung). This was acknowledged by Zuhri (2019), the supervisor of MWB Alpansa Klaten Yogyakarta. Customer assistance is carried out through, First, religious and spiritual guidance which is filled with studies by </w:t>
      </w:r>
      <w:r w:rsidRPr="004E16EB">
        <w:rPr>
          <w:rFonts w:ascii="Times New Roman" w:hAnsi="Times New Roman"/>
          <w:i/>
          <w:iCs/>
          <w:sz w:val="24"/>
          <w:szCs w:val="24"/>
        </w:rPr>
        <w:t xml:space="preserve">ustadz </w:t>
      </w:r>
      <w:r w:rsidRPr="004E16EB">
        <w:rPr>
          <w:rFonts w:ascii="Times New Roman" w:hAnsi="Times New Roman"/>
          <w:sz w:val="24"/>
          <w:szCs w:val="24"/>
        </w:rPr>
        <w:t xml:space="preserve">or </w:t>
      </w:r>
      <w:r w:rsidRPr="004E16EB">
        <w:rPr>
          <w:rFonts w:ascii="Times New Roman" w:hAnsi="Times New Roman"/>
          <w:i/>
          <w:iCs/>
          <w:sz w:val="24"/>
          <w:szCs w:val="24"/>
        </w:rPr>
        <w:t>ustazah</w:t>
      </w:r>
      <w:r w:rsidRPr="004E16EB">
        <w:rPr>
          <w:rFonts w:ascii="Times New Roman" w:hAnsi="Times New Roman"/>
          <w:sz w:val="24"/>
          <w:szCs w:val="24"/>
        </w:rPr>
        <w:t xml:space="preserve"> from Islamic boarding </w:t>
      </w:r>
      <w:r w:rsidRPr="004E16EB">
        <w:rPr>
          <w:rFonts w:ascii="Times New Roman" w:hAnsi="Times New Roman"/>
          <w:sz w:val="24"/>
          <w:szCs w:val="24"/>
        </w:rPr>
        <w:lastRenderedPageBreak/>
        <w:t xml:space="preserve">schools. </w:t>
      </w:r>
      <w:r w:rsidRPr="00234FC1">
        <w:rPr>
          <w:rFonts w:ascii="Times New Roman" w:hAnsi="Times New Roman"/>
          <w:bCs/>
          <w:sz w:val="24"/>
        </w:rPr>
        <w:t>The second stage</w:t>
      </w:r>
      <w:r w:rsidRPr="004E16EB">
        <w:rPr>
          <w:rFonts w:ascii="Times New Roman" w:hAnsi="Times New Roman"/>
          <w:sz w:val="24"/>
          <w:szCs w:val="24"/>
        </w:rPr>
        <w:t xml:space="preserve"> is household financial management. SMI provides assistance and family development through financial management to create </w:t>
      </w:r>
      <w:r w:rsidRPr="004E16EB">
        <w:rPr>
          <w:rFonts w:ascii="Times New Roman" w:hAnsi="Times New Roman"/>
          <w:i/>
          <w:sz w:val="24"/>
        </w:rPr>
        <w:t xml:space="preserve"> a sakinah family</w:t>
      </w:r>
      <w:r w:rsidRPr="004E16EB">
        <w:rPr>
          <w:rFonts w:ascii="Times New Roman" w:hAnsi="Times New Roman"/>
          <w:sz w:val="24"/>
          <w:szCs w:val="24"/>
        </w:rPr>
        <w:t xml:space="preserve">. </w:t>
      </w:r>
      <w:r w:rsidRPr="00234FC1">
        <w:rPr>
          <w:rFonts w:ascii="Times New Roman" w:hAnsi="Times New Roman"/>
          <w:bCs/>
          <w:sz w:val="24"/>
        </w:rPr>
        <w:t>Third</w:t>
      </w:r>
      <w:r w:rsidRPr="00234FC1">
        <w:rPr>
          <w:rFonts w:ascii="Times New Roman" w:hAnsi="Times New Roman"/>
          <w:bCs/>
          <w:sz w:val="24"/>
          <w:szCs w:val="24"/>
        </w:rPr>
        <w:t>,</w:t>
      </w:r>
      <w:r w:rsidRPr="004E16EB">
        <w:rPr>
          <w:rFonts w:ascii="Times New Roman" w:hAnsi="Times New Roman"/>
          <w:sz w:val="24"/>
          <w:szCs w:val="24"/>
        </w:rPr>
        <w:t xml:space="preserve"> customer business development assistance is provided through mentoring and entrepreneurial assistance. </w:t>
      </w:r>
      <w:r w:rsidR="00234FC1" w:rsidRPr="00234FC1">
        <w:rPr>
          <w:rFonts w:ascii="Times New Roman" w:hAnsi="Times New Roman"/>
          <w:sz w:val="24"/>
          <w:szCs w:val="24"/>
        </w:rPr>
        <w:t>This encompasses the management of marketing strategies, educational programs in bookkeeping, service provision, and the enhancement of business growth via training in food product packaging and improvements in product quality. Furthermore, MWB supports clients in the online marketing of their products and provides assistance in establishing an e-commerce account for buying and selling activities.</w:t>
      </w:r>
      <w:r w:rsidR="00234FC1">
        <w:rPr>
          <w:rFonts w:ascii="Times New Roman" w:hAnsi="Times New Roman"/>
          <w:sz w:val="24"/>
          <w:szCs w:val="24"/>
        </w:rPr>
        <w:t xml:space="preserve"> </w:t>
      </w:r>
      <w:r w:rsidRPr="004E16EB">
        <w:rPr>
          <w:rFonts w:ascii="Times New Roman" w:hAnsi="Times New Roman"/>
          <w:sz w:val="24"/>
          <w:szCs w:val="24"/>
        </w:rPr>
        <w:t>This also helps customers sell products at certain events, as conveyed by Hayati (2019), a customer of MWB Al-Kausar Sari Lamak, Harau Lima Sepuluh Kota District.</w:t>
      </w:r>
    </w:p>
    <w:p w14:paraId="10784F26" w14:textId="77777777" w:rsidR="00C16EFA" w:rsidRPr="004E16EB" w:rsidRDefault="00C611A5" w:rsidP="009858D2">
      <w:pPr>
        <w:widowControl w:val="0"/>
        <w:spacing w:after="0" w:line="240" w:lineRule="auto"/>
        <w:ind w:firstLine="540"/>
        <w:contextualSpacing/>
        <w:jc w:val="both"/>
        <w:rPr>
          <w:rFonts w:ascii="Times New Roman" w:hAnsi="Times New Roman" w:cs="Times New Roman"/>
          <w:sz w:val="24"/>
          <w:szCs w:val="24"/>
        </w:rPr>
      </w:pPr>
      <w:r w:rsidRPr="004E16EB">
        <w:rPr>
          <w:rFonts w:ascii="Times New Roman" w:hAnsi="Times New Roman"/>
          <w:sz w:val="24"/>
          <w:szCs w:val="24"/>
        </w:rPr>
        <w:t xml:space="preserve">MWB uses group-based financing, where the group determines loan approval and guarantees the financing payment of each member. This group-based pattern uses a shared responsibility financing system, as affirmed by Eni (2019), Chairman of MWB Almuna Krapyak Yogyakarta. These groups assure MWB that they are liable to members who are in arrears in paying installments. Members help each other by donating and contributing to overcoming arrears. Therefore, they must have a shared responsibility savings managed by the group leader. The savings are a group guarantee in the event of installment arrears from CBGIBSI members. The financing installments are taken from the group's shared responsibility savings to settle arrears. Members replace their arrears the following week at a </w:t>
      </w:r>
      <w:r w:rsidRPr="004E16EB">
        <w:rPr>
          <w:rFonts w:ascii="Times New Roman" w:hAnsi="Times New Roman"/>
          <w:i/>
          <w:iCs/>
          <w:sz w:val="24"/>
          <w:szCs w:val="24"/>
        </w:rPr>
        <w:t xml:space="preserve"> halaqoh meeting </w:t>
      </w:r>
      <w:r w:rsidRPr="004E16EB">
        <w:rPr>
          <w:rFonts w:ascii="Times New Roman" w:hAnsi="Times New Roman"/>
          <w:sz w:val="24"/>
          <w:szCs w:val="24"/>
        </w:rPr>
        <w:t>with the group leader</w:t>
      </w:r>
      <w:r w:rsidRPr="004E16EB">
        <w:rPr>
          <w:rFonts w:ascii="Times New Roman" w:hAnsi="Times New Roman" w:cs="Times New Roman"/>
          <w:sz w:val="24"/>
          <w:szCs w:val="24"/>
        </w:rPr>
        <w:t>.</w:t>
      </w:r>
    </w:p>
    <w:p w14:paraId="728120F8" w14:textId="77777777" w:rsidR="00C16EFA" w:rsidRPr="004E16EB" w:rsidRDefault="00C16EFA" w:rsidP="009858D2">
      <w:pPr>
        <w:widowControl w:val="0"/>
        <w:spacing w:after="0" w:line="240" w:lineRule="auto"/>
        <w:ind w:firstLine="540"/>
        <w:contextualSpacing/>
        <w:jc w:val="both"/>
        <w:rPr>
          <w:rFonts w:ascii="Times New Roman" w:hAnsi="Times New Roman" w:cs="Times New Roman"/>
          <w:sz w:val="24"/>
          <w:szCs w:val="24"/>
        </w:rPr>
      </w:pPr>
    </w:p>
    <w:p w14:paraId="5EDAC4D3" w14:textId="77777777" w:rsidR="00C16EFA" w:rsidRPr="004E16EB" w:rsidRDefault="00C611A5" w:rsidP="009858D2">
      <w:pPr>
        <w:pStyle w:val="ListParagraph"/>
        <w:widowControl w:val="0"/>
        <w:numPr>
          <w:ilvl w:val="0"/>
          <w:numId w:val="3"/>
        </w:numPr>
        <w:spacing w:after="0" w:line="240" w:lineRule="auto"/>
        <w:jc w:val="both"/>
        <w:rPr>
          <w:rFonts w:ascii="Times New Roman" w:hAnsi="Times New Roman" w:cs="Times New Roman"/>
          <w:b/>
          <w:bCs/>
          <w:sz w:val="24"/>
          <w:szCs w:val="24"/>
        </w:rPr>
      </w:pPr>
      <w:r w:rsidRPr="004E16EB">
        <w:rPr>
          <w:rFonts w:ascii="Times New Roman" w:hAnsi="Times New Roman" w:cs="Times New Roman"/>
          <w:b/>
          <w:bCs/>
          <w:sz w:val="24"/>
          <w:szCs w:val="24"/>
        </w:rPr>
        <w:t>Discussion</w:t>
      </w:r>
    </w:p>
    <w:p w14:paraId="09BDC0E0" w14:textId="0DFAA6A1" w:rsidR="00C16EFA" w:rsidRPr="004E16EB" w:rsidRDefault="00C611A5" w:rsidP="009858D2">
      <w:pPr>
        <w:pStyle w:val="ListParagraph"/>
        <w:widowControl w:val="0"/>
        <w:numPr>
          <w:ilvl w:val="1"/>
          <w:numId w:val="5"/>
        </w:numPr>
        <w:spacing w:after="0" w:line="240" w:lineRule="auto"/>
        <w:ind w:left="426"/>
        <w:jc w:val="both"/>
        <w:rPr>
          <w:rFonts w:ascii="Times New Roman" w:hAnsi="Times New Roman" w:cs="Times New Roman"/>
          <w:sz w:val="24"/>
          <w:szCs w:val="24"/>
        </w:rPr>
      </w:pPr>
      <w:r w:rsidRPr="004E16EB">
        <w:rPr>
          <w:rFonts w:ascii="Times New Roman" w:hAnsi="Times New Roman"/>
          <w:b/>
          <w:sz w:val="24"/>
          <w:szCs w:val="24"/>
        </w:rPr>
        <w:t>Economic Empowerment of Unbanked Women in Sharia Microfinance Institutions of Micro Waqf Banks (SMI MWB)</w:t>
      </w:r>
    </w:p>
    <w:p w14:paraId="4F9D0C45" w14:textId="38261FCE" w:rsidR="00C16EFA" w:rsidRPr="004E16EB" w:rsidRDefault="009A2CF1" w:rsidP="009858D2">
      <w:pPr>
        <w:widowControl w:val="0"/>
        <w:spacing w:after="0" w:line="240" w:lineRule="auto"/>
        <w:ind w:firstLine="720"/>
        <w:jc w:val="both"/>
        <w:rPr>
          <w:rFonts w:ascii="Times New Roman" w:hAnsi="Times New Roman" w:cs="Times New Roman"/>
          <w:sz w:val="24"/>
          <w:szCs w:val="24"/>
        </w:rPr>
      </w:pPr>
      <w:r w:rsidRPr="009A2CF1">
        <w:rPr>
          <w:rFonts w:ascii="Times New Roman" w:hAnsi="Times New Roman"/>
          <w:sz w:val="24"/>
          <w:szCs w:val="24"/>
        </w:rPr>
        <w:t>As a Social Microfinance Institution, MWB operates as a financial entity aimed at enhancing the well-being of the community surrounding Islamic boarding schools, with a particular focus on economically active women living in poverty</w:t>
      </w:r>
      <w:r w:rsidR="00C611A5" w:rsidRPr="004E16EB">
        <w:rPr>
          <w:rFonts w:ascii="Times New Roman" w:hAnsi="Times New Roman"/>
          <w:sz w:val="24"/>
          <w:szCs w:val="24"/>
        </w:rPr>
        <w:t xml:space="preserve"> </w:t>
      </w:r>
      <w:r w:rsidR="00C611A5" w:rsidRPr="004E16EB">
        <w:rPr>
          <w:rFonts w:ascii="Times New Roman" w:hAnsi="Times New Roman" w:cs="Times New Roman"/>
          <w:sz w:val="24"/>
          <w:szCs w:val="24"/>
        </w:rPr>
        <w:fldChar w:fldCharType="begin" w:fldLock="1"/>
      </w:r>
      <w:r w:rsidR="000F1614">
        <w:rPr>
          <w:rFonts w:ascii="Times New Roman" w:hAnsi="Times New Roman" w:cs="Times New Roman"/>
          <w:sz w:val="24"/>
          <w:szCs w:val="24"/>
        </w:rPr>
        <w:instrText>ADDIN CSL_CITATION {"citationItems":[{"id":"ITEM-1","itemData":{"DOI":"10.2991/ASSEHR.K.200225.001","abstract":"This research aims to study and improve the benefits of micro waqf banks as Islamic microfinance institutions that have only been pioneered since 2017 in Indonesia. The research method used was qualitative research using normative juridical through interview and literature study methods, and analyzed using descriptive analysis. The results of this study indicate that a micro waqf bank stands as a sharia cooperative, but from its naming aspect that uses the term 'waqf' does not make it a waqf institution. Micro waqf banks are institutions that represent financial institutions, the Indonesian government and Islamic boarding schools as the basis of Indonesian Muslims. The purpose of this micro waqf bank is to be able to reduce poverty by providing financing to the poor through routine assistance programs, allegedly the target of this program is the poor who cannot access formal financial institutions to help the capital aspects of community small businesses.","author":[{"dropping-particle":"","family":"Sulistiani","given":"Siska Lis","non-dropping-particle":"","parse-names":false,"suffix":""},{"dropping-particle":"","family":"Yunus","given":"Muhammad","non-dropping-particle":"","parse-names":false,"suffix":""},{"dropping-particle":"","family":"Bayuni","given":"Eva Misfah","non-dropping-particle":"","parse-names":false,"suffix":""}],"container-title":"Advances in Social Science, Education and Humanities Research","id":"ITEM-1","issued":{"date-parts":[["2020","3"]]},"page":"1-4","publisher":"Atlantis Press","title":"Micro Waqf Bank: New Sharia Financial Instruments in Indonesia","type":"article-journal","volume":"409"},"uris":["http://www.mendeley.com/documents/?uuid=b9c2a156-064a-3a4f-8bbf-e9b1fa24698b","http://www.mendeley.com/documents/?uuid=9d126fd0-f262-47ec-ad28-1f8fe3641d60"]}],"mendeley":{"formattedCitation":"(Sulistiani et al., 2020)","manualFormatting":"(Sulistiani et al., 2020)","plainTextFormattedCitation":"(Sulistiani et al., 2020)","previouslyFormattedCitation":"(Sulistiani et al., 2020)"},"properties":{"noteIndex":0},"schema":"https://github.com/citation-style-language/schema/raw/master/csl-citation.json"}</w:instrText>
      </w:r>
      <w:r w:rsidR="00C611A5" w:rsidRPr="004E16EB">
        <w:rPr>
          <w:rFonts w:ascii="Times New Roman" w:hAnsi="Times New Roman" w:cs="Times New Roman"/>
          <w:sz w:val="24"/>
          <w:szCs w:val="24"/>
        </w:rPr>
        <w:fldChar w:fldCharType="separate"/>
      </w:r>
      <w:r w:rsidR="00C611A5" w:rsidRPr="004E16EB">
        <w:rPr>
          <w:rFonts w:ascii="Times New Roman" w:hAnsi="Times New Roman" w:cs="Times New Roman"/>
          <w:noProof/>
          <w:sz w:val="24"/>
          <w:szCs w:val="24"/>
        </w:rPr>
        <w:t>(Sulistiani et al., 2020)</w:t>
      </w:r>
      <w:r w:rsidR="00C611A5" w:rsidRPr="004E16EB">
        <w:rPr>
          <w:rFonts w:ascii="Times New Roman" w:hAnsi="Times New Roman" w:cs="Times New Roman"/>
          <w:sz w:val="24"/>
          <w:szCs w:val="24"/>
        </w:rPr>
        <w:fldChar w:fldCharType="end"/>
      </w:r>
      <w:r w:rsidR="00C611A5" w:rsidRPr="004E16EB">
        <w:rPr>
          <w:rFonts w:ascii="Times New Roman" w:hAnsi="Times New Roman" w:cs="Times New Roman"/>
          <w:sz w:val="24"/>
          <w:szCs w:val="24"/>
        </w:rPr>
        <w:t xml:space="preserve">. </w:t>
      </w:r>
      <w:r w:rsidR="00C611A5" w:rsidRPr="004E16EB">
        <w:rPr>
          <w:rFonts w:ascii="Times New Roman" w:hAnsi="Times New Roman"/>
          <w:sz w:val="24"/>
          <w:szCs w:val="24"/>
        </w:rPr>
        <w:t xml:space="preserve">It provides financing and assistance to women micro and small businesses </w:t>
      </w:r>
      <w:r w:rsidR="00E3240E">
        <w:rPr>
          <w:rFonts w:ascii="Times New Roman" w:hAnsi="Times New Roman"/>
          <w:sz w:val="24"/>
          <w:szCs w:val="24"/>
        </w:rPr>
        <w:fldChar w:fldCharType="begin" w:fldLock="1"/>
      </w:r>
      <w:r w:rsidR="00302A4A">
        <w:rPr>
          <w:rFonts w:ascii="Times New Roman" w:hAnsi="Times New Roman"/>
          <w:sz w:val="24"/>
          <w:szCs w:val="24"/>
        </w:rPr>
        <w:instrText>ADDIN CSL_CITATION {"citationItems":[{"id":"ITEM-1","itemData":{"DOI":"10.3390/economies10070157","ISSN":"2227-7099","abstract":"This study examined the role of the Micro Waqf Bank in empowering women micro-entrepreneurs. This research used a mixed-method with an explanatory design. Quantitatively, this study examines the effect of the joint responsibility system, financing, and mentoring on the growth of the micro-enterprises business. The sample used was 200 women micro-entrepreneurs using a purposive sampling technique. Quantitative data analysis was performed using the Structural Equation Model based on Partial Least Squares (SEM PLS) technique. This research qualitatively analyzes how the Micro Waqf Bank has carried out its role in empowering women, including dealing with crises due to the COVID-19 pandemic. Thematic analysis was used as the qualitative data analysis technique. Informants in this study amounted to 6 informants from MWB Mawaridussalam consisting of Management, Mentors, and female micro-enterprises. The research results quantitatively indicate that there is a positive and significant impact on the joint responsibility system, financing, and mentoring on the development of micro-enterprise members. Mentoring is the most significant variable that impacts the growth of a micro-enterprise business. Qualitatively, the research results show the role of the Micro Waqf Bank in the economic empowerment of women micro-business entrepreneurs by specifically recommending reinforcement of the mentoring function.","author":[{"dropping-particle":"","family":"Soemitra","given":"Andri","non-dropping-particle":"","parse-names":false,"suffix":""},{"dropping-particle":"","family":"Kusmilawaty","given":"","non-dropping-particle":"","parse-names":false,"suffix":""},{"dropping-particle":"","family":"Rahma","given":"Tri Inda Fadhila","non-dropping-particle":"","parse-names":false,"suffix":""}],"container-title":"Economies","id":"ITEM-1","issue":"7","issued":{"date-parts":[["2022","7","1"]]},"page":"157","title":"The Role of Micro Waqf Bank in Women’s Micro-Business Empowerment through Islamic Social Finance: Mixed-Method Evidence from Mawaridussalam Indonesia","type":"article-journal","volume":"10"},"uris":["http://www.mendeley.com/documents/?uuid=757867f4-6fab-434e-80cb-1876573f2fbd"]}],"mendeley":{"formattedCitation":"(Soemitra et al., 2022)","plainTextFormattedCitation":"(Soemitra et al., 2022)","previouslyFormattedCitation":"(Soemitra et al., 2022)"},"properties":{"noteIndex":0},"schema":"https://github.com/citation-style-language/schema/raw/master/csl-citation.json"}</w:instrText>
      </w:r>
      <w:r w:rsidR="00E3240E">
        <w:rPr>
          <w:rFonts w:ascii="Times New Roman" w:hAnsi="Times New Roman"/>
          <w:sz w:val="24"/>
          <w:szCs w:val="24"/>
        </w:rPr>
        <w:fldChar w:fldCharType="separate"/>
      </w:r>
      <w:r w:rsidR="00E3240E" w:rsidRPr="00E3240E">
        <w:rPr>
          <w:rFonts w:ascii="Times New Roman" w:hAnsi="Times New Roman"/>
          <w:noProof/>
          <w:sz w:val="24"/>
          <w:szCs w:val="24"/>
        </w:rPr>
        <w:t>(Soemitra et al., 2022)</w:t>
      </w:r>
      <w:r w:rsidR="00E3240E">
        <w:rPr>
          <w:rFonts w:ascii="Times New Roman" w:hAnsi="Times New Roman"/>
          <w:sz w:val="24"/>
          <w:szCs w:val="24"/>
        </w:rPr>
        <w:fldChar w:fldCharType="end"/>
      </w:r>
      <w:r w:rsidR="00E3240E">
        <w:rPr>
          <w:rFonts w:ascii="Times New Roman" w:hAnsi="Times New Roman" w:cs="Times New Roman"/>
          <w:sz w:val="24"/>
          <w:szCs w:val="24"/>
        </w:rPr>
        <w:t xml:space="preserve">. </w:t>
      </w:r>
      <w:r w:rsidR="00C611A5" w:rsidRPr="004E16EB">
        <w:rPr>
          <w:rFonts w:ascii="Times New Roman" w:hAnsi="Times New Roman"/>
          <w:sz w:val="24"/>
          <w:szCs w:val="24"/>
        </w:rPr>
        <w:t xml:space="preserve">The SMI market segment is women who do not have bank accounts or micro business actors who do not have access to financing from banks because they are considered unsuitable. This is because women are considered able to commit to discipline by attending WH meetings regularly. </w:t>
      </w:r>
      <w:r w:rsidRPr="009A2CF1">
        <w:rPr>
          <w:rFonts w:ascii="Times New Roman" w:hAnsi="Times New Roman"/>
          <w:sz w:val="24"/>
          <w:szCs w:val="24"/>
        </w:rPr>
        <w:t>They are additionally perceived as possessing superior capabilities in overseeing familial financial matters and commercial capital resources.</w:t>
      </w:r>
      <w:r>
        <w:rPr>
          <w:rFonts w:ascii="Times New Roman" w:hAnsi="Times New Roman"/>
          <w:sz w:val="24"/>
          <w:szCs w:val="24"/>
        </w:rPr>
        <w:t xml:space="preserve"> </w:t>
      </w:r>
      <w:r w:rsidR="00C611A5" w:rsidRPr="004E16EB">
        <w:rPr>
          <w:rFonts w:ascii="Times New Roman" w:hAnsi="Times New Roman"/>
          <w:sz w:val="24"/>
          <w:szCs w:val="24"/>
        </w:rPr>
        <w:t xml:space="preserve">Therefore, women can develop their businesses through financial assistance of only Rp 1,000,000. </w:t>
      </w:r>
      <w:r w:rsidR="00C611A5" w:rsidRPr="004E16EB">
        <w:rPr>
          <w:rFonts w:ascii="Times New Roman" w:hAnsi="Times New Roman" w:cs="Times New Roman"/>
          <w:sz w:val="24"/>
          <w:szCs w:val="24"/>
        </w:rPr>
        <w:fldChar w:fldCharType="begin" w:fldLock="1"/>
      </w:r>
      <w:r w:rsidR="00801B7E">
        <w:rPr>
          <w:rFonts w:ascii="Times New Roman" w:hAnsi="Times New Roman" w:cs="Times New Roman"/>
          <w:sz w:val="24"/>
          <w:szCs w:val="24"/>
        </w:rPr>
        <w:instrText>ADDIN CSL_CITATION {"citationItems":[{"id":"ITEM-1","itemData":{"DOI":"10.1108/IJSE-02-2016-0070/FULL/HTML","ISSN":"03068293","abstract":"Purpose - The purpose of this paper is to examine the effects of microcredit on women's empowerment in rural Bangladesh using the latest primary data. Design/methodology/approach - Primary data have been collected by a household survey in the four districts of Bangladesh. Logistic regression is used to estimate the odd of improving women empowerment after participating in microfinance. Findings - The results show positive impacts of microfinance on most of the selected indicators for women's empowerment. Research limitations/implications - Lack of control groups and baseline data are the main limitation of this research. Future research can address this issue by selecting institutions with baseline data or control groups. Practical implications - The findings of the study can help policy makers to adopt appropriate policies that integrate empowerment in development projects with women. Social implications - The results of this research could encourage more women to participate in microfinance activities and development projects. Originality/value - This research provides the most updated data from a primary survey in Bangladesh. The authors also mitigate the possible selection biases by using a fixed-effects estimator.","author":[{"dropping-particle":"","family":"Rahman","given":"Mohammad Mafizur","non-dropping-particle":"","parse-names":false,"suffix":""},{"dropping-particle":"","family":"Khanam","given":"Rasheda","non-dropping-particle":"","parse-names":false,"suffix":""},{"dropping-particle":"","family":"Nghiem","given":"Son","non-dropping-particle":"","parse-names":false,"suffix":""}],"container-title":"International Journal of Social Economics","id":"ITEM-1","issue":"12","issued":{"date-parts":[["2017"]]},"page":"1745-1757","publisher":"Emerald Group Publishing Ltd.","title":"The effects of microfinance on women's empowerment: New evidence from Bangladesh","type":"article-journal","volume":"44"},"uris":["http://www.mendeley.com/documents/?uuid=227025a1-e285-34fb-a484-d6a3421a5ebb","http://www.mendeley.com/documents/?uuid=5dbfd1bc-b59c-4f6b-82a3-3244980c57de"]}],"mendeley":{"formattedCitation":"(Rahman et al., 2017)","manualFormatting":"(Rahman et al., 2017)","plainTextFormattedCitation":"(Rahman et al., 2017)","previouslyFormattedCitation":"(Rahman et al., 2017)"},"properties":{"noteIndex":0},"schema":"https://github.com/citation-style-language/schema/raw/master/csl-citation.json"}</w:instrText>
      </w:r>
      <w:r w:rsidR="00C611A5" w:rsidRPr="004E16EB">
        <w:rPr>
          <w:rFonts w:ascii="Times New Roman" w:hAnsi="Times New Roman" w:cs="Times New Roman"/>
          <w:sz w:val="24"/>
          <w:szCs w:val="24"/>
        </w:rPr>
        <w:fldChar w:fldCharType="separate"/>
      </w:r>
      <w:r w:rsidR="00573487" w:rsidRPr="00573487">
        <w:rPr>
          <w:rFonts w:ascii="Times New Roman" w:hAnsi="Times New Roman" w:cs="Times New Roman"/>
          <w:noProof/>
          <w:sz w:val="24"/>
          <w:szCs w:val="24"/>
        </w:rPr>
        <w:t>(Rahman et al., 2017)</w:t>
      </w:r>
      <w:r w:rsidR="00C611A5" w:rsidRPr="004E16EB">
        <w:rPr>
          <w:rFonts w:ascii="Times New Roman" w:hAnsi="Times New Roman" w:cs="Times New Roman"/>
          <w:sz w:val="24"/>
          <w:szCs w:val="24"/>
        </w:rPr>
        <w:fldChar w:fldCharType="end"/>
      </w:r>
      <w:r w:rsidR="00C611A5" w:rsidRPr="004E16EB">
        <w:rPr>
          <w:rFonts w:ascii="Times New Roman" w:hAnsi="Times New Roman" w:cs="Times New Roman"/>
          <w:sz w:val="24"/>
          <w:szCs w:val="24"/>
        </w:rPr>
        <w:t xml:space="preserve"> states that </w:t>
      </w:r>
      <w:r w:rsidR="00C611A5" w:rsidRPr="004E16EB">
        <w:rPr>
          <w:rFonts w:ascii="Times New Roman" w:hAnsi="Times New Roman"/>
          <w:sz w:val="24"/>
          <w:szCs w:val="24"/>
        </w:rPr>
        <w:t>Microfinance programs target women because they have more problems getting credit. They have limited access to the labor market and higher loan repayment rates than men</w:t>
      </w:r>
      <w:r w:rsidR="00C611A5" w:rsidRPr="004E16EB">
        <w:rPr>
          <w:rFonts w:ascii="Times New Roman" w:hAnsi="Times New Roman" w:cs="Times New Roman"/>
          <w:sz w:val="24"/>
          <w:szCs w:val="24"/>
        </w:rPr>
        <w:t xml:space="preserve">. </w:t>
      </w:r>
    </w:p>
    <w:p w14:paraId="56EC8410" w14:textId="68D0A29B" w:rsidR="00C16EFA" w:rsidRPr="004E16EB" w:rsidRDefault="00C611A5" w:rsidP="009858D2">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The financing program provided by MWB to group-based customers is run by 15 to 25 people. According to </w:t>
      </w:r>
      <w:r w:rsidRPr="004E16EB">
        <w:rPr>
          <w:rFonts w:ascii="Times New Roman" w:hAnsi="Times New Roman" w:cs="Times New Roman"/>
          <w:sz w:val="24"/>
          <w:szCs w:val="24"/>
        </w:rPr>
        <w:fldChar w:fldCharType="begin" w:fldLock="1"/>
      </w:r>
      <w:r w:rsidR="00801B7E">
        <w:rPr>
          <w:rFonts w:ascii="Times New Roman" w:hAnsi="Times New Roman" w:cs="Times New Roman"/>
          <w:sz w:val="24"/>
          <w:szCs w:val="24"/>
        </w:rPr>
        <w:instrText>ADDIN CSL_CITATION {"citationItems":[{"id":"ITEM-1","itemData":{"abstract":"Women empowerment means to give freedom to women to make decisions of their own and make a better place for them in the society. Two important factors for women empowerment are education and entrepreneurship. A recent report by the World Bank says that, India can grow in double digits if more women participate in the product line of the Indian economy. Self determinations, expectation for recognition, self-esteem and career goal are the key drivers of women entrepreneurship. India can be a powerful nation only if we empower our women. According to Schumpeter \"women who innovate, imitate or adopt a business activity\" is called as women entrepreneur. The present study is descriptive in nature and is based on secondary data. This paper provides an insight into the problems or challenges faced by women entrepreneurs, measures for their development, categories and the essential ingredients of women entrepreneurship. The study found that,","author":[{"dropping-particle":"","family":"Ajja","given":"Shri Hurakadli","non-dropping-particle":"","parse-names":false,"suffix":""},{"dropping-particle":"","family":"Samiti'","given":"Shikshan","non-dropping-particle":"","parse-names":false,"suffix":""},{"dropping-particle":"","family":"Arts","given":"Smt K S Jigalur","non-dropping-particle":"","parse-names":false,"suffix":""},{"dropping-particle":"","family":"Sheshgiri","given":"S M","non-dropping-particle":"","parse-names":false,"suffix":""}],"container-title":"Jurnal Universitas Arsitektur &amp; Teknologi Xi'an","id":"ITEM-1","issue":"3","issued":{"date-parts":[["2020"]]},"page":"3843-3844","title":"Women Empowerment And Women Entrepreneurship: An Overview","type":"article-journal","volume":"12"},"uris":["http://www.mendeley.com/documents/?uuid=5884a31d-6cf3-4e48-8629-1b55795a80ec","http://www.mendeley.com/documents/?uuid=74a6e4b6-bb04-3a24-b257-bec4b4f6322b"]}],"mendeley":{"formattedCitation":"(Ajja et al., 2020)","manualFormatting":"(Ajja et al., 2020)","plainTextFormattedCitation":"(Ajja et al., 2020)","previouslyFormattedCitation":"(Ajja et al., 2020)"},"properties":{"noteIndex":0},"schema":"https://github.com/citation-style-language/schema/raw/master/csl-citation.json"}</w:instrText>
      </w:r>
      <w:r w:rsidRPr="004E16EB">
        <w:rPr>
          <w:rFonts w:ascii="Times New Roman" w:hAnsi="Times New Roman" w:cs="Times New Roman"/>
          <w:sz w:val="24"/>
          <w:szCs w:val="24"/>
        </w:rPr>
        <w:fldChar w:fldCharType="separate"/>
      </w:r>
      <w:r w:rsidR="00573487" w:rsidRPr="00573487">
        <w:rPr>
          <w:rFonts w:ascii="Times New Roman" w:hAnsi="Times New Roman" w:cs="Times New Roman"/>
          <w:noProof/>
          <w:sz w:val="24"/>
          <w:szCs w:val="24"/>
        </w:rPr>
        <w:t>(Ajja et al., 2020)</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Women's empowerment through entrepreneurship has become an integral part of development. Women's entrepreneurship is a business or organization started by a woman or a group of women. Self-help groups (SHGs) play a major role in developing rural Indian communities, whose members are predominantly women </w:t>
      </w:r>
      <w:r w:rsidRPr="004E16EB">
        <w:rPr>
          <w:rFonts w:ascii="Times New Roman" w:hAnsi="Times New Roman" w:cs="Times New Roman"/>
          <w:sz w:val="24"/>
          <w:szCs w:val="24"/>
        </w:rPr>
        <w:fldChar w:fldCharType="begin" w:fldLock="1"/>
      </w:r>
      <w:r w:rsidR="00801B7E">
        <w:rPr>
          <w:rFonts w:ascii="Times New Roman" w:hAnsi="Times New Roman" w:cs="Times New Roman"/>
          <w:sz w:val="24"/>
          <w:szCs w:val="24"/>
        </w:rPr>
        <w:instrText>ADDIN CSL_CITATION {"citationItems":[{"id":"ITEM-1","itemData":{"DOI":"10.1108/IJLMA-02-2020-0051/FULL/XML","ISSN":"17542448","abstract":"Purpose: This paper aims to explore the factors for self-help groups (SHGs) women empowerment in the state of Uttar Pradesh using the primary data. Design/methodology/approach: The primary data have been collected by a household survey in the four districts of Uttar Pradesh. Factor analysis is used to estimate the odd of improving women empowerment after participating in SHG. Findings: Factor analysis extracted four factors which were economic development, improvement in family matters, decision to use public amenities and political empowerment. Also, analysis of variance and t-test was used employing SPSS. The results, therefore, show that education has a significant impact on all the aspects of SHGs people. Practical implications: The findings of the study can help policymakers to adopt appropriate policies that integrate empowerment in development projects with women. Social implications: The results of this research could encourage more women to participate in SHG activities and development projects. Originality/value: This research provides the most updated data from a primary survey in the state of Uttar Pradesh.","author":[{"dropping-particle":"","family":"Aggarwal","given":"Shalini","non-dropping-particle":"","parse-names":false,"suffix":""},{"dropping-particle":"","family":"Kumar","given":"Praveen","non-dropping-particle":"","parse-names":false,"suffix":""},{"dropping-particle":"","family":"Garg","given":"Vikas","non-dropping-particle":"","parse-names":false,"suffix":""}],"container-title":"International Journal of Law and Management","id":"ITEM-1","issue":"6","issued":{"date-parts":[["2020","12"]]},"page":"591-606","publisher":"Emerald Group Holdings Ltd.","title":"Empowering SHGs Women through Micro-finance in Uttar Pradesh","type":"article-journal","volume":"62"},"uris":["http://www.mendeley.com/documents/?uuid=04ba3fda-fbd9-4840-8174-017c229e95e3","http://www.mendeley.com/documents/?uuid=84c7a046-1940-301f-8763-b52394cdc3a2"]}],"mendeley":{"formattedCitation":"(Aggarwal et al., 2020)","manualFormatting":"(Aggarwal et al., 2020)","plainTextFormattedCitation":"(Aggarwal et al., 2020)","previouslyFormattedCitation":"(Aggarwal et al., 2020)"},"properties":{"noteIndex":0},"schema":"https://github.com/citation-style-language/schema/raw/master/csl-citation.json"}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(Aggarwal et al., 2020)</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009A2CF1" w:rsidRPr="009A2CF1">
        <w:rPr>
          <w:rFonts w:ascii="Times New Roman" w:hAnsi="Times New Roman"/>
          <w:spacing w:val="5"/>
          <w:sz w:val="24"/>
          <w:szCs w:val="24"/>
        </w:rPr>
        <w:t>This empowerment initiative is executed by alumni of the Doctor of Philosophy program at Vanderbilt University, located in Tennessee, United States. The alumni established Grameen Bank by offering group-oriented microfinance solutions to economically disadvantaged individuals with unsecured enterprises. The recipient of the Nobel Peace Prize in 2006 has structured the application process such that each prospective borrower assembles a cohort of five individuals. Members of the group are prohibited from accessing credit in an alternating manner; instead, other participants may only extend credit when the initially borrowing member has demonstrated reliability and integrity in fulfilling repayment obligations</w:t>
      </w:r>
      <w:r w:rsidR="009A2CF1" w:rsidRPr="009A2CF1">
        <w:rPr>
          <w:rFonts w:ascii="Times New Roman" w:hAnsi="Times New Roman"/>
          <w:spacing w:val="5"/>
          <w:sz w:val="24"/>
          <w:szCs w:val="24"/>
        </w:rPr>
        <w:t xml:space="preserve"> </w:t>
      </w:r>
      <w:r w:rsidRPr="004E16EB">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{"citationItems":[{"id":"ITEM-1","itemData":{"abstract":"ARTICLE INFO ABSTRACT The growing attention has been given for rural development during past two decades in most of the developing countries over the world. problems of poverty, inequality, unemployment etc. are increasing rapidly. Like other developing countries, Government of Bangladesh has given priority to the development of rural peoples. Besid Government, non developmental activities. However, Grameen bank, a leading microcredit organization, that provides micro loan to the poor women for self have become the subject to talk in home and abroad from last few years. This paper aims to figure out the microcredit and rural development issues through the opinion of rural people based on the Grameen bank and Dr. Muhammod Yunus d Copyright©2016, Md. Ashraful Islam Khan. This is an open access article distributed under the Creative Commons Att unrestricted use, distribution, and reproduction in any medium, provided the original work is properly cited.","author":[{"dropping-particle":"","family":"Ashraful","given":"Md","non-dropping-particle":"","parse-names":false,"suffix":""},{"dropping-particle":"","family":"Khan","given":"Islam","non-dropping-particle":"","parse-names":false,"suffix":""}],"container-title":"Article in International Journal of Current Research","id":"ITEM-1","issued":{"date-parts":[["2016"]]},"title":"MICROCREDIT AND GRAMEEN BANK: A VIEW FROM THE GRASSROOTS","type":"report"},"uris":["http://www.mendeley.com/documents/?uuid=4ff139dd-977c-3798-a5f4-911dc0885283","http://www.mendeley.com/documents/?uuid=8ec95a2c-7e95-4b18-9fa4-bfa2410ea84a"]}],"mendeley":{"formattedCitation":"(Ashraful &amp; Khan, 2016)","plainTextFormattedCitation":"(Ashraful &amp; Khan, 2016)","previouslyFormattedCitation":"(Ashraful &amp; Khan, 2016)"},"properties":{"noteIndex":0},"schema":"https://github.com/citation-style-language/schema/raw/master/csl-citation.json"}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(Ashraful &amp; Khan, 2016)</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p>
    <w:p w14:paraId="0E39A7EF" w14:textId="2917D020" w:rsidR="00C16EFA" w:rsidRPr="004E16EB" w:rsidRDefault="009A2CF1" w:rsidP="009858D2">
      <w:pPr>
        <w:pStyle w:val="ListParagraph"/>
        <w:widowControl w:val="0"/>
        <w:spacing w:after="0" w:line="240" w:lineRule="auto"/>
        <w:ind w:left="0" w:firstLine="720"/>
        <w:jc w:val="both"/>
        <w:rPr>
          <w:rFonts w:ascii="Times New Roman" w:hAnsi="Times New Roman" w:cs="Times New Roman"/>
          <w:sz w:val="24"/>
          <w:szCs w:val="24"/>
          <w:lang w:val="id-ID"/>
        </w:rPr>
      </w:pPr>
      <w:r w:rsidRPr="009A2CF1">
        <w:rPr>
          <w:rFonts w:ascii="Times New Roman" w:hAnsi="Times New Roman"/>
          <w:sz w:val="24"/>
          <w:szCs w:val="24"/>
        </w:rPr>
        <w:lastRenderedPageBreak/>
        <w:t xml:space="preserve">In the context of micro and small enterprises (MWB), funding mechanisms are predicated on collective participation, necessitating a framework of shared accountability referred to as </w:t>
      </w:r>
      <w:r w:rsidRPr="009A2CF1">
        <w:rPr>
          <w:rFonts w:ascii="Times New Roman" w:hAnsi="Times New Roman"/>
          <w:i/>
          <w:iCs/>
          <w:sz w:val="24"/>
          <w:szCs w:val="24"/>
        </w:rPr>
        <w:t>Kafalah</w:t>
      </w:r>
      <w:r w:rsidRPr="009A2CF1">
        <w:rPr>
          <w:rFonts w:ascii="Times New Roman" w:hAnsi="Times New Roman"/>
          <w:sz w:val="24"/>
          <w:szCs w:val="24"/>
        </w:rPr>
        <w:t xml:space="preserve"> within the domain of Islamic finance.</w:t>
      </w:r>
      <w:r w:rsidRPr="009A2CF1">
        <w:rPr>
          <w:rFonts w:ascii="Times New Roman" w:hAnsi="Times New Roman"/>
          <w:sz w:val="24"/>
          <w:szCs w:val="24"/>
        </w:rPr>
        <w:t xml:space="preserve"> </w:t>
      </w:r>
      <w:r w:rsidR="00C611A5" w:rsidRPr="004E16EB">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{"citationItems":[{"id":"ITEM-1","itemData":{"author":[{"dropping-particle":"","family":"Rozalinda","given":"","non-dropping-particle":"","parse-names":false,"suffix":""}],"edition":"1","id":"ITEM-1","issued":{"date-parts":[["2019"]]},"number-of-pages":"230","publisher":"Raja Grafindo Persada","publisher-place":"Jakarta","title":"Fiqh Ekonomi Syariah Prinsip Dan Implementasinya Pada Sektor Keuangan Syariah","type":"book"},"uris":["http://www.mendeley.com/documents/?uuid=c7d4316f-3f3f-4d34-989c-ca54da39c8fb","http://www.mendeley.com/documents/?uuid=467c69fe-eea0-4a5c-af55-62d3efc95fb3"]}],"mendeley":{"formattedCitation":"(Rozalinda, 2019)","plainTextFormattedCitation":"(Rozalinda, 2019)","previouslyFormattedCitation":"(Rozalinda, 2019)"},"properties":{"noteIndex":0},"schema":"https://github.com/citation-style-language/schema/raw/master/csl-citation.json"}</w:instrText>
      </w:r>
      <w:r w:rsidR="00C611A5" w:rsidRPr="004E16EB">
        <w:rPr>
          <w:rFonts w:ascii="Times New Roman" w:hAnsi="Times New Roman" w:cs="Times New Roman"/>
          <w:sz w:val="24"/>
          <w:szCs w:val="24"/>
        </w:rPr>
        <w:fldChar w:fldCharType="separate"/>
      </w:r>
      <w:r w:rsidR="00573487" w:rsidRPr="00573487">
        <w:rPr>
          <w:rFonts w:ascii="Times New Roman" w:hAnsi="Times New Roman" w:cs="Times New Roman"/>
          <w:noProof/>
          <w:sz w:val="24"/>
          <w:szCs w:val="24"/>
        </w:rPr>
        <w:t>(Rozalinda, 2019)</w:t>
      </w:r>
      <w:r w:rsidR="00C611A5" w:rsidRPr="004E16EB">
        <w:rPr>
          <w:rFonts w:ascii="Times New Roman" w:hAnsi="Times New Roman" w:cs="Times New Roman"/>
          <w:sz w:val="24"/>
          <w:szCs w:val="24"/>
        </w:rPr>
        <w:fldChar w:fldCharType="end"/>
      </w:r>
      <w:r w:rsidR="00C611A5" w:rsidRPr="004E16EB">
        <w:rPr>
          <w:rFonts w:ascii="Times New Roman" w:hAnsi="Times New Roman" w:cs="Times New Roman"/>
          <w:sz w:val="24"/>
          <w:szCs w:val="24"/>
        </w:rPr>
        <w:t xml:space="preserve">. </w:t>
      </w:r>
      <w:r w:rsidR="00C611A5" w:rsidRPr="004E16EB">
        <w:rPr>
          <w:rFonts w:ascii="Times New Roman" w:hAnsi="Times New Roman"/>
          <w:sz w:val="24"/>
          <w:szCs w:val="24"/>
        </w:rPr>
        <w:t xml:space="preserve">Members are responsible for each other's arrears of financing installments. When a member is unable to pay the installments, the co-worker covers the arrears to ensure that the financing installments to MWB remain smooth. Group-based loans can significantly reduce financing risk </w:t>
      </w:r>
      <w:r w:rsidR="007D07FE">
        <w:rPr>
          <w:rFonts w:ascii="Times New Roman" w:hAnsi="Times New Roman" w:cs="Times New Roman"/>
          <w:sz w:val="24"/>
          <w:szCs w:val="24"/>
        </w:rPr>
        <w:fldChar w:fldCharType="begin" w:fldLock="1"/>
      </w:r>
      <w:r w:rsidR="00801B7E">
        <w:rPr>
          <w:rFonts w:ascii="Times New Roman" w:hAnsi="Times New Roman" w:cs="Times New Roman"/>
          <w:sz w:val="24"/>
          <w:szCs w:val="24"/>
        </w:rPr>
        <w:instrText>ADDIN CSL_CITATION {"citationItems":[{"id":"ITEM-1","itemData":{"DOI":"10.1016/J.MEX.2022.101749","ISSN":"2215-0161","abstract":"World researchers have studied various phenomena of loans provided through financial institutions, including a loan strategy with Group Loans. Group Loans are money loans made by a group of people to a microfinance institution. Based on a case study in Nganjuk, East Java, Indonesia, we investigated the phenomena of Group Loans. Group Loans customers in the community are primarily women, and they are generally housewives without having a fixed income unless they receive a stipend from their husbands. Group Loan facilities are provided for women's empowerment, primarily to support productive activities. Unfortunately, these group loans potentially experience problems, especially interms of loan payments. Group members who are not paying debts, wasting money, and borrowing from numerous financial institutions to pay off prior obligations have all been recognised as issues. This study examined methods to anticipate and minimize the risk of Group Loans through the implementation of women's empowerment activities. The proposed method in this study is deemed effective to assist women in avoiding debt owing to Group Loans. This study is expected to be one of the solutions to enhancing women's roles, particularly in minimising the risk of debt through productive activities. • Discussion of methods to examine the phenomena and problems of Group Loans. • Discussion of approach methods to credit agency customers who borrow money in groups. • Methods of exercising women's empowerment in anticipation of Group Loans.","author":[{"dropping-particle":"","family":"Prastyaningtyas","given":"Efa Wahyu","non-dropping-particle":"","parse-names":false,"suffix":""},{"dropping-particle":"","family":"Widjaja","given":"Sri Umi Mintarti","non-dropping-particle":"","parse-names":false,"suffix":""},{"dropping-particle":"","family":"Wahyono","given":"Hari","non-dropping-particle":"","parse-names":false,"suffix":""},{"dropping-particle":"","family":"Andayani","given":"Endang Sri","non-dropping-particle":"","parse-names":false,"suffix":""},{"dropping-particle":"","family":"Rusdi","given":"Jack Febrian","non-dropping-particle":"","parse-names":false,"suffix":""}],"container-title":"MethodsX","id":"ITEM-1","issued":{"date-parts":[["2022","1"]]},"page":"101749","publisher":"Elsevier","title":"Methods for studying group loans, join responsibility, and women's empowerment","type":"article-journal","volume":"9"},"uris":["http://www.mendeley.com/documents/?uuid=45f93630-453b-39c0-8d96-9f3bdbeac00d","http://www.mendeley.com/documents/?uuid=373f5cc2-cf2b-48e5-b56f-87f6a9e08a7d"]},{"id":"ITEM-2","itemData":{"DOI":"10.35719/JIEP.V3I1.41","abstract":"This study analyzes the impact of the consistent implementation of a joint liability system in cooperative life. This research uses descriptive qualitative research methods using in- depth interview techniques which are then carried out by open coding to find patterns and theories related to the results of the interviews. As said by Miles &amp; Huberman (1992: 19) there are three stages that must be done in analyzing qualitative research data, namely (1) data reduction; (2) exposure data (data display); and (3) drawing conclusions and verification (conclusion drawing / verifying). The results of the analysis of this study that have been carried out, explain that cooperative members who implement and obey the rules that exist in joint liability cooperatives unconsciously have an impact on their behavior changes, they have discipline and a high sense of solidarity towards other members.","author":[{"dropping-particle":"","family":"Iwang Suwangsih","given":"","non-dropping-particle":"","parse-names":false,"suffix":""},{"dropping-particle":"","family":"Nuzulul Fatimah","given":"","non-dropping-particle":"","parse-names":false,"suffix":""},{"dropping-particle":"","family":"Noneng Rukayah Sukatmadiredja","given":"","non-dropping-particle":"","parse-names":false,"suffix":""},{"dropping-particle":"","family":"Emmywati","given":"","non-dropping-particle":"","parse-names":false,"suffix":""}],"container-title":"Journal of Islamic Economics Perspectives","id":"ITEM-2","issue":"1","issued":{"date-parts":[["2021","2"]]},"page":"88-100","publisher":"IAIN Jember","title":"THE IMPACT OF IMPLEMENTATION OF A JOINT LIABILITY SYSTEM ON MEMBER BEHAVIOR","type":"article-journal","volume":"3"},"uris":["http://www.mendeley.com/documents/?uuid=ab0b847b-681d-3fa8-9b3f-f62880ae35c3","http://www.mendeley.com/documents/?uuid=94a8fbc3-d2fc-4907-b708-12edc1831bf1"]}],"mendeley":{"formattedCitation":"(Iwang Suwangsih et al., 2021; Prastyaningtyas et al., 2022)","manualFormatting":"(Iwang Suwangsih et al., 2021; Prastyaningtyas et al., 2022)","plainTextFormattedCitation":"(Iwang Suwangsih et al., 2021; Prastyaningtyas et al., 2022)","previouslyFormattedCitation":"(Iwang Suwangsih et al., 2021; Prastyaningtyas et al., 2022)"},"properties":{"noteIndex":0},"schema":"https://github.com/citation-style-language/schema/raw/master/csl-citation.json"}</w:instrText>
      </w:r>
      <w:r w:rsidR="007D07FE">
        <w:rPr>
          <w:rFonts w:ascii="Times New Roman" w:hAnsi="Times New Roman" w:cs="Times New Roman"/>
          <w:sz w:val="24"/>
          <w:szCs w:val="24"/>
        </w:rPr>
        <w:fldChar w:fldCharType="separate"/>
      </w:r>
      <w:r w:rsidR="007D07FE" w:rsidRPr="007D07FE">
        <w:rPr>
          <w:rFonts w:ascii="Times New Roman" w:hAnsi="Times New Roman" w:cs="Times New Roman"/>
          <w:noProof/>
          <w:sz w:val="24"/>
          <w:szCs w:val="24"/>
        </w:rPr>
        <w:t>(Iwang Suwangsih et al., 2021; Prastyaningtyas et al., 2022)</w:t>
      </w:r>
      <w:r w:rsidR="007D07FE">
        <w:rPr>
          <w:rFonts w:ascii="Times New Roman" w:hAnsi="Times New Roman" w:cs="Times New Roman"/>
          <w:sz w:val="24"/>
          <w:szCs w:val="24"/>
        </w:rPr>
        <w:fldChar w:fldCharType="end"/>
      </w:r>
      <w:r w:rsidR="00E32C7A">
        <w:rPr>
          <w:rFonts w:ascii="Times New Roman" w:hAnsi="Times New Roman"/>
          <w:sz w:val="24"/>
        </w:rPr>
        <w:t>.</w:t>
      </w:r>
      <w:r w:rsidR="00C611A5" w:rsidRPr="004E16EB">
        <w:rPr>
          <w:rFonts w:ascii="Times New Roman" w:hAnsi="Times New Roman"/>
          <w:sz w:val="24"/>
        </w:rPr>
        <w:t xml:space="preserve"> </w:t>
      </w:r>
      <w:r w:rsidR="00E32C7A" w:rsidRPr="00E32C7A">
        <w:rPr>
          <w:rFonts w:ascii="Times New Roman" w:hAnsi="Times New Roman"/>
          <w:spacing w:val="5"/>
          <w:sz w:val="24"/>
          <w:szCs w:val="24"/>
        </w:rPr>
        <w:t>Muhammad Yunus additionally instituted a collective accountability framework within the Mit Ghramr bank empowerment initiative. Under this framework, members of the group collaboratively contribute installments for colleagues facing financial challenges.</w:t>
      </w:r>
      <w:r w:rsidR="00C611A5" w:rsidRPr="004E16EB">
        <w:rPr>
          <w:rFonts w:ascii="Times New Roman" w:hAnsi="Times New Roman"/>
          <w:spacing w:val="5"/>
          <w:sz w:val="24"/>
          <w:szCs w:val="24"/>
        </w:rPr>
        <w:t xml:space="preserve"> </w:t>
      </w:r>
      <w:r w:rsidR="00C611A5" w:rsidRPr="004E16EB">
        <w:rPr>
          <w:rFonts w:ascii="Times New Roman" w:hAnsi="Times New Roman" w:cs="Times New Roman"/>
          <w:spacing w:val="5"/>
          <w:sz w:val="24"/>
          <w:szCs w:val="24"/>
        </w:rPr>
        <w:fldChar w:fldCharType="begin" w:fldLock="1"/>
      </w:r>
      <w:r w:rsidR="00192A4F">
        <w:rPr>
          <w:rFonts w:ascii="Times New Roman" w:hAnsi="Times New Roman" w:cs="Times New Roman"/>
          <w:spacing w:val="5"/>
          <w:sz w:val="24"/>
          <w:szCs w:val="24"/>
        </w:rPr>
        <w:instrText>ADDIN CSL_CITATION {"citationItems":[{"id":"ITEM-1","itemData":{"author":[{"dropping-particle":"","family":"Yunus","given":"Muhammad","non-dropping-particle":"","parse-names":false,"suffix":""}],"container-title":"Global Urban Development","id":"ITEM-1","issued":{"date-parts":[["2005"]]},"title":"ELIMINATING POVERTY THROUGH MARKET-BASED SOCIAL ENTREPRENEURSHIP","type":"report","volume":"1"},"uris":["http://www.mendeley.com/documents/?uuid=62c61695-6023-3930-b880-687d08a20fc6","http://www.mendeley.com/documents/?uuid=35458598-f914-4992-8e04-746f43f861f1"]}],"mendeley":{"formattedCitation":"(Yunus, 2005)","plainTextFormattedCitation":"(Yunus, 2005)","previouslyFormattedCitation":"(Yunus, 2005)"},"properties":{"noteIndex":0},"schema":"https://github.com/citation-style-language/schema/raw/master/csl-citation.json"}</w:instrText>
      </w:r>
      <w:r w:rsidR="00C611A5" w:rsidRPr="004E16EB">
        <w:rPr>
          <w:rFonts w:ascii="Times New Roman" w:hAnsi="Times New Roman" w:cs="Times New Roman"/>
          <w:spacing w:val="5"/>
          <w:sz w:val="24"/>
          <w:szCs w:val="24"/>
        </w:rPr>
        <w:fldChar w:fldCharType="separate"/>
      </w:r>
      <w:r w:rsidR="00207A78" w:rsidRPr="00207A78">
        <w:rPr>
          <w:rFonts w:ascii="Times New Roman" w:hAnsi="Times New Roman" w:cs="Times New Roman"/>
          <w:noProof/>
          <w:spacing w:val="5"/>
          <w:sz w:val="24"/>
          <w:szCs w:val="24"/>
        </w:rPr>
        <w:t>(Yunus, 2005)</w:t>
      </w:r>
      <w:r w:rsidR="00C611A5" w:rsidRPr="004E16EB">
        <w:rPr>
          <w:rFonts w:ascii="Times New Roman" w:hAnsi="Times New Roman" w:cs="Times New Roman"/>
          <w:spacing w:val="5"/>
          <w:sz w:val="24"/>
          <w:szCs w:val="24"/>
        </w:rPr>
        <w:fldChar w:fldCharType="end"/>
      </w:r>
      <w:r w:rsidR="00C611A5" w:rsidRPr="004E16EB">
        <w:rPr>
          <w:rFonts w:ascii="Times New Roman" w:hAnsi="Times New Roman" w:cs="Times New Roman"/>
          <w:spacing w:val="5"/>
          <w:sz w:val="24"/>
          <w:szCs w:val="24"/>
        </w:rPr>
        <w:t xml:space="preserve">. </w:t>
      </w:r>
      <w:r w:rsidR="00E32C7A" w:rsidRPr="00573487">
        <w:rPr>
          <w:rFonts w:ascii="Times New Roman" w:hAnsi="Times New Roman" w:cs="Times New Roman"/>
          <w:noProof/>
          <w:sz w:val="24"/>
          <w:szCs w:val="24"/>
        </w:rPr>
        <w:t>Hasiba et al</w:t>
      </w:r>
      <w:r w:rsidR="00E32C7A" w:rsidRPr="004E16EB">
        <w:rPr>
          <w:rFonts w:ascii="Times New Roman" w:hAnsi="Times New Roman" w:cs="Times New Roman"/>
          <w:sz w:val="24"/>
          <w:szCs w:val="24"/>
        </w:rPr>
        <w:t xml:space="preserve"> </w:t>
      </w:r>
      <w:r w:rsidR="00C611A5" w:rsidRPr="004E16EB">
        <w:rPr>
          <w:rFonts w:ascii="Times New Roman" w:hAnsi="Times New Roman" w:cs="Times New Roman"/>
          <w:sz w:val="24"/>
          <w:szCs w:val="24"/>
        </w:rPr>
        <w:fldChar w:fldCharType="begin" w:fldLock="1"/>
      </w:r>
      <w:r w:rsidR="00E32C7A">
        <w:rPr>
          <w:rFonts w:ascii="Times New Roman" w:hAnsi="Times New Roman" w:cs="Times New Roman"/>
          <w:sz w:val="24"/>
          <w:szCs w:val="24"/>
        </w:rPr>
        <w:instrText>ADDIN CSL_CITATION {"citationItems":[{"id":"ITEM-1","itemData":{"DOI":"10.48047/rigeo.11.04.24","ISSN":"2146-0353","abstract":"Micro Waqf Bank (BWM) is an Islamic microfinance institution which aims to empower the poor and whose development strategies in Indonesia are examined in this study. To keep empowering the poor, BWM should survive and sustain. This study discovers the main strategies for developing BWM in Indonesia, so that it will survive and sustain. This study employed SWOT analysis which resulted in SWOT matrix and several alternative strategies (SO, ST, WO, and WT strategies). This study also applied ANP to determine the main strategies for developing BWM. Data were obtained from observation, interviews, and literature review. Interviews were conducted with practitioners, experts, regulators, and academics. Among the six alternative strategies for developing BWM in Indonesia, the most crucial is dissemination and education on BWM to the general public. This study is limited to BWM and does not include cash waqf. Nowadays, BWM is the microfinance institution Financial Services Authority (OJK) promotes and becomes the most important instrument in the financial institution sector. Therefore, BWM deserves a closer empirical study. Besides, the bank has the potential to create jobs in the future. The combinations of alternative strategies aide the regulators and managers to decide the best strategies and influential factors for developing BWM in Indonesia.","author":[{"dropping-particle":"","family":"Hasiba","given":"Fatin Fadhillah","non-dropping-particle":"","parse-names":false,"suffix":""},{"dropping-particle":"","family":"Mahmudah","given":"Siti Nur","non-dropping-particle":"","parse-names":false,"suffix":""},{"dropping-particle":"","family":"Puji Sucia Sukmaningrum, Shochrul Rohmatul Ajija","given":"M Bastomi Fahri Zusak","non-dropping-particle":"","parse-names":false,"suffix":""}],"container-title":"rigeo.org","id":"ITEM-1","issue":"4","issued":{"date-parts":[["2021"]]},"page":"2021","title":"The Strategies for Developing Micro Waqf Bank in Indonesia","type":"article-journal","volume":"11"},"uris":["http://www.mendeley.com/documents/?uuid=6e87f713-3299-4acf-a806-b2a40b981f54","http://www.mendeley.com/documents/?uuid=b8a1f9d2-97f7-3473-a22b-e1a8de5f7800"]}],"mendeley":{"formattedCitation":"(Hasiba et al., 2021)","manualFormatting":"(2021)","plainTextFormattedCitation":"(Hasiba et al., 2021)","previouslyFormattedCitation":"(Hasiba et al., 2021)"},"properties":{"noteIndex":0},"schema":"https://github.com/citation-style-language/schema/raw/master/csl-citation.json"}</w:instrText>
      </w:r>
      <w:r w:rsidR="00C611A5" w:rsidRPr="004E16EB">
        <w:rPr>
          <w:rFonts w:ascii="Times New Roman" w:hAnsi="Times New Roman" w:cs="Times New Roman"/>
          <w:sz w:val="24"/>
          <w:szCs w:val="24"/>
        </w:rPr>
        <w:fldChar w:fldCharType="separate"/>
      </w:r>
      <w:r w:rsidR="00573487" w:rsidRPr="00573487">
        <w:rPr>
          <w:rFonts w:ascii="Times New Roman" w:hAnsi="Times New Roman" w:cs="Times New Roman"/>
          <w:noProof/>
          <w:sz w:val="24"/>
          <w:szCs w:val="24"/>
        </w:rPr>
        <w:t>(2021)</w:t>
      </w:r>
      <w:r w:rsidR="00C611A5" w:rsidRPr="004E16EB">
        <w:rPr>
          <w:rFonts w:ascii="Times New Roman" w:hAnsi="Times New Roman" w:cs="Times New Roman"/>
          <w:sz w:val="24"/>
          <w:szCs w:val="24"/>
        </w:rPr>
        <w:fldChar w:fldCharType="end"/>
      </w:r>
      <w:r w:rsidR="00C611A5" w:rsidRPr="004E16EB">
        <w:rPr>
          <w:rFonts w:ascii="Times New Roman" w:hAnsi="Times New Roman" w:cs="Times New Roman"/>
          <w:sz w:val="24"/>
          <w:szCs w:val="24"/>
        </w:rPr>
        <w:t xml:space="preserve"> </w:t>
      </w:r>
      <w:r w:rsidR="00E32C7A" w:rsidRPr="00E32C7A">
        <w:rPr>
          <w:rFonts w:ascii="Times New Roman" w:hAnsi="Times New Roman"/>
          <w:sz w:val="24"/>
          <w:szCs w:val="24"/>
        </w:rPr>
        <w:t>the model has been observed to have a profound influence on poverty reduction in Bangladesh, wherein financial assistance is extended to economically disadvantaged individuals based on trust rather than collateral or a guarantor. Individuals intending to obtain a loan from Grameen Bank are required to participate in a collective of microfinance borrowers.</w:t>
      </w:r>
      <w:r w:rsidR="00E32C7A">
        <w:rPr>
          <w:rFonts w:ascii="Times New Roman" w:hAnsi="Times New Roman"/>
          <w:sz w:val="24"/>
          <w:szCs w:val="24"/>
        </w:rPr>
        <w:t xml:space="preserve"> </w:t>
      </w:r>
      <w:r w:rsidR="00C611A5" w:rsidRPr="004E16EB">
        <w:rPr>
          <w:rFonts w:ascii="Times New Roman" w:hAnsi="Times New Roman"/>
          <w:sz w:val="24"/>
          <w:szCs w:val="24"/>
        </w:rPr>
        <w:t xml:space="preserve">Grameen Bank's model has been replicated and modified in many Sharia microfinance programs in Indonesia, including Sharia microfinance </w:t>
      </w:r>
      <w:r w:rsidR="00C611A5" w:rsidRPr="004E16EB">
        <w:rPr>
          <w:rFonts w:ascii="Times New Roman" w:hAnsi="Times New Roman"/>
          <w:i/>
          <w:iCs/>
          <w:sz w:val="24"/>
          <w:szCs w:val="24"/>
        </w:rPr>
        <w:t xml:space="preserve">Waqf </w:t>
      </w:r>
      <w:r w:rsidR="00C611A5" w:rsidRPr="004E16EB">
        <w:rPr>
          <w:rFonts w:ascii="Times New Roman" w:hAnsi="Times New Roman"/>
          <w:sz w:val="24"/>
          <w:szCs w:val="24"/>
        </w:rPr>
        <w:t xml:space="preserve">Bank. Most Sharia microfinance is designed as ultra-micro financing as achieved by </w:t>
      </w:r>
      <w:r w:rsidR="00C611A5" w:rsidRPr="004E16EB">
        <w:rPr>
          <w:rFonts w:ascii="Times New Roman" w:hAnsi="Times New Roman"/>
          <w:i/>
          <w:sz w:val="24"/>
          <w:szCs w:val="24"/>
        </w:rPr>
        <w:t>Permodalna Nasional Madani</w:t>
      </w:r>
      <w:r w:rsidR="00C611A5" w:rsidRPr="004E16EB">
        <w:rPr>
          <w:rFonts w:ascii="Times New Roman" w:hAnsi="Times New Roman"/>
          <w:sz w:val="24"/>
          <w:szCs w:val="24"/>
        </w:rPr>
        <w:t xml:space="preserve"> (PNM) since 2015 </w:t>
      </w:r>
      <w:r w:rsidR="00C611A5" w:rsidRPr="004E16EB">
        <w:rPr>
          <w:rFonts w:ascii="Times New Roman" w:hAnsi="Times New Roman" w:cs="Times New Roman"/>
          <w:sz w:val="24"/>
          <w:szCs w:val="24"/>
        </w:rPr>
        <w:fldChar w:fldCharType="begin" w:fldLock="1"/>
      </w:r>
      <w:r w:rsidR="00801B7E">
        <w:rPr>
          <w:rFonts w:ascii="Times New Roman" w:hAnsi="Times New Roman" w:cs="Times New Roman"/>
          <w:sz w:val="24"/>
          <w:szCs w:val="24"/>
        </w:rPr>
        <w:instrText>ADDIN CSL_CITATION {"citationItems":[{"id":"ITEM-1","itemData":{"ISSN":"2623-0402","abstract":"The community requires financial literacy to manage finances in order to accomplish optimal goals and to make decisions about how to use financial institutions. A descriptive qualitative approach is used in this study, using a sample of 7 informants interviewed. Data is gathered through interviews, observations, and documentation. The credibility technique is used in the data validity technique.  Internal validity (internal validity), exterior validity (external validity), dependability (reliability), and trustworthiness (objectivity). According to the findings of this study, the degree of Islamic education in the United States is at an all-time high. The fishing community in Dusun Kuala Jaya still has a poor level of financial literacy. In the meantime, the level of Islamic financial inclusion in the fishing community in the United States has increased. Dusun Kuala Jaya is a fantastic restaurant. Account ownership and saving are indicators of this. and traditional financial entities' financing","author":[{"dropping-particle":"","family":"Musta'anah","given":"Ana","non-dropping-particle":"","parse-names":false,"suffix":""},{"dropping-particle":"","family":"Bina Buono","given":"Kulup","non-dropping-particle":"","parse-names":false,"suffix":""},{"dropping-particle":"","family":"Atika","given":"Ria","non-dropping-particle":"","parse-names":false,"suffix":""},{"dropping-particle":"","family":"Noviarita","given":"Heni","non-dropping-particle":"","parse-names":false,"suffix":""},{"dropping-particle":"","family":"Islam","given":"Universitas","non-dropping-particle":"","parse-names":false,"suffix":""},{"dropping-particle":"","family":"Raden","given":"Negeri","non-dropping-particle":"","parse-names":false,"suffix":""},{"dropping-particle":"","family":"Lampung","given":"Intan","non-dropping-particle":"","parse-names":false,"suffix":""}],"container-title":"Journal of Islamic Business and Economic Review","id":"ITEM-1","issue":"2","issued":{"date-parts":[["2021","7"]]},"page":"97-101","title":"Analysis of Sharia Literacy Level and Sharia Financial Inclusion PNM Mekaar Sharia in Increasing Income Public (Study on the Fishing Community of Kuala Jaya Hamlet, South Lampung Regency)","type":"article-journal","volume":"4"},"uris":["http://www.mendeley.com/documents/?uuid=59f3b27e-f931-3ef6-b3c4-ce70805d6224","http://www.mendeley.com/documents/?uuid=de77eb78-ee6a-4e61-88c9-e0c04aba1fd4"]}],"mendeley":{"formattedCitation":"(Musta’anah et al., 2021)","manualFormatting":"(Musta'anah et al., 2021)","plainTextFormattedCitation":"(Musta’anah et al., 2021)","previouslyFormattedCitation":"(Musta’anah et al., 2021)"},"properties":{"noteIndex":0},"schema":"https://github.com/citation-style-language/schema/raw/master/csl-citation.json"}</w:instrText>
      </w:r>
      <w:r w:rsidR="00C611A5" w:rsidRPr="004E16EB">
        <w:rPr>
          <w:rFonts w:ascii="Times New Roman" w:hAnsi="Times New Roman" w:cs="Times New Roman"/>
          <w:sz w:val="24"/>
          <w:szCs w:val="24"/>
        </w:rPr>
        <w:fldChar w:fldCharType="separate"/>
      </w:r>
      <w:r w:rsidR="00C611A5" w:rsidRPr="004E16EB">
        <w:rPr>
          <w:rFonts w:ascii="Times New Roman" w:hAnsi="Times New Roman" w:cs="Times New Roman"/>
          <w:noProof/>
          <w:sz w:val="24"/>
          <w:szCs w:val="24"/>
        </w:rPr>
        <w:t>(Musta'anah et al., 2021)</w:t>
      </w:r>
      <w:r w:rsidR="00C611A5" w:rsidRPr="004E16EB">
        <w:rPr>
          <w:rFonts w:ascii="Times New Roman" w:hAnsi="Times New Roman" w:cs="Times New Roman"/>
          <w:sz w:val="24"/>
          <w:szCs w:val="24"/>
        </w:rPr>
        <w:fldChar w:fldCharType="end"/>
      </w:r>
      <w:r w:rsidR="00C611A5" w:rsidRPr="004E16EB">
        <w:rPr>
          <w:rFonts w:ascii="Times New Roman" w:hAnsi="Times New Roman" w:cs="Times New Roman"/>
          <w:sz w:val="24"/>
          <w:szCs w:val="24"/>
        </w:rPr>
        <w:t xml:space="preserve">. </w:t>
      </w:r>
      <w:r w:rsidR="00C611A5" w:rsidRPr="004E16EB">
        <w:rPr>
          <w:rFonts w:ascii="Times New Roman" w:hAnsi="Times New Roman"/>
          <w:sz w:val="24"/>
          <w:szCs w:val="24"/>
        </w:rPr>
        <w:t xml:space="preserve">Similarly, BTPN Syariah has focused on the economic empowerment of productive underprivileged women since 2010 </w:t>
      </w:r>
      <w:r w:rsidR="00C611A5" w:rsidRPr="004E16EB">
        <w:rPr>
          <w:rFonts w:ascii="Times New Roman" w:hAnsi="Times New Roman" w:cs="Times New Roman"/>
          <w:sz w:val="24"/>
          <w:szCs w:val="24"/>
        </w:rPr>
        <w:fldChar w:fldCharType="begin" w:fldLock="1"/>
      </w:r>
      <w:r w:rsidR="00801B7E">
        <w:rPr>
          <w:rFonts w:ascii="Times New Roman" w:hAnsi="Times New Roman" w:cs="Times New Roman"/>
          <w:sz w:val="24"/>
          <w:szCs w:val="24"/>
        </w:rPr>
        <w:instrText>ADDIN CSL_CITATION {"citationItems":[{"id":"ITEM-1","itemData":{"DOI":"10.2991/AEBMR.K.200522.045","ISBN":"978-94-6252-973-1","ISSN":"2352-5428","abstract":"… Spirituality in Workplace, Individual Spirituality and Work Behaviour: The Studi of Higher Education in Indonesia” SSRN Working Paper Series … (Bank Jatim Syariah) Kantor Cabang Surabaya,” Jurnal Ekonomi Islam, vol … [9] AJ Ali and A. Owaihan, “Islamic Work Ethics : a critical …","author":[{"dropping-particle":"","family":"Fanggidae","given":"Rolland Epafras","non-dropping-particle":"","parse-names":false,"suffix":""},{"dropping-particle":"","family":"Kurniawati","given":"Merlyn","non-dropping-particle":"","parse-names":false,"suffix":""},{"dropping-particle":"","family":"Bahweres","given":"Hawyah","non-dropping-particle":"","parse-names":false,"suffix":""}],"container-title":"Atlantes Press","id":"ITEM-1","issued":{"date-parts":[["2020","5"]]},"page":"234-239","publisher":"Atlantis Press","title":"The Effect of Workplace Spirituality and Employee Performance (Perspective of Islamic Work Ethics Case Study on BTPN Syariah, Kupang)","type":"article-journal"},"uris":["http://www.mendeley.com/documents/?uuid=edca6b80-6c3e-31ec-8d29-35fe440c1d90","http://www.mendeley.com/documents/?uuid=52207965-edc2-487c-ac55-0f94591af849"]}],"mendeley":{"formattedCitation":"(Fanggidae et al., 2020)","manualFormatting":"(Fanggidae et al., 2020)","plainTextFormattedCitation":"(Fanggidae et al., 2020)","previouslyFormattedCitation":"(Fanggidae et al., 2020)"},"properties":{"noteIndex":0},"schema":"https://github.com/citation-style-language/schema/raw/master/csl-citation.json"}</w:instrText>
      </w:r>
      <w:r w:rsidR="00C611A5" w:rsidRPr="004E16EB">
        <w:rPr>
          <w:rFonts w:ascii="Times New Roman" w:hAnsi="Times New Roman" w:cs="Times New Roman"/>
          <w:sz w:val="24"/>
          <w:szCs w:val="24"/>
        </w:rPr>
        <w:fldChar w:fldCharType="separate"/>
      </w:r>
      <w:r w:rsidR="00C611A5" w:rsidRPr="004E16EB">
        <w:rPr>
          <w:rFonts w:ascii="Times New Roman" w:hAnsi="Times New Roman" w:cs="Times New Roman"/>
          <w:noProof/>
          <w:sz w:val="24"/>
          <w:szCs w:val="24"/>
        </w:rPr>
        <w:t>(Fanggidae et al., 2020)</w:t>
      </w:r>
      <w:r w:rsidR="00C611A5" w:rsidRPr="004E16EB">
        <w:rPr>
          <w:rFonts w:ascii="Times New Roman" w:hAnsi="Times New Roman" w:cs="Times New Roman"/>
          <w:sz w:val="24"/>
          <w:szCs w:val="24"/>
        </w:rPr>
        <w:fldChar w:fldCharType="end"/>
      </w:r>
      <w:r w:rsidR="00C611A5" w:rsidRPr="004E16EB">
        <w:rPr>
          <w:rFonts w:ascii="Times New Roman" w:hAnsi="Times New Roman" w:cs="Times New Roman"/>
          <w:sz w:val="24"/>
          <w:szCs w:val="24"/>
        </w:rPr>
        <w:t xml:space="preserve">. </w:t>
      </w:r>
      <w:r w:rsidR="00C611A5" w:rsidRPr="004E16EB">
        <w:rPr>
          <w:rFonts w:ascii="Times New Roman" w:hAnsi="Times New Roman"/>
          <w:sz w:val="24"/>
          <w:szCs w:val="24"/>
        </w:rPr>
        <w:t xml:space="preserve">These financial institution programs have certain characteristics, such as community empowerment and microfinance services. They are group-based and specifically aimed at women from poor or low-income families </w:t>
      </w:r>
      <w:r w:rsidR="00C611A5" w:rsidRPr="004E16EB">
        <w:rPr>
          <w:rFonts w:ascii="Times New Roman" w:hAnsi="Times New Roman" w:cs="Times New Roman"/>
          <w:sz w:val="24"/>
          <w:szCs w:val="24"/>
        </w:rPr>
        <w:fldChar w:fldCharType="begin" w:fldLock="1"/>
      </w:r>
      <w:r w:rsidR="00801B7E">
        <w:rPr>
          <w:rFonts w:ascii="Times New Roman" w:hAnsi="Times New Roman" w:cs="Times New Roman"/>
          <w:sz w:val="24"/>
          <w:szCs w:val="24"/>
        </w:rPr>
        <w:instrText>ADDIN CSL_CITATION {"citationItems":[{"id":"ITEM-1","itemData":{"DOI":"10.1007/978-3-319-69799-4_3","abstract":"This chapter evaluates the impact of the Islamic microfinance institution toward the women empowerment. We surveyed approximately two hundred and forty women who had been involved in the microfinance of the Misykat program in the Dompet Peduli Ummat of Daarut Tauhid...","author":[{"dropping-particle":"","family":"Yaumidin","given":"Umi Karomah","non-dropping-particle":"","parse-names":false,"suffix":""},{"dropping-particle":"","family":"Suhodo","given":"Diah Setiari","non-dropping-particle":"","parse-names":false,"suffix":""},{"dropping-particle":"","family":"Yuniarti","given":"Putri Irma","non-dropping-particle":"","parse-names":false,"suffix":""},{"dropping-particle":"","family":"Hidayatina","given":"Achsanah","non-dropping-particle":"","parse-names":false,"suffix":""}],"container-title":"Financial Inclusion and Poverty Alleviation","id":"ITEM-1","issued":{"date-parts":[["2017"]]},"page":"81-140","publisher":"Palgrave Macmillan, Cham","title":"Financial Inclusion for Women: Impact Evaluation on Islamic Microfinance to Women’s Empowerment in Indonesia","type":"article-journal"},"uris":["http://www.mendeley.com/documents/?uuid=cee2419c-bc37-398f-8df5-b6b871947227","http://www.mendeley.com/documents/?uuid=ab7184d1-c4f8-49a0-9b0f-1b00c68635a3"]}],"mendeley":{"formattedCitation":"(Yaumidin et al., 2017)","manualFormatting":"(Yaumidin et al., 2017)","plainTextFormattedCitation":"(Yaumidin et al., 2017)","previouslyFormattedCitation":"(Yaumidin et al., 2017)"},"properties":{"noteIndex":0},"schema":"https://github.com/citation-style-language/schema/raw/master/csl-citation.json"}</w:instrText>
      </w:r>
      <w:r w:rsidR="00C611A5" w:rsidRPr="004E16EB">
        <w:rPr>
          <w:rFonts w:ascii="Times New Roman" w:hAnsi="Times New Roman" w:cs="Times New Roman"/>
          <w:sz w:val="24"/>
          <w:szCs w:val="24"/>
        </w:rPr>
        <w:fldChar w:fldCharType="separate"/>
      </w:r>
      <w:r w:rsidR="00C611A5" w:rsidRPr="004E16EB">
        <w:rPr>
          <w:rFonts w:ascii="Times New Roman" w:hAnsi="Times New Roman" w:cs="Times New Roman"/>
          <w:noProof/>
          <w:sz w:val="24"/>
          <w:szCs w:val="24"/>
        </w:rPr>
        <w:t>(Yaumidin et al., 2017)</w:t>
      </w:r>
      <w:r w:rsidR="00C611A5" w:rsidRPr="004E16EB">
        <w:rPr>
          <w:rFonts w:ascii="Times New Roman" w:hAnsi="Times New Roman" w:cs="Times New Roman"/>
          <w:sz w:val="24"/>
          <w:szCs w:val="24"/>
        </w:rPr>
        <w:fldChar w:fldCharType="end"/>
      </w:r>
      <w:r w:rsidR="00C611A5" w:rsidRPr="004E16EB">
        <w:rPr>
          <w:rFonts w:ascii="Times New Roman" w:hAnsi="Times New Roman" w:cs="Times New Roman"/>
          <w:sz w:val="24"/>
          <w:szCs w:val="24"/>
        </w:rPr>
        <w:t xml:space="preserve">. Muhammad Yunus stated that </w:t>
      </w:r>
      <w:r w:rsidR="00C611A5" w:rsidRPr="004E16EB">
        <w:rPr>
          <w:rFonts w:ascii="Times New Roman" w:hAnsi="Times New Roman"/>
          <w:sz w:val="24"/>
          <w:szCs w:val="24"/>
        </w:rPr>
        <w:t xml:space="preserve">Microfinance institutions that provide financial services to stimulate small businesses can empower women </w:t>
      </w:r>
      <w:r w:rsidR="00C611A5" w:rsidRPr="004E16EB">
        <w:rPr>
          <w:rFonts w:ascii="Times New Roman" w:hAnsi="Times New Roman" w:cs="Times New Roman"/>
          <w:sz w:val="24"/>
          <w:szCs w:val="24"/>
        </w:rPr>
        <w:fldChar w:fldCharType="begin" w:fldLock="1"/>
      </w:r>
      <w:r w:rsidR="00801B7E">
        <w:rPr>
          <w:rFonts w:ascii="Times New Roman" w:hAnsi="Times New Roman" w:cs="Times New Roman"/>
          <w:sz w:val="24"/>
          <w:szCs w:val="24"/>
        </w:rPr>
        <w:instrText>ADDIN CSL_CITATION {"citationItems":[{"id":"ITEM-1","itemData":{"DOI":"10.1016/j.wsif.2019.102300","ISSN":"02775395","abstract":"This paper investigates the effects of female financial inclusion on inclusive economic development. Financial inclusion, understood as the access to and usage of a diverse range of quality financial products and services, can have a positive effect on the reduction of income inequality. Specifically, when women participate in the financial system, the inequality gap decreases, enabling higher economic development, which also increases both physical and social wellbeing. An instrumental variable analysis is conducted on a sample of 91 countries, comprising both developed and emerging countries, using data from the Global Findex (2015) database and the World Bank DataBank. Our results effectively provide evidence attesting to the fact that greater financial inclusion of women, measured as access to a bank account and access to credit cards, has a positive effect on economic development. However, bank loans did not show any significance when explaining economic development.","author":[{"dropping-particle":"","family":"Cabeza-García","given":"Laura","non-dropping-particle":"","parse-names":false,"suffix":""},{"dropping-particle":"","family":"Brio","given":"Esther B.","non-dropping-particle":"Del","parse-names":false,"suffix":""},{"dropping-particle":"","family":"Oscanoa-Victorio","given":"Mery Luz","non-dropping-particle":"","parse-names":false,"suffix":""}],"container-title":"Women's Studies International Forum","id":"ITEM-1","issue":"October","issued":{"date-parts":[["2019"]]},"page":"102300","publisher":"Elsevier","title":"Female financial inclusion and its impacts on inclusive economic development","type":"article-journal","volume":"77"},"uris":["http://www.mendeley.com/documents/?uuid=ebe88bca-d18f-42ad-b031-9e8b38b144c2","http://www.mendeley.com/documents/?uuid=0bf18219-ba4c-4d81-899e-47e5245bc0e7"]}],"mendeley":{"formattedCitation":"(Cabeza-García et al., 2019)","manualFormatting":"(Cabeza-García et al., 2019)","plainTextFormattedCitation":"(Cabeza-García et al., 2019)","previouslyFormattedCitation":"(Cabeza-García et al., 2019)"},"properties":{"noteIndex":0},"schema":"https://github.com/citation-style-language/schema/raw/master/csl-citation.json"}</w:instrText>
      </w:r>
      <w:r w:rsidR="00C611A5" w:rsidRPr="004E16EB">
        <w:rPr>
          <w:rFonts w:ascii="Times New Roman" w:hAnsi="Times New Roman" w:cs="Times New Roman"/>
          <w:sz w:val="24"/>
          <w:szCs w:val="24"/>
        </w:rPr>
        <w:fldChar w:fldCharType="separate"/>
      </w:r>
      <w:r w:rsidR="00C611A5" w:rsidRPr="004E16EB">
        <w:rPr>
          <w:rFonts w:ascii="Times New Roman" w:hAnsi="Times New Roman" w:cs="Times New Roman"/>
          <w:noProof/>
          <w:sz w:val="24"/>
          <w:szCs w:val="24"/>
        </w:rPr>
        <w:t>(Cabeza-García et al., 2019)</w:t>
      </w:r>
      <w:r w:rsidR="00C611A5" w:rsidRPr="004E16EB">
        <w:rPr>
          <w:rFonts w:ascii="Times New Roman" w:hAnsi="Times New Roman" w:cs="Times New Roman"/>
          <w:sz w:val="24"/>
          <w:szCs w:val="24"/>
        </w:rPr>
        <w:fldChar w:fldCharType="end"/>
      </w:r>
      <w:r w:rsidR="00C611A5" w:rsidRPr="004E16EB">
        <w:rPr>
          <w:rFonts w:ascii="Times New Roman" w:hAnsi="Times New Roman" w:cs="Times New Roman"/>
          <w:sz w:val="24"/>
          <w:szCs w:val="24"/>
        </w:rPr>
        <w:t xml:space="preserve">. </w:t>
      </w:r>
      <w:r w:rsidR="007674AA" w:rsidRPr="007674AA">
        <w:rPr>
          <w:rFonts w:ascii="Times New Roman" w:hAnsi="Times New Roman"/>
          <w:spacing w:val="5"/>
          <w:sz w:val="24"/>
          <w:szCs w:val="24"/>
        </w:rPr>
        <w:t>Bank Mit Ghramr was founded to provide financial assistance in the form of loans to small enterprises, with a striking 97% of its clientele comprising women</w:t>
      </w:r>
      <w:r w:rsidR="007674AA" w:rsidRPr="007674AA">
        <w:rPr>
          <w:rFonts w:ascii="Times New Roman" w:hAnsi="Times New Roman"/>
          <w:spacing w:val="5"/>
          <w:sz w:val="24"/>
          <w:szCs w:val="24"/>
        </w:rPr>
        <w:t xml:space="preserve"> </w:t>
      </w:r>
      <w:r w:rsidR="00C611A5" w:rsidRPr="004E16EB">
        <w:rPr>
          <w:rFonts w:ascii="Times New Roman" w:hAnsi="Times New Roman" w:cs="Times New Roman"/>
          <w:spacing w:val="5"/>
          <w:sz w:val="24"/>
          <w:szCs w:val="24"/>
        </w:rPr>
        <w:fldChar w:fldCharType="begin" w:fldLock="1"/>
      </w:r>
      <w:r w:rsidR="00192A4F">
        <w:rPr>
          <w:rFonts w:ascii="Times New Roman" w:hAnsi="Times New Roman" w:cs="Times New Roman"/>
          <w:spacing w:val="5"/>
          <w:sz w:val="24"/>
          <w:szCs w:val="24"/>
        </w:rPr>
        <w:instrText>ADDIN CSL_CITATION {"citationItems":[{"id":"ITEM-1","itemData":{"author":[{"dropping-particle":"","family":"Yunus","given":"Muhammad","non-dropping-particle":"","parse-names":false,"suffix":""}],"container-title":"Global Urban Development","id":"ITEM-1","issued":{"date-parts":[["2005"]]},"title":"ELIMINATING POVERTY THROUGH MARKET-BASED SOCIAL ENTREPRENEURSHIP","type":"report","volume":"1"},"uris":["http://www.mendeley.com/documents/?uuid=35458598-f914-4992-8e04-746f43f861f1","http://www.mendeley.com/documents/?uuid=62c61695-6023-3930-b880-687d08a20fc6"]}],"mendeley":{"formattedCitation":"(Yunus, 2005)","plainTextFormattedCitation":"(Yunus, 2005)","previouslyFormattedCitation":"(Yunus, 2005)"},"properties":{"noteIndex":0},"schema":"https://github.com/citation-style-language/schema/raw/master/csl-citation.json"}</w:instrText>
      </w:r>
      <w:r w:rsidR="00C611A5" w:rsidRPr="004E16EB">
        <w:rPr>
          <w:rFonts w:ascii="Times New Roman" w:hAnsi="Times New Roman" w:cs="Times New Roman"/>
          <w:spacing w:val="5"/>
          <w:sz w:val="24"/>
          <w:szCs w:val="24"/>
        </w:rPr>
        <w:fldChar w:fldCharType="separate"/>
      </w:r>
      <w:r w:rsidR="00207A78" w:rsidRPr="00207A78">
        <w:rPr>
          <w:rFonts w:ascii="Times New Roman" w:hAnsi="Times New Roman" w:cs="Times New Roman"/>
          <w:noProof/>
          <w:spacing w:val="5"/>
          <w:sz w:val="24"/>
          <w:szCs w:val="24"/>
        </w:rPr>
        <w:t>(Yunus, 2005)</w:t>
      </w:r>
      <w:r w:rsidR="00C611A5" w:rsidRPr="004E16EB">
        <w:rPr>
          <w:rFonts w:ascii="Times New Roman" w:hAnsi="Times New Roman" w:cs="Times New Roman"/>
          <w:spacing w:val="5"/>
          <w:sz w:val="24"/>
          <w:szCs w:val="24"/>
        </w:rPr>
        <w:fldChar w:fldCharType="end"/>
      </w:r>
      <w:r w:rsidR="00C611A5" w:rsidRPr="004E16EB">
        <w:rPr>
          <w:rFonts w:ascii="Times New Roman" w:hAnsi="Times New Roman" w:cs="Times New Roman"/>
          <w:spacing w:val="5"/>
          <w:sz w:val="24"/>
          <w:szCs w:val="24"/>
        </w:rPr>
        <w:t xml:space="preserve">. </w:t>
      </w:r>
    </w:p>
    <w:p w14:paraId="54EC4434" w14:textId="77777777" w:rsidR="00C16EFA" w:rsidRPr="004E16EB" w:rsidRDefault="00C16EFA" w:rsidP="009858D2">
      <w:pPr>
        <w:pStyle w:val="ListParagraph"/>
        <w:widowControl w:val="0"/>
        <w:spacing w:after="0" w:line="240" w:lineRule="auto"/>
        <w:ind w:left="0" w:firstLine="720"/>
        <w:jc w:val="both"/>
        <w:rPr>
          <w:rFonts w:ascii="Times New Roman" w:hAnsi="Times New Roman" w:cs="Times New Roman"/>
          <w:sz w:val="24"/>
          <w:szCs w:val="24"/>
          <w:lang w:val="id-ID"/>
        </w:rPr>
      </w:pPr>
    </w:p>
    <w:p w14:paraId="07016A91" w14:textId="77777777" w:rsidR="00C16EFA" w:rsidRPr="004E16EB" w:rsidRDefault="00C611A5" w:rsidP="009858D2">
      <w:pPr>
        <w:pStyle w:val="ListParagraph"/>
        <w:numPr>
          <w:ilvl w:val="1"/>
          <w:numId w:val="5"/>
        </w:numPr>
        <w:spacing w:after="0" w:line="240" w:lineRule="auto"/>
        <w:ind w:left="426"/>
        <w:jc w:val="both"/>
        <w:rPr>
          <w:rFonts w:ascii="Times New Roman" w:hAnsi="Times New Roman"/>
          <w:b/>
          <w:bCs/>
          <w:sz w:val="24"/>
          <w:szCs w:val="24"/>
          <w:lang w:val="id-ID"/>
        </w:rPr>
      </w:pPr>
      <w:r w:rsidRPr="004E16EB">
        <w:rPr>
          <w:rFonts w:ascii="Times New Roman" w:hAnsi="Times New Roman"/>
          <w:b/>
          <w:bCs/>
          <w:sz w:val="24"/>
          <w:szCs w:val="24"/>
        </w:rPr>
        <w:t xml:space="preserve">Halaqoh </w:t>
      </w:r>
      <w:r w:rsidRPr="004E16EB">
        <w:rPr>
          <w:rFonts w:ascii="Times New Roman" w:hAnsi="Times New Roman"/>
          <w:b/>
          <w:bCs/>
          <w:i/>
          <w:iCs/>
          <w:sz w:val="24"/>
          <w:szCs w:val="24"/>
        </w:rPr>
        <w:t xml:space="preserve">Method </w:t>
      </w:r>
      <w:r w:rsidRPr="004E16EB">
        <w:rPr>
          <w:rFonts w:ascii="Times New Roman" w:hAnsi="Times New Roman"/>
          <w:b/>
          <w:bCs/>
          <w:sz w:val="24"/>
          <w:szCs w:val="24"/>
        </w:rPr>
        <w:t>in Women's Economic Empowerment</w:t>
      </w:r>
    </w:p>
    <w:p w14:paraId="5C61F0D3" w14:textId="76079B1C" w:rsidR="00C16EFA" w:rsidRPr="004E16EB" w:rsidRDefault="00C611A5" w:rsidP="009858D2">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MWB uses the </w:t>
      </w:r>
      <w:r w:rsidRPr="004E16EB">
        <w:rPr>
          <w:rFonts w:ascii="Times New Roman" w:hAnsi="Times New Roman"/>
          <w:i/>
          <w:iCs/>
          <w:sz w:val="24"/>
          <w:szCs w:val="24"/>
        </w:rPr>
        <w:t xml:space="preserve">halaqoh </w:t>
      </w:r>
      <w:r w:rsidRPr="004E16EB">
        <w:rPr>
          <w:rFonts w:ascii="Times New Roman" w:hAnsi="Times New Roman"/>
          <w:sz w:val="24"/>
          <w:szCs w:val="24"/>
        </w:rPr>
        <w:t xml:space="preserve">in women's economic empowerment activities around Islamic boarding schools </w:t>
      </w:r>
      <w:r w:rsidRPr="004E16EB">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{"citationItems":[{"id":"ITEM-1","itemData":{"DOI":"10.18326/AICIEB.V2I1.126","ISSN":"2809-3445","abstract":"This study aims to elaborate on the empowerment carried out by the Micro Waqf Bank for women around Islamic boarding schools and its impact on increasing the income of the home industry. This study uses a mix method that combines qualitative and quantitative research. The research was conducted on micro waqf banks in Indonesia. Data collection techniques were carried out by questionnaires, interviews, observations and documentation data. Data analysis and review was carried out qualitatively and statistically. Empowerment carried out by Micro Waqf Banks begins with Pre-Compulsory Group Training (Pra PWK), then Group Compulsory Training (PWK) and Weekly Halaqah (HALMI). The distribution of financing and assistance to women is carried out on a group basis with a pattern of joint responsibility. The financing disbursed by micro waqf banks to women has a significant impact on increasing the income of the home industry.","author":[{"dropping-particle":"","family":"Rozalinda","given":"Rozalinda","non-dropping-particle":"","parse-names":false,"suffix":""},{"dropping-particle":"","family":"Nurhasnah","given":"Nurhasnah","non-dropping-particle":"","parse-names":false,"suffix":""}],"container-title":"Annual International Conference on Islamic Economics and Business (AICIEB)","id":"ITEM-1","issue":"1","issued":{"date-parts":[["2022","8"]]},"page":"432-448","title":"Islamic Boarding School-Based Women's Economic Empowerment and Its Impact on Increasing Home Industry Income","type":"article-journal","volume":"2"},"uris":["http://www.mendeley.com/documents/?uuid=3b7b9383-cd54-3f22-b5f5-6835b06d4004","http://www.mendeley.com/documents/?uuid=62cbfee1-7b65-4bb4-bcab-1347be7bff53"]}],"mendeley":{"formattedCitation":"(Rozalinda &amp; Nurhasnah, 2022)","plainTextFormattedCitation":"(Rozalinda &amp; Nurhasnah, 2022)","previouslyFormattedCitation":"(Rozalinda &amp; Nurhasnah, 2022)"},"properties":{"noteIndex":0},"schema":"https://github.com/citation-style-language/schema/raw/master/csl-citation.json"}</w:instrText>
      </w:r>
      <w:r w:rsidRPr="004E16EB">
        <w:rPr>
          <w:rFonts w:ascii="Times New Roman" w:hAnsi="Times New Roman" w:cs="Times New Roman"/>
          <w:sz w:val="24"/>
          <w:szCs w:val="24"/>
        </w:rPr>
        <w:fldChar w:fldCharType="separate"/>
      </w:r>
      <w:r w:rsidRPr="004E16EB">
        <w:rPr>
          <w:rFonts w:ascii="Times New Roman" w:hAnsi="Times New Roman" w:cs="Times New Roman"/>
          <w:noProof/>
          <w:sz w:val="24"/>
          <w:szCs w:val="24"/>
        </w:rPr>
        <w:t>(Rozalinda &amp; Nurhasnah, 2022)</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This model has been running since MWB's potential customers started participating in the five-day GCT </w:t>
      </w:r>
      <w:r w:rsidR="004A4527">
        <w:rPr>
          <w:rFonts w:ascii="Times New Roman" w:hAnsi="Times New Roman"/>
          <w:sz w:val="24"/>
          <w:szCs w:val="24"/>
        </w:rPr>
        <w:fldChar w:fldCharType="begin" w:fldLock="1"/>
      </w:r>
      <w:r w:rsidR="004A4527">
        <w:rPr>
          <w:rFonts w:ascii="Times New Roman" w:hAnsi="Times New Roman"/>
          <w:sz w:val="24"/>
          <w:szCs w:val="24"/>
        </w:rPr>
        <w:instrText>ADDIN CSL_CITATION {"citationItems":[{"id":"ITEM-1","itemData":{"DOI":"10.15642/JIIS.2023.17.1.76-99","ISSN":"2355-6994","author":[{"dropping-particle":"","family":"Anwar","given":"Mokhamad Zainal","non-dropping-particle":"","parse-names":false,"suffix":""},{"dropping-particle":"","family":"Fathan","given":"Fathan","non-dropping-particle":"","parse-names":false,"suffix":""},{"dropping-particle":"","family":"Warto","given":"Warto","non-dropping-particle":"","parse-names":false,"suffix":""},{"dropping-particle":"","family":"Hidayati","given":"Okta Nurul","non-dropping-particle":"","parse-names":false,"suffix":""}],"container-title":"JOURNAL OF INDONESIAN ISLAM","id":"ITEM-1","issue":"1","issued":{"date-parts":[["2023","6","1"]]},"page":"76","title":"Transformation of Economic Theology for Community Empowerment: A Case Study on Pesantren-Based Bank Wakaf Mikro","type":"article-journal","volume":"17"},"uris":["http://www.mendeley.com/documents/?uuid=410b8a07-128a-401d-b62f-9b5c98b8c417"]}],"mendeley":{"formattedCitation":"(Anwar et al., 2023)","plainTextFormattedCitation":"(Anwar et al., 2023)","previouslyFormattedCitation":"(Anwar et al., 2023)"},"properties":{"noteIndex":0},"schema":"https://github.com/citation-style-language/schema/raw/master/csl-citation.json"}</w:instrText>
      </w:r>
      <w:r w:rsidR="004A4527">
        <w:rPr>
          <w:rFonts w:ascii="Times New Roman" w:hAnsi="Times New Roman"/>
          <w:sz w:val="24"/>
          <w:szCs w:val="24"/>
        </w:rPr>
        <w:fldChar w:fldCharType="separate"/>
      </w:r>
      <w:r w:rsidR="004A4527" w:rsidRPr="004A4527">
        <w:rPr>
          <w:rFonts w:ascii="Times New Roman" w:hAnsi="Times New Roman"/>
          <w:noProof/>
          <w:sz w:val="24"/>
          <w:szCs w:val="24"/>
        </w:rPr>
        <w:t>(Anwar et al., 2023)</w:t>
      </w:r>
      <w:r w:rsidR="004A4527">
        <w:rPr>
          <w:rFonts w:ascii="Times New Roman" w:hAnsi="Times New Roman"/>
          <w:sz w:val="24"/>
          <w:szCs w:val="24"/>
        </w:rPr>
        <w:fldChar w:fldCharType="end"/>
      </w:r>
      <w:r w:rsidR="004A4527">
        <w:rPr>
          <w:rFonts w:ascii="Times New Roman" w:hAnsi="Times New Roman"/>
          <w:sz w:val="24"/>
          <w:szCs w:val="24"/>
        </w:rPr>
        <w:t xml:space="preserve">. </w:t>
      </w:r>
      <w:r w:rsidRPr="004E16EB">
        <w:rPr>
          <w:rFonts w:ascii="Times New Roman" w:hAnsi="Times New Roman"/>
          <w:i/>
          <w:iCs/>
          <w:sz w:val="24"/>
          <w:szCs w:val="24"/>
        </w:rPr>
        <w:t>Halaqoh</w:t>
      </w:r>
      <w:r w:rsidRPr="004E16EB">
        <w:rPr>
          <w:rFonts w:ascii="Times New Roman" w:hAnsi="Times New Roman"/>
          <w:sz w:val="24"/>
          <w:szCs w:val="24"/>
        </w:rPr>
        <w:t xml:space="preserve"> Activities are carried out once a week for financing disbursement and customer development activities </w:t>
      </w:r>
      <w:r w:rsidR="00E3240E">
        <w:rPr>
          <w:rFonts w:ascii="Times New Roman" w:hAnsi="Times New Roman"/>
          <w:sz w:val="24"/>
          <w:szCs w:val="24"/>
        </w:rPr>
        <w:fldChar w:fldCharType="begin" w:fldLock="1"/>
      </w:r>
      <w:r w:rsidR="00302A4A">
        <w:rPr>
          <w:rFonts w:ascii="Times New Roman" w:hAnsi="Times New Roman"/>
          <w:sz w:val="24"/>
          <w:szCs w:val="24"/>
        </w:rPr>
        <w:instrText>ADDIN CSL_CITATION {"citationItems":[{"id":"ITEM-1","itemData":{"DOI":"10.3390/economies10070157","ISSN":"2227-7099","abstract":"This study examined the role of the Micro Waqf Bank in empowering women micro-entrepreneurs. This research used a mixed-method with an explanatory design. Quantitatively, this study examines the effect of the joint responsibility system, financing, and mentoring on the growth of the micro-enterprises business. The sample used was 200 women micro-entrepreneurs using a purposive sampling technique. Quantitative data analysis was performed using the Structural Equation Model based on Partial Least Squares (SEM PLS) technique. This research qualitatively analyzes how the Micro Waqf Bank has carried out its role in empowering women, including dealing with crises due to the COVID-19 pandemic. Thematic analysis was used as the qualitative data analysis technique. Informants in this study amounted to 6 informants from MWB Mawaridussalam consisting of Management, Mentors, and female micro-enterprises. The research results quantitatively indicate that there is a positive and significant impact on the joint responsibility system, financing, and mentoring on the development of micro-enterprise members. Mentoring is the most significant variable that impacts the growth of a micro-enterprise business. Qualitatively, the research results show the role of the Micro Waqf Bank in the economic empowerment of women micro-business entrepreneurs by specifically recommending reinforcement of the mentoring function.","author":[{"dropping-particle":"","family":"Soemitra","given":"Andri","non-dropping-particle":"","parse-names":false,"suffix":""},{"dropping-particle":"","family":"Kusmilawaty","given":"","non-dropping-particle":"","parse-names":false,"suffix":""},{"dropping-particle":"","family":"Rahma","given":"Tri Inda Fadhila","non-dropping-particle":"","parse-names":false,"suffix":""}],"container-title":"Economies","id":"ITEM-1","issue":"7","issued":{"date-parts":[["2022","7","1"]]},"page":"157","title":"The Role of Micro Waqf Bank in Women’s Micro-Business Empowerment through Islamic Social Finance: Mixed-Method Evidence from Mawaridussalam Indonesia","type":"article-journal","volume":"10"},"uris":["http://www.mendeley.com/documents/?uuid=757867f4-6fab-434e-80cb-1876573f2fbd"]}],"mendeley":{"formattedCitation":"(Soemitra et al., 2022)","plainTextFormattedCitation":"(Soemitra et al., 2022)","previouslyFormattedCitation":"(Soemitra et al., 2022)"},"properties":{"noteIndex":0},"schema":"https://github.com/citation-style-language/schema/raw/master/csl-citation.json"}</w:instrText>
      </w:r>
      <w:r w:rsidR="00E3240E">
        <w:rPr>
          <w:rFonts w:ascii="Times New Roman" w:hAnsi="Times New Roman"/>
          <w:sz w:val="24"/>
          <w:szCs w:val="24"/>
        </w:rPr>
        <w:fldChar w:fldCharType="separate"/>
      </w:r>
      <w:r w:rsidR="00E3240E" w:rsidRPr="00E3240E">
        <w:rPr>
          <w:rFonts w:ascii="Times New Roman" w:hAnsi="Times New Roman"/>
          <w:noProof/>
          <w:sz w:val="24"/>
          <w:szCs w:val="24"/>
        </w:rPr>
        <w:t>(Soemitra et al., 2022)</w:t>
      </w:r>
      <w:r w:rsidR="00E3240E">
        <w:rPr>
          <w:rFonts w:ascii="Times New Roman" w:hAnsi="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In the traditional learning system, the sitting positions of teachers and students blend in in a circle</w:t>
      </w:r>
      <w:r w:rsidRPr="004E16EB">
        <w:rPr>
          <w:rFonts w:ascii="Times New Roman" w:hAnsi="Times New Roman" w:cs="Times New Roman"/>
          <w:sz w:val="24"/>
          <w:szCs w:val="24"/>
        </w:rPr>
        <w:t xml:space="preserve">. </w:t>
      </w:r>
      <w:r w:rsidRPr="004E16EB">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{"citationItems":[{"id":"ITEM-1","itemData":{"DOI":"10.24952/tazkir.v6i2.1315","abstract":"The halaqah method is still used by Muslims Society today, especially when studying in mosques and the learning system during the tàaruf period in Islamic Universities. Meanwhile munazarah, which has begun to be abandoned, has returned to appear in the debate system of presidential election, although not entirely the same. This paper uses historical and philosophical methods. Both of these methods are relevant to the problem. Halaqah and munazarah are well-established and attractive education systems. Halaqah as a learning system is seen from the seated position of the teacher and students who mingle, while munazarah is a stage for a sportive intelectual selection. Halaqah in the classical education system is no longer used today, but the learning system in S2 and S3 is precisely what is used. Munazarah needs to be activated now to test one.","author":[{"dropping-particle":"","family":"Yamin","given":"Asmar","non-dropping-particle":"","parse-names":false,"suffix":""},{"dropping-particle":"","family":"Dalimunthe","given":"","non-dropping-particle":"","parse-names":false,"suffix":""}],"container-title":"194.31.53.129","id":"ITEM-1","issue":"2","issued":{"date-parts":[["2020"]]},"page":"249-343","title":"Classic Islamic Education Heritage in Halaqah and Munazharah","type":"article-journal","volume":"6"},"uris":["http://www.mendeley.com/documents/?uuid=9625a29f-d584-416f-8320-aad701f4420a","http://www.mendeley.com/documents/?uuid=a0482a42-fbf9-35bb-97be-849538f4a251"]}],"mendeley":{"formattedCitation":"(Yamin &amp; Dalimunthe, 2020)","plainTextFormattedCitation":"(Yamin &amp; Dalimunthe, 2020)","previouslyFormattedCitation":"(Yamin &amp; Dalimunthe, 2020)"},"properties":{"noteIndex":0},"schema":"https://github.com/citation-style-language/schema/raw/master/csl-citation.json"}</w:instrText>
      </w:r>
      <w:r w:rsidRPr="004E16EB">
        <w:rPr>
          <w:rFonts w:ascii="Times New Roman" w:hAnsi="Times New Roman" w:cs="Times New Roman"/>
          <w:sz w:val="24"/>
          <w:szCs w:val="24"/>
        </w:rPr>
        <w:fldChar w:fldCharType="separate"/>
      </w:r>
      <w:r w:rsidR="00573487" w:rsidRPr="00573487">
        <w:rPr>
          <w:rFonts w:ascii="Times New Roman" w:hAnsi="Times New Roman" w:cs="Times New Roman"/>
          <w:noProof/>
          <w:sz w:val="24"/>
          <w:szCs w:val="24"/>
        </w:rPr>
        <w:t>(Yamin &amp; Dalimunthe, 2020)</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See </w:t>
      </w:r>
      <w:r w:rsidRPr="004E16EB">
        <w:rPr>
          <w:rFonts w:ascii="Times New Roman" w:hAnsi="Times New Roman"/>
          <w:i/>
          <w:iCs/>
          <w:sz w:val="24"/>
          <w:szCs w:val="24"/>
        </w:rPr>
        <w:t xml:space="preserve">halaqoh </w:t>
      </w:r>
      <w:r w:rsidRPr="004E16EB">
        <w:rPr>
          <w:rFonts w:ascii="Times New Roman" w:hAnsi="Times New Roman"/>
          <w:sz w:val="24"/>
          <w:szCs w:val="24"/>
        </w:rPr>
        <w:t xml:space="preserve">activities as a bond of friendship between CBGIBSI members to strengthen women's determination and commitment to MWB rules </w:t>
      </w:r>
      <w:r w:rsidR="0063086F">
        <w:rPr>
          <w:rFonts w:ascii="Times New Roman" w:hAnsi="Times New Roman"/>
          <w:sz w:val="24"/>
          <w:szCs w:val="24"/>
        </w:rPr>
        <w:fldChar w:fldCharType="begin" w:fldLock="1"/>
      </w:r>
      <w:r w:rsidR="008210FF">
        <w:rPr>
          <w:rFonts w:ascii="Times New Roman" w:hAnsi="Times New Roman"/>
          <w:sz w:val="24"/>
          <w:szCs w:val="24"/>
        </w:rPr>
        <w:instrText>ADDIN CSL_CITATION {"citationItems":[{"id":"ITEM-1","itemData":{"DOI":"10.18510/hssr.2019.75169","ISSN":"2395-6518","abstract":"Purpose of the study: This research was aimed at constructing a new theory of learning from traditional practice which could give a significant contribution to the educational model. This research was conducted to seek the theory learning and model of teaching of Pondok Pesantren (Islamic Boarding School with Salafi system) in South Tapanuli of Indonesia. Methodology: A qualitative research design was applied to seek the data in the Islamic Boarding School for constructing a theory of learning. This research applied an observation and interview techniques to collect the data from Islamic boarding school Darussalam Parmeraan (PDP) of the Dolok District of South Tapanuli, North Sumatra Province of Indonesia. Main Findings: Data revealed that Sorongan and Halaqoh techniques (circling forum in group learning and discussion models), not like the formal school model in the classrooms, have been more effective in two terms; solidarity and control. Sorong and Halaqoh have been preferred to be practiced in that Islamic Boarding School for many years. This study recommends that theory. Applications of this study: The data obtained of teaching methods in Islamic Boarding School Darussalam Parmeraan (PDP) give the alternative teaching techniques such as Sorongan in which learners put into the circling forum which makes the learners are close to instructors and Halaqoh where the Islamic teachings motivate them to learn more intensively. Those two techniques could be applied to formal school, not only in the Pondok pesantren area. Novelty/Originality of this study: This study offered the system of Pondok pesantren traditional practice of teaching techniques of Sorongan and Hallaq of Pondok Pesantren which have been originally rooted in Islamic teachings in Southeast Asia for modern schools. Those techniques could be transferred to formal school; as learning practice that gives democratic education and contributes to training learners in formal schools.","author":[{"dropping-particle":"","family":"Ritonga","given":"Tamin","non-dropping-particle":"","parse-names":false,"suffix":""},{"dropping-particle":"","family":"Ananda","given":"Azwar","non-dropping-particle":"","parse-names":false,"suffix":""},{"dropping-particle":"","family":"Lanin","given":"Dasman","non-dropping-particle":"","parse-names":false,"suffix":""},{"dropping-particle":"","family":"Hasan","given":"Helmi","non-dropping-particle":"","parse-names":false,"suffix":""}],"container-title":"Humanities &amp; Social Sciences Reviews","id":"ITEM-1","issue":"5","issued":{"date-parts":[["2019","11","13"]]},"page":"1304-1310","title":"PRACTICE TO THEORY OF LEARNING: A LESSON LEARNED FROM ISLAMIC BOARDING SCHOOL IN SOUTH TAPANULI OF INDONESIA","type":"article-journal","volume":"7"},"uris":["http://www.mendeley.com/documents/?uuid=52292d3f-f3e1-44f6-991c-2f76bf402774"]}],"mendeley":{"formattedCitation":"(Ritonga et al., 2019)","plainTextFormattedCitation":"(Ritonga et al., 2019)","previouslyFormattedCitation":"(Ritonga et al., 2019)"},"properties":{"noteIndex":0},"schema":"https://github.com/citation-style-language/schema/raw/master/csl-citation.json"}</w:instrText>
      </w:r>
      <w:r w:rsidR="0063086F">
        <w:rPr>
          <w:rFonts w:ascii="Times New Roman" w:hAnsi="Times New Roman"/>
          <w:sz w:val="24"/>
          <w:szCs w:val="24"/>
        </w:rPr>
        <w:fldChar w:fldCharType="separate"/>
      </w:r>
      <w:r w:rsidR="008210FF" w:rsidRPr="008210FF">
        <w:rPr>
          <w:rFonts w:ascii="Times New Roman" w:hAnsi="Times New Roman"/>
          <w:noProof/>
          <w:sz w:val="24"/>
          <w:szCs w:val="24"/>
        </w:rPr>
        <w:t>(Ritonga et al., 2019)</w:t>
      </w:r>
      <w:r w:rsidR="0063086F">
        <w:rPr>
          <w:rFonts w:ascii="Times New Roman" w:hAnsi="Times New Roman"/>
          <w:sz w:val="24"/>
          <w:szCs w:val="24"/>
        </w:rPr>
        <w:fldChar w:fldCharType="end"/>
      </w:r>
      <w:r w:rsidRPr="004E16EB">
        <w:rPr>
          <w:rFonts w:ascii="Times New Roman" w:hAnsi="Times New Roman"/>
          <w:sz w:val="24"/>
          <w:szCs w:val="24"/>
        </w:rPr>
        <w:t xml:space="preserve"> Therefore, it requires funding and assistance, friendship, and religious education. These findings prove that </w:t>
      </w:r>
      <w:r w:rsidRPr="004E16EB">
        <w:rPr>
          <w:rFonts w:ascii="Times New Roman" w:hAnsi="Times New Roman"/>
          <w:i/>
          <w:iCs/>
          <w:sz w:val="24"/>
          <w:szCs w:val="24"/>
        </w:rPr>
        <w:t>halaqoh</w:t>
      </w:r>
      <w:r w:rsidRPr="004E16EB">
        <w:rPr>
          <w:rFonts w:ascii="Times New Roman" w:hAnsi="Times New Roman"/>
          <w:sz w:val="24"/>
          <w:szCs w:val="24"/>
        </w:rPr>
        <w:t xml:space="preserve"> models motivate women to learn Islam, entrepreneurship, and the ability to manage household finances. In addition, this is a driving force for the emergence of women's micro businesses around Islamic boarding schools. As SMI, MWB has proven its role in realizing financial inclusion through microfinance</w:t>
      </w:r>
      <w:r w:rsidRPr="004E16EB">
        <w:rPr>
          <w:rFonts w:ascii="Times New Roman" w:hAnsi="Times New Roman" w:cs="Times New Roman"/>
          <w:sz w:val="24"/>
          <w:szCs w:val="24"/>
        </w:rPr>
        <w:t xml:space="preserve">. </w:t>
      </w:r>
    </w:p>
    <w:p w14:paraId="3460B8AD" w14:textId="6AFABA15" w:rsidR="00C16EFA" w:rsidRPr="004E16EB" w:rsidRDefault="00801B7E" w:rsidP="009858D2">
      <w:pPr>
        <w:spacing w:after="0" w:line="240" w:lineRule="auto"/>
        <w:ind w:firstLine="720"/>
        <w:jc w:val="both"/>
        <w:rPr>
          <w:rFonts w:ascii="Times New Roman" w:hAnsi="Times New Roman" w:cs="Times New Roman"/>
          <w:sz w:val="24"/>
          <w:szCs w:val="24"/>
        </w:rPr>
      </w:pPr>
      <w:r w:rsidRPr="00573487">
        <w:rPr>
          <w:rFonts w:ascii="Times New Roman" w:hAnsi="Times New Roman" w:cs="Times New Roman"/>
          <w:noProof/>
          <w:sz w:val="24"/>
          <w:szCs w:val="24"/>
        </w:rPr>
        <w:t>Mukthar et al</w:t>
      </w:r>
      <w:r w:rsidRPr="004E16EB">
        <w:rPr>
          <w:rFonts w:ascii="Times New Roman" w:hAnsi="Times New Roman" w:cs="Times New Roman"/>
          <w:sz w:val="24"/>
          <w:szCs w:val="24"/>
        </w:rPr>
        <w:t xml:space="preserve"> </w:t>
      </w:r>
      <w:r w:rsidR="00C611A5"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{"citationItems":[{"id":"ITEM-1","itemData":{"DOI":"10.1007/978-3-031-08954-1_8/COVER","ISBN":"9783031089534","ISSN":"23673389","abstract":"Micro enterprises have been classified into various categories which includes cultivation of food grains, fruits, flowers, seed production, mushroom cultivation and also the livestock economic activities such as dairy farming, poultry, and production of cow dung. The rural women also engaged in home-based economic activities such as stitching, weaving, petty trades, embroidery, food preparation and processing. The role of start-up business through the accessibility of microcredit by rural women has encourages entrepreneurial and economic empowerment. In this backdrop, the present paper is aims to establish the role and significance of microfinance to empower women in rural areas. It also attempted to study entrepreneurial empowerment of rural women through the start-up business with access of formal bank loans. This study also measures the significant contribution of bank linkage programme in incorporating the start-up among the women self-help group members. Main purpose of this paper is to emphasise the role and significance of microfinance to empower women in rural areas. It also aims to promote the self-employment opportunities among the rural women through the start-up business with access of formal bank loans. This study is follows the empirical research method to evaluate the economic empowerment and livelihood of rural women. Data collected through direct survey method from the rural women self-help group who engaged in start-up businesses from India. A structured questionnaire was framed and distributed to forty sample respondents to collect the information. Stratified random sampling method was adopted to collect the sample responses from the total population. It shown that there was good positive change in income after the microfinance access and start-up. It also encourages the entrepreneurial skills of the rural women. The all other significant variables such as expenditure, savings, borrowings and training have also had a tremendous positive change after availed microcredit from bank linkage programme. On the whole, the economic empowerment of rural women has been enhanced due the start-up business through the microcredit model.","author":[{"dropping-particle":"","family":"Mukthar","given":"K. P.Jaheer","non-dropping-particle":"","parse-names":false,"suffix":""},{"dropping-particle":"","family":"Asis","given":"Hernan Ramirez","non-dropping-particle":"","parse-names":false,"suffix":""},{"dropping-particle":"","family":"Vílchez-Vásquez","given":"Rosa","non-dropping-particle":"","parse-names":false,"suffix":""},{"dropping-particle":"","family":"Huaman-Osorio","given":"Antonio","non-dropping-particle":"","parse-names":false,"suffix":""},{"dropping-particle":"","family":"Alvarado-Tolentino","given":"Joseph","non-dropping-particle":"","parse-names":false,"suffix":""}],"container-title":"Lecture Notes in Networks and Systems","id":"ITEM-1","issued":{"date-parts":[["2023"]]},"page":"86-94","publisher":"Springer Science and Business Media Deutschland GmbH","title":"Estimating Women Entrepreneurial Empowerment of Start-Up Business Through Micro Credit Model in Rural Areas","type":"article-journal","volume":"495 LNNS"},"uris":["http://www.mendeley.com/documents/?uuid=a078f268-3fb0-3ac9-8f59-16a240658148","http://www.mendeley.com/documents/?uuid=f9fb2204-0a56-43b0-b9df-563dc6e7e5c9"]}],"mendeley":{"formattedCitation":"(Mukthar et al., 2023)","manualFormatting":"(2023)","plainTextFormattedCitation":"(Mukthar et al., 2023)","previouslyFormattedCitation":"(Mukthar et al., 2023)"},"properties":{"noteIndex":0},"schema":"https://github.com/citation-style-language/schema/raw/master/csl-citation.json"}</w:instrText>
      </w:r>
      <w:r w:rsidR="00C611A5" w:rsidRPr="004E16EB">
        <w:rPr>
          <w:rFonts w:ascii="Times New Roman" w:hAnsi="Times New Roman" w:cs="Times New Roman"/>
          <w:sz w:val="24"/>
          <w:szCs w:val="24"/>
        </w:rPr>
        <w:fldChar w:fldCharType="separate"/>
      </w:r>
      <w:r w:rsidR="00573487" w:rsidRPr="00573487">
        <w:rPr>
          <w:rFonts w:ascii="Times New Roman" w:hAnsi="Times New Roman" w:cs="Times New Roman"/>
          <w:noProof/>
          <w:sz w:val="24"/>
          <w:szCs w:val="24"/>
        </w:rPr>
        <w:t>(2023)</w:t>
      </w:r>
      <w:r w:rsidR="00C611A5" w:rsidRPr="004E16EB">
        <w:rPr>
          <w:rFonts w:ascii="Times New Roman" w:hAnsi="Times New Roman" w:cs="Times New Roman"/>
          <w:sz w:val="24"/>
          <w:szCs w:val="24"/>
        </w:rPr>
        <w:fldChar w:fldCharType="end"/>
      </w:r>
      <w:r w:rsidR="00C611A5" w:rsidRPr="004E16EB">
        <w:rPr>
          <w:rFonts w:ascii="Times New Roman" w:hAnsi="Times New Roman" w:cs="Times New Roman"/>
          <w:sz w:val="24"/>
          <w:szCs w:val="24"/>
        </w:rPr>
        <w:t xml:space="preserve"> </w:t>
      </w:r>
      <w:r w:rsidR="00C611A5" w:rsidRPr="004E16EB">
        <w:rPr>
          <w:rFonts w:ascii="Times New Roman" w:hAnsi="Times New Roman"/>
          <w:sz w:val="24"/>
          <w:szCs w:val="24"/>
        </w:rPr>
        <w:t xml:space="preserve">found that the microcredit system contributes to the entrepreneurial spirit of rural women. </w:t>
      </w:r>
      <w:r w:rsidRPr="00573487">
        <w:rPr>
          <w:rFonts w:ascii="Times New Roman" w:hAnsi="Times New Roman" w:cs="Times New Roman"/>
          <w:noProof/>
          <w:sz w:val="24"/>
          <w:szCs w:val="24"/>
        </w:rPr>
        <w:t>Nugroho &amp; Hilal</w:t>
      </w:r>
      <w:r w:rsidRPr="004E16EB">
        <w:rPr>
          <w:rFonts w:ascii="Times New Roman" w:hAnsi="Times New Roman" w:cs="Times New Roman"/>
          <w:sz w:val="24"/>
          <w:szCs w:val="24"/>
        </w:rPr>
        <w:t xml:space="preserve"> </w:t>
      </w:r>
      <w:r w:rsidR="00C611A5" w:rsidRPr="004E16EB">
        <w:rPr>
          <w:rFonts w:ascii="Times New Roman" w:hAnsi="Times New Roman" w:cs="Times New Roman"/>
          <w:sz w:val="24"/>
          <w:szCs w:val="24"/>
        </w:rPr>
        <w:fldChar w:fldCharType="begin" w:fldLock="1"/>
      </w:r>
      <w:r w:rsidR="000F1614">
        <w:rPr>
          <w:rFonts w:ascii="Times New Roman" w:hAnsi="Times New Roman" w:cs="Times New Roman"/>
          <w:sz w:val="24"/>
          <w:szCs w:val="24"/>
        </w:rPr>
        <w:instrText>ADDIN CSL_CITATION {"citationItems":[{"id":"ITEM-1","itemData":{"DOI":"10.21111/AL-IKTISAB.V3I1.3905","ISSN":"2615-661X","abstract":"Waqf is a legal act of wakif (endower) for separating and transferring part of their wealth either permanently or for a specified period in accordance with their interests for purposes of worship and the general welfare according to sharia. Islamic law have two characters, it is normative (muhkamat) so that Islam have a unity of mind, feeling, and behavior for the people and make the people united, and temporal (mutashabihat) to open up the difference by space, time, and the condition of each with regard to the purposes of syara'. Waqf is a legal act of wakif (endower) for separating and/or transferring part of their wealth either permanently or for a specified period in accordance with their interests for purposes of worship and/or the general welfare according to sharia. Waqf or endowments often directed to unmovable objects, while waqf on moving objects is being developed lately. The idea to explore and develop the concept of waqf in Indonesia was began when Mustafa Edwin Nasution translating paper written by M. Abdul Mannan that revealed the practice of cash waqf (SIBL) in Bangladesh. The government try to do innovation in order to boost the Muslim's Economy particularly for those who are considered as a poor. The role of shariah bank and BWI and regulations is also considered ineffective, then the Government innovate by establishing institution called Micro Waqf Bank. Micro Waqf Bank is believed to increase financial inclusion, particularly in the public and small and micro businesses (SMEs) to have the easy capital. These agency is not allowed to take deposits from the public because it has focused in communities empowerment through financing with business mentoring.","author":[{"dropping-particle":"","family":"Nugroho","given":"Wahyu","non-dropping-particle":"","parse-names":false,"suffix":""},{"dropping-particle":"","family":"Hilal","given":"Faridl Noor","non-dropping-particle":"","parse-names":false,"suffix":""}],"container-title":"Al-Iktisab: Journal of Islamic Economic Law","id":"ITEM-1","issue":"1","issued":{"date-parts":[["2019","5"]]},"publisher":"Universitas Darussalam Gontor","title":"Micro Waqf Bank in Indonesia: Analysis of The Constitution Concept According to The Maqashid Sharia","type":"article-journal","volume":"3"},"suppress-author":1,"uris":["http://www.mendeley.com/documents/?uuid=59b2bd7c-1e64-41a6-964d-83db310cf97c","http://www.mendeley.com/documents/?uuid=ba0f0246-823e-355a-93db-86df2715a2ae"]}],"mendeley":{"formattedCitation":"(2019)","plainTextFormattedCitation":"(2019)","previouslyFormattedCitation":"(2019)"},"properties":{"noteIndex":0},"schema":"https://github.com/citation-style-language/schema/raw/master/csl-citation.json"}</w:instrText>
      </w:r>
      <w:r w:rsidR="00C611A5" w:rsidRPr="004E16EB">
        <w:rPr>
          <w:rFonts w:ascii="Times New Roman" w:hAnsi="Times New Roman" w:cs="Times New Roman"/>
          <w:sz w:val="24"/>
          <w:szCs w:val="24"/>
        </w:rPr>
        <w:fldChar w:fldCharType="separate"/>
      </w:r>
      <w:r w:rsidRPr="00801B7E">
        <w:rPr>
          <w:rFonts w:ascii="Times New Roman" w:hAnsi="Times New Roman" w:cs="Times New Roman"/>
          <w:noProof/>
          <w:sz w:val="24"/>
          <w:szCs w:val="24"/>
        </w:rPr>
        <w:t>(2019)</w:t>
      </w:r>
      <w:r w:rsidR="00C611A5" w:rsidRPr="004E16EB">
        <w:rPr>
          <w:rFonts w:ascii="Times New Roman" w:hAnsi="Times New Roman" w:cs="Times New Roman"/>
          <w:sz w:val="24"/>
          <w:szCs w:val="24"/>
        </w:rPr>
        <w:fldChar w:fldCharType="end"/>
      </w:r>
      <w:r w:rsidR="00C611A5" w:rsidRPr="004E16EB">
        <w:rPr>
          <w:rFonts w:ascii="Times New Roman" w:hAnsi="Times New Roman" w:cs="Times New Roman"/>
          <w:sz w:val="24"/>
          <w:szCs w:val="24"/>
        </w:rPr>
        <w:t xml:space="preserve"> states that </w:t>
      </w:r>
      <w:r w:rsidR="00C611A5" w:rsidRPr="004E16EB">
        <w:rPr>
          <w:rFonts w:ascii="Times New Roman" w:hAnsi="Times New Roman"/>
          <w:sz w:val="24"/>
          <w:szCs w:val="24"/>
        </w:rPr>
        <w:t xml:space="preserve">MWB increases financial inclusion by enabling communities and micro, small, and business to have easy capital. SMI is an alternative solution to the problems faced by the poor </w:t>
      </w:r>
      <w:r w:rsidR="00C611A5" w:rsidRPr="004E16EB">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{"citationItems":[{"id":"ITEM-1","itemData":{"DOI":"10.1108/JBSED-10-2021-0143/FULL/HTML","ISSN":"2635-1374","abstract":"Purpose Islamic microfinance is a substantial tool for poverty alleviation and economic empowerment. The paper aims at accessing the potential of Islamic microfinance for the purpose of achieving the economic empowerment in Tunisia. Design/methodology/approach A structured questionnaire survey method is used. The method is intended for some of the beneficiaries of Zitouna Tamkeen (ZT), the only Islamic microfinance institution in Tunisia. Responses are analyzed using the statistical package for the social sciences program. Findings The authors infer that though the Islamic and conventional microfinance have similar objectives, the methods are different. What is more, the economic empowerment requires not only financial inclusion and entrepreneurship, but also skill development. The results of the survey reveal that ZT has contributed to certain economic empowerment of most of ZT's beneficiaries. In addition, the authors bring to the fore that providing supportive infrastructure and investment is a prominent component of the economic empowerment process. Research limitations/implications In the paper, the sample is limited. Practical implications The authors have highlighted that some structural barriers to entrepreneurship – such as legal, operational and marketing challenges – need to be addressed in a practical way. Originality/value This paper establishes the relationship between the Islamic microfinance and economic empowerment. The current paper is the first investigation in this field in Tunisia.","author":[{"dropping-particle":"","family":"Zitouni","given":"Takwa","non-dropping-particle":"","parse-names":false,"suffix":""},{"dropping-particle":"","family":"Jedidia","given":"Khoutem","non-dropping-particle":"Ben","parse-names":false,"suffix":""}],"container-title":"Journal of Business and Socio-economic Development","id":"ITEM-1","issue":"1","issued":{"date-parts":[["2022","4"]]},"page":"67-81","publisher":"Emerald","title":"Does Islamic microfinance contribute to economic empowerment in Tunisia?: a case study of Zitouna Tamkeen","type":"article-journal","volume":"2"},"uris":["http://www.mendeley.com/documents/?uuid=5178e822-bd77-40a3-8df2-e89766c3edae","http://www.mendeley.com/documents/?uuid=9cf0db6c-5ad0-3095-b0be-5ba1ac4824df"]}],"mendeley":{"formattedCitation":"(Zitouni &amp; Ben Jedidia, 2022)","plainTextFormattedCitation":"(Zitouni &amp; Ben Jedidia, 2022)","previouslyFormattedCitation":"(Zitouni &amp; Ben Jedidia, 2022)"},"properties":{"noteIndex":0},"schema":"https://github.com/citation-style-language/schema/raw/master/csl-citation.json"}</w:instrText>
      </w:r>
      <w:r w:rsidR="00C611A5" w:rsidRPr="004E16EB">
        <w:rPr>
          <w:rFonts w:ascii="Times New Roman" w:hAnsi="Times New Roman" w:cs="Times New Roman"/>
          <w:sz w:val="24"/>
          <w:szCs w:val="24"/>
        </w:rPr>
        <w:fldChar w:fldCharType="separate"/>
      </w:r>
      <w:r w:rsidR="00C611A5" w:rsidRPr="004E16EB">
        <w:rPr>
          <w:rFonts w:ascii="Times New Roman" w:hAnsi="Times New Roman" w:cs="Times New Roman"/>
          <w:noProof/>
          <w:sz w:val="24"/>
          <w:szCs w:val="24"/>
        </w:rPr>
        <w:t>(Zitouni &amp; Ben Jedidia, 2022)</w:t>
      </w:r>
      <w:r w:rsidR="00C611A5" w:rsidRPr="004E16EB">
        <w:rPr>
          <w:rFonts w:ascii="Times New Roman" w:hAnsi="Times New Roman" w:cs="Times New Roman"/>
          <w:sz w:val="24"/>
          <w:szCs w:val="24"/>
        </w:rPr>
        <w:fldChar w:fldCharType="end"/>
      </w:r>
      <w:r>
        <w:rPr>
          <w:rFonts w:ascii="Times New Roman" w:hAnsi="Times New Roman" w:cs="Times New Roman"/>
          <w:sz w:val="24"/>
          <w:szCs w:val="24"/>
        </w:rPr>
        <w:t xml:space="preserve"> </w:t>
      </w:r>
      <w:r w:rsidR="00C611A5" w:rsidRPr="004E16EB">
        <w:rPr>
          <w:rFonts w:ascii="Times New Roman" w:hAnsi="Times New Roman" w:cs="Times New Roman"/>
          <w:sz w:val="24"/>
          <w:szCs w:val="24"/>
        </w:rPr>
        <w:t xml:space="preserve">Special </w:t>
      </w:r>
      <w:r w:rsidR="00C611A5" w:rsidRPr="004E16EB">
        <w:rPr>
          <w:rFonts w:ascii="Times New Roman" w:hAnsi="Times New Roman"/>
          <w:sz w:val="24"/>
          <w:szCs w:val="24"/>
        </w:rPr>
        <w:t>ease of access to finance. According to</w:t>
      </w:r>
      <w:r>
        <w:rPr>
          <w:rFonts w:ascii="Times New Roman" w:hAnsi="Times New Roman" w:cs="Times New Roman"/>
          <w:noProof/>
          <w:sz w:val="24"/>
          <w:szCs w:val="24"/>
        </w:rPr>
        <w:t xml:space="preserve"> </w:t>
      </w:r>
      <w:r w:rsidRPr="00573487">
        <w:rPr>
          <w:rFonts w:ascii="Times New Roman" w:hAnsi="Times New Roman" w:cs="Times New Roman"/>
          <w:noProof/>
          <w:sz w:val="24"/>
          <w:szCs w:val="24"/>
        </w:rPr>
        <w:t xml:space="preserve">Rahman et al </w:t>
      </w:r>
      <w:r w:rsidR="00C611A5" w:rsidRPr="004E16EB">
        <w:rPr>
          <w:rFonts w:ascii="Times New Roman" w:hAnsi="Times New Roman"/>
          <w:sz w:val="24"/>
          <w:szCs w:val="24"/>
        </w:rPr>
        <w:t xml:space="preserve"> </w:t>
      </w:r>
      <w:r w:rsidR="00C611A5"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{"citationItems":[{"id":"ITEM-1","itemData":{"DOI":"10.1108/IJSE-02-2016-0070/FULL/HTML","ISSN":"03068293","abstract":"Purpose - The purpose of this paper is to examine the effects of microcredit on women's empowerment in rural Bangladesh using the latest primary data. Design/methodology/approach - Primary data have been collected by a household survey in the four districts of Bangladesh. Logistic regression is used to estimate the odd of improving women empowerment after participating in microfinance. Findings - The results show positive impacts of microfinance on most of the selected indicators for women's empowerment. Research limitations/implications - Lack of control groups and baseline data are the main limitation of this research. Future research can address this issue by selecting institutions with baseline data or control groups. Practical implications - The findings of the study can help policy makers to adopt appropriate policies that integrate empowerment in development projects with women. Social implications - The results of this research could encourage more women to participate in microfinance activities and development projects. Originality/value - This research provides the most updated data from a primary survey in Bangladesh. The authors also mitigate the possible selection biases by using a fixed-effects estimator.","author":[{"dropping-particle":"","family":"Rahman","given":"Mohammad Mafizur","non-dropping-particle":"","parse-names":false,"suffix":""},{"dropping-particle":"","family":"Khanam","given":"Rasheda","non-dropping-particle":"","parse-names":false,"suffix":""},{"dropping-particle":"","family":"Nghiem","given":"Son","non-dropping-particle":"","parse-names":false,"suffix":""}],"container-title":"International Journal of Social Economics","id":"ITEM-1","issue":"12","issued":{"date-parts":[["2017"]]},"page":"1745-1757","publisher":"Emerald Group Publishing Ltd.","title":"The effects of microfinance on women's empowerment: New evidence from Bangladesh","type":"article-journal","volume":"44"},"uris":["http://www.mendeley.com/documents/?uuid=5dbfd1bc-b59c-4f6b-82a3-3244980c57de","http://www.mendeley.com/documents/?uuid=227025a1-e285-34fb-a484-d6a3421a5ebb"]}],"mendeley":{"formattedCitation":"(Rahman et al., 2017)","manualFormatting":"(2017)","plainTextFormattedCitation":"(Rahman et al., 2017)","previouslyFormattedCitation":"(Rahman et al., 2017)"},"properties":{"noteIndex":0},"schema":"https://github.com/citation-style-language/schema/raw/master/csl-citation.json"}</w:instrText>
      </w:r>
      <w:r w:rsidR="00C611A5" w:rsidRPr="004E16EB">
        <w:rPr>
          <w:rFonts w:ascii="Times New Roman" w:hAnsi="Times New Roman" w:cs="Times New Roman"/>
          <w:sz w:val="24"/>
          <w:szCs w:val="24"/>
        </w:rPr>
        <w:fldChar w:fldCharType="separate"/>
      </w:r>
      <w:r w:rsidR="00573487" w:rsidRPr="00573487">
        <w:rPr>
          <w:rFonts w:ascii="Times New Roman" w:hAnsi="Times New Roman" w:cs="Times New Roman"/>
          <w:noProof/>
          <w:sz w:val="24"/>
          <w:szCs w:val="24"/>
        </w:rPr>
        <w:t>(2017)</w:t>
      </w:r>
      <w:r w:rsidR="00C611A5" w:rsidRPr="004E16EB">
        <w:rPr>
          <w:rFonts w:ascii="Times New Roman" w:hAnsi="Times New Roman" w:cs="Times New Roman"/>
          <w:sz w:val="24"/>
          <w:szCs w:val="24"/>
        </w:rPr>
        <w:fldChar w:fldCharType="end"/>
      </w:r>
      <w:r w:rsidR="00C611A5" w:rsidRPr="004E16EB">
        <w:rPr>
          <w:rFonts w:ascii="Times New Roman" w:hAnsi="Times New Roman" w:cs="Times New Roman"/>
          <w:sz w:val="24"/>
          <w:szCs w:val="24"/>
        </w:rPr>
        <w:t xml:space="preserve">, </w:t>
      </w:r>
      <w:r w:rsidR="00C611A5" w:rsidRPr="004E16EB">
        <w:rPr>
          <w:rFonts w:ascii="Times New Roman" w:hAnsi="Times New Roman"/>
          <w:sz w:val="24"/>
          <w:szCs w:val="24"/>
        </w:rPr>
        <w:t xml:space="preserve">Microfinance programs have been an important development strategy around the world for more than three decades, particularly in developing countries. One of the goals of microfinance is to reduce poverty by providing more access to financial institutions to empower the poor </w:t>
      </w:r>
      <w:r w:rsidR="00C611A5"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{"citationItems":[{"id":"ITEM-1","itemData":{"DOI":"10.1007/978-3-319-69799-4_3","abstract":"This chapter evaluates the impact of the Islamic microfinance institution toward the women empowerment. We surveyed approximately two hundred and forty women who had been involved in the microfinance of the Misykat program in the Dompet Peduli Ummat of Daarut Tauhid...","author":[{"dropping-particle":"","family":"Yaumidin","given":"Umi Karomah","non-dropping-particle":"","parse-names":false,"suffix":""},{"dropping-particle":"","family":"Suhodo","given":"Diah Setiari","non-dropping-particle":"","parse-names":false,"suffix":""},{"dropping-particle":"","family":"Yuniarti","given":"Putri Irma","non-dropping-particle":"","parse-names":false,"suffix":""},{"dropping-particle":"","family":"Hidayatina","given":"Achsanah","non-dropping-particle":"","parse-names":false,"suffix":""}],"container-title":"Financial Inclusion and Poverty Alleviation","id":"ITEM-1","issued":{"date-parts":[["2017"]]},"page":"81-140","publisher":"Palgrave Macmillan, Cham","title":"Financial Inclusion for Women: Impact Evaluation on Islamic Microfinance to Women’s Empowerment in Indonesia","type":"article-journal"},"uris":["http://www.mendeley.com/documents/?uuid=ab7184d1-c4f8-49a0-9b0f-1b00c68635a3","http://www.mendeley.com/documents/?uuid=cee2419c-bc37-398f-8df5-b6b871947227"]}],"mendeley":{"formattedCitation":"(Yaumidin et al., 2017)","manualFormatting":"(Yaumidin et al., 2017)","plainTextFormattedCitation":"(Yaumidin et al., 2017)","previouslyFormattedCitation":"(Yaumidin et al., 2017)"},"properties":{"noteIndex":0},"schema":"https://github.com/citation-style-language/schema/raw/master/csl-citation.json"}</w:instrText>
      </w:r>
      <w:r w:rsidR="00C611A5" w:rsidRPr="004E16EB">
        <w:rPr>
          <w:rFonts w:ascii="Times New Roman" w:hAnsi="Times New Roman" w:cs="Times New Roman"/>
          <w:sz w:val="24"/>
          <w:szCs w:val="24"/>
        </w:rPr>
        <w:fldChar w:fldCharType="separate"/>
      </w:r>
      <w:r w:rsidR="00C611A5" w:rsidRPr="004E16EB">
        <w:rPr>
          <w:rFonts w:ascii="Times New Roman" w:hAnsi="Times New Roman" w:cs="Times New Roman"/>
          <w:noProof/>
          <w:sz w:val="24"/>
          <w:szCs w:val="24"/>
        </w:rPr>
        <w:t>(Yaumidin et al., 2017)</w:t>
      </w:r>
      <w:r w:rsidR="00C611A5" w:rsidRPr="004E16EB">
        <w:rPr>
          <w:rFonts w:ascii="Times New Roman" w:hAnsi="Times New Roman" w:cs="Times New Roman"/>
          <w:sz w:val="24"/>
          <w:szCs w:val="24"/>
        </w:rPr>
        <w:fldChar w:fldCharType="end"/>
      </w:r>
      <w:r w:rsidR="00C611A5" w:rsidRPr="004E16EB">
        <w:rPr>
          <w:rFonts w:ascii="Times New Roman" w:hAnsi="Times New Roman" w:cs="Times New Roman"/>
          <w:sz w:val="24"/>
          <w:szCs w:val="24"/>
        </w:rPr>
        <w:t xml:space="preserve">. </w:t>
      </w:r>
      <w:r w:rsidR="00C611A5" w:rsidRPr="004E16EB">
        <w:rPr>
          <w:rFonts w:ascii="Times New Roman" w:hAnsi="Times New Roman"/>
          <w:sz w:val="24"/>
          <w:szCs w:val="24"/>
        </w:rPr>
        <w:t xml:space="preserve">SMI has a role in economic, socio-cultural, and family empowerment </w:t>
      </w:r>
      <w:r w:rsidR="00C611A5" w:rsidRPr="004E16EB">
        <w:rPr>
          <w:rFonts w:ascii="Times New Roman" w:hAnsi="Times New Roman" w:cs="Times New Roman"/>
          <w:sz w:val="24"/>
          <w:szCs w:val="24"/>
        </w:rPr>
        <w:fldChar w:fldCharType="begin" w:fldLock="1"/>
      </w:r>
      <w:r w:rsidR="004F1CC0">
        <w:rPr>
          <w:rFonts w:ascii="Times New Roman" w:hAnsi="Times New Roman" w:cs="Times New Roman"/>
          <w:sz w:val="24"/>
          <w:szCs w:val="24"/>
        </w:rPr>
        <w:instrText>ADDIN CSL_CITATION {"citationItems":[{"id":"ITEM-1","itemData":{"DOI":"10.1108/IJIF-11-2019-0174/FULL/HTML","ISSN":"0128-1976","abstract":"Purpose The purpose of this study is to investigate the impact of Islamic microfinance services (IMFS) on women’s empowerment in rural Bangladesh. Design/methodology/approach The study is based on a multi-stage sampling technique. The primary data are collected through a face-to-face survey of 389 women respondents who have received IMFS from the Islami Bank Bangladesh Limited. Cronbach’s alpha test is conducted to test the reliability and internal consistency of collected data. Paired-sample tests, logit regression and proportion hypothesis tests are conducted to measure the impact of IMFS on women’s empowerment. Descriptive and inferential statistics are used to interpret the data. Findings The study reveals that IMFS have led to structural transformation in the occupation dynamics of the respondents’ families from agriculture to retail businesses. IMFS have had a significant positive impact on household income, savings and expenditure; have improved standard of living and human capital formation; and have enhanced all three dimensions of empowerment, namely, economic empowerment (ECEM), socio-cultural empowerment (SCEM) and familial empowerment (FLEM). Of them, ECEM and SCEM have positively contributed toward overall women’s empowerment, while FLEM has a negative but insignificant impact on overall empowerment. The respondents’ perception also supports the finding that IMFS have benefited rural women and empowered them. Originality/value The study is based on primary data. It leads to an inquiry as to whether women are dominant in familial affairs. If so, it may reduce the state of happiness and overall women’s empowerment. There is a clear gap in the existing literature about this inquiry.","author":[{"dropping-particle":"","family":"Islam","given":"Md. Saiful","non-dropping-particle":"","parse-names":false,"suffix":""}],"container-title":"ISRA International Journal of Islamic Finance","id":"ITEM-1","issue":"1","issued":{"date-parts":[["2021","7"]]},"page":"26-45","publisher":"Emerald","title":"Role of Islamic microfinance in women’s empowerment: evidence from Rural Development Scheme of Islami Bank Bangladesh Limited","type":"article-journal","volume":"13"},"uris":["http://www.mendeley.com/documents/?uuid=a4585ef7-a29b-39e7-a0f6-91a6f1e5dddf","http://www.mendeley.com/documents/?uuid=6acca69e-0d03-446c-a9e8-a8c9a6edc64a"]}],"mendeley":{"formattedCitation":"(Islam, 2021)","plainTextFormattedCitation":"(Islam, 2021)","previouslyFormattedCitation":"(Islam, 2021)"},"properties":{"noteIndex":0},"schema":"https://github.com/citation-style-language/schema/raw/master/csl-citation.json"}</w:instrText>
      </w:r>
      <w:r w:rsidR="00C611A5" w:rsidRPr="004E16EB">
        <w:rPr>
          <w:rFonts w:ascii="Times New Roman" w:hAnsi="Times New Roman" w:cs="Times New Roman"/>
          <w:sz w:val="24"/>
          <w:szCs w:val="24"/>
        </w:rPr>
        <w:fldChar w:fldCharType="separate"/>
      </w:r>
      <w:r w:rsidR="00C611A5" w:rsidRPr="004E16EB">
        <w:rPr>
          <w:rFonts w:ascii="Times New Roman" w:hAnsi="Times New Roman" w:cs="Times New Roman"/>
          <w:noProof/>
          <w:sz w:val="24"/>
          <w:szCs w:val="24"/>
        </w:rPr>
        <w:t>(Islam, 2021)</w:t>
      </w:r>
      <w:r w:rsidR="00C611A5" w:rsidRPr="004E16EB">
        <w:rPr>
          <w:rFonts w:ascii="Times New Roman" w:hAnsi="Times New Roman" w:cs="Times New Roman"/>
          <w:sz w:val="24"/>
          <w:szCs w:val="24"/>
        </w:rPr>
        <w:fldChar w:fldCharType="end"/>
      </w:r>
      <w:r w:rsidR="00C611A5" w:rsidRPr="004E16EB">
        <w:rPr>
          <w:rFonts w:ascii="Times New Roman" w:hAnsi="Times New Roman" w:cs="Times New Roman"/>
          <w:sz w:val="24"/>
          <w:szCs w:val="24"/>
        </w:rPr>
        <w:t xml:space="preserve">. </w:t>
      </w:r>
      <w:r w:rsidR="00C611A5" w:rsidRPr="004E16EB">
        <w:rPr>
          <w:rFonts w:ascii="Times New Roman" w:hAnsi="Times New Roman"/>
          <w:sz w:val="24"/>
          <w:szCs w:val="24"/>
        </w:rPr>
        <w:lastRenderedPageBreak/>
        <w:t xml:space="preserve">Engaging women in microfinance improves their household position through self-access to income </w:t>
      </w:r>
      <w:r w:rsidR="00C611A5" w:rsidRPr="004E16EB">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{"citationItems":[{"id":"ITEM-1","itemData":{"DOI":"10.1007/978-3-319-69799-4_3","abstract":"This chapter evaluates the impact of the Islamic microfinance institution toward the women empowerment. We surveyed approximately two hundred and forty women who had been involved in the microfinance of the Misykat program in the Dompet Peduli Ummat of Daarut Tauhid...","author":[{"dropping-particle":"","family":"Yaumidin","given":"Umi Karomah","non-dropping-particle":"","parse-names":false,"suffix":""},{"dropping-particle":"","family":"Suhodo","given":"Diah Setiari","non-dropping-particle":"","parse-names":false,"suffix":""},{"dropping-particle":"","family":"Yuniarti","given":"Putri Irma","non-dropping-particle":"","parse-names":false,"suffix":""},{"dropping-particle":"","family":"Hidayatina","given":"Achsanah","non-dropping-particle":"","parse-names":false,"suffix":""}],"container-title":"Financial Inclusion and Poverty Alleviation","id":"ITEM-1","issued":{"date-parts":[["2017"]]},"page":"81-140","publisher":"Palgrave Macmillan, Cham","title":"Financial Inclusion for Women: Impact Evaluation on Islamic Microfinance to Women’s Empowerment in Indonesia","type":"article-journal"},"uris":["http://www.mendeley.com/documents/?uuid=ab7184d1-c4f8-49a0-9b0f-1b00c68635a3","http://www.mendeley.com/documents/?uuid=cee2419c-bc37-398f-8df5-b6b871947227"]}],"mendeley":{"formattedCitation":"(Yaumidin et al., 2017)","manualFormatting":"(Yaumidin et al., 2017)","plainTextFormattedCitation":"(Yaumidin et al., 2017)","previouslyFormattedCitation":"(Yaumidin et al., 2017)"},"properties":{"noteIndex":0},"schema":"https://github.com/citation-style-language/schema/raw/master/csl-citation.json"}</w:instrText>
      </w:r>
      <w:r w:rsidR="00C611A5" w:rsidRPr="004E16EB">
        <w:rPr>
          <w:rFonts w:ascii="Times New Roman" w:hAnsi="Times New Roman" w:cs="Times New Roman"/>
          <w:sz w:val="24"/>
          <w:szCs w:val="24"/>
        </w:rPr>
        <w:fldChar w:fldCharType="separate"/>
      </w:r>
      <w:r w:rsidR="00C611A5" w:rsidRPr="004E16EB">
        <w:rPr>
          <w:rFonts w:ascii="Times New Roman" w:hAnsi="Times New Roman" w:cs="Times New Roman"/>
          <w:noProof/>
          <w:sz w:val="24"/>
          <w:szCs w:val="24"/>
        </w:rPr>
        <w:t>(Yaumidin et al., 2017)</w:t>
      </w:r>
      <w:r w:rsidR="00C611A5" w:rsidRPr="004E16EB">
        <w:rPr>
          <w:rFonts w:ascii="Times New Roman" w:hAnsi="Times New Roman" w:cs="Times New Roman"/>
          <w:sz w:val="24"/>
          <w:szCs w:val="24"/>
        </w:rPr>
        <w:fldChar w:fldCharType="end"/>
      </w:r>
      <w:r w:rsidR="00C611A5" w:rsidRPr="004E16EB">
        <w:rPr>
          <w:rFonts w:ascii="Times New Roman" w:hAnsi="Times New Roman" w:cs="Times New Roman"/>
          <w:sz w:val="24"/>
          <w:szCs w:val="24"/>
        </w:rPr>
        <w:t xml:space="preserve">. </w:t>
      </w:r>
    </w:p>
    <w:p w14:paraId="7D999F82" w14:textId="40383072" w:rsidR="00C16EFA" w:rsidRPr="004E16EB" w:rsidRDefault="00C611A5" w:rsidP="009858D2">
      <w:pPr>
        <w:widowControl w:val="0"/>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Women's economic empowerment through</w:t>
      </w:r>
      <w:r w:rsidRPr="004E16EB">
        <w:rPr>
          <w:rFonts w:ascii="Times New Roman" w:hAnsi="Times New Roman"/>
          <w:i/>
          <w:iCs/>
          <w:sz w:val="24"/>
          <w:szCs w:val="24"/>
        </w:rPr>
        <w:t xml:space="preserve"> Halaqoh Model</w:t>
      </w:r>
      <w:r w:rsidRPr="004E16EB">
        <w:rPr>
          <w:rFonts w:ascii="Times New Roman" w:hAnsi="Times New Roman"/>
          <w:sz w:val="24"/>
          <w:szCs w:val="24"/>
        </w:rPr>
        <w:t xml:space="preserve">, although it is the main key in women's economic empowerment efforts, it has not fully succeeded in achieving its goals. The customer does not fully use the financing disbursed by MWB for business capital. Interviews with group leaders (AS, 2021) revealed that some customers use funds for consumptive purposes or to pay off debts (WT. 2021). This condition resulted in some group members being in arrears in financing installments, which should have been covered through group savings (R, 2021). These findings suggest that the approach through </w:t>
      </w:r>
      <w:r w:rsidR="007B5315">
        <w:rPr>
          <w:rFonts w:ascii="Times New Roman" w:hAnsi="Times New Roman"/>
          <w:i/>
          <w:iCs/>
          <w:sz w:val="24"/>
          <w:szCs w:val="24"/>
        </w:rPr>
        <w:t xml:space="preserve">Halaqoh </w:t>
      </w:r>
      <w:r w:rsidR="007B5315">
        <w:rPr>
          <w:rFonts w:ascii="Times New Roman" w:hAnsi="Times New Roman"/>
          <w:sz w:val="24"/>
          <w:szCs w:val="24"/>
        </w:rPr>
        <w:t xml:space="preserve"> weekly is not enough to ensure the effective and sustainable use of funds. Therefore, more intensive assistance and supervision, including field visits, to customers' places of business is needed to ensure that financing funds are used according to their purpose and can encourage the growth of micro businesses </w:t>
      </w:r>
      <w:r w:rsidR="006452AE">
        <w:rPr>
          <w:rFonts w:ascii="Times New Roman" w:hAnsi="Times New Roman"/>
          <w:sz w:val="24"/>
          <w:szCs w:val="24"/>
        </w:rPr>
        <w:fldChar w:fldCharType="begin" w:fldLock="1"/>
      </w:r>
      <w:r w:rsidR="006452AE">
        <w:rPr>
          <w:rFonts w:ascii="Times New Roman" w:hAnsi="Times New Roman"/>
          <w:sz w:val="24"/>
          <w:szCs w:val="24"/>
        </w:rPr>
        <w:instrText>ADDIN CSL_CITATION {"citationItems":[{"id":"ITEM-1","itemData":{"DOI":"10.1146/annurev-financial-111620-022516","ISSN":"1941-1367","abstract":"We provide a critical review of the empirical and theoretical literature on bank supervision. This review focuses on microprudential supervision: the supervision of individual banking institutions aimed at assessing the financial and operational health of those firms. Theory suggests that supervision is required not only to ensure compliance with regulation but also to allow for the use of soft information in mitigating externalities of bank failure. Empirically, more intensive supervision results in reduced risk-taking, but less consensus has been found on whether the risk-reducing impact of supervision comes at the cost of reduced credit supply. Theoretical costs and benefits of supervisory disclosure have been outlined, and this disclosure is informative to investors; however, it is difficult to identify the impact of disclosure distinct from supervisory and regulatory changes.","author":[{"dropping-particle":"","family":"Hirtle","given":"Beverly","non-dropping-particle":"","parse-names":false,"suffix":""},{"dropping-particle":"","family":"Kovner","given":"Anna","non-dropping-particle":"","parse-names":false,"suffix":""}],"container-title":"Annual Review of Financial Economics","id":"ITEM-1","issue":"1","issued":{"date-parts":[["2022","11","1"]]},"page":"39-56","title":"Bank Supervision","type":"article-journal","volume":"14"},"uris":["http://www.mendeley.com/documents/?uuid=d989275b-f7ab-49f1-858a-076796a5512a"]}],"mendeley":{"formattedCitation":"(Hirtle &amp; Kovner, 2022)","plainTextFormattedCitation":"(Hirtle &amp; Kovner, 2022)","previouslyFormattedCitation":"(Hirtle &amp; Kovner, 2022)"},"properties":{"noteIndex":0},"schema":"https://github.com/citation-style-language/schema/raw/master/csl-citation.json"}</w:instrText>
      </w:r>
      <w:r w:rsidR="006452AE">
        <w:rPr>
          <w:rFonts w:ascii="Times New Roman" w:hAnsi="Times New Roman"/>
          <w:sz w:val="24"/>
          <w:szCs w:val="24"/>
        </w:rPr>
        <w:fldChar w:fldCharType="separate"/>
      </w:r>
      <w:r w:rsidR="006452AE" w:rsidRPr="006452AE">
        <w:rPr>
          <w:rFonts w:ascii="Times New Roman" w:hAnsi="Times New Roman"/>
          <w:noProof/>
          <w:sz w:val="24"/>
          <w:szCs w:val="24"/>
        </w:rPr>
        <w:t>(Hirtle &amp; Kovner, 2022)</w:t>
      </w:r>
      <w:r w:rsidR="006452AE">
        <w:rPr>
          <w:rFonts w:ascii="Times New Roman" w:hAnsi="Times New Roman"/>
          <w:sz w:val="24"/>
          <w:szCs w:val="24"/>
        </w:rPr>
        <w:fldChar w:fldCharType="end"/>
      </w:r>
      <w:r w:rsidR="007B5315">
        <w:rPr>
          <w:rFonts w:ascii="Times New Roman" w:hAnsi="Times New Roman"/>
          <w:sz w:val="24"/>
          <w:szCs w:val="24"/>
        </w:rPr>
        <w:t xml:space="preserve">. </w:t>
      </w:r>
    </w:p>
    <w:p w14:paraId="09893631" w14:textId="77777777" w:rsidR="00C16EFA" w:rsidRPr="004E16EB" w:rsidRDefault="00C16EFA" w:rsidP="009858D2">
      <w:pPr>
        <w:widowControl w:val="0"/>
        <w:spacing w:after="0" w:line="240" w:lineRule="auto"/>
        <w:jc w:val="both"/>
      </w:pPr>
    </w:p>
    <w:p w14:paraId="6FF0A1EE" w14:textId="77777777" w:rsidR="00C16EFA" w:rsidRPr="004E16EB" w:rsidRDefault="00C611A5" w:rsidP="009858D2">
      <w:pPr>
        <w:pStyle w:val="ListParagraph"/>
        <w:widowControl w:val="0"/>
        <w:numPr>
          <w:ilvl w:val="0"/>
          <w:numId w:val="3"/>
        </w:numPr>
        <w:spacing w:after="0" w:line="240" w:lineRule="auto"/>
        <w:jc w:val="both"/>
        <w:rPr>
          <w:rFonts w:ascii="Times New Roman" w:hAnsi="Times New Roman" w:cs="Times New Roman"/>
          <w:b/>
          <w:sz w:val="24"/>
          <w:szCs w:val="24"/>
        </w:rPr>
      </w:pPr>
      <w:r w:rsidRPr="004E16EB">
        <w:rPr>
          <w:rFonts w:ascii="Times New Roman" w:hAnsi="Times New Roman" w:cs="Times New Roman"/>
          <w:b/>
          <w:sz w:val="24"/>
          <w:szCs w:val="24"/>
        </w:rPr>
        <w:t>Limitation</w:t>
      </w:r>
    </w:p>
    <w:p w14:paraId="5EC75755" w14:textId="20CE6CB1" w:rsidR="00C16EFA" w:rsidRDefault="003D76EC" w:rsidP="003D76EC">
      <w:pPr>
        <w:widowControl w:val="0"/>
        <w:spacing w:after="0" w:line="240" w:lineRule="auto"/>
        <w:ind w:firstLine="720"/>
        <w:jc w:val="both"/>
        <w:rPr>
          <w:rFonts w:ascii="Times New Roman" w:hAnsi="Times New Roman"/>
          <w:sz w:val="24"/>
          <w:szCs w:val="24"/>
        </w:rPr>
      </w:pPr>
      <w:r w:rsidRPr="003D76EC">
        <w:rPr>
          <w:rFonts w:ascii="Times New Roman" w:hAnsi="Times New Roman"/>
          <w:sz w:val="24"/>
          <w:szCs w:val="24"/>
        </w:rPr>
        <w:t>This research focuses on in-depth interviews related to the empowerment model applied by MWB for unbanked women, including training, financing disbursement, and customer assistance. However, this study does not cover aspects of financing risk management in Sharia Microfinance Institutions (SMI). Therefore, further studies are needed to explore the topic of financing risk management in more depth.</w:t>
      </w:r>
    </w:p>
    <w:p w14:paraId="2A2C8F8E" w14:textId="77777777" w:rsidR="00801B7E" w:rsidRPr="004E16EB" w:rsidRDefault="00801B7E" w:rsidP="003D76EC">
      <w:pPr>
        <w:widowControl w:val="0"/>
        <w:spacing w:after="0" w:line="240" w:lineRule="auto"/>
        <w:ind w:firstLine="720"/>
        <w:jc w:val="both"/>
        <w:rPr>
          <w:rFonts w:ascii="Times New Roman" w:hAnsi="Times New Roman" w:cs="Times New Roman"/>
          <w:sz w:val="24"/>
          <w:szCs w:val="24"/>
        </w:rPr>
      </w:pPr>
    </w:p>
    <w:p w14:paraId="206E4E31" w14:textId="1C034AC6" w:rsidR="00C16EFA" w:rsidRPr="004E16EB" w:rsidRDefault="00C611A5" w:rsidP="009858D2">
      <w:pPr>
        <w:pStyle w:val="ListParagraph"/>
        <w:widowControl w:val="0"/>
        <w:numPr>
          <w:ilvl w:val="0"/>
          <w:numId w:val="3"/>
        </w:numPr>
        <w:spacing w:after="0" w:line="240" w:lineRule="auto"/>
        <w:jc w:val="both"/>
        <w:rPr>
          <w:rFonts w:ascii="Times New Roman" w:hAnsi="Times New Roman" w:cs="Times New Roman"/>
          <w:b/>
          <w:bCs/>
          <w:sz w:val="24"/>
          <w:szCs w:val="24"/>
        </w:rPr>
      </w:pPr>
      <w:r w:rsidRPr="004E16EB">
        <w:rPr>
          <w:rFonts w:ascii="Times New Roman" w:hAnsi="Times New Roman"/>
          <w:b/>
          <w:bCs/>
          <w:sz w:val="24"/>
          <w:szCs w:val="24"/>
        </w:rPr>
        <w:t>Conclusions and Implications</w:t>
      </w:r>
    </w:p>
    <w:p w14:paraId="20237E3B" w14:textId="75291BE3" w:rsidR="00E00D0C" w:rsidRPr="00801B7E" w:rsidRDefault="00E00D0C" w:rsidP="00801B7E">
      <w:pPr>
        <w:pStyle w:val="ListParagraph"/>
        <w:widowControl w:val="0"/>
        <w:spacing w:after="0" w:line="240" w:lineRule="auto"/>
        <w:ind w:left="90" w:firstLine="720"/>
        <w:jc w:val="both"/>
        <w:rPr>
          <w:rFonts w:ascii="Times New Roman" w:hAnsi="Times New Roman"/>
          <w:sz w:val="24"/>
          <w:szCs w:val="24"/>
        </w:rPr>
      </w:pPr>
      <w:r w:rsidRPr="00E00D0C">
        <w:rPr>
          <w:rFonts w:ascii="Times New Roman" w:hAnsi="Times New Roman"/>
          <w:sz w:val="24"/>
          <w:szCs w:val="24"/>
        </w:rPr>
        <w:t>This study examines the women's economic empowerment model applied by the Micro Waqf Bank (MWB) for poor but potentially productive women who live around Islamic boarding schools. Through a group approach with a shared responsibility system, MWB distributes microloans and implements empowerment programs starting from the Group Character Orientation (GCO), Group Character Training (GCT) stage, to routine mentoring using the halaqoh model. In the halaqoh model, participants sit cross-legged in a semicircle, facing the supervisor, with the participant who needs the most financing sitting behind, the group leader in front, and the recipient of the last fund. This approach not only improves financial access, but also builds the character of sharia business, such as discipline, honesty, trust, care, and financial responsibility.</w:t>
      </w:r>
    </w:p>
    <w:p w14:paraId="7F0451E4" w14:textId="42F7358E" w:rsidR="00E00D0C" w:rsidRPr="00801B7E" w:rsidRDefault="00E00D0C" w:rsidP="00801B7E">
      <w:pPr>
        <w:pStyle w:val="ListParagraph"/>
        <w:widowControl w:val="0"/>
        <w:spacing w:after="0" w:line="240" w:lineRule="auto"/>
        <w:ind w:left="90" w:firstLine="720"/>
        <w:jc w:val="both"/>
        <w:rPr>
          <w:rFonts w:ascii="Times New Roman" w:hAnsi="Times New Roman"/>
          <w:sz w:val="24"/>
          <w:szCs w:val="24"/>
        </w:rPr>
      </w:pPr>
      <w:r w:rsidRPr="00E00D0C">
        <w:rPr>
          <w:rFonts w:ascii="Times New Roman" w:hAnsi="Times New Roman"/>
          <w:sz w:val="24"/>
          <w:szCs w:val="24"/>
        </w:rPr>
        <w:t>The halaqoh model implemented by MWB has proven to be effective in improving women's economic welfare through microfinancing. In addition, participants also received assistance in household financial management, business development, and Islamic spiritual assistance. The program can be replicated and expanded to other regions to improve access to microfinance and empower more poor women. However, this research is limited to the empowerment model and does not cover the aspect of group-based financing risk management. Therefore, further studies are needed to explore risk management in sharia microfinance.</w:t>
      </w:r>
    </w:p>
    <w:p w14:paraId="4ABE6CCC" w14:textId="0CAE72EE" w:rsidR="00C16EFA" w:rsidRDefault="00E00D0C" w:rsidP="00E00D0C">
      <w:pPr>
        <w:pStyle w:val="ListParagraph"/>
        <w:widowControl w:val="0"/>
        <w:spacing w:after="0" w:line="240" w:lineRule="auto"/>
        <w:ind w:left="90" w:firstLine="720"/>
        <w:jc w:val="both"/>
        <w:rPr>
          <w:rFonts w:ascii="Times New Roman" w:hAnsi="Times New Roman"/>
          <w:sz w:val="24"/>
          <w:szCs w:val="24"/>
        </w:rPr>
      </w:pPr>
      <w:r w:rsidRPr="00E00D0C">
        <w:rPr>
          <w:rFonts w:ascii="Times New Roman" w:hAnsi="Times New Roman"/>
          <w:sz w:val="24"/>
          <w:szCs w:val="24"/>
        </w:rPr>
        <w:t>A new insight from this study is that the halaqoh model is very suitable for use in the empowerment of unbanked women. Weekly halaqoh meetings not only improve financial literacy and entrepreneurship, but also foster mental attitudes, a sense of togetherness, commitment, discipline, solidarity, responsibility, and groupwork. These findings have significant practical implications. First, the government can make MWB a basic model for economic empowerment of unbanked women, so that they can actively participate in economic activities and improve family welfare. Second, the results of this study can be an inspiration for women micro and small entrepreneurs to continue to fight against marginalization in the financial aspect.</w:t>
      </w:r>
    </w:p>
    <w:p w14:paraId="3A2C1435" w14:textId="77777777" w:rsidR="00E00D0C" w:rsidRPr="00801B7E" w:rsidRDefault="00E00D0C" w:rsidP="00801B7E">
      <w:pPr>
        <w:widowControl w:val="0"/>
        <w:spacing w:after="0" w:line="240" w:lineRule="auto"/>
        <w:jc w:val="both"/>
        <w:rPr>
          <w:rFonts w:ascii="Times New Roman" w:hAnsi="Times New Roman" w:cs="Times New Roman"/>
          <w:sz w:val="24"/>
          <w:szCs w:val="24"/>
          <w:lang w:val="id-ID"/>
        </w:rPr>
      </w:pPr>
    </w:p>
    <w:p w14:paraId="723296ED" w14:textId="77777777" w:rsidR="00801B7E" w:rsidRDefault="00801B7E" w:rsidP="00801B7E">
      <w:pPr>
        <w:spacing w:after="0" w:line="240" w:lineRule="auto"/>
        <w:jc w:val="both"/>
        <w:rPr>
          <w:rFonts w:ascii="Times New Roman" w:hAnsi="Times New Roman" w:cs="Times New Roman"/>
          <w:b/>
          <w:sz w:val="24"/>
          <w:szCs w:val="24"/>
        </w:rPr>
      </w:pPr>
      <w:r w:rsidRPr="00801B7E">
        <w:rPr>
          <w:rFonts w:ascii="Times New Roman" w:hAnsi="Times New Roman" w:cs="Times New Roman"/>
          <w:b/>
          <w:sz w:val="24"/>
          <w:szCs w:val="24"/>
        </w:rPr>
        <w:lastRenderedPageBreak/>
        <w:t>Acknowledgement</w:t>
      </w:r>
    </w:p>
    <w:p w14:paraId="4396B847" w14:textId="65A47BE9" w:rsidR="00C16EFA" w:rsidRPr="004E16EB" w:rsidRDefault="00C611A5" w:rsidP="009858D2">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The authors are grateful to the leaders and mentors of the IA Scholar Foundation for providing direction in completing this research.</w:t>
      </w:r>
    </w:p>
    <w:p w14:paraId="08286452" w14:textId="77777777" w:rsidR="00C16EFA" w:rsidRPr="004E16EB" w:rsidRDefault="00C16EFA" w:rsidP="009858D2">
      <w:pPr>
        <w:spacing w:after="0" w:line="240" w:lineRule="auto"/>
        <w:rPr>
          <w:rFonts w:ascii="Times New Roman" w:hAnsi="Times New Roman" w:cs="Times New Roman"/>
          <w:sz w:val="24"/>
          <w:szCs w:val="24"/>
        </w:rPr>
      </w:pPr>
    </w:p>
    <w:p w14:paraId="109D602E" w14:textId="77777777" w:rsidR="00C16EFA" w:rsidRPr="004E16EB" w:rsidRDefault="00C611A5" w:rsidP="009858D2">
      <w:pPr>
        <w:spacing w:after="0" w:line="240" w:lineRule="auto"/>
        <w:rPr>
          <w:rFonts w:ascii="Times New Roman" w:hAnsi="Times New Roman" w:cs="Times New Roman"/>
          <w:b/>
          <w:sz w:val="24"/>
          <w:szCs w:val="24"/>
        </w:rPr>
      </w:pPr>
      <w:r w:rsidRPr="004E16EB">
        <w:rPr>
          <w:rFonts w:ascii="Times New Roman" w:hAnsi="Times New Roman"/>
          <w:b/>
          <w:sz w:val="24"/>
          <w:szCs w:val="24"/>
        </w:rPr>
        <w:t>Funding</w:t>
      </w:r>
    </w:p>
    <w:p w14:paraId="007F75A5" w14:textId="77777777" w:rsidR="00C16EFA" w:rsidRPr="004E16EB" w:rsidRDefault="00C611A5" w:rsidP="009858D2">
      <w:pPr>
        <w:spacing w:after="0" w:line="240" w:lineRule="auto"/>
        <w:ind w:firstLine="720"/>
        <w:rPr>
          <w:rFonts w:ascii="Times New Roman" w:hAnsi="Times New Roman" w:cs="Times New Roman"/>
          <w:sz w:val="24"/>
          <w:szCs w:val="24"/>
        </w:rPr>
      </w:pPr>
      <w:r w:rsidRPr="004E16EB">
        <w:rPr>
          <w:rFonts w:ascii="Times New Roman" w:hAnsi="Times New Roman"/>
          <w:sz w:val="24"/>
          <w:szCs w:val="24"/>
        </w:rPr>
        <w:t>The author does not receive funding for this publication fee</w:t>
      </w:r>
      <w:r w:rsidRPr="004E16EB">
        <w:rPr>
          <w:rFonts w:ascii="Times New Roman" w:hAnsi="Times New Roman" w:cs="Times New Roman"/>
          <w:sz w:val="24"/>
          <w:szCs w:val="24"/>
        </w:rPr>
        <w:t xml:space="preserve">. </w:t>
      </w:r>
    </w:p>
    <w:p w14:paraId="34D0DF82" w14:textId="3F70AA4E" w:rsidR="00C16EFA" w:rsidRDefault="00C16EFA" w:rsidP="009858D2">
      <w:pPr>
        <w:spacing w:after="0" w:line="240" w:lineRule="auto"/>
        <w:rPr>
          <w:rFonts w:ascii="Times New Roman" w:hAnsi="Times New Roman" w:cs="Times New Roman"/>
          <w:sz w:val="24"/>
          <w:szCs w:val="24"/>
        </w:rPr>
      </w:pPr>
    </w:p>
    <w:p w14:paraId="604254A4" w14:textId="6BB5FD67" w:rsidR="00801B7E" w:rsidRDefault="00801B7E" w:rsidP="009858D2">
      <w:pPr>
        <w:spacing w:after="0" w:line="240" w:lineRule="auto"/>
        <w:rPr>
          <w:rFonts w:ascii="Times New Roman" w:hAnsi="Times New Roman" w:cs="Times New Roman"/>
          <w:sz w:val="24"/>
          <w:szCs w:val="24"/>
        </w:rPr>
      </w:pPr>
    </w:p>
    <w:p w14:paraId="3FC752DA" w14:textId="77777777" w:rsidR="00801B7E" w:rsidRPr="004E16EB" w:rsidRDefault="00801B7E" w:rsidP="009858D2">
      <w:pPr>
        <w:spacing w:after="0" w:line="240" w:lineRule="auto"/>
        <w:rPr>
          <w:rFonts w:ascii="Times New Roman" w:hAnsi="Times New Roman" w:cs="Times New Roman"/>
          <w:sz w:val="24"/>
          <w:szCs w:val="24"/>
        </w:rPr>
      </w:pPr>
    </w:p>
    <w:p w14:paraId="4C1B4A48" w14:textId="77777777" w:rsidR="00C16EFA" w:rsidRPr="004E16EB" w:rsidRDefault="00C611A5" w:rsidP="009858D2">
      <w:pPr>
        <w:spacing w:after="0" w:line="240" w:lineRule="auto"/>
        <w:rPr>
          <w:rFonts w:ascii="Times New Roman" w:hAnsi="Times New Roman" w:cs="Times New Roman"/>
          <w:b/>
          <w:sz w:val="24"/>
          <w:szCs w:val="24"/>
        </w:rPr>
      </w:pPr>
      <w:r w:rsidRPr="004E16EB">
        <w:rPr>
          <w:rFonts w:ascii="Times New Roman" w:hAnsi="Times New Roman" w:cs="Times New Roman"/>
          <w:b/>
          <w:sz w:val="24"/>
          <w:szCs w:val="24"/>
        </w:rPr>
        <w:t>Author Details</w:t>
      </w:r>
    </w:p>
    <w:p w14:paraId="443BF710" w14:textId="77777777" w:rsidR="0020671C" w:rsidRPr="004E16EB" w:rsidRDefault="0020671C" w:rsidP="009858D2">
      <w:pPr>
        <w:spacing w:after="0" w:line="240" w:lineRule="auto"/>
        <w:rPr>
          <w:rFonts w:ascii="Times New Roman" w:eastAsia="Calibri" w:hAnsi="Times New Roman" w:cs="Times New Roman"/>
          <w:bCs/>
          <w:sz w:val="24"/>
          <w:szCs w:val="24"/>
          <w:vertAlign w:val="superscript"/>
        </w:rPr>
      </w:pPr>
      <w:r w:rsidRPr="004E16EB">
        <w:rPr>
          <w:rFonts w:ascii="Times New Roman" w:eastAsia="Calibri" w:hAnsi="Times New Roman" w:cs="Times New Roman"/>
          <w:bCs/>
          <w:sz w:val="24"/>
          <w:szCs w:val="24"/>
        </w:rPr>
        <w:t>Rozalinda1</w:t>
      </w:r>
    </w:p>
    <w:p w14:paraId="4B81F8B4" w14:textId="77777777" w:rsidR="0020671C" w:rsidRPr="004E16EB" w:rsidRDefault="0020671C" w:rsidP="009858D2">
      <w:pPr>
        <w:spacing w:after="0" w:line="240" w:lineRule="auto"/>
        <w:rPr>
          <w:rFonts w:ascii="Times New Roman" w:eastAsia="Calibri" w:hAnsi="Times New Roman" w:cs="Times New Roman"/>
          <w:bCs/>
          <w:sz w:val="24"/>
          <w:szCs w:val="24"/>
        </w:rPr>
      </w:pPr>
      <w:r w:rsidRPr="004E16EB">
        <w:rPr>
          <w:rFonts w:ascii="Times New Roman" w:eastAsia="Calibri" w:hAnsi="Times New Roman" w:cs="Times New Roman"/>
          <w:bCs/>
          <w:sz w:val="24"/>
          <w:szCs w:val="24"/>
        </w:rPr>
        <w:t>Faculty of Islamic Economics and Business UIN Imam Bonjol Padang, Indonesia</w:t>
      </w:r>
    </w:p>
    <w:p w14:paraId="542EEDB4" w14:textId="77777777" w:rsidR="0020671C" w:rsidRPr="004E16EB" w:rsidRDefault="006A6294" w:rsidP="009858D2">
      <w:pPr>
        <w:spacing w:after="0" w:line="240" w:lineRule="auto"/>
        <w:rPr>
          <w:rFonts w:ascii="Times New Roman" w:eastAsia="Calibri" w:hAnsi="Times New Roman" w:cs="Times New Roman"/>
          <w:bCs/>
          <w:sz w:val="24"/>
          <w:szCs w:val="24"/>
        </w:rPr>
      </w:pPr>
      <w:hyperlink r:id="rId13" w:history="1">
        <w:r w:rsidR="0020671C" w:rsidRPr="004E16EB">
          <w:rPr>
            <w:rStyle w:val="Hyperlink"/>
            <w:rFonts w:ascii="Times New Roman" w:eastAsia="Calibri" w:hAnsi="Times New Roman" w:cs="Times New Roman"/>
            <w:bCs/>
            <w:sz w:val="24"/>
            <w:szCs w:val="24"/>
          </w:rPr>
          <w:t>rozalinda@uinib.ac.id</w:t>
        </w:r>
      </w:hyperlink>
    </w:p>
    <w:p w14:paraId="716E7396" w14:textId="77777777" w:rsidR="0020671C" w:rsidRPr="004E16EB" w:rsidRDefault="0020671C" w:rsidP="009858D2">
      <w:pPr>
        <w:spacing w:after="0" w:line="240" w:lineRule="auto"/>
        <w:rPr>
          <w:rFonts w:ascii="Times New Roman" w:hAnsi="Times New Roman"/>
          <w:sz w:val="24"/>
          <w:szCs w:val="24"/>
        </w:rPr>
      </w:pPr>
      <w:r w:rsidRPr="004E16EB">
        <w:rPr>
          <w:rFonts w:ascii="Times New Roman" w:eastAsia="Calibri" w:hAnsi="Times New Roman" w:cs="Times New Roman"/>
          <w:bCs/>
          <w:sz w:val="24"/>
          <w:szCs w:val="24"/>
        </w:rPr>
        <w:t xml:space="preserve">Irwan Abdullah2  </w:t>
      </w:r>
    </w:p>
    <w:p w14:paraId="35554272" w14:textId="77777777" w:rsidR="0020671C" w:rsidRPr="004E16EB" w:rsidRDefault="0020671C" w:rsidP="009858D2">
      <w:pPr>
        <w:spacing w:after="0" w:line="240" w:lineRule="auto"/>
        <w:rPr>
          <w:rFonts w:ascii="Times New Roman" w:hAnsi="Times New Roman"/>
          <w:sz w:val="24"/>
          <w:szCs w:val="24"/>
        </w:rPr>
      </w:pPr>
      <w:r w:rsidRPr="004E16EB">
        <w:rPr>
          <w:rFonts w:ascii="Times New Roman" w:hAnsi="Times New Roman"/>
          <w:sz w:val="24"/>
          <w:szCs w:val="24"/>
        </w:rPr>
        <w:t>Faculty of Cultural Sciences, Gadjah Mada University</w:t>
      </w:r>
    </w:p>
    <w:p w14:paraId="22E2DA1F" w14:textId="77777777" w:rsidR="0020671C" w:rsidRPr="004E16EB" w:rsidRDefault="0020671C" w:rsidP="009858D2">
      <w:pPr>
        <w:spacing w:after="0" w:line="240" w:lineRule="auto"/>
        <w:rPr>
          <w:rFonts w:ascii="Times New Roman" w:eastAsia="Calibri" w:hAnsi="Times New Roman" w:cs="Times New Roman"/>
          <w:bCs/>
          <w:sz w:val="24"/>
          <w:szCs w:val="24"/>
        </w:rPr>
      </w:pPr>
      <w:r w:rsidRPr="004E16EB">
        <w:rPr>
          <w:rFonts w:ascii="Times New Roman" w:hAnsi="Times New Roman"/>
          <w:sz w:val="24"/>
          <w:szCs w:val="24"/>
        </w:rPr>
        <w:t>Irwan.fib@ugm.ac.id</w:t>
      </w:r>
    </w:p>
    <w:p w14:paraId="73D68E68" w14:textId="77777777" w:rsidR="0020671C" w:rsidRPr="004E16EB" w:rsidRDefault="0020671C" w:rsidP="009858D2">
      <w:pPr>
        <w:spacing w:before="120" w:after="0" w:line="240" w:lineRule="auto"/>
        <w:rPr>
          <w:rFonts w:ascii="Times New Roman" w:hAnsi="Times New Roman" w:cs="Times New Roman"/>
          <w:sz w:val="24"/>
          <w:szCs w:val="24"/>
          <w:vertAlign w:val="superscript"/>
        </w:rPr>
      </w:pPr>
      <w:r w:rsidRPr="004E16EB">
        <w:rPr>
          <w:rFonts w:ascii="Times New Roman" w:eastAsia="Calibri" w:hAnsi="Times New Roman" w:cs="Times New Roman"/>
          <w:bCs/>
          <w:sz w:val="24"/>
          <w:szCs w:val="24"/>
        </w:rPr>
        <w:t>Zaenuddin</w:t>
      </w:r>
      <w:r w:rsidRPr="004E16EB">
        <w:rPr>
          <w:rFonts w:ascii="Times New Roman" w:hAnsi="Times New Roman" w:cs="Times New Roman"/>
          <w:sz w:val="24"/>
          <w:szCs w:val="24"/>
        </w:rPr>
        <w:t xml:space="preserve"> Hudi Prasojo3</w:t>
      </w:r>
    </w:p>
    <w:p w14:paraId="09222000" w14:textId="77777777" w:rsidR="0020671C" w:rsidRPr="004E16EB" w:rsidRDefault="0020671C" w:rsidP="009858D2">
      <w:pPr>
        <w:spacing w:after="0" w:line="240" w:lineRule="auto"/>
        <w:rPr>
          <w:rFonts w:ascii="Times New Roman" w:hAnsi="Times New Roman" w:cs="Times New Roman"/>
          <w:sz w:val="24"/>
          <w:szCs w:val="24"/>
        </w:rPr>
      </w:pPr>
      <w:r w:rsidRPr="004E16EB">
        <w:rPr>
          <w:rFonts w:ascii="Times New Roman" w:hAnsi="Times New Roman" w:cs="Times New Roman"/>
          <w:sz w:val="24"/>
          <w:szCs w:val="24"/>
        </w:rPr>
        <w:t>State Islamic Institute (IAIN) Pontianak, West Kalimantan, Indonesia</w:t>
      </w:r>
    </w:p>
    <w:p w14:paraId="7D3248FB" w14:textId="77777777" w:rsidR="0020671C" w:rsidRPr="004E16EB" w:rsidRDefault="0020671C" w:rsidP="009858D2">
      <w:pPr>
        <w:spacing w:after="0" w:line="240" w:lineRule="auto"/>
        <w:rPr>
          <w:rFonts w:ascii="Times New Roman" w:hAnsi="Times New Roman" w:cs="Times New Roman"/>
          <w:sz w:val="24"/>
          <w:szCs w:val="24"/>
        </w:rPr>
      </w:pPr>
      <w:r w:rsidRPr="004E16EB">
        <w:rPr>
          <w:rFonts w:ascii="Times New Roman" w:hAnsi="Times New Roman" w:cs="Times New Roman"/>
          <w:sz w:val="24"/>
          <w:szCs w:val="24"/>
        </w:rPr>
        <w:t>zaestain@yahoo.com</w:t>
      </w:r>
    </w:p>
    <w:p w14:paraId="0D26D31A" w14:textId="77777777" w:rsidR="0020671C" w:rsidRPr="004E16EB" w:rsidRDefault="0020671C" w:rsidP="009858D2">
      <w:pPr>
        <w:spacing w:before="120" w:after="0" w:line="240" w:lineRule="auto"/>
        <w:rPr>
          <w:rFonts w:ascii="Times New Roman" w:eastAsia="Calibri" w:hAnsi="Times New Roman" w:cs="Times New Roman"/>
          <w:bCs/>
          <w:sz w:val="24"/>
          <w:szCs w:val="24"/>
          <w:vertAlign w:val="superscript"/>
        </w:rPr>
      </w:pPr>
      <w:r w:rsidRPr="004E16EB">
        <w:rPr>
          <w:rFonts w:ascii="Times New Roman" w:eastAsia="Calibri" w:hAnsi="Times New Roman" w:cs="Times New Roman"/>
          <w:bCs/>
          <w:sz w:val="24"/>
          <w:szCs w:val="24"/>
        </w:rPr>
        <w:t>Nurhasnah4</w:t>
      </w:r>
    </w:p>
    <w:p w14:paraId="257D411F" w14:textId="77777777" w:rsidR="0020671C" w:rsidRPr="004E16EB" w:rsidRDefault="0020671C" w:rsidP="009858D2">
      <w:pPr>
        <w:spacing w:after="0" w:line="240" w:lineRule="auto"/>
        <w:rPr>
          <w:rFonts w:ascii="Times New Roman" w:hAnsi="Times New Roman" w:cs="Times New Roman"/>
          <w:sz w:val="24"/>
          <w:szCs w:val="24"/>
        </w:rPr>
      </w:pPr>
      <w:r w:rsidRPr="004E16EB">
        <w:rPr>
          <w:rFonts w:ascii="Times New Roman" w:hAnsi="Times New Roman" w:cs="Times New Roman"/>
          <w:sz w:val="24"/>
          <w:szCs w:val="24"/>
        </w:rPr>
        <w:t>Faculty of Sharia UIN Imam Bonjol Padang, Indonesia</w:t>
      </w:r>
    </w:p>
    <w:p w14:paraId="51381056" w14:textId="77777777" w:rsidR="0020671C" w:rsidRPr="004E16EB" w:rsidRDefault="0020671C" w:rsidP="009858D2">
      <w:pPr>
        <w:spacing w:after="0" w:line="240" w:lineRule="auto"/>
        <w:rPr>
          <w:rFonts w:ascii="Times New Roman" w:hAnsi="Times New Roman" w:cs="Times New Roman"/>
          <w:sz w:val="24"/>
          <w:szCs w:val="24"/>
        </w:rPr>
      </w:pPr>
      <w:r w:rsidRPr="004E16EB">
        <w:rPr>
          <w:rFonts w:ascii="Times New Roman" w:eastAsia="Calibri" w:hAnsi="Times New Roman" w:cs="Times New Roman"/>
          <w:bCs/>
          <w:sz w:val="24"/>
          <w:szCs w:val="24"/>
        </w:rPr>
        <w:t xml:space="preserve">nurhasnah@uinib.ac.id </w:t>
      </w:r>
    </w:p>
    <w:p w14:paraId="4DFD7925" w14:textId="48100D98" w:rsidR="00C16EFA" w:rsidRDefault="00C16EFA" w:rsidP="009858D2">
      <w:pPr>
        <w:widowControl w:val="0"/>
        <w:spacing w:after="0" w:line="240" w:lineRule="auto"/>
        <w:jc w:val="both"/>
        <w:rPr>
          <w:rFonts w:ascii="Times New Roman" w:hAnsi="Times New Roman" w:cs="Times New Roman"/>
          <w:b/>
          <w:bCs/>
          <w:sz w:val="24"/>
          <w:szCs w:val="24"/>
        </w:rPr>
      </w:pPr>
    </w:p>
    <w:p w14:paraId="101D5F74" w14:textId="77777777" w:rsidR="00C16EFA" w:rsidRPr="004E16EB" w:rsidRDefault="00C611A5" w:rsidP="009858D2">
      <w:pPr>
        <w:widowControl w:val="0"/>
        <w:spacing w:after="0" w:line="240" w:lineRule="auto"/>
        <w:jc w:val="both"/>
        <w:rPr>
          <w:rFonts w:ascii="Times New Roman" w:hAnsi="Times New Roman" w:cs="Times New Roman"/>
          <w:b/>
          <w:bCs/>
          <w:sz w:val="24"/>
          <w:szCs w:val="24"/>
        </w:rPr>
      </w:pPr>
      <w:r w:rsidRPr="004E16EB">
        <w:rPr>
          <w:rFonts w:ascii="Times New Roman" w:hAnsi="Times New Roman" w:cs="Times New Roman"/>
          <w:b/>
          <w:bCs/>
          <w:sz w:val="24"/>
          <w:szCs w:val="24"/>
        </w:rPr>
        <w:t>REFERENCE</w:t>
      </w:r>
    </w:p>
    <w:p w14:paraId="35A18DE0" w14:textId="5DBA8E75" w:rsidR="000F1614" w:rsidRPr="000F1614" w:rsidRDefault="00C611A5"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4E16EB">
        <w:rPr>
          <w:rFonts w:ascii="Times New Roman" w:hAnsi="Times New Roman" w:cs="Times New Roman"/>
          <w:b/>
          <w:bCs/>
          <w:sz w:val="24"/>
          <w:szCs w:val="24"/>
        </w:rPr>
        <w:fldChar w:fldCharType="begin" w:fldLock="1"/>
      </w:r>
      <w:r w:rsidRPr="004E16EB">
        <w:rPr>
          <w:rFonts w:ascii="Times New Roman" w:hAnsi="Times New Roman" w:cs="Times New Roman"/>
          <w:b/>
          <w:bCs/>
          <w:sz w:val="24"/>
          <w:szCs w:val="24"/>
        </w:rPr>
        <w:instrText xml:space="preserve">ADDIN Mendeley Bibliography CSL_BIBLIOGRAPHY </w:instrText>
      </w:r>
      <w:r w:rsidRPr="004E16EB">
        <w:rPr>
          <w:rFonts w:ascii="Times New Roman" w:hAnsi="Times New Roman" w:cs="Times New Roman"/>
          <w:b/>
          <w:bCs/>
          <w:sz w:val="24"/>
          <w:szCs w:val="24"/>
        </w:rPr>
        <w:fldChar w:fldCharType="separate"/>
      </w:r>
      <w:r w:rsidR="000F1614" w:rsidRPr="000F1614">
        <w:rPr>
          <w:rFonts w:ascii="Times New Roman" w:hAnsi="Times New Roman" w:cs="Times New Roman"/>
          <w:noProof/>
          <w:sz w:val="24"/>
          <w:szCs w:val="24"/>
        </w:rPr>
        <w:t xml:space="preserve">Aggarwal, S., Kumar, P., &amp; Garg, V. (2020). Empowering SHGs Women through Micro-finance in Uttar Pradesh. </w:t>
      </w:r>
      <w:r w:rsidR="000F1614" w:rsidRPr="000F1614">
        <w:rPr>
          <w:rFonts w:ascii="Times New Roman" w:hAnsi="Times New Roman" w:cs="Times New Roman"/>
          <w:i/>
          <w:iCs/>
          <w:noProof/>
          <w:sz w:val="24"/>
          <w:szCs w:val="24"/>
        </w:rPr>
        <w:t>International Journal of Law and Management</w:t>
      </w:r>
      <w:r w:rsidR="000F1614" w:rsidRPr="000F1614">
        <w:rPr>
          <w:rFonts w:ascii="Times New Roman" w:hAnsi="Times New Roman" w:cs="Times New Roman"/>
          <w:noProof/>
          <w:sz w:val="24"/>
          <w:szCs w:val="24"/>
        </w:rPr>
        <w:t xml:space="preserve">, </w:t>
      </w:r>
      <w:r w:rsidR="000F1614" w:rsidRPr="000F1614">
        <w:rPr>
          <w:rFonts w:ascii="Times New Roman" w:hAnsi="Times New Roman" w:cs="Times New Roman"/>
          <w:i/>
          <w:iCs/>
          <w:noProof/>
          <w:sz w:val="24"/>
          <w:szCs w:val="24"/>
        </w:rPr>
        <w:t>62</w:t>
      </w:r>
      <w:r w:rsidR="000F1614" w:rsidRPr="000F1614">
        <w:rPr>
          <w:rFonts w:ascii="Times New Roman" w:hAnsi="Times New Roman" w:cs="Times New Roman"/>
          <w:noProof/>
          <w:sz w:val="24"/>
          <w:szCs w:val="24"/>
        </w:rPr>
        <w:t>(6), 591–606. https://doi.org/10.1108/IJLMA-02-2020-0051/FULL/XML</w:t>
      </w:r>
    </w:p>
    <w:p w14:paraId="11CC94A2"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Ajja, S. H., Samiti’, S., Arts, S. K. S. J., &amp; Sheshgiri, S. M. (2020). Women Empowerment And Women Entrepreneurship: An Overview. </w:t>
      </w:r>
      <w:r w:rsidRPr="000F1614">
        <w:rPr>
          <w:rFonts w:ascii="Times New Roman" w:hAnsi="Times New Roman" w:cs="Times New Roman"/>
          <w:i/>
          <w:iCs/>
          <w:noProof/>
          <w:sz w:val="24"/>
          <w:szCs w:val="24"/>
        </w:rPr>
        <w:t>Jurnal Universitas Arsitektur &amp; Teknologi Xi’an</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12</w:t>
      </w:r>
      <w:r w:rsidRPr="000F1614">
        <w:rPr>
          <w:rFonts w:ascii="Times New Roman" w:hAnsi="Times New Roman" w:cs="Times New Roman"/>
          <w:noProof/>
          <w:sz w:val="24"/>
          <w:szCs w:val="24"/>
        </w:rPr>
        <w:t>(3), 3843–3844.</w:t>
      </w:r>
    </w:p>
    <w:p w14:paraId="706EBE8D"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Ancel, A. J., Maya, V., &amp; Balasubramanian, P. (2019). “Rural women empowerment through microfinance-a study on SHG.” </w:t>
      </w:r>
      <w:r w:rsidRPr="000F1614">
        <w:rPr>
          <w:rFonts w:ascii="Times New Roman" w:hAnsi="Times New Roman" w:cs="Times New Roman"/>
          <w:i/>
          <w:iCs/>
          <w:noProof/>
          <w:sz w:val="24"/>
          <w:szCs w:val="24"/>
        </w:rPr>
        <w:t>Journal of Advanced Research in Dynamical and Control Systems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11</w:t>
      </w:r>
      <w:r w:rsidRPr="000F1614">
        <w:rPr>
          <w:rFonts w:ascii="Times New Roman" w:hAnsi="Times New Roman" w:cs="Times New Roman"/>
          <w:noProof/>
          <w:sz w:val="24"/>
          <w:szCs w:val="24"/>
        </w:rPr>
        <w:t>(7 Special Issue), 444–450. https://www.scopus.com/inward/record.uri?eid=2-s2.0-85069861939&amp;partnerID=40&amp;md5=c59bf37a2282588cedb57de46ee58064</w:t>
      </w:r>
    </w:p>
    <w:p w14:paraId="63910DCC"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Anwar, M. Z., Fathan, F., Warto, W., &amp; Hidayati, O. N. (2023). Transformation of Economic Theology for Community Empowerment: A Case Study on Pesantren-Based Bank Wakaf Mikro. </w:t>
      </w:r>
      <w:r w:rsidRPr="000F1614">
        <w:rPr>
          <w:rFonts w:ascii="Times New Roman" w:hAnsi="Times New Roman" w:cs="Times New Roman"/>
          <w:i/>
          <w:iCs/>
          <w:noProof/>
          <w:sz w:val="24"/>
          <w:szCs w:val="24"/>
        </w:rPr>
        <w:t>JOURNAL OF INDONESIAN ISLAM</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17</w:t>
      </w:r>
      <w:r w:rsidRPr="000F1614">
        <w:rPr>
          <w:rFonts w:ascii="Times New Roman" w:hAnsi="Times New Roman" w:cs="Times New Roman"/>
          <w:noProof/>
          <w:sz w:val="24"/>
          <w:szCs w:val="24"/>
        </w:rPr>
        <w:t>(1), 76. https://doi.org/10.15642/JIIS.2023.17.1.76-99</w:t>
      </w:r>
    </w:p>
    <w:p w14:paraId="4ECB3E93"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Arshad, M. A., Shabbir, M. S., Mahmood, A., Khan, S., &amp; Sulaiman, M. A. B. A. (2020). An exploration of IQ, EQ, spiritual quotient (SQ) elements in the human reengineering program (HRP) practices: A study on the drug rehabilitation centre in Malaysia. </w:t>
      </w:r>
      <w:r w:rsidRPr="000F1614">
        <w:rPr>
          <w:rFonts w:ascii="Times New Roman" w:hAnsi="Times New Roman" w:cs="Times New Roman"/>
          <w:i/>
          <w:iCs/>
          <w:noProof/>
          <w:sz w:val="24"/>
          <w:szCs w:val="24"/>
        </w:rPr>
        <w:t>Journal of Human Sport and Exercise</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15</w:t>
      </w:r>
      <w:r w:rsidRPr="000F1614">
        <w:rPr>
          <w:rFonts w:ascii="Times New Roman" w:hAnsi="Times New Roman" w:cs="Times New Roman"/>
          <w:noProof/>
          <w:sz w:val="24"/>
          <w:szCs w:val="24"/>
        </w:rPr>
        <w:t>(Proc2), S417–S428. https://doi.org/10.14198/jhse.2020.15.Proc2.32</w:t>
      </w:r>
    </w:p>
    <w:p w14:paraId="662C63B8"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Ashraful, M., &amp; Khan, I. (2016). MICROCREDIT AND GRAMEEN BANK: A VIEW FROM THE GRASSROOTS. In </w:t>
      </w:r>
      <w:r w:rsidRPr="000F1614">
        <w:rPr>
          <w:rFonts w:ascii="Times New Roman" w:hAnsi="Times New Roman" w:cs="Times New Roman"/>
          <w:i/>
          <w:iCs/>
          <w:noProof/>
          <w:sz w:val="24"/>
          <w:szCs w:val="24"/>
        </w:rPr>
        <w:t>Article in International Journal of Current Research</w:t>
      </w:r>
      <w:r w:rsidRPr="000F1614">
        <w:rPr>
          <w:rFonts w:ascii="Times New Roman" w:hAnsi="Times New Roman" w:cs="Times New Roman"/>
          <w:noProof/>
          <w:sz w:val="24"/>
          <w:szCs w:val="24"/>
        </w:rPr>
        <w:t>.</w:t>
      </w:r>
    </w:p>
    <w:p w14:paraId="4FFA6D46"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Atta‐Aidoo, J., Matthew, E. C., Saleh, A. O., &amp; Bizoza, S. (2025). A gendered analysis of the effect of financial inclusion on household welfare in Burundi. </w:t>
      </w:r>
      <w:r w:rsidRPr="000F1614">
        <w:rPr>
          <w:rFonts w:ascii="Times New Roman" w:hAnsi="Times New Roman" w:cs="Times New Roman"/>
          <w:i/>
          <w:iCs/>
          <w:noProof/>
          <w:sz w:val="24"/>
          <w:szCs w:val="24"/>
        </w:rPr>
        <w:t>Review of Development Economics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29</w:t>
      </w:r>
      <w:r w:rsidRPr="000F1614">
        <w:rPr>
          <w:rFonts w:ascii="Times New Roman" w:hAnsi="Times New Roman" w:cs="Times New Roman"/>
          <w:noProof/>
          <w:sz w:val="24"/>
          <w:szCs w:val="24"/>
        </w:rPr>
        <w:t>(1), 43–63. https://doi.org/10.1111/rode.13046</w:t>
      </w:r>
    </w:p>
    <w:p w14:paraId="553EF1B1"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lastRenderedPageBreak/>
        <w:t xml:space="preserve">Attride-Stirling, J. (2001). Thematic networks: an analytic tool for qualitative research. </w:t>
      </w:r>
      <w:r w:rsidRPr="000F1614">
        <w:rPr>
          <w:rFonts w:ascii="Times New Roman" w:hAnsi="Times New Roman" w:cs="Times New Roman"/>
          <w:i/>
          <w:iCs/>
          <w:noProof/>
          <w:sz w:val="24"/>
          <w:szCs w:val="24"/>
        </w:rPr>
        <w:t>Qualitative Research</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w:t>
      </w:r>
      <w:r w:rsidRPr="000F1614">
        <w:rPr>
          <w:rFonts w:ascii="Times New Roman" w:hAnsi="Times New Roman" w:cs="Times New Roman"/>
          <w:noProof/>
          <w:sz w:val="24"/>
          <w:szCs w:val="24"/>
        </w:rPr>
        <w:t>(3), 385–405. https://doi.org/10.1177/146879410100100307</w:t>
      </w:r>
    </w:p>
    <w:p w14:paraId="6ACAF647"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Bedarkar, V., &amp; Conway, A. (2022). How financial inclusion is evolving to make payments easier for all. </w:t>
      </w:r>
      <w:r w:rsidRPr="000F1614">
        <w:rPr>
          <w:rFonts w:ascii="Times New Roman" w:hAnsi="Times New Roman" w:cs="Times New Roman"/>
          <w:i/>
          <w:iCs/>
          <w:noProof/>
          <w:sz w:val="24"/>
          <w:szCs w:val="24"/>
        </w:rPr>
        <w:t>Journal of Payments Strategy &amp; Systems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16</w:t>
      </w:r>
      <w:r w:rsidRPr="000F1614">
        <w:rPr>
          <w:rFonts w:ascii="Times New Roman" w:hAnsi="Times New Roman" w:cs="Times New Roman"/>
          <w:noProof/>
          <w:sz w:val="24"/>
          <w:szCs w:val="24"/>
        </w:rPr>
        <w:t>(4), 399. https://doi.org/10.69554/SBPI4783</w:t>
      </w:r>
    </w:p>
    <w:p w14:paraId="0756FFFA"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Benharoon, S. Y. (2013). Building a Culture of Peace in Muslim Community in Southern Thailand through Family Communication. </w:t>
      </w:r>
      <w:r w:rsidRPr="000F1614">
        <w:rPr>
          <w:rFonts w:ascii="Times New Roman" w:hAnsi="Times New Roman" w:cs="Times New Roman"/>
          <w:i/>
          <w:iCs/>
          <w:noProof/>
          <w:sz w:val="24"/>
          <w:szCs w:val="24"/>
        </w:rPr>
        <w:t>Procedia - Social and Behavioral Sciences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91</w:t>
      </w:r>
      <w:r w:rsidRPr="000F1614">
        <w:rPr>
          <w:rFonts w:ascii="Times New Roman" w:hAnsi="Times New Roman" w:cs="Times New Roman"/>
          <w:noProof/>
          <w:sz w:val="24"/>
          <w:szCs w:val="24"/>
        </w:rPr>
        <w:t>, 522–531. https://doi.org/10.1016/J.SBSPRO.2013.08.450</w:t>
      </w:r>
    </w:p>
    <w:p w14:paraId="2FA6C8CD"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Berguiga, I., &amp; Adair, P. (2024). Determinants of youth financial inclusion in MENA countries: account holding versus the use of digital services. </w:t>
      </w:r>
      <w:r w:rsidRPr="000F1614">
        <w:rPr>
          <w:rFonts w:ascii="Times New Roman" w:hAnsi="Times New Roman" w:cs="Times New Roman"/>
          <w:i/>
          <w:iCs/>
          <w:noProof/>
          <w:sz w:val="24"/>
          <w:szCs w:val="24"/>
        </w:rPr>
        <w:t>Journal of Financial Reporting and Accounting</w:t>
      </w:r>
      <w:r w:rsidRPr="000F1614">
        <w:rPr>
          <w:rFonts w:ascii="Times New Roman" w:hAnsi="Times New Roman" w:cs="Times New Roman"/>
          <w:noProof/>
          <w:sz w:val="24"/>
          <w:szCs w:val="24"/>
        </w:rPr>
        <w:t>. https://doi.org/10.1108/JFRA-12-2023-0789</w:t>
      </w:r>
    </w:p>
    <w:p w14:paraId="2C72360B"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Bhatia, S., &amp; Dawar, G. (2023). The Impact of Financial Inclusion on Social and Political Empowerment: Mediating Role of Economic Empowerment. </w:t>
      </w:r>
      <w:r w:rsidRPr="000F1614">
        <w:rPr>
          <w:rFonts w:ascii="Times New Roman" w:hAnsi="Times New Roman" w:cs="Times New Roman"/>
          <w:i/>
          <w:iCs/>
          <w:noProof/>
          <w:sz w:val="24"/>
          <w:szCs w:val="24"/>
        </w:rPr>
        <w:t>Journal of the Knowledge Economy</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15</w:t>
      </w:r>
      <w:r w:rsidRPr="000F1614">
        <w:rPr>
          <w:rFonts w:ascii="Times New Roman" w:hAnsi="Times New Roman" w:cs="Times New Roman"/>
          <w:noProof/>
          <w:sz w:val="24"/>
          <w:szCs w:val="24"/>
        </w:rPr>
        <w:t>(3), 13727–13744. https://doi.org/10.1007/s13132-023-01621-1</w:t>
      </w:r>
    </w:p>
    <w:p w14:paraId="3490081B"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Binsuwadan, J., Elhaj, M., Bousrih, J., Mabrouk, F., &amp; Alofaysan, H. (2024). The Relationship between Financial Inclusion and Women’s Financial Worries: Evidence from Saudi Arabia. </w:t>
      </w:r>
      <w:r w:rsidRPr="000F1614">
        <w:rPr>
          <w:rFonts w:ascii="Times New Roman" w:hAnsi="Times New Roman" w:cs="Times New Roman"/>
          <w:i/>
          <w:iCs/>
          <w:noProof/>
          <w:sz w:val="24"/>
          <w:szCs w:val="24"/>
        </w:rPr>
        <w:t>Sustainability</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16</w:t>
      </w:r>
      <w:r w:rsidRPr="000F1614">
        <w:rPr>
          <w:rFonts w:ascii="Times New Roman" w:hAnsi="Times New Roman" w:cs="Times New Roman"/>
          <w:noProof/>
          <w:sz w:val="24"/>
          <w:szCs w:val="24"/>
        </w:rPr>
        <w:t>(19), 8317. https://doi.org/10.3390/su16198317</w:t>
      </w:r>
    </w:p>
    <w:p w14:paraId="1493D1EC"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BSM, L. (2017a). </w:t>
      </w:r>
      <w:r w:rsidRPr="000F1614">
        <w:rPr>
          <w:rFonts w:ascii="Times New Roman" w:hAnsi="Times New Roman" w:cs="Times New Roman"/>
          <w:i/>
          <w:iCs/>
          <w:noProof/>
          <w:sz w:val="24"/>
          <w:szCs w:val="24"/>
        </w:rPr>
        <w:t>“SOP &amp; SOM Standar Operasional Prosedure Dan Management Untuk LKM Syariah-Bank Wakaf Mikro</w:t>
      </w:r>
      <w:r w:rsidRPr="000F1614">
        <w:rPr>
          <w:rFonts w:ascii="Times New Roman" w:hAnsi="Times New Roman" w:cs="Times New Roman"/>
          <w:noProof/>
          <w:sz w:val="24"/>
          <w:szCs w:val="24"/>
        </w:rPr>
        <w:t xml:space="preserve"> (p. 8). LAZNAS BSM.</w:t>
      </w:r>
    </w:p>
    <w:p w14:paraId="05E9039C"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BSM, L. (2017b). </w:t>
      </w:r>
      <w:r w:rsidRPr="000F1614">
        <w:rPr>
          <w:rFonts w:ascii="Times New Roman" w:hAnsi="Times New Roman" w:cs="Times New Roman"/>
          <w:i/>
          <w:iCs/>
          <w:noProof/>
          <w:sz w:val="24"/>
          <w:szCs w:val="24"/>
        </w:rPr>
        <w:t>Manajemen Lembaga Keuangan Mikro Syariah</w:t>
      </w:r>
      <w:r w:rsidRPr="000F1614">
        <w:rPr>
          <w:rFonts w:ascii="Times New Roman" w:hAnsi="Times New Roman" w:cs="Times New Roman"/>
          <w:noProof/>
          <w:sz w:val="24"/>
          <w:szCs w:val="24"/>
        </w:rPr>
        <w:t>. LAZNAS BSM.</w:t>
      </w:r>
    </w:p>
    <w:p w14:paraId="573C25FA"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BWM. (2019). </w:t>
      </w:r>
      <w:r w:rsidRPr="000F1614">
        <w:rPr>
          <w:rFonts w:ascii="Times New Roman" w:hAnsi="Times New Roman" w:cs="Times New Roman"/>
          <w:i/>
          <w:iCs/>
          <w:noProof/>
          <w:sz w:val="24"/>
          <w:szCs w:val="24"/>
        </w:rPr>
        <w:t>LKMS-BWM</w:t>
      </w:r>
      <w:r w:rsidRPr="000F1614">
        <w:rPr>
          <w:rFonts w:ascii="Times New Roman" w:hAnsi="Times New Roman" w:cs="Times New Roman"/>
          <w:noProof/>
          <w:sz w:val="24"/>
          <w:szCs w:val="24"/>
        </w:rPr>
        <w:t>. Http://Www.Lkmsbwm.Id/.</w:t>
      </w:r>
    </w:p>
    <w:p w14:paraId="3989CB67"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Cabeza-García, L., Del Brio, E. B., &amp; Oscanoa-Victorio, M. L. (2019). Female financial inclusion and its impacts on inclusive economic development. </w:t>
      </w:r>
      <w:r w:rsidRPr="000F1614">
        <w:rPr>
          <w:rFonts w:ascii="Times New Roman" w:hAnsi="Times New Roman" w:cs="Times New Roman"/>
          <w:i/>
          <w:iCs/>
          <w:noProof/>
          <w:sz w:val="24"/>
          <w:szCs w:val="24"/>
        </w:rPr>
        <w:t>Women’s Studies International Forum</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77</w:t>
      </w:r>
      <w:r w:rsidRPr="000F1614">
        <w:rPr>
          <w:rFonts w:ascii="Times New Roman" w:hAnsi="Times New Roman" w:cs="Times New Roman"/>
          <w:noProof/>
          <w:sz w:val="24"/>
          <w:szCs w:val="24"/>
        </w:rPr>
        <w:t>(October), 102300. https://doi.org/10.1016/j.wsif.2019.102300</w:t>
      </w:r>
    </w:p>
    <w:p w14:paraId="764CF140"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Carè, R., Boitan, I. A., Stoian, A. M., &amp; Fatima, R. (2025). Exploring the landscape of financial inclusion through the lens of financial technologies: A review. </w:t>
      </w:r>
      <w:r w:rsidRPr="000F1614">
        <w:rPr>
          <w:rFonts w:ascii="Times New Roman" w:hAnsi="Times New Roman" w:cs="Times New Roman"/>
          <w:i/>
          <w:iCs/>
          <w:noProof/>
          <w:sz w:val="24"/>
          <w:szCs w:val="24"/>
        </w:rPr>
        <w:t>Finance Research Letters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72</w:t>
      </w:r>
      <w:r w:rsidRPr="000F1614">
        <w:rPr>
          <w:rFonts w:ascii="Times New Roman" w:hAnsi="Times New Roman" w:cs="Times New Roman"/>
          <w:noProof/>
          <w:sz w:val="24"/>
          <w:szCs w:val="24"/>
        </w:rPr>
        <w:t>, 106500. https://doi.org/10.1016/j.frl.2024.106500</w:t>
      </w:r>
    </w:p>
    <w:p w14:paraId="00D0255B"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Cicchiello, A. F., Kazemikhasragh, A., Fellegara, A. M., &amp; Monferrà, S. (2021). Gender disparity effect among financially included (and excluded) women in Middle East and North Africa. </w:t>
      </w:r>
      <w:r w:rsidRPr="000F1614">
        <w:rPr>
          <w:rFonts w:ascii="Times New Roman" w:hAnsi="Times New Roman" w:cs="Times New Roman"/>
          <w:i/>
          <w:iCs/>
          <w:noProof/>
          <w:sz w:val="24"/>
          <w:szCs w:val="24"/>
        </w:rPr>
        <w:t>Economics and Business Letters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10</w:t>
      </w:r>
      <w:r w:rsidRPr="000F1614">
        <w:rPr>
          <w:rFonts w:ascii="Times New Roman" w:hAnsi="Times New Roman" w:cs="Times New Roman"/>
          <w:noProof/>
          <w:sz w:val="24"/>
          <w:szCs w:val="24"/>
        </w:rPr>
        <w:t>(4), 342–348. https://doi.org/10.17811/ebl.10.4.2021.342-348</w:t>
      </w:r>
    </w:p>
    <w:p w14:paraId="4C35C656"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Demirgüç-Kunt, A., Klapper, L., Singer, D., &amp; Ansar, S. (2022). The Global Findex Database 2021</w:t>
      </w:r>
      <w:r w:rsidRPr="000F1614">
        <w:rPr>
          <w:rFonts w:ascii="Times New Roman" w:hAnsi="Times New Roman" w:cs="Times New Roman"/>
          <w:noProof/>
          <w:sz w:val="24"/>
          <w:szCs w:val="24"/>
        </w:rPr>
        <w:t>：</w:t>
      </w:r>
      <w:r w:rsidRPr="000F1614">
        <w:rPr>
          <w:rFonts w:ascii="Times New Roman" w:hAnsi="Times New Roman" w:cs="Times New Roman"/>
          <w:noProof/>
          <w:sz w:val="24"/>
          <w:szCs w:val="24"/>
        </w:rPr>
        <w:t xml:space="preserve">Financial Inclusion, Digital Payments,and Resilience in the Age of COVID-19. In </w:t>
      </w:r>
      <w:r w:rsidRPr="000F1614">
        <w:rPr>
          <w:rFonts w:ascii="Times New Roman" w:hAnsi="Times New Roman" w:cs="Times New Roman"/>
          <w:i/>
          <w:iCs/>
          <w:noProof/>
          <w:sz w:val="24"/>
          <w:szCs w:val="24"/>
        </w:rPr>
        <w:t>The Global Findex Database</w:t>
      </w:r>
      <w:r w:rsidRPr="000F1614">
        <w:rPr>
          <w:rFonts w:ascii="Times New Roman" w:hAnsi="Times New Roman" w:cs="Times New Roman"/>
          <w:noProof/>
          <w:sz w:val="24"/>
          <w:szCs w:val="24"/>
        </w:rPr>
        <w:t>. http://elibrary.worldbank.org/doi/book/10.1596/978-1-4648-1897-4</w:t>
      </w:r>
    </w:p>
    <w:p w14:paraId="4606A683"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Ellili, N. O. D. (2024). Financial inclusion and sustainable development: A review and research agenda. </w:t>
      </w:r>
      <w:r w:rsidRPr="000F1614">
        <w:rPr>
          <w:rFonts w:ascii="Times New Roman" w:hAnsi="Times New Roman" w:cs="Times New Roman"/>
          <w:i/>
          <w:iCs/>
          <w:noProof/>
          <w:sz w:val="24"/>
          <w:szCs w:val="24"/>
        </w:rPr>
        <w:t>Journal of Financial Services Marketing</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29</w:t>
      </w:r>
      <w:r w:rsidRPr="000F1614">
        <w:rPr>
          <w:rFonts w:ascii="Times New Roman" w:hAnsi="Times New Roman" w:cs="Times New Roman"/>
          <w:noProof/>
          <w:sz w:val="24"/>
          <w:szCs w:val="24"/>
        </w:rPr>
        <w:t>(4), 1345–1364. https://doi.org/10.1057/s41264-024-00269-5</w:t>
      </w:r>
    </w:p>
    <w:p w14:paraId="082EC9A8"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Erman, E., Hakim, L., Meria, A., Chaniago, D., &amp; Asril, A. (2021). Women and Halaqah “the Yellow Book” in Minangkabau in Post Indonesia Freedoom. </w:t>
      </w:r>
      <w:r w:rsidRPr="000F1614">
        <w:rPr>
          <w:rFonts w:ascii="Times New Roman" w:hAnsi="Times New Roman" w:cs="Times New Roman"/>
          <w:i/>
          <w:iCs/>
          <w:noProof/>
          <w:sz w:val="24"/>
          <w:szCs w:val="24"/>
        </w:rPr>
        <w:t>Proceedings of the 2nd EAI Bukittinggi International Conference on Education, BICED 2020</w:t>
      </w:r>
      <w:r w:rsidRPr="000F1614">
        <w:rPr>
          <w:rFonts w:ascii="Times New Roman" w:hAnsi="Times New Roman" w:cs="Times New Roman"/>
          <w:noProof/>
          <w:sz w:val="24"/>
          <w:szCs w:val="24"/>
        </w:rPr>
        <w:t>, 14–15. https://doi.org/10.4108/EAI.14-9-2020.2305680</w:t>
      </w:r>
    </w:p>
    <w:p w14:paraId="05FAF240"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Esquivias, M. A., Sethi, N., Ramandha, M. D., &amp; Jayanti, A. D. (2021). Financial inclusion dynamics in Southeast Asia: An empirical investigation on three countries. </w:t>
      </w:r>
      <w:r w:rsidRPr="000F1614">
        <w:rPr>
          <w:rFonts w:ascii="Times New Roman" w:hAnsi="Times New Roman" w:cs="Times New Roman"/>
          <w:i/>
          <w:iCs/>
          <w:noProof/>
          <w:sz w:val="24"/>
          <w:szCs w:val="24"/>
        </w:rPr>
        <w:t>Business Strategy &amp; Development</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4</w:t>
      </w:r>
      <w:r w:rsidRPr="000F1614">
        <w:rPr>
          <w:rFonts w:ascii="Times New Roman" w:hAnsi="Times New Roman" w:cs="Times New Roman"/>
          <w:noProof/>
          <w:sz w:val="24"/>
          <w:szCs w:val="24"/>
        </w:rPr>
        <w:t>(2), 203–215. https://doi.org/10.1002/bsd2.139</w:t>
      </w:r>
    </w:p>
    <w:p w14:paraId="072C27EB"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Fakhruudin, F., &amp; Pratomo, A. S. (2021). Bank Wakaf Mikro dan Pemberdayaan Usaha Mikro Kecil dan Menengah di Indonesia Perspektif Maqashid Syariah. </w:t>
      </w:r>
      <w:r w:rsidRPr="000F1614">
        <w:rPr>
          <w:rFonts w:ascii="Times New Roman" w:hAnsi="Times New Roman" w:cs="Times New Roman"/>
          <w:i/>
          <w:iCs/>
          <w:noProof/>
          <w:sz w:val="24"/>
          <w:szCs w:val="24"/>
        </w:rPr>
        <w:t>De Jure: Jurnal Hukum Dan Syar’iah</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13</w:t>
      </w:r>
      <w:r w:rsidRPr="000F1614">
        <w:rPr>
          <w:rFonts w:ascii="Times New Roman" w:hAnsi="Times New Roman" w:cs="Times New Roman"/>
          <w:noProof/>
          <w:sz w:val="24"/>
          <w:szCs w:val="24"/>
        </w:rPr>
        <w:t>(2), 323–336. https://doi.org/10.18860/j-fsh.v13i2.15485</w:t>
      </w:r>
    </w:p>
    <w:p w14:paraId="44040B5B"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Fanggidae, R. E., Kurniawati, M., &amp; Bahweres, H. (2020). The Effect of Workplace Spirituality and Employee Performance (Perspective of Islamic Work Ethics Case Study </w:t>
      </w:r>
      <w:r w:rsidRPr="000F1614">
        <w:rPr>
          <w:rFonts w:ascii="Times New Roman" w:hAnsi="Times New Roman" w:cs="Times New Roman"/>
          <w:noProof/>
          <w:sz w:val="24"/>
          <w:szCs w:val="24"/>
        </w:rPr>
        <w:lastRenderedPageBreak/>
        <w:t xml:space="preserve">on BTPN Syariah, Kupang). </w:t>
      </w:r>
      <w:r w:rsidRPr="000F1614">
        <w:rPr>
          <w:rFonts w:ascii="Times New Roman" w:hAnsi="Times New Roman" w:cs="Times New Roman"/>
          <w:i/>
          <w:iCs/>
          <w:noProof/>
          <w:sz w:val="24"/>
          <w:szCs w:val="24"/>
        </w:rPr>
        <w:t>Atlantes Press</w:t>
      </w:r>
      <w:r w:rsidRPr="000F1614">
        <w:rPr>
          <w:rFonts w:ascii="Times New Roman" w:hAnsi="Times New Roman" w:cs="Times New Roman"/>
          <w:noProof/>
          <w:sz w:val="24"/>
          <w:szCs w:val="24"/>
        </w:rPr>
        <w:t>, 234–239. https://doi.org/10.2991/AEBMR.K.200522.045</w:t>
      </w:r>
    </w:p>
    <w:p w14:paraId="6A34899B"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Fox, L., &amp; Romero, C. (2017). </w:t>
      </w:r>
      <w:r w:rsidRPr="000F1614">
        <w:rPr>
          <w:rFonts w:ascii="Times New Roman" w:hAnsi="Times New Roman" w:cs="Times New Roman"/>
          <w:i/>
          <w:iCs/>
          <w:noProof/>
          <w:sz w:val="24"/>
          <w:szCs w:val="24"/>
        </w:rPr>
        <w:t>In the Mind, the Household, or the Market? Concepts and Measurement of Women’s Economic Empowerment</w:t>
      </w:r>
      <w:r w:rsidRPr="000F1614">
        <w:rPr>
          <w:rFonts w:ascii="Times New Roman" w:hAnsi="Times New Roman" w:cs="Times New Roman"/>
          <w:noProof/>
          <w:sz w:val="24"/>
          <w:szCs w:val="24"/>
        </w:rPr>
        <w:t>. The World Bank. https://doi.org/10.1596/1813-9450-8079</w:t>
      </w:r>
    </w:p>
    <w:p w14:paraId="7C90008E"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Fuad, A. W. (2000). Relevansi Gerakan Feminisme dalam Konsep Pendidikan Islam. </w:t>
      </w:r>
      <w:r w:rsidRPr="000F1614">
        <w:rPr>
          <w:rFonts w:ascii="Times New Roman" w:hAnsi="Times New Roman" w:cs="Times New Roman"/>
          <w:i/>
          <w:iCs/>
          <w:noProof/>
          <w:sz w:val="24"/>
          <w:szCs w:val="24"/>
        </w:rPr>
        <w:t>Jurnal Pemikiran Islam Tentang Pemberdayaan Perempuan</w:t>
      </w:r>
      <w:r w:rsidRPr="000F1614">
        <w:rPr>
          <w:rFonts w:ascii="Times New Roman" w:hAnsi="Times New Roman" w:cs="Times New Roman"/>
          <w:noProof/>
          <w:sz w:val="24"/>
          <w:szCs w:val="24"/>
        </w:rPr>
        <w:t>, 77–78.</w:t>
      </w:r>
    </w:p>
    <w:p w14:paraId="3B725474"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Garg, S., Gupta, S., &amp; Mallick, S. (2025). Financial Access and Entrepreneurship by Gender: Evidence from Rural India. </w:t>
      </w:r>
      <w:r w:rsidRPr="000F1614">
        <w:rPr>
          <w:rFonts w:ascii="Times New Roman" w:hAnsi="Times New Roman" w:cs="Times New Roman"/>
          <w:i/>
          <w:iCs/>
          <w:noProof/>
          <w:sz w:val="24"/>
          <w:szCs w:val="24"/>
        </w:rPr>
        <w:t>Small Business Economics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64</w:t>
      </w:r>
      <w:r w:rsidRPr="000F1614">
        <w:rPr>
          <w:rFonts w:ascii="Times New Roman" w:hAnsi="Times New Roman" w:cs="Times New Roman"/>
          <w:noProof/>
          <w:sz w:val="24"/>
          <w:szCs w:val="24"/>
        </w:rPr>
        <w:t>(2), 729–754. https://doi.org/10.1007/s11187-024-00925-z</w:t>
      </w:r>
    </w:p>
    <w:p w14:paraId="2C1EAC33"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Ghosh, C., &amp; Chaudhury, R. H. (2019). Gender Gap in case of financial inclusion: An empirical analysis in Indian Context. </w:t>
      </w:r>
      <w:r w:rsidRPr="000F1614">
        <w:rPr>
          <w:rFonts w:ascii="Times New Roman" w:hAnsi="Times New Roman" w:cs="Times New Roman"/>
          <w:i/>
          <w:iCs/>
          <w:noProof/>
          <w:sz w:val="24"/>
          <w:szCs w:val="24"/>
        </w:rPr>
        <w:t>Economics Bulletin</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39</w:t>
      </w:r>
      <w:r w:rsidRPr="000F1614">
        <w:rPr>
          <w:rFonts w:ascii="Times New Roman" w:hAnsi="Times New Roman" w:cs="Times New Roman"/>
          <w:noProof/>
          <w:sz w:val="24"/>
          <w:szCs w:val="24"/>
        </w:rPr>
        <w:t>(4), 2615–2630. https://www.scopus.com/inward/record.uri?eid=2-s2.0-85075352978&amp;partnerID=40&amp;md5=83d2cd84ae32fbb2bd16875241c02321</w:t>
      </w:r>
    </w:p>
    <w:p w14:paraId="2FC0F400"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Govindapuram, S., Bhupatiraju, S., &amp; Sirohi, R. A. (2023). Determinants of women’s financial inclusion: Evidence from India. </w:t>
      </w:r>
      <w:r w:rsidRPr="000F1614">
        <w:rPr>
          <w:rFonts w:ascii="Times New Roman" w:hAnsi="Times New Roman" w:cs="Times New Roman"/>
          <w:i/>
          <w:iCs/>
          <w:noProof/>
          <w:sz w:val="24"/>
          <w:szCs w:val="24"/>
        </w:rPr>
        <w:t>Annals of Public and Cooperative Economics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94</w:t>
      </w:r>
      <w:r w:rsidRPr="000F1614">
        <w:rPr>
          <w:rFonts w:ascii="Times New Roman" w:hAnsi="Times New Roman" w:cs="Times New Roman"/>
          <w:noProof/>
          <w:sz w:val="24"/>
          <w:szCs w:val="24"/>
        </w:rPr>
        <w:t>(1), 131–158. https://doi.org/10.1111/apce.12376</w:t>
      </w:r>
    </w:p>
    <w:p w14:paraId="185D64D1"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Gulvira, A., Ainash, M., Sagynysh, M., Meiramgul, A., &amp; Aliya, K. (2024). The Impact of Female Entrepreneurship on Economic Growth in Developing and Developed Economies. </w:t>
      </w:r>
      <w:r w:rsidRPr="000F1614">
        <w:rPr>
          <w:rFonts w:ascii="Times New Roman" w:hAnsi="Times New Roman" w:cs="Times New Roman"/>
          <w:i/>
          <w:iCs/>
          <w:noProof/>
          <w:sz w:val="24"/>
          <w:szCs w:val="24"/>
        </w:rPr>
        <w:t>ECONOMICS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12</w:t>
      </w:r>
      <w:r w:rsidRPr="000F1614">
        <w:rPr>
          <w:rFonts w:ascii="Times New Roman" w:hAnsi="Times New Roman" w:cs="Times New Roman"/>
          <w:noProof/>
          <w:sz w:val="24"/>
          <w:szCs w:val="24"/>
        </w:rPr>
        <w:t>(2), 145–162. https://doi.org/10.2478/eoik-2024-0016</w:t>
      </w:r>
    </w:p>
    <w:p w14:paraId="51F15DF9"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Gumbo, L., Marimuthu, F., &amp; Vengesai, E. (2023). Financial literacy competencies of women in agribusiness and their financial experiences during a pandemic. </w:t>
      </w:r>
      <w:r w:rsidRPr="000F1614">
        <w:rPr>
          <w:rFonts w:ascii="Times New Roman" w:hAnsi="Times New Roman" w:cs="Times New Roman"/>
          <w:i/>
          <w:iCs/>
          <w:noProof/>
          <w:sz w:val="24"/>
          <w:szCs w:val="24"/>
        </w:rPr>
        <w:t>The Southern African Journal of Entrepreneurship and Small Business Management</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15</w:t>
      </w:r>
      <w:r w:rsidRPr="000F1614">
        <w:rPr>
          <w:rFonts w:ascii="Times New Roman" w:hAnsi="Times New Roman" w:cs="Times New Roman"/>
          <w:noProof/>
          <w:sz w:val="24"/>
          <w:szCs w:val="24"/>
        </w:rPr>
        <w:t>(1). https://doi.org/10.4102/sajesbm.v15i1.612</w:t>
      </w:r>
    </w:p>
    <w:p w14:paraId="33AEEE34"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Gupta, M. (2020). Role of NGOs in women empowerment: case studies from Uttarakhand, India. </w:t>
      </w:r>
      <w:r w:rsidRPr="000F1614">
        <w:rPr>
          <w:rFonts w:ascii="Times New Roman" w:hAnsi="Times New Roman" w:cs="Times New Roman"/>
          <w:i/>
          <w:iCs/>
          <w:noProof/>
          <w:sz w:val="24"/>
          <w:szCs w:val="24"/>
        </w:rPr>
        <w:t>Journal of Enterprising Communities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15</w:t>
      </w:r>
      <w:r w:rsidRPr="000F1614">
        <w:rPr>
          <w:rFonts w:ascii="Times New Roman" w:hAnsi="Times New Roman" w:cs="Times New Roman"/>
          <w:noProof/>
          <w:sz w:val="24"/>
          <w:szCs w:val="24"/>
        </w:rPr>
        <w:t>(1), 26–41. https://doi.org/10.1108/JEC-04-2020-0066/FULL/XML</w:t>
      </w:r>
    </w:p>
    <w:p w14:paraId="58F50513"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Gyan, C., Malik, M., &amp; Siddique, A. (2022). Barriers to the participation of women in community development process in rural Ghana: a regression analysis. </w:t>
      </w:r>
      <w:r w:rsidRPr="000F1614">
        <w:rPr>
          <w:rFonts w:ascii="Times New Roman" w:hAnsi="Times New Roman" w:cs="Times New Roman"/>
          <w:i/>
          <w:iCs/>
          <w:noProof/>
          <w:sz w:val="24"/>
          <w:szCs w:val="24"/>
        </w:rPr>
        <w:t>Development in Practice</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32</w:t>
      </w:r>
      <w:r w:rsidRPr="000F1614">
        <w:rPr>
          <w:rFonts w:ascii="Times New Roman" w:hAnsi="Times New Roman" w:cs="Times New Roman"/>
          <w:noProof/>
          <w:sz w:val="24"/>
          <w:szCs w:val="24"/>
        </w:rPr>
        <w:t>(4), 448–459. https://doi.org/10.1080/09614524.2021.1937541</w:t>
      </w:r>
    </w:p>
    <w:p w14:paraId="4AD08EFB"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Hambal, M. (2018). ḪALAQAH TRADITION IN BUILDING RABBANI CHARACTERS IN PESANTREN AL-ISLAM LAMONGAN, EAST JAVA, INDONESIA. </w:t>
      </w:r>
      <w:r w:rsidRPr="000F1614">
        <w:rPr>
          <w:rFonts w:ascii="Times New Roman" w:hAnsi="Times New Roman" w:cs="Times New Roman"/>
          <w:i/>
          <w:iCs/>
          <w:noProof/>
          <w:sz w:val="24"/>
          <w:szCs w:val="24"/>
        </w:rPr>
        <w:t>Studia Religia : Jurnal Pemikiran Dan Pendidikan Islam</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2</w:t>
      </w:r>
      <w:r w:rsidRPr="000F1614">
        <w:rPr>
          <w:rFonts w:ascii="Times New Roman" w:hAnsi="Times New Roman" w:cs="Times New Roman"/>
          <w:noProof/>
          <w:sz w:val="24"/>
          <w:szCs w:val="24"/>
        </w:rPr>
        <w:t>(1). https://doi.org/10.30651/SR.V2I1.1740</w:t>
      </w:r>
    </w:p>
    <w:p w14:paraId="3E0A0E4C"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Hasiba, F. F., Mahmudah, S. N., &amp; Puji Sucia Sukmaningrum, Shochrul Rohmatul Ajija, M. B. F. Z. (2021). The Strategies for Developing Micro Waqf Bank in Indonesia. </w:t>
      </w:r>
      <w:r w:rsidRPr="000F1614">
        <w:rPr>
          <w:rFonts w:ascii="Times New Roman" w:hAnsi="Times New Roman" w:cs="Times New Roman"/>
          <w:i/>
          <w:iCs/>
          <w:noProof/>
          <w:sz w:val="24"/>
          <w:szCs w:val="24"/>
        </w:rPr>
        <w:t>Rigeo.Org</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11</w:t>
      </w:r>
      <w:r w:rsidRPr="000F1614">
        <w:rPr>
          <w:rFonts w:ascii="Times New Roman" w:hAnsi="Times New Roman" w:cs="Times New Roman"/>
          <w:noProof/>
          <w:sz w:val="24"/>
          <w:szCs w:val="24"/>
        </w:rPr>
        <w:t>(4), 2021. https://doi.org/10.48047/rigeo.11.04.24</w:t>
      </w:r>
    </w:p>
    <w:p w14:paraId="22D34EA8"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Herrera-Cano, C., Pino-Villegas, A., Munera-Alzate, C. F., &amp; Gonzalez-Perez, M. A. (2024). </w:t>
      </w:r>
      <w:r w:rsidRPr="000F1614">
        <w:rPr>
          <w:rFonts w:ascii="Times New Roman" w:hAnsi="Times New Roman" w:cs="Times New Roman"/>
          <w:i/>
          <w:iCs/>
          <w:noProof/>
          <w:sz w:val="24"/>
          <w:szCs w:val="24"/>
        </w:rPr>
        <w:t>Financial Inclusion of Rural Women in the Global South</w:t>
      </w:r>
      <w:r w:rsidRPr="000F1614">
        <w:rPr>
          <w:rFonts w:ascii="Times New Roman" w:hAnsi="Times New Roman" w:cs="Times New Roman"/>
          <w:noProof/>
          <w:sz w:val="24"/>
          <w:szCs w:val="24"/>
        </w:rPr>
        <w:t xml:space="preserve"> (pp. 123–131). https://doi.org/10.1007/978-3-031-68803-4_10</w:t>
      </w:r>
    </w:p>
    <w:p w14:paraId="1F7D3CBA"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Hirtle, B., &amp; Kovner, A. (2022). Bank Supervision. </w:t>
      </w:r>
      <w:r w:rsidRPr="000F1614">
        <w:rPr>
          <w:rFonts w:ascii="Times New Roman" w:hAnsi="Times New Roman" w:cs="Times New Roman"/>
          <w:i/>
          <w:iCs/>
          <w:noProof/>
          <w:sz w:val="24"/>
          <w:szCs w:val="24"/>
        </w:rPr>
        <w:t>Annual Review of Financial Economics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14</w:t>
      </w:r>
      <w:r w:rsidRPr="000F1614">
        <w:rPr>
          <w:rFonts w:ascii="Times New Roman" w:hAnsi="Times New Roman" w:cs="Times New Roman"/>
          <w:noProof/>
          <w:sz w:val="24"/>
          <w:szCs w:val="24"/>
        </w:rPr>
        <w:t>(1), 39–56. https://doi.org/10.1146/annurev-financial-111620-022516</w:t>
      </w:r>
    </w:p>
    <w:p w14:paraId="228F802B"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Hoy, C., Toth, R., &amp; Merdikawati, N. (2022). Can a Multipronged Strategy of “Soft” Interventions Surmount Structural Barriers for Financial Inclusion? Evidence From the Unbanked in Papua New Guinea. </w:t>
      </w:r>
      <w:r w:rsidRPr="000F1614">
        <w:rPr>
          <w:rFonts w:ascii="Times New Roman" w:hAnsi="Times New Roman" w:cs="Times New Roman"/>
          <w:i/>
          <w:iCs/>
          <w:noProof/>
          <w:sz w:val="24"/>
          <w:szCs w:val="24"/>
        </w:rPr>
        <w:t>The Journal of Development Studies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58</w:t>
      </w:r>
      <w:r w:rsidRPr="000F1614">
        <w:rPr>
          <w:rFonts w:ascii="Times New Roman" w:hAnsi="Times New Roman" w:cs="Times New Roman"/>
          <w:noProof/>
          <w:sz w:val="24"/>
          <w:szCs w:val="24"/>
        </w:rPr>
        <w:t>(12), 2460–2482. https://doi.org/10.1080/00220388.2022.2102897</w:t>
      </w:r>
    </w:p>
    <w:p w14:paraId="7634A7DE"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Hundie, S. K., &amp; Tulu, D. T. (2023). Determinants of financial inclusion gender gap in Ethiopia: Evidence from decomposition analysis. </w:t>
      </w:r>
      <w:r w:rsidRPr="000F1614">
        <w:rPr>
          <w:rFonts w:ascii="Times New Roman" w:hAnsi="Times New Roman" w:cs="Times New Roman"/>
          <w:i/>
          <w:iCs/>
          <w:noProof/>
          <w:sz w:val="24"/>
          <w:szCs w:val="24"/>
        </w:rPr>
        <w:t>Cogent Business &amp; Management</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10</w:t>
      </w:r>
      <w:r w:rsidRPr="000F1614">
        <w:rPr>
          <w:rFonts w:ascii="Times New Roman" w:hAnsi="Times New Roman" w:cs="Times New Roman"/>
          <w:noProof/>
          <w:sz w:val="24"/>
          <w:szCs w:val="24"/>
        </w:rPr>
        <w:t>(2). https://doi.org/10.1080/23311975.2023.2238124</w:t>
      </w:r>
    </w:p>
    <w:p w14:paraId="5D18DCF8"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Islam, M. S. (2021). Role of Islamic microfinance in women’s empowerment: evidence from </w:t>
      </w:r>
      <w:r w:rsidRPr="000F1614">
        <w:rPr>
          <w:rFonts w:ascii="Times New Roman" w:hAnsi="Times New Roman" w:cs="Times New Roman"/>
          <w:noProof/>
          <w:sz w:val="24"/>
          <w:szCs w:val="24"/>
        </w:rPr>
        <w:lastRenderedPageBreak/>
        <w:t xml:space="preserve">Rural Development Scheme of Islami Bank Bangladesh Limited. </w:t>
      </w:r>
      <w:r w:rsidRPr="000F1614">
        <w:rPr>
          <w:rFonts w:ascii="Times New Roman" w:hAnsi="Times New Roman" w:cs="Times New Roman"/>
          <w:i/>
          <w:iCs/>
          <w:noProof/>
          <w:sz w:val="24"/>
          <w:szCs w:val="24"/>
        </w:rPr>
        <w:t>ISRA International Journal of Islamic Finance</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13</w:t>
      </w:r>
      <w:r w:rsidRPr="000F1614">
        <w:rPr>
          <w:rFonts w:ascii="Times New Roman" w:hAnsi="Times New Roman" w:cs="Times New Roman"/>
          <w:noProof/>
          <w:sz w:val="24"/>
          <w:szCs w:val="24"/>
        </w:rPr>
        <w:t>(1), 26–45. https://doi.org/10.1108/IJIF-11-2019-0174/FULL/HTML</w:t>
      </w:r>
    </w:p>
    <w:p w14:paraId="1DE1F089"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Iwang Suwangsih, Nuzulul Fatimah, Noneng Rukayah Sukatmadiredja, &amp; Emmywati. (2021). THE IMPACT OF IMPLEMENTATION OF A JOINT LIABILITY SYSTEM ON MEMBER BEHAVIOR. </w:t>
      </w:r>
      <w:r w:rsidRPr="000F1614">
        <w:rPr>
          <w:rFonts w:ascii="Times New Roman" w:hAnsi="Times New Roman" w:cs="Times New Roman"/>
          <w:i/>
          <w:iCs/>
          <w:noProof/>
          <w:sz w:val="24"/>
          <w:szCs w:val="24"/>
        </w:rPr>
        <w:t>Journal of Islamic Economics Perspectives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3</w:t>
      </w:r>
      <w:r w:rsidRPr="000F1614">
        <w:rPr>
          <w:rFonts w:ascii="Times New Roman" w:hAnsi="Times New Roman" w:cs="Times New Roman"/>
          <w:noProof/>
          <w:sz w:val="24"/>
          <w:szCs w:val="24"/>
        </w:rPr>
        <w:t>(1), 88–100. https://doi.org/10.35719/JIEP.V3I1.41</w:t>
      </w:r>
    </w:p>
    <w:p w14:paraId="7FD57475"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Kabeer, N. (2009). </w:t>
      </w:r>
      <w:r w:rsidRPr="000F1614">
        <w:rPr>
          <w:rFonts w:ascii="Times New Roman" w:hAnsi="Times New Roman" w:cs="Times New Roman"/>
          <w:i/>
          <w:iCs/>
          <w:noProof/>
          <w:sz w:val="24"/>
          <w:szCs w:val="24"/>
        </w:rPr>
        <w:t>Women’s Economic Empowerment Key Issues and Policy Options</w:t>
      </w:r>
      <w:r w:rsidRPr="000F1614">
        <w:rPr>
          <w:rFonts w:ascii="Times New Roman" w:hAnsi="Times New Roman" w:cs="Times New Roman"/>
          <w:noProof/>
          <w:sz w:val="24"/>
          <w:szCs w:val="24"/>
        </w:rPr>
        <w:t>.</w:t>
      </w:r>
    </w:p>
    <w:p w14:paraId="3AE1B1A7"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Latief, H. (2010). Youth, Mosques, and Islamic Activism: Islamic Source Books in University-based Halaqah. </w:t>
      </w:r>
      <w:r w:rsidRPr="000F1614">
        <w:rPr>
          <w:rFonts w:ascii="Times New Roman" w:hAnsi="Times New Roman" w:cs="Times New Roman"/>
          <w:i/>
          <w:iCs/>
          <w:noProof/>
          <w:sz w:val="24"/>
          <w:szCs w:val="24"/>
        </w:rPr>
        <w:t>Kultur: The Indonesian Journal for Muslim Cultur</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5</w:t>
      </w:r>
      <w:r w:rsidRPr="000F1614">
        <w:rPr>
          <w:rFonts w:ascii="Times New Roman" w:hAnsi="Times New Roman" w:cs="Times New Roman"/>
          <w:noProof/>
          <w:sz w:val="24"/>
          <w:szCs w:val="24"/>
        </w:rPr>
        <w:t>, 63–88.</w:t>
      </w:r>
    </w:p>
    <w:p w14:paraId="7F6924F6"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Lavanya, R., &amp; Mamilla, R. (2024). Empowering women’s financial well-being: the role of financial literacy and decision making in wealth creation. </w:t>
      </w:r>
      <w:r w:rsidRPr="000F1614">
        <w:rPr>
          <w:rFonts w:ascii="Times New Roman" w:hAnsi="Times New Roman" w:cs="Times New Roman"/>
          <w:i/>
          <w:iCs/>
          <w:noProof/>
          <w:sz w:val="24"/>
          <w:szCs w:val="24"/>
        </w:rPr>
        <w:t>International Journal of Process Management and Benchmarking</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18</w:t>
      </w:r>
      <w:r w:rsidRPr="000F1614">
        <w:rPr>
          <w:rFonts w:ascii="Times New Roman" w:hAnsi="Times New Roman" w:cs="Times New Roman"/>
          <w:noProof/>
          <w:sz w:val="24"/>
          <w:szCs w:val="24"/>
        </w:rPr>
        <w:t>(1), 16–35. https://doi.org/10.1504/IJPMB.2024.140640</w:t>
      </w:r>
    </w:p>
    <w:p w14:paraId="7FBBF4A3"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Malik, R. S. (2013). QUALITATIVE RESEARCH METHODOLOGY IN EDUCATION. </w:t>
      </w:r>
      <w:r w:rsidRPr="000F1614">
        <w:rPr>
          <w:rFonts w:ascii="Times New Roman" w:hAnsi="Times New Roman" w:cs="Times New Roman"/>
          <w:i/>
          <w:iCs/>
          <w:noProof/>
          <w:sz w:val="24"/>
          <w:szCs w:val="24"/>
        </w:rPr>
        <w:t>Jurnal Edubio Tropika</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w:t>
      </w:r>
      <w:r w:rsidRPr="000F1614">
        <w:rPr>
          <w:rFonts w:ascii="Times New Roman" w:hAnsi="Times New Roman" w:cs="Times New Roman"/>
          <w:noProof/>
          <w:sz w:val="24"/>
          <w:szCs w:val="24"/>
        </w:rPr>
        <w:t>(2).</w:t>
      </w:r>
    </w:p>
    <w:p w14:paraId="68A51A68"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Manta, A. (2019). Financial Inclusion and Gender Barriers for Rural Women. </w:t>
      </w:r>
      <w:r w:rsidRPr="000F1614">
        <w:rPr>
          <w:rFonts w:ascii="Times New Roman" w:hAnsi="Times New Roman" w:cs="Times New Roman"/>
          <w:i/>
          <w:iCs/>
          <w:noProof/>
          <w:sz w:val="24"/>
          <w:szCs w:val="24"/>
        </w:rPr>
        <w:t>INTERNATIONAL JOURNAL OF MANAGEMENT</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10</w:t>
      </w:r>
      <w:r w:rsidRPr="000F1614">
        <w:rPr>
          <w:rFonts w:ascii="Times New Roman" w:hAnsi="Times New Roman" w:cs="Times New Roman"/>
          <w:noProof/>
          <w:sz w:val="24"/>
          <w:szCs w:val="24"/>
        </w:rPr>
        <w:t>(5). https://doi.org/10.34218/IJM.10.5.2019.006</w:t>
      </w:r>
    </w:p>
    <w:p w14:paraId="20F2F81A"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Metu, A. G., &amp; Nwogwugwu, U. C. C. (2024). Challenging Factors Affecting Access to Finance by Female Micro Entrepreneurs in Anambra State, Nigeria. </w:t>
      </w:r>
      <w:r w:rsidRPr="000F1614">
        <w:rPr>
          <w:rFonts w:ascii="Times New Roman" w:hAnsi="Times New Roman" w:cs="Times New Roman"/>
          <w:i/>
          <w:iCs/>
          <w:noProof/>
          <w:sz w:val="24"/>
          <w:szCs w:val="24"/>
        </w:rPr>
        <w:t>Journal of African Business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25</w:t>
      </w:r>
      <w:r w:rsidRPr="000F1614">
        <w:rPr>
          <w:rFonts w:ascii="Times New Roman" w:hAnsi="Times New Roman" w:cs="Times New Roman"/>
          <w:noProof/>
          <w:sz w:val="24"/>
          <w:szCs w:val="24"/>
        </w:rPr>
        <w:t>(1), 142–154. https://doi.org/10.1080/15228916.2022.2064677</w:t>
      </w:r>
    </w:p>
    <w:p w14:paraId="2424BBA3"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Mndolwa, F. D., &amp; Alhassan, A. L. (2020). Gender disparities in financial inclusion: Insights from Tanzania. </w:t>
      </w:r>
      <w:r w:rsidRPr="000F1614">
        <w:rPr>
          <w:rFonts w:ascii="Times New Roman" w:hAnsi="Times New Roman" w:cs="Times New Roman"/>
          <w:i/>
          <w:iCs/>
          <w:noProof/>
          <w:sz w:val="24"/>
          <w:szCs w:val="24"/>
        </w:rPr>
        <w:t>African Development Review</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32</w:t>
      </w:r>
      <w:r w:rsidRPr="000F1614">
        <w:rPr>
          <w:rFonts w:ascii="Times New Roman" w:hAnsi="Times New Roman" w:cs="Times New Roman"/>
          <w:noProof/>
          <w:sz w:val="24"/>
          <w:szCs w:val="24"/>
        </w:rPr>
        <w:t>(4), 578–590. https://doi.org/10.1111/1467-8268.12462</w:t>
      </w:r>
    </w:p>
    <w:p w14:paraId="303F2CEA"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Mukong, A., Shiwayu, N., &amp; Kaulihowa, T. (2020). A decomposition of the gender gap in financial inclusion: evidence from Namibia. </w:t>
      </w:r>
      <w:r w:rsidRPr="000F1614">
        <w:rPr>
          <w:rFonts w:ascii="Times New Roman" w:hAnsi="Times New Roman" w:cs="Times New Roman"/>
          <w:i/>
          <w:iCs/>
          <w:noProof/>
          <w:sz w:val="24"/>
          <w:szCs w:val="24"/>
        </w:rPr>
        <w:t>African Journal of Business and Economic Research</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15</w:t>
      </w:r>
      <w:r w:rsidRPr="000F1614">
        <w:rPr>
          <w:rFonts w:ascii="Times New Roman" w:hAnsi="Times New Roman" w:cs="Times New Roman"/>
          <w:noProof/>
          <w:sz w:val="24"/>
          <w:szCs w:val="24"/>
        </w:rPr>
        <w:t>(4), 149–169. https://doi.org/10.31920/1750-4562/2020/v15n4a7</w:t>
      </w:r>
    </w:p>
    <w:p w14:paraId="02AAD88A"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Mukthar, K. P. J., Asis, H. R., Vílchez-Vásquez, R., Huaman-Osorio, A., &amp; Alvarado-Tolentino, J. (2023). Estimating Women Entrepreneurial Empowerment of Start-Up Business Through Micro Credit Model in Rural Areas. </w:t>
      </w:r>
      <w:r w:rsidRPr="000F1614">
        <w:rPr>
          <w:rFonts w:ascii="Times New Roman" w:hAnsi="Times New Roman" w:cs="Times New Roman"/>
          <w:i/>
          <w:iCs/>
          <w:noProof/>
          <w:sz w:val="24"/>
          <w:szCs w:val="24"/>
        </w:rPr>
        <w:t>Lecture Notes in Networks and Systems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495 LNNS</w:t>
      </w:r>
      <w:r w:rsidRPr="000F1614">
        <w:rPr>
          <w:rFonts w:ascii="Times New Roman" w:hAnsi="Times New Roman" w:cs="Times New Roman"/>
          <w:noProof/>
          <w:sz w:val="24"/>
          <w:szCs w:val="24"/>
        </w:rPr>
        <w:t>, 86–94. https://doi.org/10.1007/978-3-031-08954-1_8/COVER</w:t>
      </w:r>
    </w:p>
    <w:p w14:paraId="6F41DD34"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Muschert, G. W., Nair, S. K., &amp; Nair, B. A. V. (2024). </w:t>
      </w:r>
      <w:r w:rsidRPr="000F1614">
        <w:rPr>
          <w:rFonts w:ascii="Times New Roman" w:hAnsi="Times New Roman" w:cs="Times New Roman"/>
          <w:i/>
          <w:iCs/>
          <w:noProof/>
          <w:sz w:val="24"/>
          <w:szCs w:val="24"/>
        </w:rPr>
        <w:t>On Financial Inclusion and Global Development: An Introductory Remark</w:t>
      </w:r>
      <w:r w:rsidRPr="000F1614">
        <w:rPr>
          <w:rFonts w:ascii="Times New Roman" w:hAnsi="Times New Roman" w:cs="Times New Roman"/>
          <w:noProof/>
          <w:sz w:val="24"/>
          <w:szCs w:val="24"/>
        </w:rPr>
        <w:t xml:space="preserve"> (pp. 3–16). https://doi.org/10.1007/978-3-031-68803-4_1</w:t>
      </w:r>
    </w:p>
    <w:p w14:paraId="4CD00123"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Musta’anah, A., Bina Buono, K., Atika, R., Noviarita, H., Islam, U., Raden, N., &amp; Lampung, I. (2021). Analysis of Sharia Literacy Level and Sharia Financial Inclusion PNM Mekaar Sharia in Increasing Income Public (Study on the Fishing Community of Kuala Jaya Hamlet, South Lampung Regency). </w:t>
      </w:r>
      <w:r w:rsidRPr="000F1614">
        <w:rPr>
          <w:rFonts w:ascii="Times New Roman" w:hAnsi="Times New Roman" w:cs="Times New Roman"/>
          <w:i/>
          <w:iCs/>
          <w:noProof/>
          <w:sz w:val="24"/>
          <w:szCs w:val="24"/>
        </w:rPr>
        <w:t>Journal of Islamic Business and Economic Review</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4</w:t>
      </w:r>
      <w:r w:rsidRPr="000F1614">
        <w:rPr>
          <w:rFonts w:ascii="Times New Roman" w:hAnsi="Times New Roman" w:cs="Times New Roman"/>
          <w:noProof/>
          <w:sz w:val="24"/>
          <w:szCs w:val="24"/>
        </w:rPr>
        <w:t>(2), 97–101.</w:t>
      </w:r>
    </w:p>
    <w:p w14:paraId="62C88630"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Mustakim, M. (2019). </w:t>
      </w:r>
      <w:r w:rsidRPr="000F1614">
        <w:rPr>
          <w:rFonts w:ascii="Times New Roman" w:hAnsi="Times New Roman" w:cs="Times New Roman"/>
          <w:i/>
          <w:iCs/>
          <w:noProof/>
          <w:sz w:val="24"/>
          <w:szCs w:val="24"/>
        </w:rPr>
        <w:t>School and Pesantren: Study of Institutional Transformation of Islamic Education in Pesantren-based Schools (SBP) Ibnu Abbas Klaten Indonesia</w:t>
      </w:r>
      <w:r w:rsidRPr="000F1614">
        <w:rPr>
          <w:rFonts w:ascii="Times New Roman" w:hAnsi="Times New Roman" w:cs="Times New Roman"/>
          <w:noProof/>
          <w:sz w:val="24"/>
          <w:szCs w:val="24"/>
        </w:rPr>
        <w:t>. https://doi.org/10.2991/ICCD-19.2019.90</w:t>
      </w:r>
    </w:p>
    <w:p w14:paraId="41D0BD8C"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Mustakim, M. (2021). The Development of Learning Strategies in Pesantren Studies on the Transformation of the Teaching System in Pesantren. </w:t>
      </w:r>
      <w:r w:rsidRPr="000F1614">
        <w:rPr>
          <w:rFonts w:ascii="Times New Roman" w:hAnsi="Times New Roman" w:cs="Times New Roman"/>
          <w:i/>
          <w:iCs/>
          <w:noProof/>
          <w:sz w:val="24"/>
          <w:szCs w:val="24"/>
        </w:rPr>
        <w:t>IJORER : International Journal of Recent Educational Research</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2</w:t>
      </w:r>
      <w:r w:rsidRPr="000F1614">
        <w:rPr>
          <w:rFonts w:ascii="Times New Roman" w:hAnsi="Times New Roman" w:cs="Times New Roman"/>
          <w:noProof/>
          <w:sz w:val="24"/>
          <w:szCs w:val="24"/>
        </w:rPr>
        <w:t>(2), 224–236. https://doi.org/10.46245/IJORER.V2I2.94</w:t>
      </w:r>
    </w:p>
    <w:p w14:paraId="00048319"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Nugroho, W., &amp; Hilal, F. N. (2019). Micro Waqf Bank in Indonesia: Analysis of The Constitution Concept According to The Maqashid Sharia. </w:t>
      </w:r>
      <w:r w:rsidRPr="000F1614">
        <w:rPr>
          <w:rFonts w:ascii="Times New Roman" w:hAnsi="Times New Roman" w:cs="Times New Roman"/>
          <w:i/>
          <w:iCs/>
          <w:noProof/>
          <w:sz w:val="24"/>
          <w:szCs w:val="24"/>
        </w:rPr>
        <w:t>Al-Iktisab: Journal of Islamic Economic Law</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3</w:t>
      </w:r>
      <w:r w:rsidRPr="000F1614">
        <w:rPr>
          <w:rFonts w:ascii="Times New Roman" w:hAnsi="Times New Roman" w:cs="Times New Roman"/>
          <w:noProof/>
          <w:sz w:val="24"/>
          <w:szCs w:val="24"/>
        </w:rPr>
        <w:t>(1). https://doi.org/10.21111/AL-IKTISAB.V3I1.3905</w:t>
      </w:r>
    </w:p>
    <w:p w14:paraId="48260463"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Omar, M. A., &amp; Inaba, K. (2020). Does financial inclusion reduce poverty and income </w:t>
      </w:r>
      <w:r w:rsidRPr="000F1614">
        <w:rPr>
          <w:rFonts w:ascii="Times New Roman" w:hAnsi="Times New Roman" w:cs="Times New Roman"/>
          <w:noProof/>
          <w:sz w:val="24"/>
          <w:szCs w:val="24"/>
        </w:rPr>
        <w:lastRenderedPageBreak/>
        <w:t xml:space="preserve">inequality in developing countries? A panel data analysis. </w:t>
      </w:r>
      <w:r w:rsidRPr="000F1614">
        <w:rPr>
          <w:rFonts w:ascii="Times New Roman" w:hAnsi="Times New Roman" w:cs="Times New Roman"/>
          <w:i/>
          <w:iCs/>
          <w:noProof/>
          <w:sz w:val="24"/>
          <w:szCs w:val="24"/>
        </w:rPr>
        <w:t>Journal of Economic Structures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9</w:t>
      </w:r>
      <w:r w:rsidRPr="000F1614">
        <w:rPr>
          <w:rFonts w:ascii="Times New Roman" w:hAnsi="Times New Roman" w:cs="Times New Roman"/>
          <w:noProof/>
          <w:sz w:val="24"/>
          <w:szCs w:val="24"/>
        </w:rPr>
        <w:t>(1), 37. https://doi.org/10.1186/s40008-020-00214-4</w:t>
      </w:r>
    </w:p>
    <w:p w14:paraId="75832D8B"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Otoritas Jasa Keuangan. (2019). Survei Nasional Literasi dan Inklusi Keuangan Indonesia 2019. In </w:t>
      </w:r>
      <w:r w:rsidRPr="000F1614">
        <w:rPr>
          <w:rFonts w:ascii="Times New Roman" w:hAnsi="Times New Roman" w:cs="Times New Roman"/>
          <w:i/>
          <w:iCs/>
          <w:noProof/>
          <w:sz w:val="24"/>
          <w:szCs w:val="24"/>
        </w:rPr>
        <w:t>Survey Report</w:t>
      </w:r>
      <w:r w:rsidRPr="000F1614">
        <w:rPr>
          <w:rFonts w:ascii="Times New Roman" w:hAnsi="Times New Roman" w:cs="Times New Roman"/>
          <w:noProof/>
          <w:sz w:val="24"/>
          <w:szCs w:val="24"/>
        </w:rPr>
        <w:t>. www.ojk.go.id</w:t>
      </w:r>
    </w:p>
    <w:p w14:paraId="4477248F"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Özşuca, E. A. (2019). Gender gap in financial inclusion: Evidence from MENA. </w:t>
      </w:r>
      <w:r w:rsidRPr="000F1614">
        <w:rPr>
          <w:rFonts w:ascii="Times New Roman" w:hAnsi="Times New Roman" w:cs="Times New Roman"/>
          <w:i/>
          <w:iCs/>
          <w:noProof/>
          <w:sz w:val="24"/>
          <w:szCs w:val="24"/>
        </w:rPr>
        <w:t>Economics and Business Letters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8</w:t>
      </w:r>
      <w:r w:rsidRPr="000F1614">
        <w:rPr>
          <w:rFonts w:ascii="Times New Roman" w:hAnsi="Times New Roman" w:cs="Times New Roman"/>
          <w:noProof/>
          <w:sz w:val="24"/>
          <w:szCs w:val="24"/>
        </w:rPr>
        <w:t>(4), 199. https://doi.org/10.17811/ebl.8.4.2019.199-208</w:t>
      </w:r>
    </w:p>
    <w:p w14:paraId="29C24D8E"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Paramita, &amp; Prananingtyas, H. S. D. (2020). Legal Consequences of Dualism Regulations on Micro Waqf Bank as a Sharia Microfinance Institutions in Indonesia. </w:t>
      </w:r>
      <w:r w:rsidRPr="000F1614">
        <w:rPr>
          <w:rFonts w:ascii="Times New Roman" w:hAnsi="Times New Roman" w:cs="Times New Roman"/>
          <w:i/>
          <w:iCs/>
          <w:noProof/>
          <w:sz w:val="24"/>
          <w:szCs w:val="24"/>
        </w:rPr>
        <w:t>Varia Justicia</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16</w:t>
      </w:r>
      <w:r w:rsidRPr="000F1614">
        <w:rPr>
          <w:rFonts w:ascii="Times New Roman" w:hAnsi="Times New Roman" w:cs="Times New Roman"/>
          <w:noProof/>
          <w:sz w:val="24"/>
          <w:szCs w:val="24"/>
        </w:rPr>
        <w:t>(1), 1–14. https://doi.org/10.31603/variajusticia.v16i1.3205</w:t>
      </w:r>
    </w:p>
    <w:p w14:paraId="1E25FEA1"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Patton, M. Q. (2005). Qualitative Research. </w:t>
      </w:r>
      <w:r w:rsidRPr="000F1614">
        <w:rPr>
          <w:rFonts w:ascii="Times New Roman" w:hAnsi="Times New Roman" w:cs="Times New Roman"/>
          <w:i/>
          <w:iCs/>
          <w:noProof/>
          <w:sz w:val="24"/>
          <w:szCs w:val="24"/>
        </w:rPr>
        <w:t>Encyclopedia of Statistics in Behavioral Science</w:t>
      </w:r>
      <w:r w:rsidRPr="000F1614">
        <w:rPr>
          <w:rFonts w:ascii="Times New Roman" w:hAnsi="Times New Roman" w:cs="Times New Roman"/>
          <w:noProof/>
          <w:sz w:val="24"/>
          <w:szCs w:val="24"/>
        </w:rPr>
        <w:t>. https://doi.org/10.1002/0470013192.BSA514</w:t>
      </w:r>
    </w:p>
    <w:p w14:paraId="32A62940"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Prastyaningtyas, E. W., Widjaja, S. U. M., Wahyono, H., Andayani, E. S., &amp; Rusdi, J. F. (2022). Methods for studying group loans, join responsibility, and women’s empowerment. </w:t>
      </w:r>
      <w:r w:rsidRPr="000F1614">
        <w:rPr>
          <w:rFonts w:ascii="Times New Roman" w:hAnsi="Times New Roman" w:cs="Times New Roman"/>
          <w:i/>
          <w:iCs/>
          <w:noProof/>
          <w:sz w:val="24"/>
          <w:szCs w:val="24"/>
        </w:rPr>
        <w:t>MethodsX</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9</w:t>
      </w:r>
      <w:r w:rsidRPr="000F1614">
        <w:rPr>
          <w:rFonts w:ascii="Times New Roman" w:hAnsi="Times New Roman" w:cs="Times New Roman"/>
          <w:noProof/>
          <w:sz w:val="24"/>
          <w:szCs w:val="24"/>
        </w:rPr>
        <w:t>, 101749. https://doi.org/10.1016/J.MEX.2022.101749</w:t>
      </w:r>
    </w:p>
    <w:p w14:paraId="2B895005"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Qizam, I., Berakon, I., &amp; Ali, H. (2025). The role of halal value chain, Sharia financial inclusion, and digital economy in socio-economic transformation: a study of Islamic boarding schools in Indonesia. </w:t>
      </w:r>
      <w:r w:rsidRPr="000F1614">
        <w:rPr>
          <w:rFonts w:ascii="Times New Roman" w:hAnsi="Times New Roman" w:cs="Times New Roman"/>
          <w:i/>
          <w:iCs/>
          <w:noProof/>
          <w:sz w:val="24"/>
          <w:szCs w:val="24"/>
        </w:rPr>
        <w:t>Journal of Islamic Marketing</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16</w:t>
      </w:r>
      <w:r w:rsidRPr="000F1614">
        <w:rPr>
          <w:rFonts w:ascii="Times New Roman" w:hAnsi="Times New Roman" w:cs="Times New Roman"/>
          <w:noProof/>
          <w:sz w:val="24"/>
          <w:szCs w:val="24"/>
        </w:rPr>
        <w:t>(3), 810–840. https://doi.org/10.1108/JIMA-03-2024-0108</w:t>
      </w:r>
    </w:p>
    <w:p w14:paraId="4DCFAC81"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Rahman, M. M., Khanam, R., &amp; Nghiem, S. (2017). The effects of microfinance on women’s empowerment: New evidence from Bangladesh. </w:t>
      </w:r>
      <w:r w:rsidRPr="000F1614">
        <w:rPr>
          <w:rFonts w:ascii="Times New Roman" w:hAnsi="Times New Roman" w:cs="Times New Roman"/>
          <w:i/>
          <w:iCs/>
          <w:noProof/>
          <w:sz w:val="24"/>
          <w:szCs w:val="24"/>
        </w:rPr>
        <w:t>International Journal of Social Economics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44</w:t>
      </w:r>
      <w:r w:rsidRPr="000F1614">
        <w:rPr>
          <w:rFonts w:ascii="Times New Roman" w:hAnsi="Times New Roman" w:cs="Times New Roman"/>
          <w:noProof/>
          <w:sz w:val="24"/>
          <w:szCs w:val="24"/>
        </w:rPr>
        <w:t>(12), 1745–1757. https://doi.org/10.1108/IJSE-02-2016-0070/FULL/HTML</w:t>
      </w:r>
    </w:p>
    <w:p w14:paraId="33199ECA"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Rifqi, L. H. (2018). Community Empowerment through Islamic Microfinances: Perceptions in Comparison. </w:t>
      </w:r>
      <w:r w:rsidRPr="000F1614">
        <w:rPr>
          <w:rFonts w:ascii="Times New Roman" w:hAnsi="Times New Roman" w:cs="Times New Roman"/>
          <w:i/>
          <w:iCs/>
          <w:noProof/>
          <w:sz w:val="24"/>
          <w:szCs w:val="24"/>
        </w:rPr>
        <w:t>Shirkah: Journal of Economics and Business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2</w:t>
      </w:r>
      <w:r w:rsidRPr="000F1614">
        <w:rPr>
          <w:rFonts w:ascii="Times New Roman" w:hAnsi="Times New Roman" w:cs="Times New Roman"/>
          <w:noProof/>
          <w:sz w:val="24"/>
          <w:szCs w:val="24"/>
        </w:rPr>
        <w:t>(1). https://doi.org/10.22515/SHIRKAH.V2I1.35</w:t>
      </w:r>
    </w:p>
    <w:p w14:paraId="78ED819F"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Ritonga, T., Ananda, A., Lanin, D., &amp; Hasan, H. (2019). PRACTICE TO THEORY OF LEARNING: A LESSON LEARNED FROM ISLAMIC BOARDING SCHOOL IN SOUTH TAPANULI OF INDONESIA. </w:t>
      </w:r>
      <w:r w:rsidRPr="000F1614">
        <w:rPr>
          <w:rFonts w:ascii="Times New Roman" w:hAnsi="Times New Roman" w:cs="Times New Roman"/>
          <w:i/>
          <w:iCs/>
          <w:noProof/>
          <w:sz w:val="24"/>
          <w:szCs w:val="24"/>
        </w:rPr>
        <w:t>Humanities &amp; Social Sciences Reviews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7</w:t>
      </w:r>
      <w:r w:rsidRPr="000F1614">
        <w:rPr>
          <w:rFonts w:ascii="Times New Roman" w:hAnsi="Times New Roman" w:cs="Times New Roman"/>
          <w:noProof/>
          <w:sz w:val="24"/>
          <w:szCs w:val="24"/>
        </w:rPr>
        <w:t>(5), 1304–1310. https://doi.org/10.18510/hssr.2019.75169</w:t>
      </w:r>
    </w:p>
    <w:p w14:paraId="4A92B396"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Rogo, E. J. (2024). Exploring Qualitative Research. </w:t>
      </w:r>
      <w:r w:rsidRPr="000F1614">
        <w:rPr>
          <w:rFonts w:ascii="Times New Roman" w:hAnsi="Times New Roman" w:cs="Times New Roman"/>
          <w:i/>
          <w:iCs/>
          <w:noProof/>
          <w:sz w:val="24"/>
          <w:szCs w:val="24"/>
        </w:rPr>
        <w:t>Journal of Dental Hygiene : JDH</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98</w:t>
      </w:r>
      <w:r w:rsidRPr="000F1614">
        <w:rPr>
          <w:rFonts w:ascii="Times New Roman" w:hAnsi="Times New Roman" w:cs="Times New Roman"/>
          <w:noProof/>
          <w:sz w:val="24"/>
          <w:szCs w:val="24"/>
        </w:rPr>
        <w:t>(4), 56–61. http://www.ncbi.nlm.nih.gov/pubmed/39137996</w:t>
      </w:r>
    </w:p>
    <w:p w14:paraId="79006106"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Rozalinda. (2019). </w:t>
      </w:r>
      <w:r w:rsidRPr="000F1614">
        <w:rPr>
          <w:rFonts w:ascii="Times New Roman" w:hAnsi="Times New Roman" w:cs="Times New Roman"/>
          <w:i/>
          <w:iCs/>
          <w:noProof/>
          <w:sz w:val="24"/>
          <w:szCs w:val="24"/>
        </w:rPr>
        <w:t>Fiqh Ekonomi Syariah Prinsip Dan Implementasinya Pada Sektor Keuangan Syariah</w:t>
      </w:r>
      <w:r w:rsidRPr="000F1614">
        <w:rPr>
          <w:rFonts w:ascii="Times New Roman" w:hAnsi="Times New Roman" w:cs="Times New Roman"/>
          <w:noProof/>
          <w:sz w:val="24"/>
          <w:szCs w:val="24"/>
        </w:rPr>
        <w:t xml:space="preserve"> (1st ed.). Raja Grafindo Persada.</w:t>
      </w:r>
    </w:p>
    <w:p w14:paraId="1E9713B9"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Rozalinda. (2020). Bank Wakaf Mikro: Its Operations and Its Role in Empowering Communities Surrounding Islamic Boarding Schools in Indonesia. </w:t>
      </w:r>
      <w:r w:rsidRPr="000F1614">
        <w:rPr>
          <w:rFonts w:ascii="Times New Roman" w:hAnsi="Times New Roman" w:cs="Times New Roman"/>
          <w:i/>
          <w:iCs/>
          <w:noProof/>
          <w:sz w:val="24"/>
          <w:szCs w:val="24"/>
        </w:rPr>
        <w:t>Islam Realitas: Journal of Islamic and Social Studies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6</w:t>
      </w:r>
      <w:r w:rsidRPr="000F1614">
        <w:rPr>
          <w:rFonts w:ascii="Times New Roman" w:hAnsi="Times New Roman" w:cs="Times New Roman"/>
          <w:noProof/>
          <w:sz w:val="24"/>
          <w:szCs w:val="24"/>
        </w:rPr>
        <w:t>(1), 47–60.</w:t>
      </w:r>
    </w:p>
    <w:p w14:paraId="24DC7374"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Rozalinda, R., &amp; Nurhasnah, N. (2022). Islamic Boarding School-Based Women’s Economic Empowerment and Its Impact on Increasing Home Industry Income. </w:t>
      </w:r>
      <w:r w:rsidRPr="000F1614">
        <w:rPr>
          <w:rFonts w:ascii="Times New Roman" w:hAnsi="Times New Roman" w:cs="Times New Roman"/>
          <w:i/>
          <w:iCs/>
          <w:noProof/>
          <w:sz w:val="24"/>
          <w:szCs w:val="24"/>
        </w:rPr>
        <w:t>Annual International Conference on Islamic Economics and Business (AICIEB)</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2</w:t>
      </w:r>
      <w:r w:rsidRPr="000F1614">
        <w:rPr>
          <w:rFonts w:ascii="Times New Roman" w:hAnsi="Times New Roman" w:cs="Times New Roman"/>
          <w:noProof/>
          <w:sz w:val="24"/>
          <w:szCs w:val="24"/>
        </w:rPr>
        <w:t>(1), 432–448. https://doi.org/10.18326/AICIEB.V2I1.126</w:t>
      </w:r>
    </w:p>
    <w:p w14:paraId="3845FB6A"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Sarıgül, H. (2024). Financial Literacy Gender Gap: A Meta-Analysis. </w:t>
      </w:r>
      <w:r w:rsidRPr="000F1614">
        <w:rPr>
          <w:rFonts w:ascii="Times New Roman" w:hAnsi="Times New Roman" w:cs="Times New Roman"/>
          <w:i/>
          <w:iCs/>
          <w:noProof/>
          <w:sz w:val="24"/>
          <w:szCs w:val="24"/>
        </w:rPr>
        <w:t>Sosyoekonomi</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32</w:t>
      </w:r>
      <w:r w:rsidRPr="000F1614">
        <w:rPr>
          <w:rFonts w:ascii="Times New Roman" w:hAnsi="Times New Roman" w:cs="Times New Roman"/>
          <w:noProof/>
          <w:sz w:val="24"/>
          <w:szCs w:val="24"/>
        </w:rPr>
        <w:t>(61), 97–123. https://doi.org/10.17233/sosyoekonomi.2024.03.06</w:t>
      </w:r>
    </w:p>
    <w:p w14:paraId="6FCAD5EA"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Seguino, S. (2010). Gender, Distribution, and Balance of Payments Constrained Growth in Developing Countries. </w:t>
      </w:r>
      <w:r w:rsidRPr="000F1614">
        <w:rPr>
          <w:rFonts w:ascii="Times New Roman" w:hAnsi="Times New Roman" w:cs="Times New Roman"/>
          <w:i/>
          <w:iCs/>
          <w:noProof/>
          <w:sz w:val="24"/>
          <w:szCs w:val="24"/>
        </w:rPr>
        <w:t>Review of Political Economy</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22</w:t>
      </w:r>
      <w:r w:rsidRPr="000F1614">
        <w:rPr>
          <w:rFonts w:ascii="Times New Roman" w:hAnsi="Times New Roman" w:cs="Times New Roman"/>
          <w:noProof/>
          <w:sz w:val="24"/>
          <w:szCs w:val="24"/>
        </w:rPr>
        <w:t>(3), 373–404. https://doi.org/10.1080/09538259.2010.491285</w:t>
      </w:r>
    </w:p>
    <w:p w14:paraId="537D6BFD"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Simba, A., Dabic, M., Adegbile, A., &amp; Ogundana, O. M. (2024). Financing women entrepreneurship in the developing world: An fsQCA analysis of informal financing schemes. </w:t>
      </w:r>
      <w:r w:rsidRPr="000F1614">
        <w:rPr>
          <w:rFonts w:ascii="Times New Roman" w:hAnsi="Times New Roman" w:cs="Times New Roman"/>
          <w:i/>
          <w:iCs/>
          <w:noProof/>
          <w:sz w:val="24"/>
          <w:szCs w:val="24"/>
        </w:rPr>
        <w:t>Journal of Small Business Management</w:t>
      </w:r>
      <w:r w:rsidRPr="000F1614">
        <w:rPr>
          <w:rFonts w:ascii="Times New Roman" w:hAnsi="Times New Roman" w:cs="Times New Roman"/>
          <w:noProof/>
          <w:sz w:val="24"/>
          <w:szCs w:val="24"/>
        </w:rPr>
        <w:t>, 1–36. https://doi.org/10.1080/00472778.2024.2418029</w:t>
      </w:r>
    </w:p>
    <w:p w14:paraId="0DA4BE07"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Singh, S., &amp; Dash, B. M. (2021). Gender Discrimination in Accessing Finance by Women-</w:t>
      </w:r>
      <w:r w:rsidRPr="000F1614">
        <w:rPr>
          <w:rFonts w:ascii="Times New Roman" w:hAnsi="Times New Roman" w:cs="Times New Roman"/>
          <w:noProof/>
          <w:sz w:val="24"/>
          <w:szCs w:val="24"/>
        </w:rPr>
        <w:lastRenderedPageBreak/>
        <w:t xml:space="preserve">Owned Businesses: A Review. </w:t>
      </w:r>
      <w:r w:rsidRPr="000F1614">
        <w:rPr>
          <w:rFonts w:ascii="Times New Roman" w:hAnsi="Times New Roman" w:cs="Times New Roman"/>
          <w:i/>
          <w:iCs/>
          <w:noProof/>
          <w:sz w:val="24"/>
          <w:szCs w:val="24"/>
        </w:rPr>
        <w:t>Journal of International Women’s Studies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22</w:t>
      </w:r>
      <w:r w:rsidRPr="000F1614">
        <w:rPr>
          <w:rFonts w:ascii="Times New Roman" w:hAnsi="Times New Roman" w:cs="Times New Roman"/>
          <w:noProof/>
          <w:sz w:val="24"/>
          <w:szCs w:val="24"/>
        </w:rPr>
        <w:t>(9), 381–399. https://www.scopus.com/inward/record.uri?eid=2-s2.0-85116927510&amp;partnerID=40&amp;md5=b9b36e42a816690649c7e84aa617adb0</w:t>
      </w:r>
    </w:p>
    <w:p w14:paraId="041AC25A"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Soemitra, A., Kusmilawaty, &amp; Rahma, T. I. F. (2022). The Role of Micro Waqf Bank in Women’s Micro-Business Empowerment through Islamic Social Finance: Mixed-Method Evidence from Mawaridussalam Indonesia. </w:t>
      </w:r>
      <w:r w:rsidRPr="000F1614">
        <w:rPr>
          <w:rFonts w:ascii="Times New Roman" w:hAnsi="Times New Roman" w:cs="Times New Roman"/>
          <w:i/>
          <w:iCs/>
          <w:noProof/>
          <w:sz w:val="24"/>
          <w:szCs w:val="24"/>
        </w:rPr>
        <w:t>Economies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10</w:t>
      </w:r>
      <w:r w:rsidRPr="000F1614">
        <w:rPr>
          <w:rFonts w:ascii="Times New Roman" w:hAnsi="Times New Roman" w:cs="Times New Roman"/>
          <w:noProof/>
          <w:sz w:val="24"/>
          <w:szCs w:val="24"/>
        </w:rPr>
        <w:t>(7), 157. https://doi.org/10.3390/economies10070157</w:t>
      </w:r>
    </w:p>
    <w:p w14:paraId="119EA5D4"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Sofia. (2017). </w:t>
      </w:r>
      <w:r w:rsidRPr="000F1614">
        <w:rPr>
          <w:rFonts w:ascii="Times New Roman" w:hAnsi="Times New Roman" w:cs="Times New Roman"/>
          <w:i/>
          <w:iCs/>
          <w:noProof/>
          <w:sz w:val="24"/>
          <w:szCs w:val="24"/>
        </w:rPr>
        <w:t>Survey on Financial Inclusion and Access (SOFIA) Implemented by Focus Note on Gender</w:t>
      </w:r>
      <w:r w:rsidRPr="000F1614">
        <w:rPr>
          <w:rFonts w:ascii="Times New Roman" w:hAnsi="Times New Roman" w:cs="Times New Roman"/>
          <w:noProof/>
          <w:sz w:val="24"/>
          <w:szCs w:val="24"/>
        </w:rPr>
        <w:t>.</w:t>
      </w:r>
    </w:p>
    <w:p w14:paraId="0E4C7329"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Sulistiani, S. L., Yunus, M., &amp; Bayuni, E. M. (2020). Micro Waqf Bank: New Sharia Financial Instruments in Indonesia. </w:t>
      </w:r>
      <w:r w:rsidRPr="000F1614">
        <w:rPr>
          <w:rFonts w:ascii="Times New Roman" w:hAnsi="Times New Roman" w:cs="Times New Roman"/>
          <w:i/>
          <w:iCs/>
          <w:noProof/>
          <w:sz w:val="24"/>
          <w:szCs w:val="24"/>
        </w:rPr>
        <w:t>Advances in Social Science, Education and Humanities Research</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409</w:t>
      </w:r>
      <w:r w:rsidRPr="000F1614">
        <w:rPr>
          <w:rFonts w:ascii="Times New Roman" w:hAnsi="Times New Roman" w:cs="Times New Roman"/>
          <w:noProof/>
          <w:sz w:val="24"/>
          <w:szCs w:val="24"/>
        </w:rPr>
        <w:t>, 1–4. https://doi.org/10.2991/ASSEHR.K.200225.001</w:t>
      </w:r>
    </w:p>
    <w:p w14:paraId="25EAA7C4"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Suparto, Halid, &amp; Bin Mamat, S. A. (2019). BANI ALAWIYYIN IN INDONESIA AND THE MALAY WORLD: Network, Development and the Role of Institution in Transmitting the Peaceful Mission of Islam. </w:t>
      </w:r>
      <w:r w:rsidRPr="000F1614">
        <w:rPr>
          <w:rFonts w:ascii="Times New Roman" w:hAnsi="Times New Roman" w:cs="Times New Roman"/>
          <w:i/>
          <w:iCs/>
          <w:noProof/>
          <w:sz w:val="24"/>
          <w:szCs w:val="24"/>
        </w:rPr>
        <w:t>JOURNAL OF INDONESIAN ISLAM</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13</w:t>
      </w:r>
      <w:r w:rsidRPr="000F1614">
        <w:rPr>
          <w:rFonts w:ascii="Times New Roman" w:hAnsi="Times New Roman" w:cs="Times New Roman"/>
          <w:noProof/>
          <w:sz w:val="24"/>
          <w:szCs w:val="24"/>
        </w:rPr>
        <w:t>(2), 267–296. https://doi.org/10.15642/JIIS.2019.13.2.267-296</w:t>
      </w:r>
    </w:p>
    <w:p w14:paraId="3632C2B3"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Temoso, O., Ng’ombe, J. N., &amp; Addai, K. N. (2024). </w:t>
      </w:r>
      <w:r w:rsidRPr="000F1614">
        <w:rPr>
          <w:rFonts w:ascii="Times New Roman" w:hAnsi="Times New Roman" w:cs="Times New Roman"/>
          <w:i/>
          <w:iCs/>
          <w:noProof/>
          <w:sz w:val="24"/>
          <w:szCs w:val="24"/>
        </w:rPr>
        <w:t>Gender and Geographical Disparities in Financial Inclusion in Rural sub-Saharan Africa: A Kitagawa-Oaxaca-Blinder Decomposition</w:t>
      </w:r>
      <w:r w:rsidRPr="000F1614">
        <w:rPr>
          <w:rFonts w:ascii="Times New Roman" w:hAnsi="Times New Roman" w:cs="Times New Roman"/>
          <w:noProof/>
          <w:sz w:val="24"/>
          <w:szCs w:val="24"/>
        </w:rPr>
        <w:t xml:space="preserve"> (pp. 229–255). https://doi.org/10.1007/978-981-97-6132-6_10</w:t>
      </w:r>
    </w:p>
    <w:p w14:paraId="54642538"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Thapa Karki, S., &amp; Xheneti, M. (2018). Formalizing women entrepreneurs in Kathmandu, Nepal: Pathway towards empowerment? </w:t>
      </w:r>
      <w:r w:rsidRPr="000F1614">
        <w:rPr>
          <w:rFonts w:ascii="Times New Roman" w:hAnsi="Times New Roman" w:cs="Times New Roman"/>
          <w:i/>
          <w:iCs/>
          <w:noProof/>
          <w:sz w:val="24"/>
          <w:szCs w:val="24"/>
        </w:rPr>
        <w:t>International Journal of Sociology and Social Policy</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38</w:t>
      </w:r>
      <w:r w:rsidRPr="000F1614">
        <w:rPr>
          <w:rFonts w:ascii="Times New Roman" w:hAnsi="Times New Roman" w:cs="Times New Roman"/>
          <w:noProof/>
          <w:sz w:val="24"/>
          <w:szCs w:val="24"/>
        </w:rPr>
        <w:t>(7–8), 526–541. https://doi.org/10.1108/IJSSP-12-2017-0166/FULL/PDF</w:t>
      </w:r>
    </w:p>
    <w:p w14:paraId="20F4A72B"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Tripathi, S., &amp; Rajeev, M. (2023). Gender-Inclusive Development through Fintech: Studying Gender-Based Digital Financial Inclusion in a Cross-Country Setting. </w:t>
      </w:r>
      <w:r w:rsidRPr="000F1614">
        <w:rPr>
          <w:rFonts w:ascii="Times New Roman" w:hAnsi="Times New Roman" w:cs="Times New Roman"/>
          <w:i/>
          <w:iCs/>
          <w:noProof/>
          <w:sz w:val="24"/>
          <w:szCs w:val="24"/>
        </w:rPr>
        <w:t>Sustainability</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15</w:t>
      </w:r>
      <w:r w:rsidRPr="000F1614">
        <w:rPr>
          <w:rFonts w:ascii="Times New Roman" w:hAnsi="Times New Roman" w:cs="Times New Roman"/>
          <w:noProof/>
          <w:sz w:val="24"/>
          <w:szCs w:val="24"/>
        </w:rPr>
        <w:t>(13), 10253. https://doi.org/10.3390/su151310253</w:t>
      </w:r>
    </w:p>
    <w:p w14:paraId="64BDDD95"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Widyanti, A. (2020). STRATEGY MARKETING OF SHARIA BANKS OF MICRO SHARIA WAKAF IN INCREASING THE NUMBER OF CUSTOMERS (Case Study: Typical Islamic Micro Waqf Bank Kempek Cirebon). </w:t>
      </w:r>
      <w:r w:rsidRPr="000F1614">
        <w:rPr>
          <w:rFonts w:ascii="Times New Roman" w:hAnsi="Times New Roman" w:cs="Times New Roman"/>
          <w:i/>
          <w:iCs/>
          <w:noProof/>
          <w:sz w:val="24"/>
          <w:szCs w:val="24"/>
        </w:rPr>
        <w:t>Journal of Social Science</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1</w:t>
      </w:r>
      <w:r w:rsidRPr="000F1614">
        <w:rPr>
          <w:rFonts w:ascii="Times New Roman" w:hAnsi="Times New Roman" w:cs="Times New Roman"/>
          <w:noProof/>
          <w:sz w:val="24"/>
          <w:szCs w:val="24"/>
        </w:rPr>
        <w:t>(1), 1–9. https://doi.org/10.46799/JSS.V1I1.2</w:t>
      </w:r>
    </w:p>
    <w:p w14:paraId="62EA8979"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Xheneti, M., Madden, A., &amp; Thapa Karki, S. (2019). Value of Formalization for Women Entrepreneurs in Developing Contexts: A Review and Research Agenda. </w:t>
      </w:r>
      <w:r w:rsidRPr="000F1614">
        <w:rPr>
          <w:rFonts w:ascii="Times New Roman" w:hAnsi="Times New Roman" w:cs="Times New Roman"/>
          <w:i/>
          <w:iCs/>
          <w:noProof/>
          <w:sz w:val="24"/>
          <w:szCs w:val="24"/>
        </w:rPr>
        <w:t>International Journal of Management Reviews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21</w:t>
      </w:r>
      <w:r w:rsidRPr="000F1614">
        <w:rPr>
          <w:rFonts w:ascii="Times New Roman" w:hAnsi="Times New Roman" w:cs="Times New Roman"/>
          <w:noProof/>
          <w:sz w:val="24"/>
          <w:szCs w:val="24"/>
        </w:rPr>
        <w:t>(1), 3–23. https://doi.org/10.1111/IJMR.12172</w:t>
      </w:r>
    </w:p>
    <w:p w14:paraId="5AA8D9D2"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Yamin, A., &amp; Dalimunthe. (2020). Classic Islamic Education Heritage in Halaqah and Munazharah. </w:t>
      </w:r>
      <w:r w:rsidRPr="000F1614">
        <w:rPr>
          <w:rFonts w:ascii="Times New Roman" w:hAnsi="Times New Roman" w:cs="Times New Roman"/>
          <w:i/>
          <w:iCs/>
          <w:noProof/>
          <w:sz w:val="24"/>
          <w:szCs w:val="24"/>
        </w:rPr>
        <w:t>194.31.53.129</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6</w:t>
      </w:r>
      <w:r w:rsidRPr="000F1614">
        <w:rPr>
          <w:rFonts w:ascii="Times New Roman" w:hAnsi="Times New Roman" w:cs="Times New Roman"/>
          <w:noProof/>
          <w:sz w:val="24"/>
          <w:szCs w:val="24"/>
        </w:rPr>
        <w:t>(2), 249–343. https://doi.org/10.24952/tazkir.v6i2.1315</w:t>
      </w:r>
    </w:p>
    <w:p w14:paraId="1AB93897"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Yaumidin, U. K., Suhodo, D. S., Yuniarti, P. I., &amp; Hidayatina, A. (2017). Financial Inclusion for Women: Impact Evaluation on Islamic Microfinance to Women’s Empowerment in Indonesia. </w:t>
      </w:r>
      <w:r w:rsidRPr="000F1614">
        <w:rPr>
          <w:rFonts w:ascii="Times New Roman" w:hAnsi="Times New Roman" w:cs="Times New Roman"/>
          <w:i/>
          <w:iCs/>
          <w:noProof/>
          <w:sz w:val="24"/>
          <w:szCs w:val="24"/>
        </w:rPr>
        <w:t>Financial Inclusion and Poverty Alleviation</w:t>
      </w:r>
      <w:r w:rsidRPr="000F1614">
        <w:rPr>
          <w:rFonts w:ascii="Times New Roman" w:hAnsi="Times New Roman" w:cs="Times New Roman"/>
          <w:noProof/>
          <w:sz w:val="24"/>
          <w:szCs w:val="24"/>
        </w:rPr>
        <w:t>, 81–140. https://doi.org/10.1007/978-3-319-69799-4_3</w:t>
      </w:r>
    </w:p>
    <w:p w14:paraId="4EBCB087"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Yunus, M. (2005). ELIMINATING POVERTY THROUGH MARKET-BASED SOCIAL ENTREPRENEURSHIP. In </w:t>
      </w:r>
      <w:r w:rsidRPr="000F1614">
        <w:rPr>
          <w:rFonts w:ascii="Times New Roman" w:hAnsi="Times New Roman" w:cs="Times New Roman"/>
          <w:i/>
          <w:iCs/>
          <w:noProof/>
          <w:sz w:val="24"/>
          <w:szCs w:val="24"/>
        </w:rPr>
        <w:t>Global Urban Development</w:t>
      </w:r>
      <w:r w:rsidRPr="000F1614">
        <w:rPr>
          <w:rFonts w:ascii="Times New Roman" w:hAnsi="Times New Roman" w:cs="Times New Roman"/>
          <w:noProof/>
          <w:sz w:val="24"/>
          <w:szCs w:val="24"/>
        </w:rPr>
        <w:t xml:space="preserve"> (Vol. 1).</w:t>
      </w:r>
    </w:p>
    <w:p w14:paraId="37CD034F"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Zayanie, J. M., Fitria, A., &amp; Kamariah, R. (2019). Bank Wakaf Mikro and Creative Economics in Pesantren Buntet. </w:t>
      </w:r>
      <w:r w:rsidRPr="000F1614">
        <w:rPr>
          <w:rFonts w:ascii="Times New Roman" w:hAnsi="Times New Roman" w:cs="Times New Roman"/>
          <w:i/>
          <w:iCs/>
          <w:noProof/>
          <w:sz w:val="24"/>
          <w:szCs w:val="24"/>
        </w:rPr>
        <w:t>Shirkah: Journal of Economics and Business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4</w:t>
      </w:r>
      <w:r w:rsidRPr="000F1614">
        <w:rPr>
          <w:rFonts w:ascii="Times New Roman" w:hAnsi="Times New Roman" w:cs="Times New Roman"/>
          <w:noProof/>
          <w:sz w:val="24"/>
          <w:szCs w:val="24"/>
        </w:rPr>
        <w:t>(2). https://doi.org/10.22515/shirkah.v4i2.269</w:t>
      </w:r>
    </w:p>
    <w:p w14:paraId="4F04C67D"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szCs w:val="24"/>
        </w:rPr>
      </w:pPr>
      <w:r w:rsidRPr="000F1614">
        <w:rPr>
          <w:rFonts w:ascii="Times New Roman" w:hAnsi="Times New Roman" w:cs="Times New Roman"/>
          <w:noProof/>
          <w:sz w:val="24"/>
          <w:szCs w:val="24"/>
        </w:rPr>
        <w:t xml:space="preserve">Zitouni, T., &amp; Ben Jedidia, K. (2022). Does Islamic microfinance contribute to economic empowerment in Tunisia?: a case study of Zitouna Tamkeen. </w:t>
      </w:r>
      <w:r w:rsidRPr="000F1614">
        <w:rPr>
          <w:rFonts w:ascii="Times New Roman" w:hAnsi="Times New Roman" w:cs="Times New Roman"/>
          <w:i/>
          <w:iCs/>
          <w:noProof/>
          <w:sz w:val="24"/>
          <w:szCs w:val="24"/>
        </w:rPr>
        <w:t>Journal of Business and Socio-Economic Development</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2</w:t>
      </w:r>
      <w:r w:rsidRPr="000F1614">
        <w:rPr>
          <w:rFonts w:ascii="Times New Roman" w:hAnsi="Times New Roman" w:cs="Times New Roman"/>
          <w:noProof/>
          <w:sz w:val="24"/>
          <w:szCs w:val="24"/>
        </w:rPr>
        <w:t>(1), 67–81. https://doi.org/10.1108/JBSED-10-2021-0143/FULL/HTML</w:t>
      </w:r>
    </w:p>
    <w:p w14:paraId="053F8C9E" w14:textId="77777777" w:rsidR="000F1614" w:rsidRPr="000F1614" w:rsidRDefault="000F1614" w:rsidP="000F1614">
      <w:pPr>
        <w:widowControl w:val="0"/>
        <w:autoSpaceDE w:val="0"/>
        <w:autoSpaceDN w:val="0"/>
        <w:adjustRightInd w:val="0"/>
        <w:spacing w:after="0" w:line="240" w:lineRule="auto"/>
        <w:ind w:left="480" w:hanging="480"/>
        <w:rPr>
          <w:rFonts w:ascii="Times New Roman" w:hAnsi="Times New Roman" w:cs="Times New Roman"/>
          <w:noProof/>
          <w:sz w:val="24"/>
        </w:rPr>
      </w:pPr>
      <w:r w:rsidRPr="000F1614">
        <w:rPr>
          <w:rFonts w:ascii="Times New Roman" w:hAnsi="Times New Roman" w:cs="Times New Roman"/>
          <w:noProof/>
          <w:sz w:val="24"/>
          <w:szCs w:val="24"/>
        </w:rPr>
        <w:t xml:space="preserve">Zulhannan, &amp; Musyarrofah, U. (2024). Education System and Network of Quran Memorization Islamic Boarding Schools in Kudus, Surakarta, and Bogor. </w:t>
      </w:r>
      <w:r w:rsidRPr="000F1614">
        <w:rPr>
          <w:rFonts w:ascii="Times New Roman" w:hAnsi="Times New Roman" w:cs="Times New Roman"/>
          <w:i/>
          <w:iCs/>
          <w:noProof/>
          <w:sz w:val="24"/>
          <w:szCs w:val="24"/>
        </w:rPr>
        <w:t>Millah: Journal of Religious Studies</w:t>
      </w:r>
      <w:r w:rsidRPr="000F1614">
        <w:rPr>
          <w:rFonts w:ascii="Times New Roman" w:hAnsi="Times New Roman" w:cs="Times New Roman"/>
          <w:noProof/>
          <w:sz w:val="24"/>
          <w:szCs w:val="24"/>
        </w:rPr>
        <w:t xml:space="preserve">, </w:t>
      </w:r>
      <w:r w:rsidRPr="000F1614">
        <w:rPr>
          <w:rFonts w:ascii="Times New Roman" w:hAnsi="Times New Roman" w:cs="Times New Roman"/>
          <w:i/>
          <w:iCs/>
          <w:noProof/>
          <w:sz w:val="24"/>
          <w:szCs w:val="24"/>
        </w:rPr>
        <w:t>23</w:t>
      </w:r>
      <w:r w:rsidRPr="000F1614">
        <w:rPr>
          <w:rFonts w:ascii="Times New Roman" w:hAnsi="Times New Roman" w:cs="Times New Roman"/>
          <w:noProof/>
          <w:sz w:val="24"/>
          <w:szCs w:val="24"/>
        </w:rPr>
        <w:t xml:space="preserve">(1), 301–330. </w:t>
      </w:r>
      <w:r w:rsidRPr="000F1614">
        <w:rPr>
          <w:rFonts w:ascii="Times New Roman" w:hAnsi="Times New Roman" w:cs="Times New Roman"/>
          <w:noProof/>
          <w:sz w:val="24"/>
          <w:szCs w:val="24"/>
        </w:rPr>
        <w:lastRenderedPageBreak/>
        <w:t>https://doi.org/10.20885/millah.vol23.iss1.art10</w:t>
      </w:r>
    </w:p>
    <w:p w14:paraId="2A4AC2AD" w14:textId="01372E6A" w:rsidR="00C16EFA" w:rsidRDefault="00C611A5" w:rsidP="006452AE">
      <w:pPr>
        <w:widowControl w:val="0"/>
        <w:autoSpaceDE w:val="0"/>
        <w:autoSpaceDN w:val="0"/>
        <w:adjustRightInd w:val="0"/>
        <w:spacing w:after="0" w:line="240" w:lineRule="auto"/>
        <w:ind w:left="480" w:hanging="480"/>
        <w:jc w:val="both"/>
        <w:rPr>
          <w:rFonts w:ascii="Times New Roman" w:hAnsi="Times New Roman" w:cs="Times New Roman"/>
          <w:b/>
          <w:bCs/>
          <w:sz w:val="24"/>
          <w:szCs w:val="24"/>
        </w:rPr>
      </w:pPr>
      <w:r w:rsidRPr="004E16EB">
        <w:rPr>
          <w:rFonts w:ascii="Times New Roman" w:hAnsi="Times New Roman" w:cs="Times New Roman"/>
          <w:b/>
          <w:bCs/>
          <w:sz w:val="24"/>
          <w:szCs w:val="24"/>
        </w:rPr>
        <w:fldChar w:fldCharType="end"/>
      </w:r>
    </w:p>
    <w:sectPr w:rsidR="00C16EFA">
      <w:footerReference w:type="default" r:id="rId14"/>
      <w:headerReference w:type="first" r:id="rId15"/>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5914A" w14:textId="77777777" w:rsidR="006A6294" w:rsidRDefault="006A6294">
      <w:pPr>
        <w:spacing w:after="0" w:line="240" w:lineRule="auto"/>
      </w:pPr>
      <w:r>
        <w:separator/>
      </w:r>
    </w:p>
  </w:endnote>
  <w:endnote w:type="continuationSeparator" w:id="0">
    <w:p w14:paraId="3EFC9A16" w14:textId="77777777" w:rsidR="006A6294" w:rsidRDefault="006A6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DBBDB" w14:textId="77777777" w:rsidR="00BD56F8" w:rsidRDefault="00BD56F8">
    <w:pPr>
      <w:pStyle w:val="Footer"/>
      <w:jc w:val="right"/>
    </w:pPr>
    <w:r>
      <w:t xml:space="preserve">Yard </w:t>
    </w:r>
    <w:r>
      <w:rPr>
        <w:b/>
        <w:bCs/>
        <w:sz w:val="24"/>
        <w:szCs w:val="24"/>
      </w:rPr>
      <w:fldChar w:fldCharType="begin"/>
    </w:r>
    <w:r>
      <w:rPr>
        <w:b/>
        <w:bCs/>
      </w:rPr>
      <w:instrText xml:space="preserve"> PAGE </w:instrText>
    </w:r>
    <w:r>
      <w:rPr>
        <w:b/>
        <w:bCs/>
        <w:sz w:val="24"/>
        <w:szCs w:val="24"/>
      </w:rPr>
      <w:fldChar w:fldCharType="separate"/>
    </w:r>
    <w:r w:rsidR="009858D2">
      <w:rPr>
        <w:b/>
        <w:bCs/>
        <w:noProof/>
      </w:rPr>
      <w:t>7</w:t>
    </w:r>
    <w:r>
      <w:rPr>
        <w:b/>
        <w:bCs/>
        <w:sz w:val="24"/>
        <w:szCs w:val="24"/>
      </w:rPr>
      <w:fldChar w:fldCharType="end"/>
    </w:r>
    <w:r>
      <w:t xml:space="preserve"> Arabic </w:t>
    </w:r>
    <w:r>
      <w:rPr>
        <w:b/>
        <w:bCs/>
        <w:sz w:val="24"/>
        <w:szCs w:val="24"/>
      </w:rPr>
      <w:fldChar w:fldCharType="begin"/>
    </w:r>
    <w:r>
      <w:rPr>
        <w:b/>
        <w:bCs/>
      </w:rPr>
      <w:instrText xml:space="preserve"> NUMPAGES  </w:instrText>
    </w:r>
    <w:r>
      <w:rPr>
        <w:b/>
        <w:bCs/>
        <w:sz w:val="24"/>
        <w:szCs w:val="24"/>
      </w:rPr>
      <w:fldChar w:fldCharType="separate"/>
    </w:r>
    <w:r w:rsidR="009858D2">
      <w:rPr>
        <w:b/>
        <w:bCs/>
        <w:noProof/>
      </w:rPr>
      <w:t>17</w:t>
    </w:r>
    <w:r>
      <w:rPr>
        <w:b/>
        <w:bCs/>
        <w:sz w:val="24"/>
        <w:szCs w:val="24"/>
      </w:rPr>
      <w:fldChar w:fldCharType="end"/>
    </w:r>
  </w:p>
  <w:p w14:paraId="7CECBAD7" w14:textId="77777777" w:rsidR="00BD56F8" w:rsidRDefault="00BD56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06EE4" w14:textId="77777777" w:rsidR="006A6294" w:rsidRDefault="006A6294">
      <w:pPr>
        <w:spacing w:after="0" w:line="240" w:lineRule="auto"/>
      </w:pPr>
      <w:r>
        <w:separator/>
      </w:r>
    </w:p>
  </w:footnote>
  <w:footnote w:type="continuationSeparator" w:id="0">
    <w:p w14:paraId="2F01A309" w14:textId="77777777" w:rsidR="006A6294" w:rsidRDefault="006A62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A2FB1" w14:textId="77777777" w:rsidR="00BD56F8" w:rsidRDefault="00BD56F8">
    <w:pPr>
      <w:pStyle w:val="BodyText"/>
      <w:ind w:left="10494"/>
      <w:rPr>
        <w:sz w:val="20"/>
      </w:rPr>
    </w:pPr>
    <w:r>
      <w:rPr>
        <w:noProof/>
        <w:sz w:val="20"/>
      </w:rPr>
      <w:drawing>
        <wp:inline distT="0" distB="0" distL="0" distR="0" wp14:anchorId="15614821" wp14:editId="5018D674">
          <wp:extent cx="895350" cy="209550"/>
          <wp:effectExtent l="0" t="0" r="0" b="0"/>
          <wp:docPr id="4097"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2"/>
                  <pic:cNvPicPr/>
                </pic:nvPicPr>
                <pic:blipFill>
                  <a:blip r:embed="rId1" cstate="print"/>
                  <a:srcRect/>
                  <a:stretch/>
                </pic:blipFill>
                <pic:spPr>
                  <a:xfrm>
                    <a:off x="0" y="0"/>
                    <a:ext cx="895350" cy="209550"/>
                  </a:xfrm>
                  <a:prstGeom prst="rect">
                    <a:avLst/>
                  </a:prstGeom>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3CA42A73"/>
    <w:lvl w:ilvl="0">
      <w:start w:val="4"/>
      <w:numFmt w:val="decimal"/>
      <w:lvlText w:val="%1"/>
      <w:lvlJc w:val="left"/>
      <w:pPr>
        <w:ind w:left="360" w:hanging="360"/>
      </w:pPr>
      <w:rPr>
        <w:rFonts w:cs="Arial" w:hint="default"/>
        <w:b/>
      </w:rPr>
    </w:lvl>
    <w:lvl w:ilvl="1">
      <w:start w:val="1"/>
      <w:numFmt w:val="decimal"/>
      <w:lvlText w:val="%1.%2"/>
      <w:lvlJc w:val="left"/>
      <w:pPr>
        <w:ind w:left="786" w:hanging="360"/>
      </w:pPr>
      <w:rPr>
        <w:rFonts w:cs="Arial" w:hint="default"/>
        <w:b/>
      </w:rPr>
    </w:lvl>
    <w:lvl w:ilvl="2">
      <w:start w:val="1"/>
      <w:numFmt w:val="decimal"/>
      <w:lvlText w:val="%1.%2.%3"/>
      <w:lvlJc w:val="left"/>
      <w:pPr>
        <w:ind w:left="1572" w:hanging="720"/>
      </w:pPr>
      <w:rPr>
        <w:rFonts w:cs="Arial" w:hint="default"/>
        <w:b/>
      </w:rPr>
    </w:lvl>
    <w:lvl w:ilvl="3">
      <w:start w:val="1"/>
      <w:numFmt w:val="decimal"/>
      <w:lvlText w:val="%1.%2.%3.%4"/>
      <w:lvlJc w:val="left"/>
      <w:pPr>
        <w:ind w:left="1998" w:hanging="720"/>
      </w:pPr>
      <w:rPr>
        <w:rFonts w:cs="Arial" w:hint="default"/>
        <w:b/>
      </w:rPr>
    </w:lvl>
    <w:lvl w:ilvl="4">
      <w:start w:val="1"/>
      <w:numFmt w:val="decimal"/>
      <w:lvlText w:val="%1.%2.%3.%4.%5"/>
      <w:lvlJc w:val="left"/>
      <w:pPr>
        <w:ind w:left="2784" w:hanging="1080"/>
      </w:pPr>
      <w:rPr>
        <w:rFonts w:cs="Arial" w:hint="default"/>
        <w:b/>
      </w:rPr>
    </w:lvl>
    <w:lvl w:ilvl="5">
      <w:start w:val="1"/>
      <w:numFmt w:val="decimal"/>
      <w:lvlText w:val="%1.%2.%3.%4.%5.%6"/>
      <w:lvlJc w:val="left"/>
      <w:pPr>
        <w:ind w:left="3210" w:hanging="1080"/>
      </w:pPr>
      <w:rPr>
        <w:rFonts w:cs="Arial" w:hint="default"/>
        <w:b/>
      </w:rPr>
    </w:lvl>
    <w:lvl w:ilvl="6">
      <w:start w:val="1"/>
      <w:numFmt w:val="decimal"/>
      <w:lvlText w:val="%1.%2.%3.%4.%5.%6.%7"/>
      <w:lvlJc w:val="left"/>
      <w:pPr>
        <w:ind w:left="3996" w:hanging="1440"/>
      </w:pPr>
      <w:rPr>
        <w:rFonts w:cs="Arial" w:hint="default"/>
        <w:b/>
      </w:rPr>
    </w:lvl>
    <w:lvl w:ilvl="7">
      <w:start w:val="1"/>
      <w:numFmt w:val="decimal"/>
      <w:lvlText w:val="%1.%2.%3.%4.%5.%6.%7.%8"/>
      <w:lvlJc w:val="left"/>
      <w:pPr>
        <w:ind w:left="4422" w:hanging="1440"/>
      </w:pPr>
      <w:rPr>
        <w:rFonts w:cs="Arial" w:hint="default"/>
        <w:b/>
      </w:rPr>
    </w:lvl>
    <w:lvl w:ilvl="8">
      <w:start w:val="1"/>
      <w:numFmt w:val="decimal"/>
      <w:lvlText w:val="%1.%2.%3.%4.%5.%6.%7.%8.%9"/>
      <w:lvlJc w:val="left"/>
      <w:pPr>
        <w:ind w:left="5208" w:hanging="1800"/>
      </w:pPr>
      <w:rPr>
        <w:rFonts w:cs="Arial" w:hint="default"/>
        <w:b/>
      </w:rPr>
    </w:lvl>
  </w:abstractNum>
  <w:abstractNum w:abstractNumId="1" w15:restartNumberingAfterBreak="0">
    <w:nsid w:val="00000002"/>
    <w:multiLevelType w:val="multilevel"/>
    <w:tmpl w:val="5699743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3"/>
    <w:multiLevelType w:val="multilevel"/>
    <w:tmpl w:val="677D05A6"/>
    <w:lvl w:ilvl="0">
      <w:start w:val="1"/>
      <w:numFmt w:val="decimal"/>
      <w:lvlText w:val="%1."/>
      <w:lvlJc w:val="left"/>
      <w:pPr>
        <w:ind w:left="720" w:hanging="360"/>
      </w:pPr>
      <w:rPr>
        <w:rFonts w:hint="default"/>
      </w:rPr>
    </w:lvl>
    <w:lvl w:ilvl="1">
      <w:start w:val="1"/>
      <w:numFmt w:val="lowerLetter"/>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04"/>
    <w:multiLevelType w:val="multilevel"/>
    <w:tmpl w:val="77BA7F5B"/>
    <w:lvl w:ilvl="0">
      <w:start w:val="2"/>
      <w:numFmt w:val="decimal"/>
      <w:lvlText w:val="%1."/>
      <w:lvlJc w:val="left"/>
      <w:pPr>
        <w:ind w:left="360" w:hanging="360"/>
      </w:pPr>
      <w:rPr>
        <w:rFonts w:hint="default"/>
        <w:i w:val="0"/>
      </w:rPr>
    </w:lvl>
    <w:lvl w:ilvl="1">
      <w:start w:val="1"/>
      <w:numFmt w:val="decimal"/>
      <w:lvlText w:val="%1.%2."/>
      <w:lvlJc w:val="left"/>
      <w:pPr>
        <w:ind w:left="720" w:hanging="360"/>
      </w:pPr>
      <w:rPr>
        <w:rFonts w:ascii="Times New Roman" w:hAnsi="Times New Roman" w:cs="Times New Roman" w:hint="default"/>
        <w:b/>
        <w:i w:val="0"/>
        <w:sz w:val="24"/>
        <w:szCs w:val="24"/>
      </w:rPr>
    </w:lvl>
    <w:lvl w:ilvl="2">
      <w:start w:val="1"/>
      <w:numFmt w:val="decimal"/>
      <w:lvlText w:val="%1.%2.%3."/>
      <w:lvlJc w:val="left"/>
      <w:pPr>
        <w:ind w:left="2160" w:hanging="720"/>
      </w:pPr>
      <w:rPr>
        <w:rFonts w:hint="default"/>
        <w:i/>
      </w:rPr>
    </w:lvl>
    <w:lvl w:ilvl="3">
      <w:start w:val="1"/>
      <w:numFmt w:val="decimal"/>
      <w:lvlText w:val="%1.%2.%3.%4."/>
      <w:lvlJc w:val="left"/>
      <w:pPr>
        <w:ind w:left="2880" w:hanging="720"/>
      </w:pPr>
      <w:rPr>
        <w:rFonts w:hint="default"/>
        <w:i/>
      </w:rPr>
    </w:lvl>
    <w:lvl w:ilvl="4">
      <w:start w:val="1"/>
      <w:numFmt w:val="decimal"/>
      <w:lvlText w:val="%1.%2.%3.%4.%5."/>
      <w:lvlJc w:val="left"/>
      <w:pPr>
        <w:ind w:left="3960" w:hanging="1080"/>
      </w:pPr>
      <w:rPr>
        <w:rFonts w:hint="default"/>
        <w:i/>
      </w:rPr>
    </w:lvl>
    <w:lvl w:ilvl="5">
      <w:start w:val="1"/>
      <w:numFmt w:val="decimal"/>
      <w:lvlText w:val="%1.%2.%3.%4.%5.%6."/>
      <w:lvlJc w:val="left"/>
      <w:pPr>
        <w:ind w:left="4680" w:hanging="1080"/>
      </w:pPr>
      <w:rPr>
        <w:rFonts w:hint="default"/>
        <w:i/>
      </w:rPr>
    </w:lvl>
    <w:lvl w:ilvl="6">
      <w:start w:val="1"/>
      <w:numFmt w:val="decimal"/>
      <w:lvlText w:val="%1.%2.%3.%4.%5.%6.%7."/>
      <w:lvlJc w:val="left"/>
      <w:pPr>
        <w:ind w:left="5760" w:hanging="1440"/>
      </w:pPr>
      <w:rPr>
        <w:rFonts w:hint="default"/>
        <w:i/>
      </w:rPr>
    </w:lvl>
    <w:lvl w:ilvl="7">
      <w:start w:val="1"/>
      <w:numFmt w:val="decimal"/>
      <w:lvlText w:val="%1.%2.%3.%4.%5.%6.%7.%8."/>
      <w:lvlJc w:val="left"/>
      <w:pPr>
        <w:ind w:left="6480" w:hanging="1440"/>
      </w:pPr>
      <w:rPr>
        <w:rFonts w:hint="default"/>
        <w:i/>
      </w:rPr>
    </w:lvl>
    <w:lvl w:ilvl="8">
      <w:start w:val="1"/>
      <w:numFmt w:val="decimal"/>
      <w:lvlText w:val="%1.%2.%3.%4.%5.%6.%7.%8.%9."/>
      <w:lvlJc w:val="left"/>
      <w:pPr>
        <w:ind w:left="7560" w:hanging="1800"/>
      </w:pPr>
      <w:rPr>
        <w:rFonts w:hint="default"/>
        <w:i/>
      </w:rPr>
    </w:lvl>
  </w:abstractNum>
  <w:abstractNum w:abstractNumId="4" w15:restartNumberingAfterBreak="0">
    <w:nsid w:val="53232AF9"/>
    <w:multiLevelType w:val="multilevel"/>
    <w:tmpl w:val="0D5D5C40"/>
    <w:lvl w:ilvl="0">
      <w:start w:val="1"/>
      <w:numFmt w:val="decimal"/>
      <w:lvlText w:val="%1."/>
      <w:lvlJc w:val="left"/>
      <w:pPr>
        <w:ind w:left="1080" w:hanging="360"/>
      </w:pPr>
    </w:lvl>
    <w:lvl w:ilvl="1">
      <w:start w:val="1"/>
      <w:numFmt w:val="decimal"/>
      <w:isLgl/>
      <w:lvlText w:val="%1.%2"/>
      <w:lvlJc w:val="left"/>
      <w:pPr>
        <w:ind w:left="1440" w:hanging="360"/>
      </w:pPr>
      <w:rPr>
        <w:rFonts w:hint="default"/>
        <w:i w:val="0"/>
      </w:rPr>
    </w:lvl>
    <w:lvl w:ilvl="2">
      <w:start w:val="1"/>
      <w:numFmt w:val="decimal"/>
      <w:isLgl/>
      <w:lvlText w:val="%1.%2.%3"/>
      <w:lvlJc w:val="left"/>
      <w:pPr>
        <w:ind w:left="2160" w:hanging="720"/>
      </w:pPr>
      <w:rPr>
        <w:rFonts w:hint="default"/>
        <w:i/>
      </w:rPr>
    </w:lvl>
    <w:lvl w:ilvl="3">
      <w:start w:val="1"/>
      <w:numFmt w:val="decimal"/>
      <w:isLgl/>
      <w:lvlText w:val="%1.%2.%3.%4"/>
      <w:lvlJc w:val="left"/>
      <w:pPr>
        <w:ind w:left="2520" w:hanging="720"/>
      </w:pPr>
      <w:rPr>
        <w:rFonts w:hint="default"/>
        <w:i/>
      </w:rPr>
    </w:lvl>
    <w:lvl w:ilvl="4">
      <w:start w:val="1"/>
      <w:numFmt w:val="decimal"/>
      <w:isLgl/>
      <w:lvlText w:val="%1.%2.%3.%4.%5"/>
      <w:lvlJc w:val="left"/>
      <w:pPr>
        <w:ind w:left="3240" w:hanging="1080"/>
      </w:pPr>
      <w:rPr>
        <w:rFonts w:hint="default"/>
        <w:i/>
      </w:rPr>
    </w:lvl>
    <w:lvl w:ilvl="5">
      <w:start w:val="1"/>
      <w:numFmt w:val="decimal"/>
      <w:isLgl/>
      <w:lvlText w:val="%1.%2.%3.%4.%5.%6"/>
      <w:lvlJc w:val="left"/>
      <w:pPr>
        <w:ind w:left="3600" w:hanging="1080"/>
      </w:pPr>
      <w:rPr>
        <w:rFonts w:hint="default"/>
        <w:i/>
      </w:rPr>
    </w:lvl>
    <w:lvl w:ilvl="6">
      <w:start w:val="1"/>
      <w:numFmt w:val="decimal"/>
      <w:isLgl/>
      <w:lvlText w:val="%1.%2.%3.%4.%5.%6.%7"/>
      <w:lvlJc w:val="left"/>
      <w:pPr>
        <w:ind w:left="4320" w:hanging="1440"/>
      </w:pPr>
      <w:rPr>
        <w:rFonts w:hint="default"/>
        <w:i/>
      </w:rPr>
    </w:lvl>
    <w:lvl w:ilvl="7">
      <w:start w:val="1"/>
      <w:numFmt w:val="decimal"/>
      <w:isLgl/>
      <w:lvlText w:val="%1.%2.%3.%4.%5.%6.%7.%8"/>
      <w:lvlJc w:val="left"/>
      <w:pPr>
        <w:ind w:left="4680" w:hanging="1440"/>
      </w:pPr>
      <w:rPr>
        <w:rFonts w:hint="default"/>
        <w:i/>
      </w:rPr>
    </w:lvl>
    <w:lvl w:ilvl="8">
      <w:start w:val="1"/>
      <w:numFmt w:val="decimal"/>
      <w:isLgl/>
      <w:lvlText w:val="%1.%2.%3.%4.%5.%6.%7.%8.%9"/>
      <w:lvlJc w:val="left"/>
      <w:pPr>
        <w:ind w:left="5400" w:hanging="1800"/>
      </w:pPr>
      <w:rPr>
        <w:rFonts w:hint="default"/>
        <w:i/>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xNTSxNDMwtzAwMzFS0lEKTi0uzszPAykwqwUA3go0RCwAAAA="/>
  </w:docVars>
  <w:rsids>
    <w:rsidRoot w:val="00C16EFA"/>
    <w:rsid w:val="0001031B"/>
    <w:rsid w:val="00030AD4"/>
    <w:rsid w:val="00044917"/>
    <w:rsid w:val="0004767D"/>
    <w:rsid w:val="000563C7"/>
    <w:rsid w:val="000A2418"/>
    <w:rsid w:val="000A3830"/>
    <w:rsid w:val="000B3E23"/>
    <w:rsid w:val="000C64E8"/>
    <w:rsid w:val="000D4853"/>
    <w:rsid w:val="000E2977"/>
    <w:rsid w:val="000F1614"/>
    <w:rsid w:val="0017173A"/>
    <w:rsid w:val="00176A50"/>
    <w:rsid w:val="001777EB"/>
    <w:rsid w:val="00187916"/>
    <w:rsid w:val="00192A4F"/>
    <w:rsid w:val="001967CF"/>
    <w:rsid w:val="001F3C1E"/>
    <w:rsid w:val="0020671C"/>
    <w:rsid w:val="00207A78"/>
    <w:rsid w:val="00234FC1"/>
    <w:rsid w:val="0026442F"/>
    <w:rsid w:val="00274A28"/>
    <w:rsid w:val="00291C1D"/>
    <w:rsid w:val="002C22CC"/>
    <w:rsid w:val="002D506E"/>
    <w:rsid w:val="002D76FE"/>
    <w:rsid w:val="002F1B54"/>
    <w:rsid w:val="00302A4A"/>
    <w:rsid w:val="00307003"/>
    <w:rsid w:val="0034009E"/>
    <w:rsid w:val="003738DF"/>
    <w:rsid w:val="00373B3C"/>
    <w:rsid w:val="003B6F3E"/>
    <w:rsid w:val="003C4DC8"/>
    <w:rsid w:val="003D76EC"/>
    <w:rsid w:val="00416523"/>
    <w:rsid w:val="00433E43"/>
    <w:rsid w:val="0043660F"/>
    <w:rsid w:val="00490929"/>
    <w:rsid w:val="004A4527"/>
    <w:rsid w:val="004A7D3D"/>
    <w:rsid w:val="004B5275"/>
    <w:rsid w:val="004B5BDE"/>
    <w:rsid w:val="004D087A"/>
    <w:rsid w:val="004D39F6"/>
    <w:rsid w:val="004E16EB"/>
    <w:rsid w:val="004F1CC0"/>
    <w:rsid w:val="004F2446"/>
    <w:rsid w:val="004F7AA7"/>
    <w:rsid w:val="00573487"/>
    <w:rsid w:val="005A397B"/>
    <w:rsid w:val="005A4194"/>
    <w:rsid w:val="005A68AF"/>
    <w:rsid w:val="005B4811"/>
    <w:rsid w:val="005F63E7"/>
    <w:rsid w:val="0063086F"/>
    <w:rsid w:val="006452AE"/>
    <w:rsid w:val="0065009E"/>
    <w:rsid w:val="006A6294"/>
    <w:rsid w:val="006B7052"/>
    <w:rsid w:val="006F1716"/>
    <w:rsid w:val="00707351"/>
    <w:rsid w:val="00707A46"/>
    <w:rsid w:val="00751481"/>
    <w:rsid w:val="0076719B"/>
    <w:rsid w:val="007674AA"/>
    <w:rsid w:val="007826CE"/>
    <w:rsid w:val="007B5315"/>
    <w:rsid w:val="007D07FE"/>
    <w:rsid w:val="007D10DD"/>
    <w:rsid w:val="007D48E2"/>
    <w:rsid w:val="00801B7E"/>
    <w:rsid w:val="00815E1D"/>
    <w:rsid w:val="008210FF"/>
    <w:rsid w:val="00821BAF"/>
    <w:rsid w:val="0086042D"/>
    <w:rsid w:val="008762A1"/>
    <w:rsid w:val="00894A7F"/>
    <w:rsid w:val="008B3A0E"/>
    <w:rsid w:val="008F2369"/>
    <w:rsid w:val="00905EE2"/>
    <w:rsid w:val="00912B84"/>
    <w:rsid w:val="00941BB9"/>
    <w:rsid w:val="009858D2"/>
    <w:rsid w:val="009A2CF1"/>
    <w:rsid w:val="009C5CAE"/>
    <w:rsid w:val="009D0E06"/>
    <w:rsid w:val="00A04DEB"/>
    <w:rsid w:val="00A6021B"/>
    <w:rsid w:val="00A92ED9"/>
    <w:rsid w:val="00A9408E"/>
    <w:rsid w:val="00AB3DB4"/>
    <w:rsid w:val="00AC1A1B"/>
    <w:rsid w:val="00AC42CC"/>
    <w:rsid w:val="00B01482"/>
    <w:rsid w:val="00B14156"/>
    <w:rsid w:val="00B26FA3"/>
    <w:rsid w:val="00B47104"/>
    <w:rsid w:val="00B55219"/>
    <w:rsid w:val="00BB220B"/>
    <w:rsid w:val="00BD56F8"/>
    <w:rsid w:val="00C16EFA"/>
    <w:rsid w:val="00C31F7E"/>
    <w:rsid w:val="00C47B43"/>
    <w:rsid w:val="00C611A5"/>
    <w:rsid w:val="00C81957"/>
    <w:rsid w:val="00C94A10"/>
    <w:rsid w:val="00CE09FE"/>
    <w:rsid w:val="00CE7623"/>
    <w:rsid w:val="00D24B00"/>
    <w:rsid w:val="00D2659A"/>
    <w:rsid w:val="00D53A15"/>
    <w:rsid w:val="00DC4064"/>
    <w:rsid w:val="00E00D0C"/>
    <w:rsid w:val="00E3240E"/>
    <w:rsid w:val="00E32C7A"/>
    <w:rsid w:val="00E67067"/>
    <w:rsid w:val="00E80DF1"/>
    <w:rsid w:val="00E82540"/>
    <w:rsid w:val="00E95B62"/>
    <w:rsid w:val="00EE72D1"/>
    <w:rsid w:val="00EF0A03"/>
    <w:rsid w:val="00F61DBC"/>
    <w:rsid w:val="00F9664B"/>
    <w:rsid w:val="00FD1838"/>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C95D30"/>
  <w15:docId w15:val="{263A2D38-1D83-4467-BD41-C89157ACE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next w:val="Normal"/>
    <w:link w:val="Heading2Char"/>
    <w:uiPriority w:val="9"/>
    <w:unhideWhenUsed/>
    <w:qFormat/>
    <w:pPr>
      <w:keepNext/>
      <w:keepLines/>
      <w:spacing w:before="200" w:after="0"/>
      <w:outlineLvl w:val="1"/>
    </w:pPr>
    <w:rPr>
      <w:rFonts w:ascii="Cambria" w:hAnsi="Cambria" w:cs="Times New Roman"/>
      <w:b/>
      <w:bCs/>
      <w:color w:val="4F81BD"/>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rPr>
      <w:sz w:val="18"/>
      <w:szCs w:val="18"/>
    </w:rPr>
  </w:style>
  <w:style w:type="paragraph" w:styleId="CommentText">
    <w:name w:val="annotation text"/>
    <w:basedOn w:val="Normal"/>
    <w:link w:val="CommentTextChar"/>
    <w:uiPriority w:val="99"/>
    <w:pPr>
      <w:spacing w:line="240" w:lineRule="auto"/>
    </w:pPr>
    <w:rPr>
      <w:sz w:val="24"/>
      <w:szCs w:val="24"/>
    </w:rPr>
  </w:style>
  <w:style w:type="paragraph" w:styleId="CommentSubject">
    <w:name w:val="annotation subject"/>
    <w:basedOn w:val="CommentText"/>
    <w:next w:val="CommentText"/>
    <w:link w:val="CommentSubjectChar"/>
    <w:uiPriority w:val="99"/>
    <w:rPr>
      <w:b/>
      <w:bCs/>
      <w:sz w:val="20"/>
      <w:szCs w:val="20"/>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153"/>
        <w:tab w:val="right" w:pos="8306"/>
      </w:tabs>
      <w:spacing w:after="0" w:line="240" w:lineRule="auto"/>
    </w:pPr>
  </w:style>
  <w:style w:type="character" w:styleId="FootnoteReference">
    <w:name w:val="footnote reference"/>
    <w:basedOn w:val="DefaultParagraphFont"/>
    <w:uiPriority w:val="99"/>
    <w:qFormat/>
    <w:rPr>
      <w:vertAlign w:val="superscript"/>
    </w:rPr>
  </w:style>
  <w:style w:type="paragraph" w:styleId="FootnoteText">
    <w:name w:val="footnote text"/>
    <w:basedOn w:val="Normal"/>
    <w:link w:val="FootnoteTextChar"/>
    <w:uiPriority w:val="99"/>
    <w:qFormat/>
    <w:pPr>
      <w:spacing w:after="0" w:line="240" w:lineRule="auto"/>
    </w:pPr>
    <w:rPr>
      <w:sz w:val="20"/>
      <w:szCs w:val="20"/>
    </w:rPr>
  </w:style>
  <w:style w:type="paragraph" w:styleId="Header">
    <w:name w:val="header"/>
    <w:basedOn w:val="Normal"/>
    <w:link w:val="HeaderChar"/>
    <w:uiPriority w:val="99"/>
    <w:qFormat/>
    <w:pPr>
      <w:tabs>
        <w:tab w:val="center" w:pos="4153"/>
        <w:tab w:val="right" w:pos="8306"/>
      </w:tabs>
      <w:spacing w:after="0" w:line="240" w:lineRule="auto"/>
    </w:pPr>
  </w:style>
  <w:style w:type="character" w:styleId="Hyperlink">
    <w:name w:val="Hyperlink"/>
    <w:basedOn w:val="DefaultParagraphFont"/>
    <w:uiPriority w:val="99"/>
    <w:rPr>
      <w:color w:val="0000FF"/>
      <w:u w:val="singl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eastAsia="id-ID"/>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9"/>
    <w:qFormat/>
    <w:rPr>
      <w:sz w:val="20"/>
      <w:szCs w:val="20"/>
    </w:r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eastAsia="id-I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meta">
    <w:name w:val="meta"/>
    <w:basedOn w:val="DefaultParagraphFont"/>
  </w:style>
  <w:style w:type="character" w:customStyle="1" w:styleId="BalloonTextChar">
    <w:name w:val="Balloon Text Char"/>
    <w:basedOn w:val="DefaultParagraphFont"/>
    <w:link w:val="BalloonText"/>
    <w:uiPriority w:val="99"/>
    <w:qFormat/>
    <w:rPr>
      <w:rFonts w:ascii="Tahoma" w:hAnsi="Tahoma" w:cs="Tahoma"/>
      <w:sz w:val="16"/>
      <w:szCs w:val="16"/>
    </w:rPr>
  </w:style>
  <w:style w:type="character" w:customStyle="1" w:styleId="ListParagraphChar">
    <w:name w:val="List Paragraph Char"/>
    <w:link w:val="ListParagraph"/>
    <w:uiPriority w:val="34"/>
    <w:qFormat/>
  </w:style>
  <w:style w:type="character" w:customStyle="1" w:styleId="Title1">
    <w:name w:val="Title1"/>
    <w:basedOn w:val="DefaultParagraphFont"/>
  </w:style>
  <w:style w:type="character" w:customStyle="1" w:styleId="Subtitle1">
    <w:name w:val="Subtitle1"/>
    <w:basedOn w:val="DefaultParagraphFont"/>
  </w:style>
  <w:style w:type="paragraph" w:customStyle="1" w:styleId="Bibliography1">
    <w:name w:val="Bibliography1"/>
    <w:basedOn w:val="Normal"/>
    <w:next w:val="Normal"/>
    <w:uiPriority w:val="37"/>
    <w:pPr>
      <w:spacing w:after="0" w:line="240" w:lineRule="auto"/>
      <w:ind w:left="720" w:hanging="720"/>
    </w:p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lang w:bidi="en-US"/>
    </w:rPr>
  </w:style>
  <w:style w:type="character" w:customStyle="1" w:styleId="UnresolvedMention1">
    <w:name w:val="Unresolved Mention1"/>
    <w:basedOn w:val="DefaultParagraphFont"/>
    <w:uiPriority w:val="99"/>
    <w:rPr>
      <w:color w:val="605E5C"/>
      <w:shd w:val="clear" w:color="auto" w:fill="E1DFDD"/>
    </w:rPr>
  </w:style>
  <w:style w:type="paragraph" w:styleId="NoSpacing">
    <w:name w:val="No Spacing"/>
    <w:uiPriority w:val="1"/>
    <w:qFormat/>
    <w:rPr>
      <w:sz w:val="22"/>
      <w:szCs w:val="22"/>
    </w:rPr>
  </w:style>
  <w:style w:type="character" w:customStyle="1" w:styleId="CommentTextChar">
    <w:name w:val="Comment Text Char"/>
    <w:basedOn w:val="DefaultParagraphFont"/>
    <w:link w:val="CommentText"/>
    <w:uiPriority w:val="99"/>
    <w:qFormat/>
    <w:rPr>
      <w:sz w:val="24"/>
      <w:szCs w:val="24"/>
    </w:rPr>
  </w:style>
  <w:style w:type="character" w:customStyle="1" w:styleId="CommentSubjectChar">
    <w:name w:val="Comment Subject Char"/>
    <w:basedOn w:val="CommentTextChar"/>
    <w:link w:val="CommentSubject"/>
    <w:uiPriority w:val="99"/>
    <w:qFormat/>
    <w:rPr>
      <w:b/>
      <w:bCs/>
      <w:sz w:val="20"/>
      <w:szCs w:val="20"/>
    </w:rPr>
  </w:style>
  <w:style w:type="character" w:customStyle="1" w:styleId="Heading2Char">
    <w:name w:val="Heading 2 Char"/>
    <w:basedOn w:val="DefaultParagraphFont"/>
    <w:link w:val="Heading2"/>
    <w:uiPriority w:val="9"/>
    <w:qFormat/>
    <w:rPr>
      <w:rFonts w:ascii="Cambria" w:eastAsia="SimSun" w:hAnsi="Cambria" w:cs="Times New Roman"/>
      <w:b/>
      <w:bCs/>
      <w:color w:val="4F81BD"/>
      <w:sz w:val="26"/>
      <w:szCs w:val="26"/>
    </w:rPr>
  </w:style>
  <w:style w:type="paragraph" w:customStyle="1" w:styleId="Revision1">
    <w:name w:val="Revision1"/>
    <w:uiPriority w:val="99"/>
    <w:rPr>
      <w:sz w:val="22"/>
      <w:szCs w:val="22"/>
    </w:rPr>
  </w:style>
  <w:style w:type="character" w:styleId="PlaceholderText">
    <w:name w:val="Placeholder Text"/>
    <w:basedOn w:val="DefaultParagraphFont"/>
    <w:uiPriority w:val="99"/>
    <w:semiHidden/>
    <w:rsid w:val="004B5BD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rozalinda@uinib.ac.id"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yperlink" Target="mailto:rozalinda@uinib.ac.id"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4D92AC-84E0-44EA-BAFC-4BE915191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3219</TotalTime>
  <Pages>20</Pages>
  <Words>39332</Words>
  <Characters>224193</Characters>
  <Application>Microsoft Office Word</Application>
  <DocSecurity>0</DocSecurity>
  <Lines>1868</Lines>
  <Paragraphs>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DELL</cp:lastModifiedBy>
  <cp:revision>8</cp:revision>
  <cp:lastPrinted>2024-09-01T00:02:00Z</cp:lastPrinted>
  <dcterms:created xsi:type="dcterms:W3CDTF">2024-09-15T15:21:00Z</dcterms:created>
  <dcterms:modified xsi:type="dcterms:W3CDTF">2025-03-13T06:12:00Z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c5b860edca5d4062844d9042463bdc19</vt:lpwstr>
  </property>
  <property fmtid="{D5CDD505-2E9C-101B-9397-08002B2CF9AE}" pid="3" name="KSOProductBuildVer">
    <vt:lpwstr>1033-11.2.0.11537</vt:lpwstr>
  </property>
  <property fmtid="{D5CDD505-2E9C-101B-9397-08002B2CF9AE}" pid="4" name="Mendeley Citation Style_1">
    <vt:lpwstr>http://www.zotero.org/styles/apa</vt:lpwstr>
  </property>
  <property fmtid="{D5CDD505-2E9C-101B-9397-08002B2CF9AE}" pid="5" name="Mendeley Document_1">
    <vt:lpwstr>True</vt:lpwstr>
  </property>
  <property fmtid="{D5CDD505-2E9C-101B-9397-08002B2CF9AE}" pid="6" name="Mendeley Recent Style Id 0_1">
    <vt:lpwstr>http://www.zotero.org/styles/american-medical-association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http://www.zotero.org/styles/harvard-cite-them-right</vt:lpwstr>
  </property>
  <property fmtid="{D5CDD505-2E9C-101B-9397-08002B2CF9AE}" pid="10" name="Mendeley Recent Style Id 4_1">
    <vt:lpwstr>http://www.zotero.org/styles/elsevier-harvard2</vt:lpwstr>
  </property>
  <property fmtid="{D5CDD505-2E9C-101B-9397-08002B2CF9AE}" pid="11" name="Mendeley Recent Style Id 5_1">
    <vt:lpwstr>http://www.zotero.org/styles/elsevier-vancouver-no-et-al</vt:lpwstr>
  </property>
  <property fmtid="{D5CDD505-2E9C-101B-9397-08002B2CF9AE}" pid="12" name="Mendeley Recent Style Id 6_1">
    <vt:lpwstr>http://www.zotero.org/styles/ieee</vt:lpwstr>
  </property>
  <property fmtid="{D5CDD505-2E9C-101B-9397-08002B2CF9AE}" pid="13" name="Mendeley Recent Style Id 7_1">
    <vt:lpwstr>http://www.zotero.org/styles/modern-humanities-research-association</vt:lpwstr>
  </property>
  <property fmtid="{D5CDD505-2E9C-101B-9397-08002B2CF9AE}" pid="14" name="Mendeley Recent Style Id 8_1">
    <vt:lpwstr>http://www.zotero.org/styles/turabian-author-date</vt:lpwstr>
  </property>
  <property fmtid="{D5CDD505-2E9C-101B-9397-08002B2CF9AE}" pid="15" name="Mendeley Recent Style Id 9_1">
    <vt:lpwstr>http://www.zotero.org/styles/turabian-fullnote-bibliography</vt:lpwstr>
  </property>
  <property fmtid="{D5CDD505-2E9C-101B-9397-08002B2CF9AE}" pid="16" name="Mendeley Recent Style Name 0_1">
    <vt:lpwstr>American Medical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vt:lpwstr>
  </property>
  <property fmtid="{D5CDD505-2E9C-101B-9397-08002B2CF9AE}" pid="19" name="Mendeley Recent Style Name 3_1">
    <vt:lpwstr>Cite Them Right 10th edition - Harvard</vt:lpwstr>
  </property>
  <property fmtid="{D5CDD505-2E9C-101B-9397-08002B2CF9AE}" pid="20" name="Mendeley Recent Style Name 4_1">
    <vt:lpwstr>Elsevier - Harvard 2</vt:lpwstr>
  </property>
  <property fmtid="{D5CDD505-2E9C-101B-9397-08002B2CF9AE}" pid="21" name="Mendeley Recent Style Name 5_1">
    <vt:lpwstr>Elsevier - Vancouver (no "et al.")</vt:lpwstr>
  </property>
  <property fmtid="{D5CDD505-2E9C-101B-9397-08002B2CF9AE}" pid="22" name="Mendeley Recent Style Name 6_1">
    <vt:lpwstr>IEEE</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Name 8_1">
    <vt:lpwstr>Turabian 9th edition (author-date)</vt:lpwstr>
  </property>
  <property fmtid="{D5CDD505-2E9C-101B-9397-08002B2CF9AE}" pid="25" name="Mendeley Recent Style Name 9_1">
    <vt:lpwstr>Turabian 9th edition (full note)</vt:lpwstr>
  </property>
  <property fmtid="{D5CDD505-2E9C-101B-9397-08002B2CF9AE}" pid="26" name="Mendeley Unique User Id_1">
    <vt:lpwstr>c4b1f1ff-7fe6-3238-8b34-6fdd67a01d58</vt:lpwstr>
  </property>
  <property fmtid="{D5CDD505-2E9C-101B-9397-08002B2CF9AE}" pid="27" name="ZOTERO_PREF_1">
    <vt:lpwstr>&lt;data data-version="3" zotero-version="5.0.89"&gt;&lt;session id="Y7xll5Ei"/&gt;&lt;style id="http://www.zotero.org/styles/chicago-fullnote-bibliography" locale="en-US" hasBibliography="1" bibliographyStyleHasBeenSet="1"/&gt;&lt;prefs&gt;&lt;pref name="fieldType" value="Field"/&gt;</vt:lpwstr>
  </property>
  <property fmtid="{D5CDD505-2E9C-101B-9397-08002B2CF9AE}" pid="28" name="ZOTERO_PREF_2">
    <vt:lpwstr>&lt;pref name="automaticJournalAbbreviations" value="true"/&gt;&lt;pref name="noteType" value="1"/&gt;&lt;/prefs&gt;&lt;/data&gt;</vt:lpwstr>
  </property>
</Properties>
</file>