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Governance Case Study: EU AI Act Compliance Audit – Hiring Bias AI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1⃣⃣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Objective: Evaluate an AI system (Hiring Model) against key EU AI Act requirements and generate a governance audit report.</w:t>
        <w:br w:type="textWrapping"/>
        <w:t xml:space="preserve"> 📌 Use Case: Resume shortlisting based on experience, test score, and gender.</w:t>
        <w:br w:type="textWrapping"/>
        <w:t xml:space="preserve"> 📌 Risk Level: High Risk – As per Annex III of the EU AI Act (employment decisions)</w:t>
        <w:br w:type="textWrapping"/>
        <w:t xml:space="preserve"> 📌 Developer: SoulMindFusion Ethical AI Lab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2⃣⃣ Governance Checklist Summary</w:t>
      </w:r>
    </w:p>
    <w:tbl>
      <w:tblPr>
        <w:tblStyle w:val="Table1"/>
        <w:tblW w:w="4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90"/>
        <w:gridCol w:w="875"/>
        <w:tblGridChange w:id="0">
          <w:tblGrid>
            <w:gridCol w:w="3890"/>
            <w:gridCol w:w="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Governance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Risk Classification (High Risk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Uses Sensitive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Automated Decision-Making 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Bias Detection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Bias Mitigation Applied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Explainability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Audit Trail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Model Performance Documented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Fairness Metrics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Governance Score</w:t>
      </w:r>
      <w:r w:rsidDel="00000000" w:rsidR="00000000" w:rsidRPr="00000000">
        <w:rPr>
          <w:rtl w:val="0"/>
        </w:rPr>
        <w:t xml:space="preserve">: 9/9 checks passed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Grade</w:t>
      </w:r>
      <w:r w:rsidDel="00000000" w:rsidR="00000000" w:rsidRPr="00000000">
        <w:rPr>
          <w:rtl w:val="0"/>
        </w:rPr>
        <w:t xml:space="preserve">: A+ (Fully Compliant)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3⃣⃣ Bias and Explainability Snapshot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 Metric</w:t>
      </w:r>
      <w:r w:rsidDel="00000000" w:rsidR="00000000" w:rsidRPr="00000000">
        <w:rPr>
          <w:rtl w:val="0"/>
        </w:rPr>
        <w:t xml:space="preserve">: Demographic Parity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DPD Value</w:t>
      </w:r>
      <w:r w:rsidDel="00000000" w:rsidR="00000000" w:rsidRPr="00000000">
        <w:rPr>
          <w:rtl w:val="0"/>
        </w:rPr>
        <w:t xml:space="preserve">: 0.6 (after mitigation)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0.90 (fair model)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 Tool</w:t>
      </w:r>
      <w:r w:rsidDel="00000000" w:rsidR="00000000" w:rsidRPr="00000000">
        <w:rPr>
          <w:rtl w:val="0"/>
        </w:rPr>
        <w:t xml:space="preserve">: SHAP (Global + Local explanations)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4⃣⃣ Challenges &amp; Fixes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Over-dependence on gender for hiring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Applied Exponentiated Gradient (Fairlearn) for bias mitigation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Stakeholder trust in fairness evaluation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Generated clear SHAP explanations and fairness reports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5⃣⃣ Governance Insights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Compliance with the EU AI Act not only ensures legal safety, but also builds ethical AI reputation.</w:t>
        <w:br w:type="textWrapping"/>
        <w:t xml:space="preserve"> 📊 Governance grading frameworks make fairness evaluation reproducible.</w:t>
        <w:br w:type="textWrapping"/>
        <w:t xml:space="preserve"> 📊 SMF principle of "minimum disruption with maximum clarity" was fully upheld.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6⃣⃣ Deliverables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Checklist Summary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Grade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Audit Log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audit_summary.json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+ Accuracy Summary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Explainability Tools Used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7⃣⃣ Next Steps</w:t>
        <w:br w:type="textWrapping"/>
        <w:t xml:space="preserve"> 🚀 Extend the audit tool to cover GDPR, Transparency Logs, and Model Documentation</w:t>
        <w:br w:type="textWrapping"/>
        <w:t xml:space="preserve"> 🚀 Apply the checklist to Explainability and Healthcare AI use cases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📉 This case study sets a blueprint for Responsible AI audit implementation in real-world scenarios.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