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 Governance Case Study: Responsible AI Policy for Healthcare Risk Model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1⃣⃣ 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Objective: Evaluate the ethical and governance readiness of a healthcare AI model using SoulMindFusion's Responsible AI Framework.</w:t>
        <w:br w:type="textWrapping"/>
        <w:t xml:space="preserve"> 📌 Use Case: Predicting disease risk (binary classification)</w:t>
        <w:br w:type="textWrapping"/>
        <w:t xml:space="preserve"> 📌 Developer: SoulMindFusion Ethical AI Lab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2⃣⃣ Risk Flag Summary</w:t>
      </w:r>
    </w:p>
    <w:tbl>
      <w:tblPr>
        <w:tblStyle w:val="Table1"/>
        <w:tblW w:w="4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"/>
        <w:gridCol w:w="2495"/>
        <w:tblGridChange w:id="0">
          <w:tblGrid>
            <w:gridCol w:w="1940"/>
            <w:gridCol w:w="24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Bias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Low (Mitigated)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Explainability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Moderate (LIME Only)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Transparency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Human Oversight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Missing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Privacy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Compliant</w:t>
            </w:r>
          </w:p>
        </w:tc>
      </w:tr>
    </w:tbl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Responsible AI Score</w:t>
      </w:r>
      <w:r w:rsidDel="00000000" w:rsidR="00000000" w:rsidRPr="00000000">
        <w:rPr>
          <w:rtl w:val="0"/>
        </w:rPr>
        <w:t xml:space="preserve">: 4.5/5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Rating</w:t>
      </w:r>
      <w:r w:rsidDel="00000000" w:rsidR="00000000" w:rsidRPr="00000000">
        <w:rPr>
          <w:rtl w:val="0"/>
        </w:rPr>
        <w:t xml:space="preserve">: B (Ethically Acceptable, Minor Gaps)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3⃣⃣ Key Indicators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Bias Metric</w:t>
      </w:r>
      <w:r w:rsidDel="00000000" w:rsidR="00000000" w:rsidRPr="00000000">
        <w:rPr>
          <w:rtl w:val="0"/>
        </w:rPr>
        <w:t xml:space="preserve">: Fairness ensured using local explainability.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Explainability Tool</w:t>
      </w:r>
      <w:r w:rsidDel="00000000" w:rsidR="00000000" w:rsidRPr="00000000">
        <w:rPr>
          <w:rtl w:val="0"/>
        </w:rPr>
        <w:t xml:space="preserve">: LIME (local instance-level rationale)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Privacy</w:t>
      </w:r>
      <w:r w:rsidDel="00000000" w:rsidR="00000000" w:rsidRPr="00000000">
        <w:rPr>
          <w:rtl w:val="0"/>
        </w:rPr>
        <w:t xml:space="preserve">: Data anonymization &amp; internal safeguards assumed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Transparency</w:t>
      </w:r>
      <w:r w:rsidDel="00000000" w:rsidR="00000000" w:rsidRPr="00000000">
        <w:rPr>
          <w:rtl w:val="0"/>
        </w:rPr>
        <w:t xml:space="preserve">: Documentation provided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Oversight</w:t>
      </w:r>
      <w:r w:rsidDel="00000000" w:rsidR="00000000" w:rsidRPr="00000000">
        <w:rPr>
          <w:rtl w:val="0"/>
        </w:rPr>
        <w:t xml:space="preserve">: Currently no human override/checks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4⃣⃣ Challenges &amp; Fixes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Local explainability only, no global insights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 Plan to combine with SHAP/PDP in future upgrades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Absence of human review for sensitive predictions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 Introduce manual flags + clinical override option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5⃣⃣ Governance Insights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📅 Responsible AI goes beyond compliance—it enforces alignment with social and ethical norms.</w:t>
        <w:br w:type="textWrapping"/>
        <w:t xml:space="preserve"> 📅 Risk flags help highlight model blind spots and accountability gaps.</w:t>
        <w:br w:type="textWrapping"/>
        <w:t xml:space="preserve"> 📅 SMF approach allows risk-to-policy mapping for any AI use case.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6⃣⃣ Deliverables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Risk Flag Summary Table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Responsible AI Score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responsible_ai_policy.json</w:t>
      </w:r>
      <w:r w:rsidDel="00000000" w:rsidR="00000000" w:rsidRPr="00000000">
        <w:rPr>
          <w:rtl w:val="0"/>
        </w:rPr>
        <w:t xml:space="preserve"> (Machine-readable policy output)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Case Study Documentation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7⃣⃣ Next Steps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Extend this framework to large language models</w:t>
        <w:br w:type="textWrapping"/>
        <w:t xml:space="preserve"> 🚀 Include social impact score + user consent handling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📉 This marks a critical step in operationalizing ethical governance across SoulMindFusion AI systems.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