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F4D78"/>
          <w:sz w:val="44"/>
        </w:rPr>
        <w:t>Stage 16N Geometry and Cycle-Jump Workflow</w:t>
      </w:r>
    </w:p>
    <w:p>
      <w:pPr>
        <w:spacing w:after="240"/>
      </w:pPr>
      <w:r>
        <w:rPr>
          <w:color w:val="555555"/>
          <w:sz w:val="22"/>
        </w:rPr>
        <w:t>Plate-with-hole Abaqus benchmark using a NEML-equivalent Chaboche UMAT</w:t>
      </w:r>
    </w:p>
    <w:p>
      <w:pPr>
        <w:pStyle w:val="Heading1"/>
      </w:pPr>
      <w:r>
        <w:t>Purpose</w:t>
      </w:r>
    </w:p>
    <w:p>
      <w:r>
        <w:t>This document summarizes the Stage 16N benchmark geometry and the planned workflow for fixed and adaptive cycle-jump validation. The material model is kept fixed; the thesis contribution is the cycle-jump methodology and its accuracy-versus-cost evaluation on an inhomogeneous Abaqus model.</w:t>
      </w:r>
    </w:p>
    <w:p>
      <w:pPr>
        <w:pStyle w:val="Heading1"/>
      </w:pPr>
      <w:r>
        <w:t>Geometry Used in Stage 16N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20"/>
      </w:tblGrid>
      <w:tr>
        <w:tc>
          <w:tcPr>
            <w:tcW w:type="dxa" w:w="4680"/>
            <w:shd w:fill="F2F4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4680"/>
            <w:shd w:fill="F2F4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Stage 16N setting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Benchmark type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Thin 3D plate with a central circular hole.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Dimensions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Length = 20.0, height = 10.0, thickness = 1.0.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Hole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Central hole with radius = 1.0 at the plate center.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Mesh spacing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Structured grid with dx = 0.25 and dy = 0.25.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Element type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C3D8 for Stage 16N NEML-equivalent Abaqus deck.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Nodes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6642 generated nodes.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Elements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3148 solid elements outside the hole.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Hole-ring set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60 elements selected near the hole for local stress and STATEV tracking.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Boundary sets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82 left-edge nodes and 82 right-edge nodes.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Anchors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Anchor A = node 1; Anchor B = node 3241, used to remove rigid-body motion.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28242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16_plate_with_hole_geomet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4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8"/>
        </w:rPr>
        <w:t>Figure 1. Stage 16 plate-with-hole geometry schematic.</w:t>
      </w:r>
    </w:p>
    <w:p>
      <w:r>
        <w:drawing>
          <wp:inline xmlns:a="http://schemas.openxmlformats.org/drawingml/2006/main" xmlns:pic="http://schemas.openxmlformats.org/drawingml/2006/picture">
            <wp:extent cx="5303520" cy="30011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16_plate_with_hole_actual_mes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1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8"/>
        </w:rPr>
        <w:t>Figure 2. Generated plate-with-hole mesh used for the benchmark.</w:t>
      </w:r>
    </w:p>
    <w:p>
      <w:pPr>
        <w:pStyle w:val="Heading1"/>
      </w:pPr>
      <w:r>
        <w:t>Loading, Material, and Output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20"/>
      </w:tblGrid>
      <w:tr>
        <w:tc>
          <w:tcPr>
            <w:tcW w:type="dxa" w:w="4680"/>
            <w:shd w:fill="F2F4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4680"/>
            <w:shd w:fill="F2F4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Stage 16N setting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Material model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NEML-equivalent Chaboche cyclic plasticity UMAT.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State variables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27 solution-dependent state variables in the Stage 16N UMAT.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Elastic constants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 = 200000.0, nu = 0.3.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Chaboche-style parameters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yield = 100.0, Q = 50.0, b = 5.0, three backstress pairs: C1/g1, C2/g2, C3/g3.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Cycle definition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Separate static step for each cycle, with AMP_ONE_CYCLE tabular loading.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Right edge loading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Cyclic displacement U1 amplitude = +/-0.10 on RIGHT_EDGE.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Left edge constraint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LEFT_EDGE fixed in U1; anchor nodes constrain remaining rigid-body modes.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Reference run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1000 full non-jump cycles completed as the accepted baseline.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Selected field cycles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1, 2, 10, 50, 100, 250, 500, 750, and 1000.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Tracked outputs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RF1-U1 hysteresis, loop area, local hole-ring stresses, and selected STATEV values.</w:t>
            </w:r>
          </w:p>
        </w:tc>
      </w:tr>
    </w:tbl>
    <w:p/>
    <w:p>
      <w:pPr>
        <w:pStyle w:val="Heading1"/>
      </w:pPr>
      <w:r>
        <w:t>Reference Status</w:t>
      </w:r>
    </w:p>
    <w:p>
      <w:pPr>
        <w:pStyle w:val="ListBullet"/>
        <w:spacing w:after="80"/>
      </w:pPr>
      <w:r>
        <w:t>The corrected full reference completed 1000 non-jump cycles.</w:t>
      </w:r>
    </w:p>
    <w:p>
      <w:pPr>
        <w:pStyle w:val="ListBullet"/>
        <w:spacing w:after="80"/>
      </w:pPr>
      <w:r>
        <w:t>Abaqus parallelism was verified as 1 MPI rank x 30 threads for the completed full reference.</w:t>
      </w:r>
    </w:p>
    <w:p>
      <w:pPr>
        <w:pStyle w:val="ListBullet"/>
        <w:spacing w:after="80"/>
      </w:pPr>
      <w:r>
        <w:t>Future production runs are configured to use 16 CPUs by default to reduce resource waste.</w:t>
      </w:r>
    </w:p>
    <w:p>
      <w:pPr>
        <w:pStyle w:val="ListBullet"/>
        <w:spacing w:after="80"/>
      </w:pPr>
      <w:r>
        <w:t>The reference CSV files provide the baseline for fixed and adaptive cycle-jump validation.</w:t>
      </w:r>
    </w:p>
    <w:p>
      <w:pPr>
        <w:pStyle w:val="Heading1"/>
      </w:pPr>
      <w:r>
        <w:t>Plan Flow Chart</w:t>
      </w:r>
    </w:p>
    <w:p>
      <w:r>
        <w:drawing>
          <wp:inline xmlns:a="http://schemas.openxmlformats.org/drawingml/2006/main" xmlns:pic="http://schemas.openxmlformats.org/drawingml/2006/picture">
            <wp:extent cx="5577840" cy="72183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16n_cycle_jump_workflow_flow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21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8"/>
        </w:rPr>
        <w:t>Figure 3. Proposed Stage 16N workflow from benchmark setup to final cycle-jump validation.</w:t>
      </w:r>
    </w:p>
    <w:p>
      <w:pPr>
        <w:pStyle w:val="Heading1"/>
      </w:pPr>
      <w:r>
        <w:t>Key Decision Points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20"/>
      </w:tblGrid>
      <w:tr>
        <w:tc>
          <w:tcPr>
            <w:tcW w:type="dxa" w:w="4680"/>
            <w:shd w:fill="F2F4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4680"/>
            <w:shd w:fill="F2F4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Stage 16N setting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Benchmark suitability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Accepted: global loop evolution and local hole STATEV evolution are significant.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Early-cycle treatment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Do not jump the first cycles aggressively; simulate the transient normally.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Delta N control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Use local STATEV and local stress variables in addition to global RF1 and loop area.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Validation order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Run fixed controlled jumps before the full adaptive cycle-jump workflow.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CPU policy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Use 16 CPUs by default and verify the Abaqus message file reports x 16 THREADS.</w:t>
            </w:r>
          </w:p>
        </w:tc>
      </w:tr>
    </w:tbl>
    <w:p/>
    <w:p>
      <w:pPr>
        <w:pStyle w:val="Heading1"/>
      </w:pPr>
      <w:r>
        <w:t>Immediate Next Tasks</w:t>
      </w:r>
    </w:p>
    <w:p>
      <w:pPr>
        <w:pStyle w:val="ListBullet"/>
        <w:spacing w:after="80"/>
      </w:pPr>
      <w:r>
        <w:t>Finish/check the 16-CPU benchmark and record the measured efficiency.</w:t>
      </w:r>
    </w:p>
    <w:p>
      <w:pPr>
        <w:pStyle w:val="ListBullet"/>
        <w:spacing w:after="80"/>
      </w:pPr>
      <w:r>
        <w:t>Analyze the 1000-cycle full reference data.</w:t>
      </w:r>
    </w:p>
    <w:p>
      <w:pPr>
        <w:pStyle w:val="ListBullet"/>
        <w:spacing w:after="80"/>
      </w:pPr>
      <w:r>
        <w:t>Compute the adaptive Delta N table from the full reference.</w:t>
      </w:r>
    </w:p>
    <w:p>
      <w:pPr>
        <w:pStyle w:val="ListBullet"/>
        <w:spacing w:after="80"/>
      </w:pPr>
      <w:r>
        <w:t>Run fixed jump validation cases inside the 1000-cycle window.</w:t>
      </w:r>
    </w:p>
    <w:p>
      <w:pPr>
        <w:pStyle w:val="ListBullet"/>
        <w:spacing w:after="80"/>
      </w:pPr>
      <w:r>
        <w:t>Implement adaptive cycle jumping after the fixed jumps pass the accuracy checks.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