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</w:pPr>
      <w:r>
        <w:rPr>
          <w:rFonts w:ascii="Arial" w:hAnsi="Arial"/>
          <w:b/>
        </w:rPr>
        <w:t>Maximilian Wartha, MD</w:t>
        <w:br/>
      </w:r>
      <w:r>
        <w:rPr>
          <w:rFonts w:ascii="Arial" w:hAnsi="Arial"/>
          <w:color w:val="5A6273"/>
          <w:sz w:val="20"/>
        </w:rPr>
        <w:t>Department of Neurosurgery</w:t>
        <w:br/>
        <w:t>Kepler University Hospital, Neuromed Campus</w:t>
        <w:br/>
        <w:t>Johannes Kepler University Linz</w:t>
        <w:br/>
        <w:t>Wagner-Jauregg-Weg 15, 4020 Linz, Austria</w:t>
        <w:br/>
        <w:t>Maximilian.Wartha@kepleruniklinikum.at</w:t>
      </w:r>
    </w:p>
    <w:p>
      <w:pPr>
        <w:spacing w:before="200" w:line="240" w:lineRule="auto"/>
      </w:pPr>
      <w:r>
        <w:rPr>
          <w:rFonts w:ascii="Arial" w:hAnsi="Arial"/>
        </w:rPr>
        <w:t>31 May 2026</w:t>
      </w:r>
    </w:p>
    <w:p>
      <w:pPr>
        <w:spacing w:before="120" w:line="240" w:lineRule="auto"/>
      </w:pPr>
      <w:r>
        <w:rPr>
          <w:rFonts w:ascii="Arial" w:hAnsi="Arial"/>
          <w:b/>
        </w:rPr>
        <w:t>The Editors</w:t>
        <w:br/>
      </w:r>
      <w:r>
        <w:rPr>
          <w:rFonts w:ascii="Arial" w:hAnsi="Arial"/>
        </w:rPr>
        <w:t>npj Precision Oncology</w:t>
        <w:br/>
        <w:t>Nature Portfolio</w:t>
      </w:r>
    </w:p>
    <w:p>
      <w:pPr>
        <w:spacing w:before="200" w:line="240" w:lineRule="auto"/>
      </w:pPr>
      <w:r>
        <w:rPr>
          <w:rFonts w:ascii="Arial" w:hAnsi="Arial"/>
          <w:b/>
        </w:rPr>
        <w:t xml:space="preserve">Re: </w:t>
      </w:r>
      <w:r>
        <w:rPr>
          <w:rFonts w:ascii="Arial" w:hAnsi="Arial"/>
          <w:b/>
          <w:color w:val="1F3A5F"/>
        </w:rPr>
        <w:t>Submission of original article — “Malignant-transformation risk in lower-grade glioma: an IDH-stratified Bayesian interval-censored analysis”</w:t>
      </w:r>
    </w:p>
    <w:p>
      <w:pPr>
        <w:spacing w:line="240" w:lineRule="auto" w:after="120" w:before="0"/>
      </w:pPr>
      <w:r>
        <w:rPr>
          <w:rFonts w:ascii="Arial" w:hAnsi="Arial"/>
        </w:rPr>
        <w:t>Dear Editors,</w:t>
      </w:r>
    </w:p>
    <w:p>
      <w:pPr>
        <w:spacing w:line="240" w:lineRule="auto" w:after="120" w:before="0"/>
      </w:pPr>
      <w:r>
        <w:rPr>
          <w:rFonts w:ascii="Arial" w:hAnsi="Arial"/>
        </w:rPr>
        <w:t>We are pleased to submit our Article, “Malignant-transformation risk in lower-grade glioma: an IDH-stratified Bayesian interval-censored analysis,” for consideration at npj Precision Oncology. In lower-grade glioma, malignant transformation — the progression of an indolent tumour to high-grade disease — is the principal determinant of survival and dictates how closely a patient is monitored and when to operate. We show that its most accessible pre-operative marker, contrast enhancement, means fundamentally different things in different molecular contexts: in IDH-mutant tumours, contrast enhancement at diagnosis marks a subgroup whose risk of transformation is dramatically amplified — a hazard ratio of 92, against 22 in the cohort overall.</w:t>
      </w:r>
    </w:p>
    <w:p>
      <w:pPr>
        <w:spacing w:line="240" w:lineRule="auto" w:after="120" w:before="0"/>
      </w:pPr>
      <w:r>
        <w:rPr>
          <w:rFonts w:ascii="Arial" w:hAnsi="Arial"/>
        </w:rPr>
        <w:t>What sets this work apart is less a new marker than the way its effect is established. Despite how routinely contrast enhancement and extent of resection are invoked in glioma, neither has been quantified against transformation risk within a properly time-varying, longitudinal analysis of the kind these data require. Approached this way, the findings read not as an isolated biomarker association but as a quantitative account of the disease’s natural history — the rate at which a lower-grade glioma transforms, and what alters it — and it is within this account that gross total resection independently lowers post-surgical transformation risk by about two-thirds.</w:t>
      </w:r>
    </w:p>
    <w:p>
      <w:pPr>
        <w:spacing w:line="240" w:lineRule="auto" w:after="120" w:before="0"/>
      </w:pPr>
      <w:r>
        <w:rPr>
          <w:rFonts w:ascii="Arial" w:hAnsi="Arial"/>
        </w:rPr>
        <w:t>Because such estimates are only as valuable as they are trustworthy, we held the central result to a deliberately demanding standard. Transformation is visible only between two surveillance scans, so we modelled it as interval-censored rather than dating it to the confirmatory MRI, and we required the contrast-enhancement effect to hold across four independent survival frameworks. It did — in both direction and significance — throughout.</w:t>
      </w:r>
    </w:p>
    <w:p>
      <w:pPr>
        <w:spacing w:line="240" w:lineRule="auto" w:after="120" w:before="0"/>
      </w:pPr>
      <w:r>
        <w:rPr>
          <w:rFonts w:ascii="Arial" w:hAnsi="Arial"/>
        </w:rPr>
        <w:t>The finding speaks directly to the readership of npj Precision Oncology: it turns a routine molecular classifier and a universally available imaging sign into an individualised estimate of when a glioma will progress, reported in full against STROBE and TRIPOD+AI 2024.</w:t>
      </w:r>
    </w:p>
    <w:p>
      <w:pPr>
        <w:spacing w:line="240" w:lineRule="auto" w:after="120" w:before="0"/>
      </w:pPr>
      <w:r>
        <w:rPr>
          <w:rFonts w:ascii="Arial" w:hAnsi="Arial"/>
        </w:rPr>
        <w:t>The manuscript is original and is not under consideration elsewhere; all authors approve its submission. The study was approved by the Johannes Kepler University Ethics Committee (EK-2021-1042), and the authors declare no competing interests; analysis code is openly available and de-identified data are available on reasonable request. We would be pleased to suggest suitable reviewers on request, and we thank you for considering our work.</w:t>
      </w:r>
    </w:p>
    <w:p>
      <w:pPr>
        <w:spacing w:before="200" w:line="240" w:lineRule="auto"/>
      </w:pPr>
      <w:r>
        <w:rPr>
          <w:rFonts w:ascii="Arial" w:hAnsi="Arial"/>
        </w:rPr>
        <w:t>Yours sincerely,</w:t>
      </w:r>
    </w:p>
    <w:p>
      <w:pPr>
        <w:spacing w:before="240" w:line="240" w:lineRule="auto"/>
      </w:pPr>
      <w:r>
        <w:rPr>
          <w:rFonts w:ascii="Arial" w:hAnsi="Arial"/>
          <w:b/>
        </w:rPr>
        <w:t>Maximilian Wartha, MD</w:t>
        <w:br/>
      </w:r>
      <w:r>
        <w:rPr>
          <w:rFonts w:ascii="Arial" w:hAnsi="Arial"/>
          <w:color w:val="5A6273"/>
          <w:sz w:val="20"/>
        </w:rPr>
        <w:t>Corresponding author, on behalf of all co-authors</w:t>
      </w:r>
    </w:p>
    <w:sectPr w:rsidR="00FC693F" w:rsidRPr="0006063C" w:rsidSect="00034616">
      <w:pgSz w:w="11909" w:h="16834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