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3E44" w:rsidRDefault="00000000">
      <w:r>
        <w:rPr>
          <w:b/>
          <w:color w:val="1F3A5F"/>
          <w:sz w:val="26"/>
        </w:rPr>
        <w:t>Malignant-transformation risk in lower-grade glioma: an IDH-stratified Bayesian interval-censored analysis</w:t>
      </w:r>
    </w:p>
    <w:p w:rsidR="00AE3E44" w:rsidRDefault="00000000">
      <w:pPr>
        <w:spacing w:before="80"/>
      </w:pPr>
      <w:r>
        <w:rPr>
          <w:color w:val="5A6273"/>
          <w:sz w:val="20"/>
        </w:rPr>
        <w:t>Plain language summary and key points — for npj Precision Oncology submission.</w:t>
      </w:r>
    </w:p>
    <w:p w:rsidR="00AE3E44" w:rsidRDefault="00000000">
      <w:pPr>
        <w:spacing w:before="280" w:after="80"/>
      </w:pPr>
      <w:r>
        <w:rPr>
          <w:b/>
          <w:color w:val="1F3A5F"/>
          <w:sz w:val="28"/>
        </w:rPr>
        <w:t>Plain language summary</w:t>
      </w:r>
    </w:p>
    <w:p w:rsidR="00AE3E44" w:rsidRDefault="00000000">
      <w:pPr>
        <w:jc w:val="both"/>
      </w:pPr>
      <w:r>
        <w:t xml:space="preserve">Lower-grade gliomas are slow-growing brain tumours that eventually become aggressive — a </w:t>
      </w:r>
      <w:r w:rsidR="006515F7">
        <w:t>transition</w:t>
      </w:r>
      <w:r>
        <w:t xml:space="preserve"> called malignant transformation. We analysed 155 patients followed for many years and asked which features visible at diagnosis best predict that turning point. Tumours that take up contrast on the diagnostic MRI carry a much higher risk of transformation, and that risk is dramatically amplified — roughly ninety-fold — in tumours with an IDH mutation. The result is consistent across four different statistical models, each built to handle a different feature of this kind of data. For the individual patient, knowing both molecular status and contrast behaviour at diagnosis can inform how often to repeat the MRI and how early to consider surgery.</w:t>
      </w:r>
    </w:p>
    <w:p w:rsidR="00AE3E44" w:rsidRDefault="00000000">
      <w:pPr>
        <w:spacing w:before="280" w:after="80"/>
      </w:pPr>
      <w:r>
        <w:rPr>
          <w:b/>
          <w:color w:val="1F3A5F"/>
          <w:sz w:val="28"/>
        </w:rPr>
        <w:t>Key points</w:t>
      </w:r>
    </w:p>
    <w:p w:rsidR="00AE3E44" w:rsidRDefault="00000000">
      <w:pPr>
        <w:pStyle w:val="ListBullet"/>
        <w:jc w:val="both"/>
      </w:pPr>
      <w:r>
        <w:t>In lower-grade glioma, contrast enhancement on the diagnostic MRI is associated with a markedly elevated risk of malignant transformation in IDH-mutant disease (Bayesian hazard ratio 92, 95 % credible interval 27–416) — substantially larger than in the full cohort (HR 22).</w:t>
      </w:r>
    </w:p>
    <w:p w:rsidR="00AE3E44" w:rsidRDefault="00000000">
      <w:pPr>
        <w:pStyle w:val="ListBullet"/>
        <w:jc w:val="both"/>
      </w:pPr>
      <w:r>
        <w:t>This IDH × contrast-enhancement interaction is the patient-level lever: it identifies a molecularly-defined subgroup for whom shortened surveillance intervals and a lower threshold for early maximal-safe resection are quantitatively justified.</w:t>
      </w:r>
    </w:p>
    <w:p w:rsidR="00AE3E44" w:rsidRDefault="00000000">
      <w:pPr>
        <w:pStyle w:val="ListBullet"/>
        <w:jc w:val="both"/>
      </w:pPr>
      <w:r>
        <w:t>Gross total resection is associated with an approximately two-thirds reduction in post-surgical transformation hazard, in a Cox model with time-varying treatment exposures and multiple imputation of the interval-censored event time.</w:t>
      </w:r>
    </w:p>
    <w:p w:rsidR="00AE3E44" w:rsidRDefault="00000000">
      <w:pPr>
        <w:pStyle w:val="ListBullet"/>
        <w:jc w:val="both"/>
      </w:pPr>
      <w:r>
        <w:t>The contrast-enhancement effect is concordant across four complementary survival models, each addressing a different structural feature of the data (interval-censored event time, competing risk of non-MT death, time-varying treatment, ~100 candidate covariates); no single available estimator covers all four jointly.</w:t>
      </w:r>
    </w:p>
    <w:p w:rsidR="00AE3E44" w:rsidRDefault="00000000">
      <w:pPr>
        <w:pStyle w:val="ListBullet"/>
        <w:jc w:val="both"/>
      </w:pPr>
      <w:r>
        <w:t>At this cohort size, no individual radiomic feature from the 99-feature panel survives Bayesian shrinkage or native interval-censored frequentist analysis — an honest statement about what 77 events can support, and a caution against single-feature radiomic claims from comparable cohorts.</w:t>
      </w:r>
    </w:p>
    <w:sectPr w:rsidR="00AE3E44"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648416">
    <w:abstractNumId w:val="8"/>
  </w:num>
  <w:num w:numId="2" w16cid:durableId="1086422017">
    <w:abstractNumId w:val="6"/>
  </w:num>
  <w:num w:numId="3" w16cid:durableId="245699560">
    <w:abstractNumId w:val="5"/>
  </w:num>
  <w:num w:numId="4" w16cid:durableId="722800976">
    <w:abstractNumId w:val="4"/>
  </w:num>
  <w:num w:numId="5" w16cid:durableId="1845436628">
    <w:abstractNumId w:val="7"/>
  </w:num>
  <w:num w:numId="6" w16cid:durableId="609555166">
    <w:abstractNumId w:val="3"/>
  </w:num>
  <w:num w:numId="7" w16cid:durableId="435373801">
    <w:abstractNumId w:val="2"/>
  </w:num>
  <w:num w:numId="8" w16cid:durableId="1232695533">
    <w:abstractNumId w:val="1"/>
  </w:num>
  <w:num w:numId="9" w16cid:durableId="47672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5F7"/>
    <w:rsid w:val="00AA1D8D"/>
    <w:rsid w:val="00AE3E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7D4E9"/>
  <w14:defaultImageDpi w14:val="300"/>
  <w15:docId w15:val="{8293DB10-01A8-9542-80E1-7A67CC3AC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 Rauch</cp:lastModifiedBy>
  <cp:revision>2</cp:revision>
  <dcterms:created xsi:type="dcterms:W3CDTF">2013-12-23T23:15:00Z</dcterms:created>
  <dcterms:modified xsi:type="dcterms:W3CDTF">2026-05-31T19:14:00Z</dcterms:modified>
  <cp:category/>
</cp:coreProperties>
</file>