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3A5F"/>
          <w:sz w:val="32"/>
          <w:szCs w:val="32"/>
        </w:rPr>
        <w:t>Supplementary Materials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color w:val="444444"/>
          <w:sz w:val="22"/>
          <w:szCs w:val="22"/>
        </w:rPr>
        <w:t>Malignant-transformation risk in lower-grade glioma: an IDH-stratified Bayesian interval-censored analysis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A5F"/>
          <w:sz w:val="28"/>
          <w:szCs w:val="28"/>
        </w:rPr>
        <w:t>S1.  Extended methods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S1.1  Interval-censored event-time encoding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For each patient the MT event time was encoded as an interval [L, R], where L is the date of the last pre-MT imaging study classified as low-grade and R is the date of the first imaging study showing MT (or the diagnostic surgery at transformation, whichever was earlier). Patients without documented transformation were right-censored at the last available imaging follow-up (L = last imaging date, R = ∞). Patients who underwent surgery before any observed MT were additionally stratified into Case 2 (MT observed in [L, R] prior to surgery) and Case 3 (MT observed in [L, R] after surgery); Supplementary Figure S1 shows the schematic. All three Bayesian, Fine-Gray, and Cox-TVC analyses were specified to respect this interval-censored structure.</w:t>
      </w:r>
    </w:p>
    <w:p>
      <w:pPr>
        <w:pStyle w:val="Normal"/>
        <w:spacing w:before="200" w:after="60"/>
        <w:jc w:val="center"/>
        <w:rPr/>
      </w:pPr>
      <w:r>
        <w:rPr/>
        <w:drawing>
          <wp:inline distT="0" distB="0" distL="0" distR="0">
            <wp:extent cx="5486400" cy="2449195"/>
            <wp:effectExtent l="0" t="0" r="0" b="0"/>
            <wp:docPr id="1" name="fig4_interval_censoring.png" descr="fig4_interval_censoring.png&#10;Interval censoring schema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4_interval_censoring.png" descr="fig4_interval_censoring.png&#10;Interval censoring schemati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80" w:before="80" w:after="260"/>
        <w:jc w:val="both"/>
        <w:rPr/>
      </w:pPr>
      <w:r>
        <w:rPr>
          <w:rFonts w:eastAsia="Arial" w:cs="Arial"/>
          <w:b/>
          <w:bCs/>
          <w:color w:val="1F3A5F"/>
          <w:sz w:val="19"/>
          <w:szCs w:val="19"/>
        </w:rPr>
        <w:t xml:space="preserve">Supplementary Figure S1  |  </w:t>
      </w:r>
      <w:r>
        <w:rPr>
          <w:rFonts w:eastAsia="Arial" w:cs="Arial"/>
          <w:b/>
          <w:bCs/>
          <w:color w:val="222222"/>
          <w:sz w:val="19"/>
          <w:szCs w:val="19"/>
        </w:rPr>
        <w:t>Interval-censored event-time structure: every transformation time is localised to an interval between two successive imaging studies.</w:t>
      </w:r>
      <w:r>
        <w:rPr>
          <w:rFonts w:eastAsia="Arial" w:cs="Arial"/>
          <w:sz w:val="19"/>
          <w:szCs w:val="19"/>
        </w:rPr>
        <w:t xml:space="preserve">  </w:t>
      </w:r>
      <w:r>
        <w:rPr>
          <w:rFonts w:eastAsia="Arial" w:cs="Arial"/>
          <w:color w:val="3A3A3A"/>
          <w:sz w:val="19"/>
          <w:szCs w:val="19"/>
        </w:rPr>
        <w:t xml:space="preserve">Three illustrative cases. </w:t>
      </w:r>
      <w:r>
        <w:rPr>
          <w:rFonts w:eastAsia="Arial" w:cs="Arial"/>
          <w:b/>
          <w:bCs/>
          <w:color w:val="3A3A3A"/>
          <w:sz w:val="19"/>
          <w:szCs w:val="19"/>
        </w:rPr>
        <w:t>Case 1</w:t>
      </w:r>
      <w:r>
        <w:rPr>
          <w:rFonts w:eastAsia="Arial" w:cs="Arial"/>
          <w:color w:val="3A3A3A"/>
          <w:sz w:val="19"/>
          <w:szCs w:val="19"/>
        </w:rPr>
        <w:t xml:space="preserve"> — right-censored at the last transformation-free imaging study, with no upper bound on the true MT time. </w:t>
      </w:r>
      <w:r>
        <w:rPr>
          <w:rFonts w:eastAsia="Arial" w:cs="Arial"/>
          <w:b/>
          <w:bCs/>
          <w:color w:val="3A3A3A"/>
          <w:sz w:val="19"/>
          <w:szCs w:val="19"/>
        </w:rPr>
        <w:t>Case 2</w:t>
      </w:r>
      <w:r>
        <w:rPr>
          <w:rFonts w:eastAsia="Arial" w:cs="Arial"/>
          <w:color w:val="3A3A3A"/>
          <w:sz w:val="19"/>
          <w:szCs w:val="19"/>
        </w:rPr>
        <w:t xml:space="preserve"> — transformation is detected on the first post-operative MRI, producing an interval [L, R] bounded below by the pre-operative scan and above by the post-operative scan. </w:t>
      </w:r>
      <w:r>
        <w:rPr>
          <w:rFonts w:eastAsia="Arial" w:cs="Arial"/>
          <w:b/>
          <w:bCs/>
          <w:color w:val="3A3A3A"/>
          <w:sz w:val="19"/>
          <w:szCs w:val="19"/>
        </w:rPr>
        <w:t>Case 3</w:t>
      </w:r>
      <w:r>
        <w:rPr>
          <w:rFonts w:eastAsia="Arial" w:cs="Arial"/>
          <w:color w:val="3A3A3A"/>
          <w:sz w:val="19"/>
          <w:szCs w:val="19"/>
        </w:rPr>
        <w:t xml:space="preserve"> — transformation is detected after a period of stable post-operative surveillance, producing an interval bounded below by the last stable MRI and above by the first MRI showing transformation. Cases 2 and 3 differ only in whether surgery precedes or follows the lower interval bound L.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S1.2  Primary Bayesian analysis — full specification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brms 2.23 formula: y | cens(...) ~ contrast_enhancing + age_atDiag45 + vol_diag_centered + {99 radiomic features}. brms parameterises Weibull as accelerated-failure-time (AFT) with a log link on the scale μ; the proportional-hazards HR for covariate j is HR = exp(−α·βj), with α the Weibull shape. HRs and 95% credible intervals were computed draw-by-draw from joint α/β posterior draws, preserving joint uncertainty. A horseshoe prior was placed on all 102 population-level coefficients (par_ratio = 0.1, df = 1, df_global = 1, scale_global = 2, scale_slab = 2, df_slab = 4); the wide slab preserves strong clinical effects while heavily shrinking weak signals. The horseshoe was applied to all coefficients (clinical and radiomic) because brms 2.23 does not permit mixing class-wide horseshoe with per-coefficient priors on the same b class.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Sampling used 4 chains × 8 000 iterations × 4 000 warmup with adapt_delta = 0.999 and max_treedepth = 14 after a documented retry ladder. Divergent-transition counts were 17/16 000 (0.11%) in the full cohort, 11/16 000 (0.07%) in IDH-mutant, and 67/16 000 (0.42%) in IDH-wildtype, all below conventional thresholds and — as documented by a per-parameter divergence-location diagnostic — concentrated in horseshoe auxiliary scale hyperparameters (maximum |z-score| = 2.88 on a local-shrinkage scale) rather than in population-level coefficients of interest (|z-score| ≤ 0.28 for all four clinical coefficients). R-hat ≤ 1.0014 and minimum ESS_bulk ≥ 1 839 in every cohort. A prior-sensitivity refit at scale_global = 1 produced clinical HRs identical to three significant figures.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S1.3  Fine-Gray competing-risks analysis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A Fine-Gray subdistribution-hazards model (R package cmprsk) treated MT as the primary event (n = 77) and death without MT as competing (n = 6). Two specifications were run: clinical-only (contrast enhancement, centred age, centred volume) and clinical + two-feature signature (GLDM-FLAIR dependence-variance and GLSZM-T1c large-area-low-gray-level-emphasis). Gray's test was computed for cumulative-incidence differences by CE strata for both events to rule out competing-risk confounding of the CE signal. The primary cmprsk implementation uses the interval midpoint (L + R) / 2 as the transformation event time. Two additional methodological refinements were specified alongside the primary analysis: (i) multiple imputation of the event time from Uniform(L, R) with M = 20, pooled by Rubin’s rules (Table S1b); and (ii) a native interval-censored Fine-Gray fit via sieve maximum likelihood with B-spline approximation of the cumulative incidence functions (R package intccr, Park &amp; Bakoyannis 2021), integrating the subdistribution-hazards likelihood directly over the bracket [L, R] (Table S1c).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S1a.  Fine-Gray subdistribution hazards — midpoint plug-in (clinical + 2-feature signature)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2400"/>
        <w:gridCol w:w="1401"/>
        <w:gridCol w:w="1959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Term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sHR (95% CI)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p-value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Interpretation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Contrast enhancement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9.87 (5.56, 17.5)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&lt; 0.0001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strong ↑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Age (per year above 45)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1.01 (0.99, 1.03)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0.32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Volume (per cm³)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(0.99, 1.01)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0.84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GLSZM-T1c large-area-low-gray-level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1.17 (0.99, 1.37)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0.064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borderline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GLDM-FLAIR dependence-variance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1.54 (1.13, 2.10)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0.006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credible ↑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i/>
          <w:iCs/>
          <w:sz w:val="22"/>
          <w:szCs w:val="22"/>
        </w:rPr>
        <w:t>Gray’s test</w:t>
      </w:r>
      <w:r>
        <w:rPr>
          <w:rFonts w:eastAsia="Arial" w:cs="Arial"/>
          <w:sz w:val="22"/>
          <w:szCs w:val="22"/>
        </w:rPr>
        <w:t xml:space="preserve"> for cumulative incidence by CE strata: MT statistic 80.0, p &lt; 0.0001; death without MT statistic 1.61, p = 0.205. The CE signal is therefore concentrated in the primary event and cannot be explained by a competing-risk mortality process.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S1b.  Fine-Gray subdistribution hazards — multiple imputation (M = 20, Rubin-pooled)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2400"/>
        <w:gridCol w:w="1401"/>
        <w:gridCol w:w="1959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Term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sHR (95% CI)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p-value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Interpretation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Contrast enhancement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9.81 (5.15, 18.7)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&lt; 0.0001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strong ↑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Age (per year above 45)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1.01 (0.99, 1.03)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0.30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Volume (per cm³)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(0.99, 1.01)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0.78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GLSZM-T1c large-area-low-gray-level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1.15 (0.94, 1.40)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0.18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GLDM-FLAIR dependence-variance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1.50 (1.09, 2.05)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0.012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credible ↑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Multiple imputation seeds are matched to the Cox TVC analysis (2026 + m) so identical event-time draws appear in both pipelines. The midpoint and MI sHRs are essentially identical (CE 9.87 vs 9.81; GLDM-FLAIR 1.54 vs 1.50), indicating that the midpoint plug-in is not a wrong answer but is under-honest about the CI width; multiple imputation is the preferred reporting form.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S1c.  Native interval-censored Fine-Gray (intccr) — cause 1 = MT, clinical + 2-feature signature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2400"/>
        <w:gridCol w:w="1401"/>
        <w:gridCol w:w="1959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Term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sHR (95% CI)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p-value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Interpretation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Contrast enhancement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2.94 (1.27, 6.79)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0.012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credible ↑, attenuated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Age (per year above 45)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(0.98, 1.02)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0.92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Volume (per cm³)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(1.00, 1.01)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0.81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GLSZM-T1c large-area-low-gray-level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1.05 (0.86, 1.26)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0.65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GLDM-FLAIR dependence-variance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1.04 (0.81, 1.34)</w:t>
            </w:r>
          </w:p>
        </w:tc>
        <w:tc>
          <w:tcPr>
            <w:tcW w:w="1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0.77</w:t>
            </w:r>
          </w:p>
        </w:tc>
        <w:tc>
          <w:tcPr>
            <w:tcW w:w="195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 xml:space="preserve">Fitted by </w:t>
      </w:r>
      <w:r>
        <w:rPr>
          <w:rFonts w:eastAsia="Arial" w:cs="Arial"/>
          <w:i/>
          <w:iCs/>
          <w:sz w:val="22"/>
          <w:szCs w:val="22"/>
        </w:rPr>
        <w:t>intccr::ciregic()</w:t>
      </w:r>
      <w:r>
        <w:rPr>
          <w:rFonts w:eastAsia="Arial" w:cs="Arial"/>
          <w:sz w:val="22"/>
          <w:szCs w:val="22"/>
        </w:rPr>
        <w:t xml:space="preserve"> with alpha = c(0, 0) (proportional subdistribution hazards for both event types), B-spline sieve approximation of the cumulative incidence functions, and the closed-form least-squares variance estimator of Park &amp; Bakoyannis (2021, §3.4). Cause 2 (death without MT, n = 5 with known time-of-death) is too sparse for stable estimates and is not reported. Under native interval-censoring — in which the subdistribution-hazards likelihood integrates over the full bracket [L, R] rather than reducing it to a representative time — the CE effect attenuates from sHR ~10 (midpoint / MI) to sHR ~2.8 while preserving direction and statistical significance, and both pre-specified signature features collapse to null. This brings the frequentist competing-risks analysis into concordance with the Bayesian horseshoe primary analysis (0 / 99 features credibly non-null) and supports the interpretation that the previously reported “GLDM-FLAIR credibly non-null in unshrunken Fine-Gray” signal was a midpoint-plug-in artifact rather than a population-level effect. We initially tried the reviewer’s suggestion of </w:t>
      </w:r>
      <w:r>
        <w:rPr>
          <w:rFonts w:eastAsia="Arial" w:cs="Arial"/>
          <w:i/>
          <w:iCs/>
          <w:sz w:val="22"/>
          <w:szCs w:val="22"/>
        </w:rPr>
        <w:t>SmoothHazard::idm()</w:t>
      </w:r>
      <w:r>
        <w:rPr>
          <w:rFonts w:eastAsia="Arial" w:cs="Arial"/>
          <w:sz w:val="22"/>
          <w:szCs w:val="22"/>
        </w:rPr>
        <w:t xml:space="preserve"> (illness-death model with penalized M-splines on cause-specific hazards), but the optimizer did not converge on this dataset under either Weibull or spline baselines; </w:t>
      </w:r>
      <w:r>
        <w:rPr>
          <w:rFonts w:eastAsia="Arial" w:cs="Arial"/>
          <w:i/>
          <w:iCs/>
          <w:sz w:val="22"/>
          <w:szCs w:val="22"/>
        </w:rPr>
        <w:t>intccr</w:t>
      </w:r>
      <w:r>
        <w:rPr>
          <w:rFonts w:eastAsia="Arial" w:cs="Arial"/>
          <w:sz w:val="22"/>
          <w:szCs w:val="22"/>
        </w:rPr>
        <w:t xml:space="preserve"> is methodologically equivalent for the Fine-Gray (subdistribution-hazards) question and converged cleanly.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S1.4  Cox counting-process TVC with multiple imputation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Counting-process data were constructed with one row per patient per treatment-state epoch (pre-surgery; post-surgery-by-EOR; post-chemo; post-radiation). Because the event time is interval-censored, 20 imputations of the event time were drawn as Uniform(L, R). The counting-process Cox model was refit in each imputation with coxph including id = patient_number for within-patient robust SE, and log-HR coefficient vectors were pooled via Rubin's rules. Two TVC specifications are reported: a primary spec with step-function treatment indicators and three-level EOR factor {pre, GTR, STR, Biopsy, unknown}, and a Model A extension with continuous time-since-treatment covariates. A previously included Model B extension that placed the per-patient time-to-first-surgery as a baseline covariate in all intervals was not retained in the primary specification because the regressor is not measurable at the time the hazard is modeled (anticipation bias); the effect was null (HR 1.03, p = 0.53) and removal does not affect any substantive conclusion. A rank-deficiency between post_surgery and the full EOR factor forces the Biopsy level to be dropped, so the reported GTR and STR coefficients from the primary spec represent GTR-vs-Biopsy and STR-vs-Biopsy contrasts. The pre-specified binary EOR sensitivity (GTR vs non-GTR; STR + Biopsy pooled) was designed to remove this rank-deficiency.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S2.  Cox counting-process TVC — primary spec (full cohort, Rubin-pooled over 20 imputations)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2201"/>
        <w:gridCol w:w="1399"/>
        <w:gridCol w:w="216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Term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HR (95% CI)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p-value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Interpretation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Contrast enhancement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13.3 (6.83, 26.0)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&lt; 0.0001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strong ↑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Age (per year above 45)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1.01 (0.99, 1.03)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0.33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Volume (per cm³)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(0.99, 1.01)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0.87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eor_stateGTR vs Biopsy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0.32 (0.13, 0.77)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0.012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protective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eor_stateSTR vs Biopsy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0.79 (0.33, 1.92)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0.60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post_chemo (step-function TVC)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2.75 (0.95, 8.01)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0.063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marginal ↑ (selection)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post_radiation (step-function TVC)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0.63 (0.20, 1.96)</w:t>
            </w:r>
          </w:p>
        </w:tc>
        <w:tc>
          <w:tcPr>
            <w:tcW w:w="13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0.42</w:t>
            </w:r>
          </w:p>
        </w:tc>
        <w:tc>
          <w:tcPr>
            <w:tcW w:w="2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null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Continuous time-since-treatment terms were not informative: time since surgery HR 0.65 (0.20, 2.15), p = 0.48; time-to-first-surgery as baseline covariate HR 1.03 (0.94, 1.14) per year of delay, p = 0.53. The time-since-radiation pooled coefficient was numerically pathological (driven by a thin-data extreme in at least one imputation) and is reported with explicit uninterpretable annotation; this does not affect any primary conclusion.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S1.5  Binary extent-of-resection sensitivity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 xml:space="preserve">Because subtotal resection spans a heterogeneous population from near-complete resections to near-biopsy resections, and because quantitative residual tumour volume was not available, we pre-specified a binary sensitivity collapsing STR and Biopsy into a single non-GTR category. Using the same counting-process MI structure with </w:t>
      </w:r>
      <w:r>
        <w:rPr>
          <w:rFonts w:eastAsia="Courier New" w:cs="Courier New" w:ascii="Courier New" w:hAnsi="Courier New"/>
          <w:sz w:val="20"/>
          <w:szCs w:val="20"/>
        </w:rPr>
        <w:t>post_surgery</w:t>
      </w:r>
      <w:r>
        <w:rPr>
          <w:rFonts w:eastAsia="Arial" w:cs="Arial"/>
          <w:sz w:val="22"/>
          <w:szCs w:val="22"/>
        </w:rPr>
        <w:t xml:space="preserve"> omitted (redundant with the three-level binary factor), GTR vs non-GTR yielded a significant and strongly protective linear contrast: HR 0.370 (0.180, 0.762), p = 0.007 full cohort; HR 0.306 (0.122, 0.767), p = 0.012 IDH-mutant. The magnitude was slightly attenuated compared with GTR-vs-Biopsy alone (0.37 vs 0.32 full cohort; 0.31 vs 0.16 IDH-mutant), consistent with STR sitting intermediate between GTR and Biopsy on the transformation-risk continuum. Clinical and chemo/radiation effects were materially unchanged by the EOR reparameterization (CE HR 13.6 vs 13.3; post_chemo HR 2.72 vs 2.75).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A5F"/>
          <w:sz w:val="28"/>
          <w:szCs w:val="28"/>
        </w:rPr>
        <w:t>S2.  Pre-specified sensitivity analyses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S3.  Methodology sensitivities on the primary Bayesian model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2801"/>
        <w:gridCol w:w="2960"/>
      </w:tblGrid>
      <w:tr>
        <w:trPr>
          <w:tblHeader w:val="true"/>
        </w:trPr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Sensitivity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CE HR (95% CrI)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Note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Primary (par_ratio = 0.10)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22.1 (10.5, 53.2)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reference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Horseshoe par_ratio 0.05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21.7 (10.3, 53.1)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 active radiomic features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Horseshoe par_ratio 0.20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22.7 (10.5, 53.1)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 active radiomic features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Age ≥18 years only (n = 149)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21.3 (9.9, 53.1)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excludes 6 paediatric-age patients with adult-type tumours</w:t>
            </w:r>
          </w:p>
        </w:tc>
      </w:tr>
      <w:tr>
        <w:trPr/>
        <w:tc>
          <w:tcPr>
            <w:tcW w:w="35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Era split (≥2010)</w:t>
            </w:r>
          </w:p>
        </w:tc>
        <w:tc>
          <w:tcPr>
            <w:tcW w:w="28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21.9 (10.3, 53.5)</w:t>
            </w:r>
          </w:p>
        </w:tc>
        <w:tc>
          <w:tcPr>
            <w:tcW w:w="2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era HR 1.00 (0.93, 1.05)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Headline inferences are stable across all three pre-specified methodology sensitivities.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A5F"/>
          <w:sz w:val="28"/>
          <w:szCs w:val="28"/>
        </w:rPr>
        <w:t>S3.  Radiomic shrinkage — supporting detail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The posterior densities of all 99 candidate features under the regularized-horseshoe prior, together with closer portraits of the two pre-specified signature features, are shown as Figure 3 in the main manuscript. The table below provides numeric detail for the top-ranked features; the unshrunken frequentist Fine-Gray refit of the pre-specified two-feature signature is reported above in Table S1.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S4.  Top 5 radiomic features by |posterior β| (full cohort)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199"/>
        <w:gridCol w:w="2201"/>
        <w:gridCol w:w="1499"/>
        <w:gridCol w:w="146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Feature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HR (95% CrI)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CrI excl. 0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Pr(|HR−1| ≥ 20%)</w:t>
            </w:r>
          </w:p>
        </w:tc>
      </w:tr>
      <w:tr>
        <w:trPr/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shape_surfacevolumeratio_T1c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(0.62, 1.02)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0.16</w:t>
            </w:r>
          </w:p>
        </w:tc>
      </w:tr>
      <w:tr>
        <w:trPr/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shape_flatness_FLAIR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(0.98, 1.51)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0.14</w:t>
            </w:r>
          </w:p>
        </w:tc>
      </w:tr>
      <w:tr>
        <w:trPr/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gldm_dependencevariance_FLAIR *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(0.98, 1.38)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0.06</w:t>
            </w:r>
          </w:p>
        </w:tc>
      </w:tr>
      <w:tr>
        <w:trPr/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firstorder_10percentile_FLAIR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(0.98, 1.23)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0.03</w:t>
            </w:r>
          </w:p>
        </w:tc>
      </w:tr>
      <w:tr>
        <w:trPr/>
        <w:tc>
          <w:tcPr>
            <w:tcW w:w="41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glszm_largearealowgraylevel_T1c *</w:t>
            </w:r>
          </w:p>
        </w:tc>
        <w:tc>
          <w:tcPr>
            <w:tcW w:w="22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1.00 (0.97, 1.15)</w:t>
            </w:r>
          </w:p>
        </w:tc>
        <w:tc>
          <w:tcPr>
            <w:tcW w:w="14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no</w:t>
            </w:r>
          </w:p>
        </w:tc>
        <w:tc>
          <w:tcPr>
            <w:tcW w:w="1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0.02</w:t>
            </w:r>
          </w:p>
        </w:tc>
      </w:tr>
    </w:tbl>
    <w:p>
      <w:pPr>
        <w:pStyle w:val="Normal"/>
        <w:spacing w:before="40" w:after="200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* pre-specified two-feature signature.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1F3A5F"/>
          <w:sz w:val="24"/>
          <w:szCs w:val="24"/>
        </w:rPr>
        <w:t>S3a.  Internal validation of the primary Cox-TVC model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/>
          <w:iCs/>
          <w:color w:val="333333"/>
          <w:sz w:val="22"/>
          <w:szCs w:val="22"/>
        </w:rPr>
        <w:t>Table S5.  Bootstrap-optimism correction (Harrell, 500 patient-level resamples)</w:t>
      </w:r>
    </w:p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Harrell bootstrap-optimism correction over 500 patient-level resamples (486 converged) of the primary counting-process Cox model. Because each replicate refits the full TVC model, we used a single deterministic mid-interval imputation of the interval-censored event time per replicate rather than the 20-fold MI pipeline applied to the primary report; the apparent HR from this single-imputation fit (12.1) is therefore slightly lower than the Rubin-pooled primary (13.3, 6.8–26.0). For each replicate we fit the Cox-TVC model on the bootstrap sample (boot), then evaluated its linear predictor on the original 155-patient sample (test); optimism is the mean boot–test gap.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00"/>
        <w:gridCol w:w="1800"/>
        <w:gridCol w:w="1800"/>
        <w:gridCol w:w="1799"/>
      </w:tblGrid>
      <w:tr>
        <w:trPr>
          <w:tblHeader w:val="true"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Apparent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Optimism (mean)</w:t>
            </w:r>
          </w:p>
        </w:tc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D5E8F0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/>
                <w:bCs/>
                <w:color w:val="222222"/>
                <w:sz w:val="18"/>
                <w:szCs w:val="18"/>
              </w:rPr>
              <w:t>Corrected</w:t>
            </w:r>
          </w:p>
        </w:tc>
      </w:tr>
      <w:tr>
        <w:trPr/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Harrell C (discrimination)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0.847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0.018</w:t>
            </w:r>
          </w:p>
        </w:tc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0.83</w:t>
            </w:r>
          </w:p>
        </w:tc>
      </w:tr>
      <w:tr>
        <w:trPr/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CE log-hazard ratio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2.49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+0.35</w:t>
            </w:r>
          </w:p>
        </w:tc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7FAFC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2.14</w:t>
            </w:r>
          </w:p>
        </w:tc>
      </w:tr>
      <w:tr>
        <w:trPr/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CE hazard ratio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12.1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7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FFFFF" w:val="clear"/>
          </w:tcPr>
          <w:p>
            <w:pPr>
              <w:pStyle w:val="Normal"/>
              <w:spacing w:lineRule="exact" w:line="260" w:before="40" w:after="4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18"/>
                <w:szCs w:val="18"/>
              </w:rPr>
              <w:t>8.5 (bootstrap 95% CI 7.7–57)</w:t>
            </w:r>
          </w:p>
        </w:tc>
      </w:tr>
    </w:tbl>
    <w:p>
      <w:pPr>
        <w:pStyle w:val="Normal"/>
        <w:spacing w:lineRule="exact" w:line="320" w:before="60" w:after="120"/>
        <w:jc w:val="both"/>
        <w:rPr/>
      </w:pPr>
      <w:r>
        <w:rPr>
          <w:rFonts w:eastAsia="Arial" w:cs="Arial"/>
          <w:sz w:val="22"/>
          <w:szCs w:val="22"/>
        </w:rPr>
        <w:t>The optimism on discrimination is modest (ΔC ≈ 0.02), consistent with a well-calibrated Cox model. The bootstrap coefficient distribution is right-skewed because a minority of resamples draw many CE = Y patients and drive large log-HRs; the bias-corrected point estimate shrinks the apparent HR from 12.1 to 8.5, and the bootstrap 95% percentile interval (7.7–57) is wider than but consistent with the Rubin-pooled primary CI. Internal validation is not a substitute for external validation in an independent cohort, which remains the pre-registered next step.</w:t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A5F"/>
          <w:sz w:val="28"/>
          <w:szCs w:val="28"/>
        </w:rPr>
        <w:t>S4.  Analytic-design overview</w:t>
      </w:r>
    </w:p>
    <w:p>
      <w:pPr>
        <w:pStyle w:val="Normal"/>
        <w:spacing w:before="200" w:after="60"/>
        <w:jc w:val="center"/>
        <w:rPr/>
      </w:pPr>
      <w:r>
        <w:rPr/>
        <w:drawing>
          <wp:inline distT="0" distB="0" distL="0" distR="0">
            <wp:extent cx="5943600" cy="3586458"/>
            <wp:effectExtent l="0" t="0" r="0" b="0"/>
            <wp:docPr id="2" name="fig5_analytic_flow.png" descr="fig5_analytic_flow.png&#10;Analytic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5_analytic_flow.png" descr="fig5_analytic_flow.png&#10;Analytic flow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80" w:before="80" w:after="260"/>
        <w:jc w:val="both"/>
        <w:rPr/>
      </w:pPr>
      <w:r>
        <w:rPr>
          <w:rFonts w:eastAsia="Arial" w:cs="Arial"/>
          <w:b/>
          <w:bCs/>
          <w:color w:val="1F3A5F"/>
          <w:sz w:val="19"/>
          <w:szCs w:val="19"/>
        </w:rPr>
        <w:t>Supplementary Figure S2  |  Four complementary survival models applied to the same interval-censored cohort address different structural features of the data (interval-censored event time, competing risk of non-MT death, time-varying treatment exposures); their agreement is the study's central robustness argument.  Primary: interval-censored Bayesian Weibull model with a horseshoe prior on all 102 population-level coefficients (par_ratio = 0.1, scale_slab = 2, df_slab = 4). Hazard ratios are computed draw-by-draw from the joint AFT posterior. Secondary: Fine-Gray subdistribution-hazards model treating MT as the primary event and non-MT death as competing, with a pre-specified two-feature radiomic signature evaluated without shrinkage. Secondary: Cox counting-process time-varying-covariate model with 20-fold multiple imputation of the interval-censored event time, pooled across imputations by Rubin’s rules. Secondary: Fine-Gray fit with native interval-censored sieve maximum likelihood and B-spline approximation of the cumulative incidence functions (intccr; Park &amp; Bakoyannis 2021), integrating the subdistribution-hazards likelihood directly over the bracket [L, R] rather than relying on a midpoint or imputation plug-in. Pre-specified methodology sensitivities — horseshoe par_ratio grid {0.05, 0.10, 0.20}, adult-only restriction, era split at diagnosis year 2010 — are run on the primary model.</w:t>
      </w: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66666"/>
        <w:sz w:val="18"/>
        <w:szCs w:val="18"/>
      </w:rPr>
      <w:t>S-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66666"/>
        <w:sz w:val="18"/>
        <w:szCs w:val="18"/>
      </w:rPr>
      <w:t>S-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666666"/>
        <w:sz w:val="18"/>
        <w:szCs w:val="18"/>
      </w:rPr>
      <w:t>Bayesian MT risk in LGG  —  Supplement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666666"/>
        <w:sz w:val="18"/>
        <w:szCs w:val="18"/>
      </w:rPr>
      <w:t>Bayesian MT risk in LGG  —  Supplement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F3A5F"/>
      <w:sz w:val="28"/>
      <w:szCs w:val="28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1F3A5F"/>
      <w:sz w:val="24"/>
      <w:szCs w:val="24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i/>
      <w:iCs/>
      <w:color w:val="333333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704</Words>
  <Characters>4365</Characters>
  <CharactersWithSpaces>5007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2026-05-27T20:24:04Z</dcterms:created>
  <dc:creator>Manuscript pipeline</dc:creator>
  <dc:description>Supplementary methods, tables, and figures</dc:description>
  <dc:language>en-US</dc:language>
  <cp:lastModifiedBy/>
  <dcterms:modified xsi:type="dcterms:W3CDTF">2026-05-30T13:25:10Z</dcterms:modified>
  <cp:revision>2</cp:revision>
  <dc:subject/>
  <dc:title>Supplementary Materials — JNO</dc:title>
</cp:coreProperties>
</file>