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5A6273"/>
          <w:sz w:val="18"/>
        </w:rPr>
        <w:t>Malignant-transformation risk in lower-grade glioma: an IDH-stratified Bayesian interval-censored analysis</w:t>
      </w:r>
    </w:p>
    <w:p>
      <w:r>
        <w:rPr>
          <w:rFonts w:ascii="Arial" w:hAnsi="Arial"/>
          <w:b/>
          <w:color w:val="1F3A5F"/>
          <w:sz w:val="24"/>
        </w:rPr>
        <w:t>Supplementary Table S6.  Documented molecular markers across the cohort with implications for a hypothetical WHO 2021 reclassification, and robustness of the headline IDH-mutant CE finding.</w:t>
      </w:r>
    </w:p>
    <w:p>
      <w:pPr>
        <w:spacing w:before="280" w:after="80"/>
      </w:pPr>
      <w:r>
        <w:rPr>
          <w:rFonts w:ascii="Arial" w:hAnsi="Arial"/>
          <w:b/>
          <w:color w:val="1F3A5F"/>
          <w:sz w:val="24"/>
        </w:rPr>
        <w:t>S6a.  Molecular-marker distribution and event rates</w:t>
      </w:r>
    </w:p>
    <w:p>
      <w:pPr>
        <w:jc w:val="both"/>
      </w:pPr>
      <w:r>
        <w:rPr>
          <w:rFonts w:ascii="Arial" w:hAnsi="Arial"/>
        </w:rPr>
        <w:t>Counts of IDH × TERT-promoter and IDH × CDKN2A/B status across the 155-patient cohort. Event counts (n with documented malignant transformation) are shown in parentheses. WHO 2021-reclassifying status is highlighted in the right-most column.</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tcPr>
          <w:p>
            <w:r>
              <w:t>IDH status</w:t>
            </w:r>
          </w:p>
        </w:tc>
        <w:tc>
          <w:tcPr>
            <w:tcW w:type="dxa" w:w="1806"/>
          </w:tcPr>
          <w:p>
            <w:r>
              <w:t>Marker</w:t>
            </w:r>
          </w:p>
        </w:tc>
        <w:tc>
          <w:tcPr>
            <w:tcW w:type="dxa" w:w="1806"/>
          </w:tcPr>
          <w:p>
            <w:r>
              <w:t>Marker value</w:t>
            </w:r>
          </w:p>
        </w:tc>
        <w:tc>
          <w:tcPr>
            <w:tcW w:type="dxa" w:w="1806"/>
          </w:tcPr>
          <w:p>
            <w:r>
              <w:t>n (events)</w:t>
            </w:r>
          </w:p>
        </w:tc>
        <w:tc>
          <w:tcPr>
            <w:tcW w:type="dxa" w:w="1806"/>
          </w:tcPr>
          <w:p>
            <w:r>
              <w:t>Under WHO 2021</w:t>
            </w:r>
          </w:p>
        </w:tc>
      </w:tr>
      <w:tr>
        <w:tc>
          <w:tcPr>
            <w:tcW w:type="dxa" w:w="1806"/>
          </w:tcPr>
          <w:p>
            <w:r>
              <w:t>IDH-mutant (n = 109)</w:t>
            </w:r>
          </w:p>
        </w:tc>
        <w:tc>
          <w:tcPr>
            <w:tcW w:type="dxa" w:w="1806"/>
          </w:tcPr>
          <w:p>
            <w:r>
              <w:t>CDKN2A/B</w:t>
            </w:r>
          </w:p>
        </w:tc>
        <w:tc>
          <w:tcPr>
            <w:tcW w:type="dxa" w:w="1806"/>
          </w:tcPr>
          <w:p>
            <w:r>
              <w:t>Yes (altered)</w:t>
            </w:r>
          </w:p>
        </w:tc>
        <w:tc>
          <w:tcPr>
            <w:tcW w:type="dxa" w:w="1806"/>
          </w:tcPr>
          <w:p>
            <w:r>
              <w:t>2 (2)</w:t>
            </w:r>
          </w:p>
        </w:tc>
        <w:tc>
          <w:tcPr>
            <w:tcW w:type="dxa" w:w="1806"/>
          </w:tcPr>
          <w:p>
            <w:r>
              <w:t>→ grade 4 astrocytoma</w:t>
            </w:r>
          </w:p>
        </w:tc>
      </w:tr>
      <w:tr>
        <w:tc>
          <w:tcPr>
            <w:tcW w:type="dxa" w:w="1806"/>
          </w:tcPr>
          <w:p>
            <w:r/>
          </w:p>
        </w:tc>
        <w:tc>
          <w:tcPr>
            <w:tcW w:type="dxa" w:w="1806"/>
          </w:tcPr>
          <w:p>
            <w:r/>
          </w:p>
        </w:tc>
        <w:tc>
          <w:tcPr>
            <w:tcW w:type="dxa" w:w="1806"/>
          </w:tcPr>
          <w:p>
            <w:r>
              <w:t>No</w:t>
            </w:r>
          </w:p>
        </w:tc>
        <w:tc>
          <w:tcPr>
            <w:tcW w:type="dxa" w:w="1806"/>
          </w:tcPr>
          <w:p>
            <w:r>
              <w:t>58 (30)</w:t>
            </w:r>
          </w:p>
        </w:tc>
        <w:tc>
          <w:tcPr>
            <w:tcW w:type="dxa" w:w="1806"/>
          </w:tcPr>
          <w:p>
            <w:r>
              <w:t>remains grade 2/3</w:t>
            </w:r>
          </w:p>
        </w:tc>
      </w:tr>
      <w:tr>
        <w:tc>
          <w:tcPr>
            <w:tcW w:type="dxa" w:w="1806"/>
          </w:tcPr>
          <w:p>
            <w:r/>
          </w:p>
        </w:tc>
        <w:tc>
          <w:tcPr>
            <w:tcW w:type="dxa" w:w="1806"/>
          </w:tcPr>
          <w:p>
            <w:r/>
          </w:p>
        </w:tc>
        <w:tc>
          <w:tcPr>
            <w:tcW w:type="dxa" w:w="1806"/>
          </w:tcPr>
          <w:p>
            <w:r>
              <w:t>Not tested</w:t>
            </w:r>
          </w:p>
        </w:tc>
        <w:tc>
          <w:tcPr>
            <w:tcW w:type="dxa" w:w="1806"/>
          </w:tcPr>
          <w:p>
            <w:r>
              <w:t>49 (16)</w:t>
            </w:r>
          </w:p>
        </w:tc>
        <w:tc>
          <w:tcPr>
            <w:tcW w:type="dxa" w:w="1806"/>
          </w:tcPr>
          <w:p>
            <w:r>
              <w:t>status indeterminate</w:t>
            </w:r>
          </w:p>
        </w:tc>
      </w:tr>
      <w:tr>
        <w:tc>
          <w:tcPr>
            <w:tcW w:type="dxa" w:w="1806"/>
          </w:tcPr>
          <w:p>
            <w:r>
              <w:t>IDH-wildtype (n = 42)</w:t>
            </w:r>
          </w:p>
        </w:tc>
        <w:tc>
          <w:tcPr>
            <w:tcW w:type="dxa" w:w="1806"/>
          </w:tcPr>
          <w:p>
            <w:r>
              <w:t>TERT promoter</w:t>
            </w:r>
          </w:p>
        </w:tc>
        <w:tc>
          <w:tcPr>
            <w:tcW w:type="dxa" w:w="1806"/>
          </w:tcPr>
          <w:p>
            <w:r>
              <w:t>Mutated</w:t>
            </w:r>
          </w:p>
        </w:tc>
        <w:tc>
          <w:tcPr>
            <w:tcW w:type="dxa" w:w="1806"/>
          </w:tcPr>
          <w:p>
            <w:r>
              <w:t>19 (13)</w:t>
            </w:r>
          </w:p>
        </w:tc>
        <w:tc>
          <w:tcPr>
            <w:tcW w:type="dxa" w:w="1806"/>
          </w:tcPr>
          <w:p>
            <w:r>
              <w:t>→ glioblastoma</w:t>
            </w:r>
          </w:p>
        </w:tc>
      </w:tr>
      <w:tr>
        <w:tc>
          <w:tcPr>
            <w:tcW w:type="dxa" w:w="1806"/>
          </w:tcPr>
          <w:p>
            <w:r/>
          </w:p>
        </w:tc>
        <w:tc>
          <w:tcPr>
            <w:tcW w:type="dxa" w:w="1806"/>
          </w:tcPr>
          <w:p>
            <w:r/>
          </w:p>
        </w:tc>
        <w:tc>
          <w:tcPr>
            <w:tcW w:type="dxa" w:w="1806"/>
          </w:tcPr>
          <w:p>
            <w:r>
              <w:t>Wildtype / unclear</w:t>
            </w:r>
          </w:p>
        </w:tc>
        <w:tc>
          <w:tcPr>
            <w:tcW w:type="dxa" w:w="1806"/>
          </w:tcPr>
          <w:p>
            <w:r>
              <w:t>1 (1)</w:t>
            </w:r>
          </w:p>
        </w:tc>
        <w:tc>
          <w:tcPr>
            <w:tcW w:type="dxa" w:w="1806"/>
          </w:tcPr>
          <w:p>
            <w:r>
              <w:t>remains LGG (per TERT)</w:t>
            </w:r>
          </w:p>
        </w:tc>
      </w:tr>
      <w:tr>
        <w:tc>
          <w:tcPr>
            <w:tcW w:type="dxa" w:w="1806"/>
          </w:tcPr>
          <w:p>
            <w:r/>
          </w:p>
        </w:tc>
        <w:tc>
          <w:tcPr>
            <w:tcW w:type="dxa" w:w="1806"/>
          </w:tcPr>
          <w:p>
            <w:r/>
          </w:p>
        </w:tc>
        <w:tc>
          <w:tcPr>
            <w:tcW w:type="dxa" w:w="1806"/>
          </w:tcPr>
          <w:p>
            <w:r>
              <w:t>Not tested</w:t>
            </w:r>
          </w:p>
        </w:tc>
        <w:tc>
          <w:tcPr>
            <w:tcW w:type="dxa" w:w="1806"/>
          </w:tcPr>
          <w:p>
            <w:r>
              <w:t>22 (12)</w:t>
            </w:r>
          </w:p>
        </w:tc>
        <w:tc>
          <w:tcPr>
            <w:tcW w:type="dxa" w:w="1806"/>
          </w:tcPr>
          <w:p>
            <w:r>
              <w:t>status indeterminate</w:t>
            </w:r>
          </w:p>
        </w:tc>
      </w:tr>
      <w:tr>
        <w:tc>
          <w:tcPr>
            <w:tcW w:type="dxa" w:w="1806"/>
          </w:tcPr>
          <w:p>
            <w:r>
              <w:t>IDH-indeterminate (n = 4)</w:t>
            </w:r>
          </w:p>
        </w:tc>
        <w:tc>
          <w:tcPr>
            <w:tcW w:type="dxa" w:w="1806"/>
          </w:tcPr>
          <w:p>
            <w:r>
              <w:t>—</w:t>
            </w:r>
          </w:p>
        </w:tc>
        <w:tc>
          <w:tcPr>
            <w:tcW w:type="dxa" w:w="1806"/>
          </w:tcPr>
          <w:p>
            <w:r>
              <w:t>Excluded from IDH-subgroup fits</w:t>
            </w:r>
          </w:p>
        </w:tc>
        <w:tc>
          <w:tcPr>
            <w:tcW w:type="dxa" w:w="1806"/>
          </w:tcPr>
          <w:p>
            <w:r>
              <w:t>4 (—)</w:t>
            </w:r>
          </w:p>
        </w:tc>
        <w:tc>
          <w:tcPr>
            <w:tcW w:type="dxa" w:w="1806"/>
          </w:tcPr>
          <w:p>
            <w:r>
              <w:t>—</w:t>
            </w:r>
          </w:p>
        </w:tc>
      </w:tr>
    </w:tbl>
    <w:p>
      <w:pPr>
        <w:jc w:val="both"/>
      </w:pPr>
      <w:r>
        <w:rPr>
          <w:rFonts w:ascii="Arial" w:hAnsi="Arial"/>
        </w:rPr>
        <w:t>Counts in the 'Marker value' rows sum to the IDH-stratum total. Of the 42 IDH-wildtype patients, 19 (45 %) carried documented TERT-promoter mutations sufficient on their own — in IDH-wildtype tumours with low-grade morphology — to support WHO 2021 reclassification to glioblastoma; a further 22 had no TERT-promoter testing on record, leaving the actual WHO 2021 reclassification rate of the IDH-wildtype subgroup at ≥ 45 %. Among the 109 IDH-mutant patients, only 2 (1.8 %) had documented CDKN2A/B alterations triggering WHO 2021 grade-4 reassignment.</w:t>
      </w:r>
    </w:p>
    <w:p/>
    <w:p>
      <w:pPr>
        <w:spacing w:before="280" w:after="80"/>
      </w:pPr>
      <w:r>
        <w:rPr>
          <w:rFonts w:ascii="Arial" w:hAnsi="Arial"/>
          <w:b/>
          <w:color w:val="1F3A5F"/>
          <w:sz w:val="24"/>
        </w:rPr>
        <w:t>S6b.  Robustness of the IDH-mutant CE finding to WHO 2021 reclassification</w:t>
      </w:r>
    </w:p>
    <w:p>
      <w:pPr>
        <w:jc w:val="both"/>
      </w:pPr>
      <w:r>
        <w:rPr>
          <w:rFonts w:ascii="Arial" w:hAnsi="Arial"/>
        </w:rPr>
        <w:t>2 × 2 distribution of contrast enhancement at diagnosis against MT in the IDH-mutant subgroup, before and after exclusion of the 2 CDKN2A/B-altered patients (a hypothetical WHO 2021 reclassification). The CE-positive, IDH-mutant stratum is essentially unchanged; every CE-positive patient underwent MT in both versions.</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Specification</w:t>
            </w:r>
          </w:p>
        </w:tc>
        <w:tc>
          <w:tcPr>
            <w:tcW w:type="dxa" w:w="2257"/>
          </w:tcPr>
          <w:p>
            <w:r>
              <w:t>CE status</w:t>
            </w:r>
          </w:p>
        </w:tc>
        <w:tc>
          <w:tcPr>
            <w:tcW w:type="dxa" w:w="2257"/>
          </w:tcPr>
          <w:p>
            <w:r>
              <w:t>MT</w:t>
            </w:r>
          </w:p>
        </w:tc>
        <w:tc>
          <w:tcPr>
            <w:tcW w:type="dxa" w:w="2257"/>
          </w:tcPr>
          <w:p>
            <w:r>
              <w:t>no MT</w:t>
            </w:r>
          </w:p>
        </w:tc>
      </w:tr>
      <w:tr>
        <w:tc>
          <w:tcPr>
            <w:tcW w:type="dxa" w:w="2257"/>
          </w:tcPr>
          <w:p>
            <w:r>
              <w:t>Primary cohort (n = 109)</w:t>
            </w:r>
          </w:p>
        </w:tc>
        <w:tc>
          <w:tcPr>
            <w:tcW w:type="dxa" w:w="2257"/>
          </w:tcPr>
          <w:p>
            <w:r>
              <w:t>CE-positive</w:t>
            </w:r>
          </w:p>
        </w:tc>
        <w:tc>
          <w:tcPr>
            <w:tcW w:type="dxa" w:w="2257"/>
          </w:tcPr>
          <w:p>
            <w:r>
              <w:t>22</w:t>
            </w:r>
          </w:p>
        </w:tc>
        <w:tc>
          <w:tcPr>
            <w:tcW w:type="dxa" w:w="2257"/>
          </w:tcPr>
          <w:p>
            <w:r>
              <w:t>0</w:t>
            </w:r>
          </w:p>
        </w:tc>
      </w:tr>
      <w:tr>
        <w:tc>
          <w:tcPr>
            <w:tcW w:type="dxa" w:w="2257"/>
          </w:tcPr>
          <w:p>
            <w:r/>
          </w:p>
        </w:tc>
        <w:tc>
          <w:tcPr>
            <w:tcW w:type="dxa" w:w="2257"/>
          </w:tcPr>
          <w:p>
            <w:r>
              <w:t>CE-negative</w:t>
            </w:r>
          </w:p>
        </w:tc>
        <w:tc>
          <w:tcPr>
            <w:tcW w:type="dxa" w:w="2257"/>
          </w:tcPr>
          <w:p>
            <w:r>
              <w:t>26</w:t>
            </w:r>
          </w:p>
        </w:tc>
        <w:tc>
          <w:tcPr>
            <w:tcW w:type="dxa" w:w="2257"/>
          </w:tcPr>
          <w:p>
            <w:r>
              <w:t>61</w:t>
            </w:r>
          </w:p>
        </w:tc>
      </w:tr>
      <w:tr>
        <w:tc>
          <w:tcPr>
            <w:tcW w:type="dxa" w:w="2257"/>
          </w:tcPr>
          <w:p>
            <w:r>
              <w:t>Hypothetical WHO 2021 (n = 107; excludes CDKN2A/B-altered)</w:t>
            </w:r>
          </w:p>
        </w:tc>
        <w:tc>
          <w:tcPr>
            <w:tcW w:type="dxa" w:w="2257"/>
          </w:tcPr>
          <w:p>
            <w:r>
              <w:t>CE-positive</w:t>
            </w:r>
          </w:p>
        </w:tc>
        <w:tc>
          <w:tcPr>
            <w:tcW w:type="dxa" w:w="2257"/>
          </w:tcPr>
          <w:p>
            <w:r>
              <w:t>21</w:t>
            </w:r>
          </w:p>
        </w:tc>
        <w:tc>
          <w:tcPr>
            <w:tcW w:type="dxa" w:w="2257"/>
          </w:tcPr>
          <w:p>
            <w:r>
              <w:t>0</w:t>
            </w:r>
          </w:p>
        </w:tc>
      </w:tr>
      <w:tr>
        <w:tc>
          <w:tcPr>
            <w:tcW w:type="dxa" w:w="2257"/>
          </w:tcPr>
          <w:p>
            <w:r/>
          </w:p>
        </w:tc>
        <w:tc>
          <w:tcPr>
            <w:tcW w:type="dxa" w:w="2257"/>
          </w:tcPr>
          <w:p>
            <w:r>
              <w:t>CE-negative</w:t>
            </w:r>
          </w:p>
        </w:tc>
        <w:tc>
          <w:tcPr>
            <w:tcW w:type="dxa" w:w="2257"/>
          </w:tcPr>
          <w:p>
            <w:r>
              <w:t>25</w:t>
            </w:r>
          </w:p>
        </w:tc>
        <w:tc>
          <w:tcPr>
            <w:tcW w:type="dxa" w:w="2257"/>
          </w:tcPr>
          <w:p>
            <w:r>
              <w:t>61</w:t>
            </w:r>
          </w:p>
        </w:tc>
      </w:tr>
    </w:tbl>
    <w:p>
      <w:pPr>
        <w:jc w:val="both"/>
      </w:pPr>
      <w:r>
        <w:rPr>
          <w:rFonts w:ascii="Arial" w:hAnsi="Arial"/>
        </w:rPr>
        <w:t>The MT rate among IDH-mutant CE-positive patients is 100 % under either specification. The headline IDH-mutant Bayesian HR 92.2 (95 % CrI 26.9–416) is therefore not driven by WHO 2021 reclassifying molecular alterations.</w:t>
      </w:r>
    </w:p>
    <w:p/>
    <w:p>
      <w:pPr>
        <w:spacing w:before="280" w:after="80"/>
      </w:pPr>
      <w:r>
        <w:rPr>
          <w:rFonts w:ascii="Arial" w:hAnsi="Arial"/>
          <w:b/>
          <w:color w:val="1F3A5F"/>
          <w:sz w:val="24"/>
        </w:rPr>
        <w:t>Note on the IDH-wildtype subgroup</w:t>
      </w:r>
    </w:p>
    <w:p>
      <w:pPr>
        <w:jc w:val="both"/>
      </w:pPr>
      <w:r>
        <w:rPr>
          <w:rFonts w:ascii="Arial" w:hAnsi="Arial"/>
        </w:rPr>
        <w:t>Within the 42-patient IDH-wildtype stratum, contrast enhancement at diagnosis predicts transformation regardless of TERT-promoter status. Among the 19 TERT-mutated patients, all 4 CE-positive patients underwent MT (4/4); among the 22 TERT-untested patients, all 6 CE-positive patients underwent MT (6/6). The wide credible interval of the IDH-wildtype CE estimate (Bayesian HR 10.2, 95 % CrI 0.99–168) is therefore an uncertainty driven by sample size and stratum heterogeneity, not by absence of a CE signal in the data. We retain these patients in the primary analysis because the radiological and histopathological natural history of phenotypically low-grade, molecularly aggressive tumours under conservative management had not been systematically described in the LGG era and is no longer observable in contemporary practice, which reclassifies and treats such tumours as glioblastoma at diagnosis. A complete WHO 2021 reclassification of the cohort is not feasible from the available clinical-database fields (chromosome +7/–10 status and EGFR amplification testing are not on record); the ≥ 45 % TERT-mutated fraction is a lower bound.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