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Supplementary File S7 — STROBE Checklist (Cohort Studies)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Malignant-transformation risk in lower-grade glioma: an IDH-stratified Bayesian interval-censored analysis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Completed STROBE 22-item checklist (von Elm et al.,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PLoS Medicine</w:t>
      </w:r>
      <w:r>
        <w:rPr>
          <w:rFonts w:ascii="Arial" w:cs="Arial" w:eastAsia="Arial" w:hAnsi="Arial"/>
          <w:sz w:val="22"/>
          <w:szCs w:val="22"/>
        </w:rPr>
        <w:t xml:space="preserve"> 2007; cohort version) for the present manuscript. Each row identifies the section in which the recommendation is addressed; cross-references are by heading rather than by page because typesetting will renumber pages. Items marked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Not applicable</w:t>
      </w:r>
      <w:r>
        <w:rPr>
          <w:rFonts w:ascii="Arial" w:cs="Arial" w:eastAsia="Arial" w:hAnsi="Arial"/>
          <w:sz w:val="22"/>
          <w:szCs w:val="22"/>
        </w:rPr>
        <w:t xml:space="preserve"> are explicitly justified.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5400"/>
        <w:gridCol w:w="450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in manuscript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Title and abstract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Indicate the study's design with a commonly used term in the title or the abstract.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Title: “Malignant-transformation risk in lower-grade glioma: an IDH-stratified Bayesian interval-censored analysis” — “interval-censored” and “Bayesian … analysis” signal an observational cohort analysis. Abstract ¶ Methods names the design (single-institution cohort of patients with adult-type diffuse LGG).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Title and abstract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Provide in the abstract an informative and balanced summary of what was done and what was found.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Structured Abstract — Purpose / Methods / Results / Conclusions, fully populated.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Introduction — Background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Explain the scientific background and rationale for the investigation being reported.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Introduction, paragraph 1 (LGG biology, MT as inflection point, Figure 1 motivation).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Introduction — Objectives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State specific objectives, including any prespecified hypotheses.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Introduction, paragraph 2 (“three methodological gaps” and the prespecified two-feature signature).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Study design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Present key elements of study design early in the paper.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“Cohort and endpoint” paragraph 1 (single-institution retrospective cohort, interval-censored MT endpoint).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Setting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Describe setting, locations, and relevant dates including periods of recruitment, exposure, follow-up, and data collection.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“Cohort and endpoint” (institution, era split at 2010 documented; follow-up window described in Results → Cohort).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Participants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Cohort: give the eligibility criteria, and the sources and methods of selection of participants. Describe methods of follow-up.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“Cohort and endpoint” (histologically confirmed adult-type diffuse glioma of WHO grade 2 or 3, pre-operative multiparametric MRI, longitudinal follow-up); Methods → “Interval censoring and radiomics” (follow-up imaging cadence).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Participants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Cohort: matching — give matching criteria and number of exposed and unexposed.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 applicable. The analysis is a single-cohort prognostic-model study; no matched-pair design.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Variables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Clearly define all outcomes, exposures, predictors, potential confounders, and effect modifiers. Give diagnostic criteria, if applicable.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“Cohort and endpoint” (MT histological/radiological criteria, competing event); Methods → “Interval censoring and radiomics” (radiomic predictors); Methods → “Primary Bayesian analysis” (clinical predictors). Supplement S1.1 expands the [L, R] encoding.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Data sources / measurement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 each variable of interest, give sources of data and details of methods of assessment (measurement). Describe comparability of assessment methods if there is more than one group.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“Interval censoring and radiomics” (FLAIR / T1c segmentation by board-certified neuroradiologist with second-reader review, ICC ≥ 0.75 retention threshold, PyRadiomics v3.0.1, intensity normalisation, 1-mm isotropic resampling).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Bias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Describe any efforts to address potential sources of bias.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“Interval censoring and radiomics” (interval censoring rather than midpoint imputation); Methods → “Secondary analyses and sensitivities” (Fine-Gray competing risk for non-MT death; pre-specified prior-width and era sensitivities). Discussion → Limitations addresses observational bias and indication-confounding.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Study size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Explain how the study size was arrived at.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“Cohort and endpoint” (consecutive eligible patients from the institution’s LGG registry; 155 met inclusion). Sample size set by the registry rather than a power calculation; events-per-variable rationale acknowledged in Limitations (EPV ≈ 0.8 for the 99-feature panel — the explicit motivation for horseshoe shrinkage).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Quantitative variables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Explain how quantitative variables were handled in the analyses. If applicable, describe which groupings were chosen and why.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“Primary Bayesian analysis” (age centred at 45, volume centred; CE binary; EOR three-level factor); Methods → “Interval censoring and radiomics” (radiomic features z-scored).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Statistical methods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Describe all statistical methods, including those used to control for confounding.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“Primary Bayesian analysis” (interval-censored Weibull AFT in brms, regularized horseshoe prior, par_ratio = 0.10); Methods → “Secondary analyses and sensitivities” (Fine-Gray and Cox-TVC); Supplement S1.2–S1.4 give full specifications.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Statistical methods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Describe any methods used to examine subgroups and interactions.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>Methods → “Secondary analyses and sensitivities” (IDH-mutant subgroup refit pre-specified). Results → Fig. 2 and Table 1 report IDH-mutant amplification.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12c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Statistical methods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Explain how missing data were addressed.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“Cohort and endpoint” (4/155 IDH-indeterminate cases excluded from IDH-subgroup fits only). Cox-TVC: 20-fold multiple imputation of the interval-censored event time pooled via Rubin’s rules (Methods → Secondary analyses; Supplement S1.4).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Statistical methods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Cohort: if applicable, explain how loss to follow-up was addressed.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“Interval censoring and radiomics” (non-transformers right-censored at last imaging follow-up). Figure 1b shows each non-transformer’s follow-up length; no patients lost to follow-up before any imaging.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Methods — Statistical methods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Describe any sensitivity analyses.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Methods → “Secondary analyses and sensitivities” and Supplement S2 (par_ratio grid 0.05/0.10/0.20; adult-only ≥18 yr; era split ≥2010); Supplement S1.5 (binary GTR-vs-non-GTR EOR sensitivity); Results → “Internal validation: bootstrap optimism” and Supplement Table S5 (Harrell bootstrap-optimism correction).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13a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Participants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 the numbers of individuals at each stage of the study — e.g., numbers potentially eligible, examined for eligibility, confirmed eligible, included in the study, completing follow-up, and analysed.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Results → “Cohort” (n = 155 included; 77 MT; 6 non-MT deaths; 72 right-censored). Figure 1a/1b shows individual trajectories for all 155.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13b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Participants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Give reasons for non-participation at each stage.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 applicable — retrospective registry-based ascertainment with no patient-level non-participation step.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13c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Participants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Consider use of a flow diagram.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Figure 1 (full-cohort swimmer plot) functions as the participant-flow figure: every one of the 155 patients is rendered on a single bar, with case stratum (MT-pre-surgery / MT-post-surgery / no MT) discernible by panel and surgery marker. Supplementary Figure S2 gives the analytic-design overview with the 155 → 77 / 6 / 72 split.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14a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Descriptive data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Give characteristics of study participants (e.g. demographic, clinical, social) and information on exposures and potential confounders.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Results → “Cohort” (age range 0.7–77 yr, median 42.9; CE prevalence 34/155; IDH mutation status 109 mut / 42 wt / 4 indeterminate; EOR distribution; follow-up summary). Methods → “Cohort and endpoint” adds the age-distribution detail (149 ≥18 yr, 6 paediatric age) and notes that all 155 tumours met WHO 2021 adult-type histomolecular criteria.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14b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Descriptive data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Indicate number of participants with missing data for each variable of interest.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Results → “Cohort” (4 IDH-indeterminate; CDKN2A/B partially missing — not used in primary analysis). MT-event time uncertainty handled by interval censoring rather than missing-data imputation.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14c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Descriptive data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Cohort: summarise follow-up time (e.g., average and total amount).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Results → “Cohort” and Figure 1b (non-transformer follow-up: range 0.07–16.9 yr, median 4.8 yr; transformer time-to-detection: median 1.5 yr, max 20.6 yr).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Outcome data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Cohort: report numbers of outcome events or summary measures over time.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Results → “Cohort” (77 MT events / 6 non-MT deaths). Cumulative-incidence concordance with CE strata reported in Supplement S1.3 (Gray’s test, p &lt; 0.0001 for MT).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16a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Main results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Give unadjusted estimates and, if applicable, confounder-adjusted estimates and their precision (e.g. 95% CI). Make clear which confounders were adjusted for and why they were included.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Table 1 (Bayesian primary, full multivariable adjustment); Table 2 (Cox-TVC EOR, multivariable); Supplement Table S1 (Fine-Gray multivariable); Supplement Table S2 (full Cox-TVC). All clinical covariates pre-specified — see Methods → “Primary Bayesian analysis.”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16b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Main results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 category boundaries when continuous variables were categorised.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Continuous covariates (age, volume, radiomic features) entered as continuous; CE was categorical (Y/N) at imaging review by definition; EOR three-level (GTR, STR, Biopsy) per surgical report. No categorisation of continuous variables.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16c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Main results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If relevant, consider translating estimates of relative risk into absolute risk for a meaningful time period.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 applicable — the study reports model-based hazard ratios for prognostic stratification rather than absolute incidence projections; cumulative incidence by CE stratum is summarised by Gray’s test (Supplement S1.3).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Results — Other analyses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 other analyses done — e.g., analyses of subgroups and interactions, and sensitivity analyses.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>IDH-mutant subgroup refit reported in Results → Table 1 and Fig. 2; pre-specified sensitivities in Supplement S2 (Table S3); binary EOR sensitivity in Supplement S1.5; Harrell bootstrap-optimism in Results → “Internal validation: bootstrap optimism” and Supplement Table S5.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Discussion — Key results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Summarise key results with reference to study objectives.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Discussion paragraph 1 (CE dominant, GTR protective, no individual radiomic credible under horseshoe, IDH-mutant amplification).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Discussion — Limitations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Discuss limitations of the study, taking into account sources of potential bias or imprecision. Discuss both direction and magnitude of any potential bias.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Discussion → Limitations (single-institution retrospective design, no external/temporal validation, scanner heterogeneity without ComBat harmonisation, low EPV motivating horseshoe, small IDH-wildtype subgroup, modest discrimination optimism on bootstrap).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Discussion — Interpretation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Give a cautious overall interpretation considering objectives, limitations, multiplicity of analyses, results from similar studies, and other relevant evidence.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>Discussion → “Model agreement and the interval-censoring argument” and “Clinical implications for individualised LGG management” explicitly frame conclusions as “associated with” rather than causal, and place findings against published Cox-based LGG-MT estimates.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Discussion — Generalisability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Discuss the generalisability (external validity) of the study results.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Discussion → Limitations explicitly notes that external multicentre validation is the next step; the historical watch-and-wait era is acknowledged in Introduction paragraph 1 as a deliberately preserved biological dynamic range.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Other information — Funding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Give the source of funding and the role of the funders for the present study and, if applicable, for the original study on which the present article is based.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Declarations → Funding statement (manuscript end).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File S6 — STROBE Checklist (Cohort Studies)</dc:title>
  <dc:creator>JNO submission</dc:creator>
  <cp:lastModifiedBy>Un-named</cp:lastModifiedBy>
  <cp:revision>1</cp:revision>
  <dcterms:created xsi:type="dcterms:W3CDTF">2026-04-25T10:06:26.893Z</dcterms:created>
  <dcterms:modified xsi:type="dcterms:W3CDTF">2026-04-25T10:06:26.893Z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