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A5F"/>
          <w:sz w:val="32"/>
          <w:szCs w:val="32"/>
        </w:rPr>
        <w:t xml:space="preserve">Supplementary File S8 — TRIPOD+AI 2024 Checklist</w:t>
      </w:r>
    </w:p>
    <w:p>
      <w:pPr>
        <w:spacing w:after="240" w:before="0"/>
        <w:jc w:val="center"/>
      </w:pPr>
      <w:r>
        <w:rPr>
          <w:rFonts w:ascii="Arial" w:cs="Arial" w:eastAsia="Arial" w:hAnsi="Arial"/>
          <w:i/>
          <w:iCs/>
          <w:color w:val="444444"/>
          <w:sz w:val="22"/>
          <w:szCs w:val="22"/>
        </w:rPr>
        <w:t xml:space="preserve">Malignant-transformation risk in lower-grade glioma: an IDH-stratified Bayesian interval-censored analysis</w:t>
      </w:r>
    </w:p>
    <w:p>
      <w:pPr>
        <w:spacing w:after="120" w:before="60" w:line="320"/>
        <w:jc w:val="both"/>
      </w:pPr>
      <w:r>
        <w:rPr>
          <w:rFonts w:ascii="Arial" w:cs="Arial" w:eastAsia="Arial" w:hAnsi="Arial"/>
          <w:sz w:val="22"/>
          <w:szCs w:val="22"/>
        </w:rPr>
        <w:t xml:space="preserve">Completed TRIPOD+AI checklist (Collins GS, Moons KGM, Dhiman P, et al. </w:t>
      </w:r>
      <w:r>
        <w:rPr>
          <w:rFonts w:ascii="Arial" w:cs="Arial" w:eastAsia="Arial" w:hAnsi="Arial"/>
          <w:i/>
          <w:iCs/>
          <w:sz w:val="22"/>
          <w:szCs w:val="22"/>
        </w:rPr>
        <w:t xml:space="preserve">BMJ</w:t>
      </w:r>
      <w:r>
        <w:rPr>
          <w:rFonts w:ascii="Arial" w:cs="Arial" w:eastAsia="Arial" w:hAnsi="Arial"/>
          <w:sz w:val="22"/>
          <w:szCs w:val="22"/>
        </w:rPr>
        <w:t xml:space="preserve"> 2024; 385: e078378) for the present manuscript. The 2024 update is the appropriate guideline for prediction-model studies that incorporate machine-learning or radiomic predictors; this study uses Bayesian regularised regression over a 99-feature radiomic panel and is a prediction-model </w:t>
      </w:r>
      <w:r>
        <w:rPr>
          <w:rFonts w:ascii="Arial" w:cs="Arial" w:eastAsia="Arial" w:hAnsi="Arial"/>
          <w:i/>
          <w:iCs/>
          <w:sz w:val="22"/>
          <w:szCs w:val="22"/>
        </w:rPr>
        <w:t xml:space="preserve">development</w:t>
      </w:r>
      <w:r>
        <w:rPr>
          <w:rFonts w:ascii="Arial" w:cs="Arial" w:eastAsia="Arial" w:hAnsi="Arial"/>
          <w:sz w:val="22"/>
          <w:szCs w:val="22"/>
        </w:rPr>
        <w:t xml:space="preserve"> study with bootstrap-based internal validation and pre-registered external validation as the next step.</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5400"/>
        <w:gridCol w:w="4500"/>
      </w:tblGrid>
      <w:tr>
        <w:trPr>
          <w:tblHeader/>
        </w:trPr>
        <w:tc>
          <w:tcPr>
            <w:tcW w:type="dxa" w:w="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17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Section</w:t>
            </w:r>
          </w:p>
        </w:tc>
        <w:tc>
          <w:tcPr>
            <w:tcW w:type="dxa" w:w="5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Recommendation</w:t>
            </w:r>
          </w:p>
        </w:tc>
        <w:tc>
          <w:tcPr>
            <w:tcW w:type="dxa" w:w="4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Location in manuscript</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Title</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Identify the study as developing or evaluating a multivariable prediction model, the target population, and the outcome to be predicted.</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Title names “Malignant-transformation risk in lower-grade glioma” and explicitly states “an IDH-stratified Bayesian interval-censored analysis.”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Abstract</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Provide a structured summary including study objectives, target population, model type, predictors, outcome, sample size, statistical analysis methods, performance measures, and results.</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Structured abstract (Purpose, Methods, Results, Conclusions) covers all required elements; sample size (n = 155, 77 MT, 6 non-MT deaths), modelling framework (Bayesian Weibull AFT with horseshoe; Fine-Gray; Cox-TVC; native interval-censored Fine-Gray), and concordant effect estimates given.</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3a</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Introduction — Background</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Explain the medical context, rationale for developing the prediction model, and reference any existing models for the same target population.</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Introduction paragraph 1 (clinical context, surveillance window) and paragraph 2 (review of published Cox-based LGG-MT risk models, identified methodological gaps).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3b</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Introduction — Objectives</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the objectives, including whether the study describes the development or evaluation of a model, or both.</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Introduction paragraph 2 (“The present study addresses all three gaps in a Bayesian interval-censored analysis… and establishes concordance of the resulting hazard ratios across four complementary survival frameworks”); this is a development study with internal-validation extension.</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4a</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Source of data</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Describe the study design and source of data with respect to the development and any evaluation of the model.</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(single-institution retrospective registry-based cohort with pre-operative multiparametric MRI and longitudinal follow-up). No external development/validation split.</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4b</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Participants</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key dates, including start and end of recruitment, follow-up, and outcome ascertainment.</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and Methods → “Interval censoring and radiomics”; era split sensitivity at 2010 documented in Supplement S2.</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5a</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Outcome</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Define the outcome being predicted, including how and when assessed.</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 MT defined as histological upgrading on repeat biopsy/resection/autopsy OR radiological progression to contrast-enhancing disease with concordant clinical deterioration; encoded as interval [L, R] (Methods → “Interval censoring and radiomics” and Supplement S1.1).</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5b</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Predictors</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Define all predictors, including how and when measured. Indicate whether and how predictors were transformed or rescaled.</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“Interval censoring and radiomics” (segmentation protocol, ICC threshold, PyRadiomics 99-feature panel, z-score scaling); Methods → “Primary Bayesian analysis” (clinical predictors with centring scheme).</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6</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Sample size</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Explain how the study size was arrived at.</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(consecutive eligible patients). EPV ≈ 0.8 for the 99-feature panel acknowledged in Limitations as the explicit motivation for the regularized-horseshoe prior.</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7</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Missing data</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Describe how missing data on predictors and outcomes were handled.</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(4 IDH-indeterminate excluded from IDH-subgroup fits only). MT event-time uncertainty handled by proper interval censoring; Cox-TVC uses 20-fold MI of the event time (Supplement S1.4). Predictor imaging was complete for all 155 by inclusion criterion.</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8</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Statistical analysis</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the type of model, all model-building procedures, and the method for predictor selection.</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Methods → “Primary Bayesian analysis” (Weibull AFT, regularized-horseshoe prior over all population-level coefficients, par_ratio = 0.10, scale_slab = 2, df_slab = 4; no stepwise selection — the prior is the selection mechanism in the primary analysis). Methods → “Secondary analyses and sensitivities” documents the only feature-selection step that is “seen” by the data: the pre-specified two-feature signature (GLDM-FLAIR dependence-variance; GLSZM-T1c large-area-low-gray-level-emphasis), identified in an earlier internal analysis of this cohort by bootstrap stability selection and locked into the Statistical Analysis Plan before the Bayesian analysis. The pair is tested confirmatorily in the Fine-Gray secondary analysis (Supplement S1.3 / Table S1) rather than re-derived. Supplement S1.2 gives the full brms specification.</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9</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Class imbalance</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If applicable, describe how class imbalance was handled.</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Not applicable — the analysis is event-time regression, not classification. Censoring is handled by the survival likelihood; competing-risk imbalance (77 MT vs 6 non-MT death) handled by Fine-Gray (Supplement S1.3) and verified by Gray’s test.</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10a</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Model performance</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all measures used to assess model performance and, if relevant, to compare multiple models.</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Hazard ratios with 95% credible (Bayesian) or confidence (Fine-Gray, Cox-TVC) intervals as primary inferential measures. Internal-validation discrimination quantified by Harrell C-index in Results → “Internal validation: bootstrap optimism” and Supplement Table S5.</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10b</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Model performance</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Describe any model uncertainty (e.g., 95% confidence intervals for performance estimates).</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All HR estimates reported with 95% CrI / CI. Bootstrap-optimism analysis (Supplement Table S5) reports apparent and corrected C-index plus a 95% bootstrap percentile interval on the CE log-HR.</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11</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Model output</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the output of the prediction model (e.g., individual predicted probabilities, risk groups, summary risk measures).</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Output is a Cox/Weibull-style linear predictor producing a hazard ratio per unit of each predictor; clinical use is at the level of effect-size concordance rather than an individual risk-score calculator. Discussion → “Clinical implications for individualised LGG management” explicitly frames the prespecified two-feature signature as a target for prospective validation rather than as a deployed score.</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12</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Training/validation</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how the model was developed and validated, including any procedures for hyperparameter tuning, internal validation (e.g. bootstrap, cross-validation), and external validation.</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Hyperparameters (par_ratio, scale_slab, df_slab) prespecified per Piironen–Vehtari (2017) prior recommendation; sensitivity grid (par_ratio 0.05/0.20) reported in Supplement Table S3. Internal validation: Harrell bootstrap-optimism on the Cox-TVC (500 patient-level resamples; Results → “Internal validation: bootstrap optimism” and Supplement Table S5). External validation: not performed; Limitations and Conclusions designate it as the pre-registered next step.</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13</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Methods — Ethics / regulatory</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Provide details of approvals from ethical and other relevant bodies.</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Methods → “Cohort and endpoint” (“The study was approved by the JKU Ethics Committee (EK-2021-1042).”) and Declarations → Ethics statement.</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14</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Open Science</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Provide statements on data, code, and model availability.</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“Data availability” and “Code availability” statements at manuscript end. Brms model specifications and Cox-TVC counting-process / bootstrap scripts are described in Supplement S1.2–S1.4 and S3a; code archived in the institutional repository on reasonable request.</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15</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Patient and public involvement</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State whether patients and/or the public were involved in the study, and if so describe how.</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“Patient and public involvement” statement (no formal PPI; rationale stated).</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16</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Results — Participants</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Describe the flow of participants through the study, including number with and without the outcome and, if applicable, summary of follow-up time.</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Figure 1 (full-cohort swimmer plot, 77 transformers + 78 non-transformers); Results → “Cohort” for tabular flow; Supplementary Figure S2 (analytic-design overview).</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17</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Results — Model specification</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Present the final prediction model (i.e., all regression coefficients, intercept, baseline survival/cumulative hazard, model performance), and any other information necessary for others to apply the prediction model (e.g. an explanation of how to use the model).</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Table 1 (Bayesian clinical effects — posterior medians + 95% CrI); Supplement Table S2 (Cox-TVC clinical + EOR + chemotherapy + radiation coefficients, Rubin-pooled). Weibull shape α = 0.55 reported in main text Results → “Clinical effects — primary Bayesian analysis.” Two-feature signature reported with Fine-Gray sHRs (Supplement Table S1).</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18</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Results — Performance</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Report performance measures (with confidence intervals) for the prediction model.</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Hazard ratios with 95% CrI/CI throughout main text and supplement. Supplement Table S5 reports apparent C = 0.847 and bootstrap-optimism-corrected C = 0.83.</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19</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Results — Model usage</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If applicable, give clear instructions and recommendations on how to use the model in practice.</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The reported hazard ratios constitute a prognostic-stratification signal rather than a deployed individual-risk calculator. Discussion explicitly recommends prospective external validation of the two-feature signature before clinical deployment.</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20</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Discussion</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Discuss any limitations of the study (such as nonrepresentative sample, few events per predictor, missing data) and any implications for future research.</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Discussion → Limitations covers single-centre design, no external/temporal split, scanner heterogeneity, low EPV (rationale for horseshoe), small IDH-wildtype subgroup, and bootstrap-quantified discrimination optimism.</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21</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Funding</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Give the source of funding and the role of the funders for the present study.</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Funding.</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22</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Author contributions</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Provide a statement of author contributions.</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Author contributions (CRediT-style).</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23</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Acknowledgments</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Acknowledge contributors and collaborators not listed as authors.</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Acknowledgments.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24</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Data availability</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how to access the data.</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Data availability.</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25</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Code availability</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how to access the code used to develop and/or apply the model.</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Declarations → Code availability; Supplement S1.2–S1.4 list software versions (brms 2.23, R cmprsk, R survival, Python lifelines 0.30) and prior/seed parameters.</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26</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Model availability</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Specify how to access the prediction model.</w:t>
            </w:r>
          </w:p>
        </w:tc>
        <w:tc>
          <w:tcPr>
            <w:tcW w:type="dxa" w:w="4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Posterior draws for the Bayesian model and Rubin-pooled Cox-TVC coefficients are tabulated in Supplement Tables S1–S2; model objects are available from the corresponding author on reasonable request and will be deposited at the time of external-validation submission.</w:t>
            </w:r>
          </w:p>
        </w:tc>
      </w:tr>
      <w:tr>
        <w:tc>
          <w:tcPr>
            <w:tcW w:type="dxa" w:w="8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27</w:t>
            </w:r>
          </w:p>
        </w:tc>
        <w:tc>
          <w:tcPr>
            <w:tcW w:type="dxa" w:w="17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bCs/>
                <w:i w:val="false"/>
                <w:iCs w:val="false"/>
                <w:color w:val="222222"/>
                <w:sz w:val="18"/>
                <w:szCs w:val="18"/>
              </w:rPr>
              <w:t xml:space="preserve">Other information — Supplementary information</w:t>
            </w:r>
          </w:p>
        </w:tc>
        <w:tc>
          <w:tcPr>
            <w:tcW w:type="dxa" w:w="54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 xml:space="preserve">List supplementary materials accompanying the paper.</w:t>
            </w:r>
          </w:p>
        </w:tc>
        <w:tc>
          <w:tcPr>
            <w:tcW w:type="dxa" w:w="4500"/>
            <w:tcBorders>
              <w:top w:val="single" w:color="BBBBBB" w:sz="4"/>
              <w:left w:val="single" w:color="BBBBBB" w:sz="4"/>
              <w:bottom w:val="single" w:color="BBBBBB" w:sz="4"/>
              <w:right w:val="single" w:color="BBBBBB" w:sz="4"/>
            </w:tcBorders>
            <w:shd w:fill="F7FAFC" w:val="clear"/>
            <w:tcMar>
              <w:top w:type="dxa" w:w="80"/>
              <w:left w:type="dxa" w:w="120"/>
              <w:bottom w:type="dxa" w:w="80"/>
              <w:right w:type="dxa" w:w="120"/>
            </w:tcMar>
          </w:tcPr>
          <w:p>
            <w:pPr>
              <w:spacing w:after="40" w:before="40" w:line="260"/>
              <w:jc w:val="left"/>
            </w:pPr>
            <w:r>
              <w:rPr>
                <w:rFonts w:ascii="Arial" w:cs="Arial" w:eastAsia="Arial" w:hAnsi="Arial"/>
                <w:b w:val="false"/>
                <w:bCs w:val="false"/>
                <w:i w:val="false"/>
                <w:iCs w:val="false"/>
                <w:color w:val="222222"/>
                <w:sz w:val="18"/>
                <w:szCs w:val="18"/>
              </w:rPr>
              <w:t>Supplementary Materials document containing S1–S4, Tables S1–S5, and Figures S1–S2; the molecular-marker Table S6; this STROBE checklist (Supplementary File S7); this TRIPOD+AI checklist (Supplementary File S8).</w:t>
            </w:r>
          </w:p>
        </w:tc>
      </w:tr>
    </w:tbl>
    <w:p>
      <w:r>
        <w:t xml:space="preserve"/>
      </w:r>
    </w:p>
    <w:p>
      <w:pPr>
        <w:spacing w:after="120" w:before="60" w:line="320"/>
        <w:jc w:val="both"/>
      </w:pPr>
      <w:r>
        <w:rPr>
          <w:rFonts w:ascii="Arial" w:cs="Arial" w:eastAsia="Arial" w:hAnsi="Arial"/>
          <w:i/>
          <w:iCs/>
          <w:sz w:val="22"/>
          <w:szCs w:val="22"/>
        </w:rPr>
        <w:t xml:space="preserve">Acronyms: </w:t>
      </w:r>
      <w:r>
        <w:rPr>
          <w:rFonts w:ascii="Arial" w:cs="Arial" w:eastAsia="Arial" w:hAnsi="Arial"/>
          <w:sz w:val="22"/>
          <w:szCs w:val="22"/>
        </w:rPr>
        <w:t xml:space="preserve">AFT = accelerated failure time; brms = Bayesian regression models using Stan; CE = contrast enhancement; CI = confidence interval; CrI = credible interval; EPV = events per variable; EOR = extent of resection; GTR = gross total resection; HR = hazard ratio; ICC = intraclass correlation coefficient; IDH = isocitrate dehydrogenase; LGG = lower-grade glioma; MI = multiple imputation; MT = malignant transformation; PPI = patient and public involvement; STR = subtotal resection; TVC = time-varying covariate.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S7 — TRIPOD+AI 2024 Checklist</dc:title>
  <dc:creator>JNO submission</dc:creator>
  <cp:lastModifiedBy>Un-named</cp:lastModifiedBy>
  <cp:revision>1</cp:revision>
  <dcterms:created xsi:type="dcterms:W3CDTF">2026-04-25T10:06:26.898Z</dcterms:created>
  <dcterms:modified xsi:type="dcterms:W3CDTF">2026-04-25T10:06:26.898Z</dcterms:modified>
</cp:coreProperties>
</file>

<file path=docProps/custom.xml><?xml version="1.0" encoding="utf-8"?>
<Properties xmlns="http://schemas.openxmlformats.org/officeDocument/2006/custom-properties" xmlns:vt="http://schemas.openxmlformats.org/officeDocument/2006/docPropsVTypes"/>
</file>