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40" w:before="0"/>
        <w:jc w:val="center"/>
      </w:pPr>
      <w:r>
        <w:rPr>
          <w:rFonts w:ascii="Arial" w:cs="Arial" w:eastAsia="Arial" w:hAnsi="Arial"/>
          <w:b/>
          <w:bCs/>
          <w:color w:val="185FA5"/>
          <w:sz w:val="52"/>
          <w:szCs w:val="52"/>
        </w:rPr>
        <w:t xml:space="preserve">AZURE SOLUTION ARCHITECTURE</w:t>
      </w:r>
    </w:p>
    <w:p>
      <w:pPr>
        <w:spacing w:after="80" w:before="0"/>
        <w:jc w:val="center"/>
      </w:pPr>
      <w:r>
        <w:rPr>
          <w:rFonts w:ascii="Arial" w:cs="Arial" w:eastAsia="Arial" w:hAnsi="Arial"/>
          <w:color w:val="555555"/>
          <w:sz w:val="28"/>
          <w:szCs w:val="28"/>
        </w:rPr>
        <w:t xml:space="preserve">Team Presentation &amp; Implementation Guide</w:t>
      </w:r>
    </w:p>
    <w:p>
      <w:pPr>
        <w:pBdr>
          <w:bottom w:val="single" w:color="185FA5" w:sz="4" w:space="1"/>
        </w:pBdr>
        <w:spacing w:after="120" w:before="120"/>
      </w:pPr>
      <w:r>
        <w:t xml:space="preserve"/>
      </w:r>
    </w:p>
    <w:p>
      <w:pPr>
        <w:spacing w:after="40" w:before="80"/>
        <w:jc w:val="center"/>
      </w:pPr>
      <w:r>
        <w:rPr>
          <w:rFonts w:ascii="Arial" w:cs="Arial" w:eastAsia="Arial" w:hAnsi="Arial"/>
          <w:color w:val="555555"/>
          <w:sz w:val="22"/>
          <w:szCs w:val="22"/>
        </w:rPr>
        <w:t xml:space="preserve">Prepared for: Engineering Team</w:t>
      </w:r>
    </w:p>
    <w:p>
      <w:pPr>
        <w:spacing w:after="40" w:before="0"/>
        <w:jc w:val="center"/>
      </w:pPr>
      <w:r>
        <w:rPr>
          <w:rFonts w:ascii="Arial" w:cs="Arial" w:eastAsia="Arial" w:hAnsi="Arial"/>
          <w:color w:val="555555"/>
          <w:sz w:val="22"/>
          <w:szCs w:val="22"/>
        </w:rPr>
        <w:t xml:space="preserve">Date: April 2026</w:t>
      </w:r>
    </w:p>
    <w:p>
      <w:pPr>
        <w:spacing w:after="40" w:before="0"/>
        <w:jc w:val="center"/>
      </w:pPr>
      <w:r>
        <w:rPr>
          <w:rFonts w:ascii="Arial" w:cs="Arial" w:eastAsia="Arial" w:hAnsi="Arial"/>
          <w:color w:val="555555"/>
          <w:sz w:val="22"/>
          <w:szCs w:val="22"/>
        </w:rPr>
        <w:t xml:space="preserve">Classification: Internal — Confidential</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7" w:val="clear"/>
            <w:tcMar>
              <w:top w:type="dxa" w:w="120"/>
              <w:left w:type="dxa" w:w="160"/>
              <w:bottom w:type="dxa" w:w="120"/>
              <w:right w:type="dxa" w:w="160"/>
            </w:tcMar>
          </w:tcPr>
          <w:p>
            <w:r>
              <w:rPr>
                <w:rFonts w:ascii="Arial" w:cs="Arial" w:eastAsia="Arial" w:hAnsi="Arial"/>
                <w:b/>
                <w:bCs/>
                <w:color w:val="185FA5"/>
                <w:sz w:val="20"/>
                <w:szCs w:val="20"/>
              </w:rPr>
              <w:t xml:space="preserve">Frontend</w:t>
            </w:r>
          </w:p>
          <w:p>
            <w:r>
              <w:rPr>
                <w:rFonts w:ascii="Arial" w:cs="Arial" w:eastAsia="Arial" w:hAnsi="Arial"/>
                <w:color w:val="444444"/>
                <w:sz w:val="18"/>
                <w:szCs w:val="18"/>
              </w:rPr>
              <w:t xml:space="preserve">Azure Static Web Apps</w:t>
            </w:r>
          </w:p>
        </w:tc>
        <w:tc>
          <w:tcPr>
            <w:tcW w:type="dxa" w:w="3120"/>
            <w:tcBorders>
              <w:top w:val="single" w:color="CCCCCC" w:sz="1"/>
              <w:left w:val="single" w:color="CCCCCC" w:sz="1"/>
              <w:bottom w:val="single" w:color="CCCCCC" w:sz="1"/>
              <w:right w:val="single" w:color="CCCCCC" w:sz="1"/>
            </w:tcBorders>
            <w:shd w:fill="D6F0E8" w:val="clear"/>
            <w:tcMar>
              <w:top w:type="dxa" w:w="120"/>
              <w:left w:type="dxa" w:w="160"/>
              <w:bottom w:type="dxa" w:w="120"/>
              <w:right w:type="dxa" w:w="160"/>
            </w:tcMar>
          </w:tcPr>
          <w:p>
            <w:r>
              <w:rPr>
                <w:rFonts w:ascii="Arial" w:cs="Arial" w:eastAsia="Arial" w:hAnsi="Arial"/>
                <w:b/>
                <w:bCs/>
                <w:color w:val="0F6E56"/>
                <w:sz w:val="20"/>
                <w:szCs w:val="20"/>
              </w:rPr>
              <w:t xml:space="preserve">Data Pipeline</w:t>
            </w:r>
          </w:p>
          <w:p>
            <w:r>
              <w:rPr>
                <w:rFonts w:ascii="Arial" w:cs="Arial" w:eastAsia="Arial" w:hAnsi="Arial"/>
                <w:color w:val="444444"/>
                <w:sz w:val="18"/>
                <w:szCs w:val="18"/>
              </w:rPr>
              <w:t xml:space="preserve">Databricks + Table Storage</w:t>
            </w:r>
          </w:p>
        </w:tc>
        <w:tc>
          <w:tcPr>
            <w:tcW w:type="dxa" w:w="3120"/>
            <w:tcBorders>
              <w:top w:val="single" w:color="CCCCCC" w:sz="1"/>
              <w:left w:val="single" w:color="CCCCCC" w:sz="1"/>
              <w:bottom w:val="single" w:color="CCCCCC" w:sz="1"/>
              <w:right w:val="single" w:color="CCCCCC" w:sz="1"/>
            </w:tcBorders>
            <w:shd w:fill="FAECE7" w:val="clear"/>
            <w:tcMar>
              <w:top w:type="dxa" w:w="120"/>
              <w:left w:type="dxa" w:w="160"/>
              <w:bottom w:type="dxa" w:w="120"/>
              <w:right w:type="dxa" w:w="160"/>
            </w:tcMar>
          </w:tcPr>
          <w:p>
            <w:r>
              <w:rPr>
                <w:rFonts w:ascii="Arial" w:cs="Arial" w:eastAsia="Arial" w:hAnsi="Arial"/>
                <w:b/>
                <w:bCs/>
                <w:color w:val="993C1D"/>
                <w:sz w:val="20"/>
                <w:szCs w:val="20"/>
              </w:rPr>
              <w:t xml:space="preserve">Messaging</w:t>
            </w:r>
          </w:p>
          <w:p>
            <w:r>
              <w:rPr>
                <w:rFonts w:ascii="Arial" w:cs="Arial" w:eastAsia="Arial" w:hAnsi="Arial"/>
                <w:color w:val="444444"/>
                <w:sz w:val="18"/>
                <w:szCs w:val="18"/>
              </w:rPr>
              <w:t xml:space="preserve">Service Bus + VNet</w:t>
            </w:r>
          </w:p>
        </w:tc>
      </w:tr>
      <w:tr>
        <w:tc>
          <w:tcPr>
            <w:tcW w:type="dxa" w:w="3120"/>
            <w:tcBorders>
              <w:top w:val="single" w:color="CCCCCC" w:sz="1"/>
              <w:left w:val="single" w:color="CCCCCC" w:sz="1"/>
              <w:bottom w:val="single" w:color="CCCCCC" w:sz="1"/>
              <w:right w:val="single" w:color="CCCCCC" w:sz="1"/>
            </w:tcBorders>
            <w:shd w:fill="FAEEDA" w:val="clear"/>
            <w:tcMar>
              <w:top w:type="dxa" w:w="120"/>
              <w:left w:type="dxa" w:w="160"/>
              <w:bottom w:type="dxa" w:w="120"/>
              <w:right w:type="dxa" w:w="160"/>
            </w:tcMar>
          </w:tcPr>
          <w:p>
            <w:r>
              <w:rPr>
                <w:rFonts w:ascii="Arial" w:cs="Arial" w:eastAsia="Arial" w:hAnsi="Arial"/>
                <w:b/>
                <w:bCs/>
                <w:color w:val="854F0B"/>
                <w:sz w:val="20"/>
                <w:szCs w:val="20"/>
              </w:rPr>
              <w:t xml:space="preserve">Voice (POC)</w:t>
            </w:r>
          </w:p>
          <w:p>
            <w:r>
              <w:rPr>
                <w:rFonts w:ascii="Arial" w:cs="Arial" w:eastAsia="Arial" w:hAnsi="Arial"/>
                <w:color w:val="444444"/>
                <w:sz w:val="18"/>
                <w:szCs w:val="18"/>
              </w:rPr>
              <w:t xml:space="preserve">Browser-based WebRTC</w:t>
            </w:r>
          </w:p>
        </w:tc>
        <w:tc>
          <w:tcPr>
            <w:tcW w:type="dxa" w:w="3120"/>
            <w:tcBorders>
              <w:top w:val="single" w:color="CCCCCC" w:sz="1"/>
              <w:left w:val="single" w:color="CCCCCC" w:sz="1"/>
              <w:bottom w:val="single" w:color="CCCCCC" w:sz="1"/>
              <w:right w:val="single" w:color="CCCCCC" w:sz="1"/>
            </w:tcBorders>
            <w:shd w:fill="EEEDFE" w:val="clear"/>
            <w:tcMar>
              <w:top w:type="dxa" w:w="120"/>
              <w:left w:type="dxa" w:w="160"/>
              <w:bottom w:type="dxa" w:w="120"/>
              <w:right w:type="dxa" w:w="160"/>
            </w:tcMar>
          </w:tcPr>
          <w:p>
            <w:r>
              <w:rPr>
                <w:rFonts w:ascii="Arial" w:cs="Arial" w:eastAsia="Arial" w:hAnsi="Arial"/>
                <w:b/>
                <w:bCs/>
                <w:color w:val="534AB7"/>
                <w:sz w:val="20"/>
                <w:szCs w:val="20"/>
              </w:rPr>
              <w:t xml:space="preserve">Authentication</w:t>
            </w:r>
          </w:p>
          <w:p>
            <w:r>
              <w:rPr>
                <w:rFonts w:ascii="Arial" w:cs="Arial" w:eastAsia="Arial" w:hAnsi="Arial"/>
                <w:color w:val="444444"/>
                <w:sz w:val="18"/>
                <w:szCs w:val="18"/>
              </w:rPr>
              <w:t xml:space="preserve">Azure AD / Entra ID</w:t>
            </w:r>
          </w:p>
        </w:tc>
        <w:tc>
          <w:tcPr>
            <w:tcW w:type="dxa" w:w="3120"/>
            <w:tcBorders>
              <w:top w:val="single" w:color="CCCCCC" w:sz="1"/>
              <w:left w:val="single" w:color="CCCCCC" w:sz="1"/>
              <w:bottom w:val="single" w:color="CCCCCC" w:sz="1"/>
              <w:right w:val="single" w:color="CCCCCC" w:sz="1"/>
            </w:tcBorders>
            <w:shd w:fill="EAF3DE" w:val="clear"/>
            <w:tcMar>
              <w:top w:type="dxa" w:w="120"/>
              <w:left w:type="dxa" w:w="160"/>
              <w:bottom w:type="dxa" w:w="120"/>
              <w:right w:type="dxa" w:w="160"/>
            </w:tcMar>
          </w:tcPr>
          <w:p>
            <w:r>
              <w:rPr>
                <w:rFonts w:ascii="Arial" w:cs="Arial" w:eastAsia="Arial" w:hAnsi="Arial"/>
                <w:b/>
                <w:bCs/>
                <w:color w:val="3B6D11"/>
                <w:sz w:val="20"/>
                <w:szCs w:val="20"/>
              </w:rPr>
              <w:t xml:space="preserve">CI/CD</w:t>
            </w:r>
          </w:p>
          <w:p>
            <w:r>
              <w:rPr>
                <w:rFonts w:ascii="Arial" w:cs="Arial" w:eastAsia="Arial" w:hAnsi="Arial"/>
                <w:color w:val="444444"/>
                <w:sz w:val="18"/>
                <w:szCs w:val="18"/>
              </w:rPr>
              <w:t xml:space="preserve">ADO Pipelines + Terraform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85FA5" w:val="clear"/>
            <w:tcMar>
              <w:top w:type="dxa" w:w="160"/>
              <w:left w:type="dxa" w:w="240"/>
              <w:bottom w:type="dxa" w:w="160"/>
              <w:right w:type="dxa" w:w="240"/>
            </w:tcMar>
          </w:tcPr>
          <w:p>
            <w:pPr>
              <w:spacing w:after="40" w:before="0"/>
            </w:pPr>
            <w:r>
              <w:rPr>
                <w:rFonts w:ascii="Arial" w:cs="Arial" w:eastAsia="Arial" w:hAnsi="Arial"/>
                <w:color w:val="DDDDDD"/>
                <w:sz w:val="20"/>
                <w:szCs w:val="20"/>
              </w:rPr>
              <w:t xml:space="preserve">Section 1</w:t>
            </w:r>
          </w:p>
          <w:p>
            <w:pPr>
              <w:spacing w:after="30" w:before="0"/>
            </w:pPr>
            <w:r>
              <w:rPr>
                <w:rFonts w:ascii="Arial" w:cs="Arial" w:eastAsia="Arial" w:hAnsi="Arial"/>
                <w:b/>
                <w:bCs/>
                <w:color w:val="FFFFFF"/>
                <w:sz w:val="32"/>
                <w:szCs w:val="32"/>
              </w:rPr>
              <w:t xml:space="preserve">Architecture Overview</w:t>
            </w:r>
          </w:p>
          <w:p>
            <w:pPr>
              <w:spacing w:after="0" w:before="0"/>
            </w:pPr>
            <w:r>
              <w:rPr>
                <w:rFonts w:ascii="Arial" w:cs="Arial" w:eastAsia="Arial" w:hAnsi="Arial"/>
                <w:color w:val="DDDDDD"/>
                <w:sz w:val="20"/>
                <w:szCs w:val="20"/>
              </w:rPr>
              <w:t xml:space="preserve">What we are building and why each component was chosen</w:t>
            </w:r>
          </w:p>
        </w:tc>
      </w:tr>
    </w:tbl>
    <w:p>
      <w:pPr>
        <w:spacing w:after="60" w:before="60"/>
      </w:pPr>
      <w:r>
        <w:t xml:space="preserve"/>
      </w:r>
    </w:p>
    <w:p>
      <w:pPr>
        <w:spacing w:after="80" w:before="60"/>
      </w:pPr>
      <w:r>
        <w:rPr>
          <w:rFonts w:ascii="Arial" w:cs="Arial" w:eastAsia="Arial" w:hAnsi="Arial"/>
          <w:color w:val="333333"/>
          <w:sz w:val="22"/>
          <w:szCs w:val="22"/>
        </w:rPr>
        <w:t xml:space="preserve">This document describes the end-to-end Azure architecture for our platform. It covers six layers: frontend hosting, data pipeline, secure messaging, voice integration, authentication, and CI/CD. Each section explains the decision rationale (why we chose this approach) and the implementation steps (how to build it).</w:t>
      </w:r>
    </w:p>
    <w:p>
      <w:pPr>
        <w:spacing w:after="60" w:before="60"/>
      </w:pPr>
      <w:r>
        <w:t xml:space="preserve"/>
      </w:r>
    </w:p>
    <w:p>
      <w:pPr>
        <w:pStyle w:val="Heading2"/>
        <w:spacing w:after="100" w:before="240"/>
      </w:pPr>
      <w:r>
        <w:rPr>
          <w:rFonts w:ascii="Arial" w:cs="Arial" w:eastAsia="Arial" w:hAnsi="Arial"/>
          <w:b/>
          <w:bCs/>
          <w:color w:val="185FA5"/>
          <w:sz w:val="26"/>
          <w:szCs w:val="26"/>
        </w:rPr>
        <w:t xml:space="preserve">Architecture layers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78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Service chosen</w:t>
            </w:r>
          </w:p>
        </w:tc>
        <w:tc>
          <w:tcPr>
            <w:tcW w:type="dxa" w:w="378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Key benefit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Azure Static Web Apps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Global CDN, built-in CI/CD, no server to manage</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Data pipeline</w:t>
            </w:r>
          </w:p>
        </w:tc>
        <w:tc>
          <w:tcPr>
            <w:tcW w:type="dxa" w:w="3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Databricks + Table Storage</w:t>
            </w:r>
          </w:p>
        </w:tc>
        <w:tc>
          <w:tcPr>
            <w:tcW w:type="dxa" w:w="3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Row-level queries, immutable snapshots, daily jobs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Secure messaging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Azure Service Bus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Pub/sub bridge — no VNet exposure needed</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Voice</w:t>
            </w:r>
          </w:p>
        </w:tc>
        <w:tc>
          <w:tcPr>
            <w:tcW w:type="dxa" w:w="3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Browser-based WebRTC</w:t>
            </w:r>
          </w:p>
        </w:tc>
        <w:tc>
          <w:tcPr>
            <w:tcW w:type="dxa" w:w="3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No server-side audio streaming complexity (POC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Authentication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Azure AD / Entra ID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JWT tokens, single tenant, enterprise-grade</w:t>
            </w:r>
          </w:p>
        </w:tc>
      </w:tr>
      <w:tr>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CI/CD</w:t>
            </w:r>
          </w:p>
        </w:tc>
        <w:tc>
          <w:tcPr>
            <w:tcW w:type="dxa" w:w="3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ADO Pipelines + Terraform</w:t>
            </w:r>
          </w:p>
        </w:tc>
        <w:tc>
          <w:tcPr>
            <w:tcW w:type="dxa" w:w="378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State-managed infra, Bicep alternative available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60"/>
              <w:left w:type="dxa" w:w="240"/>
              <w:bottom w:type="dxa" w:w="160"/>
              <w:right w:type="dxa" w:w="240"/>
            </w:tcMar>
          </w:tcPr>
          <w:p>
            <w:pPr>
              <w:spacing w:after="40" w:before="0"/>
            </w:pPr>
            <w:r>
              <w:rPr>
                <w:rFonts w:ascii="Arial" w:cs="Arial" w:eastAsia="Arial" w:hAnsi="Arial"/>
                <w:color w:val="DDDDDD"/>
                <w:sz w:val="20"/>
                <w:szCs w:val="20"/>
              </w:rPr>
              <w:t xml:space="preserve">Section 2</w:t>
            </w:r>
          </w:p>
          <w:p>
            <w:pPr>
              <w:spacing w:after="30" w:before="0"/>
            </w:pPr>
            <w:r>
              <w:rPr>
                <w:rFonts w:ascii="Arial" w:cs="Arial" w:eastAsia="Arial" w:hAnsi="Arial"/>
                <w:b/>
                <w:bCs/>
                <w:color w:val="FFFFFF"/>
                <w:sz w:val="32"/>
                <w:szCs w:val="32"/>
              </w:rPr>
              <w:t xml:space="preserve">Data Pipeline</w:t>
            </w:r>
          </w:p>
          <w:p>
            <w:pPr>
              <w:spacing w:after="0" w:before="0"/>
            </w:pPr>
            <w:r>
              <w:rPr>
                <w:rFonts w:ascii="Arial" w:cs="Arial" w:eastAsia="Arial" w:hAnsi="Arial"/>
                <w:color w:val="DDDDDD"/>
                <w:sz w:val="20"/>
                <w:szCs w:val="20"/>
              </w:rPr>
              <w:t xml:space="preserve">Databricks + Azure Table Storage + Blob Storage</w:t>
            </w:r>
          </w:p>
        </w:tc>
      </w:tr>
    </w:tbl>
    <w:p>
      <w:pPr>
        <w:spacing w:after="60" w:before="60"/>
      </w:pPr>
      <w:r>
        <w:t xml:space="preserve"/>
      </w:r>
    </w:p>
    <w:p>
      <w:pPr>
        <w:pStyle w:val="Heading2"/>
        <w:spacing w:after="100" w:before="240"/>
      </w:pPr>
      <w:r>
        <w:rPr>
          <w:rFonts w:ascii="Arial" w:cs="Arial" w:eastAsia="Arial" w:hAnsi="Arial"/>
          <w:b/>
          <w:bCs/>
          <w:color w:val="185FA5"/>
          <w:sz w:val="26"/>
          <w:szCs w:val="26"/>
        </w:rPr>
        <w:t xml:space="preserve">2.1  Decision rationale — why this approach?</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60"/>
        <w:gridCol w:w="456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2"/>
                    <w:bottom w:val="single" w:color="CCCCCC" w:sz="1"/>
                    <w:right w:val="single" w:color="CCCCCC" w:sz="1"/>
                  </w:tcBorders>
                  <w:shd w:fill="D6F0E8" w:val="clear"/>
                  <w:tcMar>
                    <w:top w:type="dxa" w:w="120"/>
                    <w:left w:type="dxa" w:w="180"/>
                    <w:bottom w:type="dxa" w:w="120"/>
                    <w:right w:type="dxa" w:w="180"/>
                  </w:tcMar>
                </w:tcPr>
                <w:p>
                  <w:pPr>
                    <w:spacing w:after="80" w:before="60"/>
                  </w:pPr>
                  <w:r>
                    <w:rPr>
                      <w:rFonts w:ascii="Arial" w:cs="Arial" w:eastAsia="Arial" w:hAnsi="Arial"/>
                      <w:b/>
                      <w:bCs/>
                      <w:color w:val="0F6E56"/>
                      <w:sz w:val="22"/>
                      <w:szCs w:val="22"/>
                    </w:rPr>
                    <w:t xml:space="preserve">Why Table Storage for queries</w:t>
                  </w:r>
                </w:p>
                <w:p>
                  <w:pPr>
                    <w:pStyle w:val="ListParagraph"/>
                    <w:numPr>
                      <w:ilvl w:val="0"/>
                      <w:numId w:val="2"/>
                    </w:numPr>
                    <w:spacing w:after="30" w:before="30"/>
                  </w:pPr>
                  <w:r>
                    <w:rPr>
                      <w:rFonts w:ascii="Arial" w:cs="Arial" w:eastAsia="Arial" w:hAnsi="Arial"/>
                      <w:color w:val="333333"/>
                      <w:sz w:val="20"/>
                      <w:szCs w:val="20"/>
                    </w:rPr>
                    <w:t xml:space="preserve">Row-level queries without spinning up a query engine</w:t>
                  </w:r>
                </w:p>
                <w:p>
                  <w:pPr>
                    <w:pStyle w:val="ListParagraph"/>
                    <w:numPr>
                      <w:ilvl w:val="0"/>
                      <w:numId w:val="2"/>
                    </w:numPr>
                    <w:spacing w:after="30" w:before="30"/>
                  </w:pPr>
                  <w:r>
                    <w:rPr>
                      <w:rFonts w:ascii="Arial" w:cs="Arial" w:eastAsia="Arial" w:hAnsi="Arial"/>
                      <w:color w:val="333333"/>
                      <w:sz w:val="20"/>
                      <w:szCs w:val="20"/>
                    </w:rPr>
                    <w:t xml:space="preserve">Filter by partition key, row key, or any property directly</w:t>
                  </w:r>
                </w:p>
                <w:p>
                  <w:pPr>
                    <w:pStyle w:val="ListParagraph"/>
                    <w:numPr>
                      <w:ilvl w:val="0"/>
                      <w:numId w:val="2"/>
                    </w:numPr>
                    <w:spacing w:after="30" w:before="30"/>
                  </w:pPr>
                  <w:r>
                    <w:rPr>
                      <w:rFonts w:ascii="Arial" w:cs="Arial" w:eastAsia="Arial" w:hAnsi="Arial"/>
                      <w:color w:val="333333"/>
                      <w:sz w:val="20"/>
                      <w:szCs w:val="20"/>
                    </w:rPr>
                    <w:t xml:space="preserve">No Spark cluster needed just to answer simple data questions</w:t>
                  </w:r>
                </w:p>
                <w:p>
                  <w:pPr>
                    <w:pStyle w:val="ListParagraph"/>
                    <w:numPr>
                      <w:ilvl w:val="0"/>
                      <w:numId w:val="2"/>
                    </w:numPr>
                    <w:spacing w:after="30" w:before="30"/>
                  </w:pPr>
                  <w:r>
                    <w:rPr>
                      <w:rFonts w:ascii="Arial" w:cs="Arial" w:eastAsia="Arial" w:hAnsi="Arial"/>
                      <w:color w:val="333333"/>
                      <w:sz w:val="20"/>
                      <w:szCs w:val="20"/>
                    </w:rPr>
                    <w:t xml:space="preserve">Scales to millions of rows cost-effectively</w:t>
                  </w:r>
                </w:p>
              </w:tc>
            </w:tr>
          </w:tbl>
          <w:p/>
        </w:tc>
        <w:tc>
          <w:tcPr>
            <w:tcW w:type="dxa" w:w="4560"/>
            <w:tcBorders>
              <w:top w:val="none" w:color="FFFFFF" w:sz="0"/>
              <w:left w:val="none" w:color="FFFFFF" w:sz="0"/>
              <w:bottom w:val="none" w:color="FFFFFF" w:sz="0"/>
              <w:right w:val="none" w:color="FFFFFF" w:sz="0"/>
            </w:tcBorders>
            <w:tcMar>
              <w:top w:type="dxa" w:w="0"/>
              <w:left w:type="dxa" w:w="20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1"/>
                    <w:left w:val="single" w:color="185FA5" w:sz="12"/>
                    <w:bottom w:val="single" w:color="CCCCCC" w:sz="1"/>
                    <w:right w:val="single" w:color="CCCCCC" w:sz="1"/>
                  </w:tcBorders>
                  <w:shd w:fill="D5E8F7" w:val="clear"/>
                  <w:tcMar>
                    <w:top w:type="dxa" w:w="120"/>
                    <w:left w:type="dxa" w:w="180"/>
                    <w:bottom w:type="dxa" w:w="120"/>
                    <w:right w:type="dxa" w:w="180"/>
                  </w:tcMar>
                </w:tcPr>
                <w:p>
                  <w:pPr>
                    <w:spacing w:after="80" w:before="60"/>
                  </w:pPr>
                  <w:r>
                    <w:rPr>
                      <w:rFonts w:ascii="Arial" w:cs="Arial" w:eastAsia="Arial" w:hAnsi="Arial"/>
                      <w:b/>
                      <w:bCs/>
                      <w:color w:val="185FA5"/>
                      <w:sz w:val="22"/>
                      <w:szCs w:val="22"/>
                    </w:rPr>
                    <w:t xml:space="preserve">Why immutable writes?</w:t>
                  </w:r>
                </w:p>
                <w:p>
                  <w:pPr>
                    <w:pStyle w:val="ListParagraph"/>
                    <w:numPr>
                      <w:ilvl w:val="0"/>
                      <w:numId w:val="2"/>
                    </w:numPr>
                    <w:spacing w:after="30" w:before="30"/>
                  </w:pPr>
                  <w:r>
                    <w:rPr>
                      <w:rFonts w:ascii="Arial" w:cs="Arial" w:eastAsia="Arial" w:hAnsi="Arial"/>
                      <w:color w:val="333333"/>
                      <w:sz w:val="20"/>
                      <w:szCs w:val="20"/>
                    </w:rPr>
                    <w:t xml:space="preserve">Databricks never overwrites existing data — each run adds a new dated partition</w:t>
                  </w:r>
                </w:p>
                <w:p>
                  <w:pPr>
                    <w:pStyle w:val="ListParagraph"/>
                    <w:numPr>
                      <w:ilvl w:val="0"/>
                      <w:numId w:val="2"/>
                    </w:numPr>
                    <w:spacing w:after="30" w:before="30"/>
                  </w:pPr>
                  <w:r>
                    <w:rPr>
                      <w:rFonts w:ascii="Arial" w:cs="Arial" w:eastAsia="Arial" w:hAnsi="Arial"/>
                      <w:color w:val="333333"/>
                      <w:sz w:val="20"/>
                      <w:szCs w:val="20"/>
                    </w:rPr>
                    <w:t xml:space="preserve">If a job fails halfway, old data is untouched</w:t>
                  </w:r>
                </w:p>
                <w:p>
                  <w:pPr>
                    <w:pStyle w:val="ListParagraph"/>
                    <w:numPr>
                      <w:ilvl w:val="0"/>
                      <w:numId w:val="2"/>
                    </w:numPr>
                    <w:spacing w:after="30" w:before="30"/>
                  </w:pPr>
                  <w:r>
                    <w:rPr>
                      <w:rFonts w:ascii="Arial" w:cs="Arial" w:eastAsia="Arial" w:hAnsi="Arial"/>
                      <w:color w:val="333333"/>
                      <w:sz w:val="20"/>
                      <w:szCs w:val="20"/>
                    </w:rPr>
                    <w:t xml:space="preserve">Safe to reprocess: insert a corrected partition without deleting history</w:t>
                  </w:r>
                </w:p>
                <w:p>
                  <w:pPr>
                    <w:pStyle w:val="ListParagraph"/>
                    <w:numPr>
                      <w:ilvl w:val="0"/>
                      <w:numId w:val="2"/>
                    </w:numPr>
                    <w:spacing w:after="30" w:before="30"/>
                  </w:pPr>
                  <w:r>
                    <w:rPr>
                      <w:rFonts w:ascii="Arial" w:cs="Arial" w:eastAsia="Arial" w:hAnsi="Arial"/>
                      <w:color w:val="333333"/>
                      <w:sz w:val="20"/>
                      <w:szCs w:val="20"/>
                    </w:rPr>
                    <w:t xml:space="preserve">Full audit trail of every daily snapshot preserved</w:t>
                  </w:r>
                </w:p>
              </w:tc>
            </w:tr>
          </w:tbl>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
              <w:left w:val="single" w:color="854F0B" w:sz="16"/>
              <w:bottom w:val="single" w:color="854F0B" w:sz="1"/>
              <w:right w:val="single" w:color="854F0B" w:sz="1"/>
            </w:tcBorders>
            <w:shd w:fill="FAEEDA" w:val="clear"/>
            <w:tcMar>
              <w:top w:type="dxa" w:w="120"/>
              <w:left w:type="dxa" w:w="180"/>
              <w:bottom w:type="dxa" w:w="120"/>
              <w:right w:type="dxa" w:w="180"/>
            </w:tcMar>
          </w:tcPr>
          <w:p>
            <w:pPr>
              <w:spacing w:after="60" w:before="40"/>
            </w:pPr>
            <w:r>
              <w:rPr>
                <w:rFonts w:ascii="Arial" w:cs="Arial" w:eastAsia="Arial" w:hAnsi="Arial"/>
                <w:b/>
                <w:bCs/>
                <w:color w:val="854F0B"/>
                <w:sz w:val="22"/>
                <w:szCs w:val="22"/>
              </w:rPr>
              <w:t xml:space="preserve">Why NOT Blob Storage alone?</w:t>
            </w:r>
          </w:p>
          <w:p>
            <w:pPr>
              <w:spacing w:after="40" w:before="0"/>
            </w:pPr>
            <w:r>
              <w:rPr>
                <w:rFonts w:ascii="Arial" w:cs="Arial" w:eastAsia="Arial" w:hAnsi="Arial"/>
                <w:color w:val="333333"/>
                <w:sz w:val="20"/>
                <w:szCs w:val="20"/>
              </w:rPr>
              <w:t xml:space="preserve">JSON blobs in Blob Storage hit size and query limits fast. Large JSON files become slow to parse, and you cannot query inside them without loading everything into memory. Use Blob Storage for archiving raw snapshots only — not for anything that needs querying.</w:t>
            </w:r>
          </w:p>
        </w:tc>
      </w:tr>
    </w:tbl>
    <w:p>
      <w:pPr>
        <w:spacing w:after="60" w:before="60"/>
      </w:pPr>
      <w:r>
        <w:t xml:space="preserve"/>
      </w:r>
    </w:p>
    <w:p>
      <w:pPr>
        <w:pStyle w:val="Heading2"/>
        <w:spacing w:after="100" w:before="240"/>
      </w:pPr>
      <w:r>
        <w:rPr>
          <w:rFonts w:ascii="Arial" w:cs="Arial" w:eastAsia="Arial" w:hAnsi="Arial"/>
          <w:b/>
          <w:bCs/>
          <w:color w:val="185FA5"/>
          <w:sz w:val="26"/>
          <w:szCs w:val="26"/>
        </w:rPr>
        <w:t xml:space="preserve">2.2  Key concept: the RunDate partition key</w:t>
      </w:r>
    </w:p>
    <w:p>
      <w:pPr>
        <w:spacing w:after="80" w:before="60"/>
      </w:pPr>
      <w:r>
        <w:rPr>
          <w:rFonts w:ascii="Arial" w:cs="Arial" w:eastAsia="Arial" w:hAnsi="Arial"/>
          <w:color w:val="333333"/>
          <w:sz w:val="22"/>
          <w:szCs w:val="22"/>
        </w:rPr>
        <w:t xml:space="preserve">Every row written by Databricks has a PartitionKey equal to the run date (e.g. 2026-04-18). This means all rows from a single daily job share the same partition. The RowKey is a unique identifier per record within that partition.</w:t>
      </w:r>
    </w:p>
    <w:p>
      <w:pPr>
        <w:spacing w:after="60" w:before="60"/>
      </w:pPr>
      <w:r>
        <w:t xml:space="preserve"/>
      </w:r>
    </w:p>
    <w:p>
      <w:pPr>
        <w:spacing w:after="80" w:before="60"/>
      </w:pPr>
      <w:r>
        <w:rPr>
          <w:rFonts w:ascii="Arial" w:cs="Arial" w:eastAsia="Arial" w:hAnsi="Arial"/>
          <w:color w:val="333333"/>
          <w:sz w:val="22"/>
          <w:szCs w:val="22"/>
        </w:rPr>
        <w:t xml:space="preserve">This pattern gives you three things at once:</w:t>
      </w:r>
    </w:p>
    <w:p>
      <w:pPr>
        <w:pStyle w:val="ListParagraph"/>
        <w:numPr>
          <w:ilvl w:val="0"/>
          <w:numId w:val="2"/>
        </w:numPr>
        <w:spacing w:after="40" w:before="40"/>
      </w:pPr>
      <w:r>
        <w:rPr>
          <w:rFonts w:ascii="Arial" w:cs="Arial" w:eastAsia="Arial" w:hAnsi="Arial"/>
          <w:color w:val="333333"/>
          <w:sz w:val="22"/>
          <w:szCs w:val="22"/>
        </w:rPr>
        <w:t xml:space="preserve">Time-travel: query any historical day by partition key alone</w:t>
      </w:r>
    </w:p>
    <w:p>
      <w:pPr>
        <w:pStyle w:val="ListParagraph"/>
        <w:numPr>
          <w:ilvl w:val="0"/>
          <w:numId w:val="2"/>
        </w:numPr>
        <w:spacing w:after="40" w:before="40"/>
      </w:pPr>
      <w:r>
        <w:rPr>
          <w:rFonts w:ascii="Arial" w:cs="Arial" w:eastAsia="Arial" w:hAnsi="Arial"/>
          <w:color w:val="333333"/>
          <w:sz w:val="22"/>
          <w:szCs w:val="22"/>
        </w:rPr>
        <w:t xml:space="preserve">Safe reruns: a new partition for a corrected run sits alongside the old one — nothing is deleted</w:t>
      </w:r>
    </w:p>
    <w:p>
      <w:pPr>
        <w:pStyle w:val="ListParagraph"/>
        <w:numPr>
          <w:ilvl w:val="0"/>
          <w:numId w:val="2"/>
        </w:numPr>
        <w:spacing w:after="40" w:before="40"/>
      </w:pPr>
      <w:r>
        <w:rPr>
          <w:rFonts w:ascii="Arial" w:cs="Arial" w:eastAsia="Arial" w:hAnsi="Arial"/>
          <w:color w:val="333333"/>
          <w:sz w:val="22"/>
          <w:szCs w:val="22"/>
        </w:rPr>
        <w:t xml:space="preserve">Fast queries: Azure Table Storage co-locates all rows in the same partition on the same storage node</w:t>
      </w:r>
    </w:p>
    <w:p>
      <w:pPr>
        <w:spacing w:after="60" w:before="60"/>
      </w:pPr>
      <w:r>
        <w:t xml:space="preserve"/>
      </w:r>
    </w:p>
    <w:p>
      <w:pPr>
        <w:pStyle w:val="Heading2"/>
        <w:spacing w:after="100" w:before="240"/>
      </w:pPr>
      <w:r>
        <w:rPr>
          <w:rFonts w:ascii="Arial" w:cs="Arial" w:eastAsia="Arial" w:hAnsi="Arial"/>
          <w:b/>
          <w:bCs/>
          <w:color w:val="185FA5"/>
          <w:sz w:val="26"/>
          <w:szCs w:val="26"/>
        </w:rPr>
        <w:t xml:space="preserve">2.3  Implementation steps</w:t>
      </w:r>
    </w:p>
    <w:p>
      <w:pPr>
        <w:spacing w:after="60" w:before="60"/>
      </w:pPr>
      <w:r>
        <w:t xml:space="preserve"/>
      </w:r>
    </w:p>
    <w:p>
      <w:pPr>
        <w:spacing w:after="80" w:before="180"/>
      </w:pPr>
      <w:r>
        <w:rPr>
          <w:rFonts w:ascii="Arial" w:cs="Arial" w:eastAsia="Arial" w:hAnsi="Arial"/>
          <w:b/>
          <w:bCs/>
          <w:color w:val="0F6E56"/>
          <w:sz w:val="22"/>
          <w:szCs w:val="22"/>
        </w:rPr>
        <w:t xml:space="preserve">Setup (Azure Portal)</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6E5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8760"/>
            <w:tcBorders>
              <w:top w:val="none" w:color="FFFFFF" w:sz="0"/>
              <w:left w:val="none" w:color="FFFFFF" w:sz="0"/>
              <w:bottom w:val="single" w:color="EEEEEE" w:sz="1"/>
              <w:right w:val="none" w:color="FFFFFF" w:sz="0"/>
            </w:tcBorders>
            <w:tcMar>
              <w:top w:type="dxa" w:w="80"/>
              <w:left w:type="dxa" w:w="160"/>
              <w:bottom w:type="dxa" w:w="80"/>
              <w:right w:type="dxa" w:w="80"/>
            </w:tcMar>
          </w:tcPr>
          <w:p>
            <w:pPr>
              <w:spacing w:after="0" w:before="0"/>
            </w:pPr>
            <w:r>
              <w:rPr>
                <w:rFonts w:ascii="Arial" w:cs="Arial" w:eastAsia="Arial" w:hAnsi="Arial"/>
                <w:color w:val="333333"/>
                <w:sz w:val="20"/>
                <w:szCs w:val="20"/>
              </w:rPr>
              <w:t xml:space="preserve">In Azure Portal, create a Databricks workspace. Enable VNet injection — this places cluster nodes inside your private subnet so they cannot be reached from the public internet.</w:t>
            </w:r>
          </w:p>
        </w:tc>
      </w:tr>
      <w:tr>
        <w:tc>
          <w:tcPr>
            <w:tcW w:type="dxa" w:w="600"/>
            <w:tcBorders>
              <w:top w:val="none" w:color="FFFFFF" w:sz="0"/>
              <w:left w:val="none" w:color="FFFFFF" w:sz="0"/>
              <w:bottom w:val="none" w:color="FFFFFF" w:sz="0"/>
              <w:right w:val="none" w:color="FFFFFF" w:sz="0"/>
            </w:tcBorders>
            <w:shd w:fill="0F6E5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8760"/>
            <w:tcBorders>
              <w:top w:val="none" w:color="FFFFFF" w:sz="0"/>
              <w:left w:val="none" w:color="FFFFFF" w:sz="0"/>
              <w:bottom w:val="single" w:color="EEEEEE" w:sz="1"/>
              <w:right w:val="none" w:color="FFFFFF" w:sz="0"/>
            </w:tcBorders>
            <w:tcMar>
              <w:top w:type="dxa" w:w="80"/>
              <w:left w:type="dxa" w:w="160"/>
              <w:bottom w:type="dxa" w:w="80"/>
              <w:right w:type="dxa" w:w="80"/>
            </w:tcMar>
          </w:tcPr>
          <w:p>
            <w:pPr>
              <w:spacing w:after="0" w:before="0"/>
            </w:pPr>
            <w:r>
              <w:rPr>
                <w:rFonts w:ascii="Arial" w:cs="Arial" w:eastAsia="Arial" w:hAnsi="Arial"/>
                <w:color w:val="333333"/>
                <w:sz w:val="20"/>
                <w:szCs w:val="20"/>
              </w:rPr>
              <w:t xml:space="preserve">Create an Azure Storage Account. For Table Storage, a standard StorageV2 account works. Enable hierarchical namespace only if you also need ADLS Gen2 (Data Lake).</w:t>
            </w:r>
          </w:p>
        </w:tc>
      </w:tr>
      <w:tr>
        <w:tc>
          <w:tcPr>
            <w:tcW w:type="dxa" w:w="600"/>
            <w:tcBorders>
              <w:top w:val="none" w:color="FFFFFF" w:sz="0"/>
              <w:left w:val="none" w:color="FFFFFF" w:sz="0"/>
              <w:bottom w:val="none" w:color="FFFFFF" w:sz="0"/>
              <w:right w:val="none" w:color="FFFFFF" w:sz="0"/>
            </w:tcBorders>
            <w:shd w:fill="0F6E5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8760"/>
            <w:tcBorders>
              <w:top w:val="none" w:color="FFFFFF" w:sz="0"/>
              <w:left w:val="none" w:color="FFFFFF" w:sz="0"/>
              <w:bottom w:val="single" w:color="EEEEEE" w:sz="1"/>
              <w:right w:val="none" w:color="FFFFFF" w:sz="0"/>
            </w:tcBorders>
            <w:tcMar>
              <w:top w:type="dxa" w:w="80"/>
              <w:left w:type="dxa" w:w="160"/>
              <w:bottom w:type="dxa" w:w="80"/>
              <w:right w:type="dxa" w:w="80"/>
            </w:tcMar>
          </w:tcPr>
          <w:p>
            <w:pPr>
              <w:spacing w:after="0" w:before="0"/>
            </w:pPr>
            <w:r>
              <w:rPr>
                <w:rFonts w:ascii="Arial" w:cs="Arial" w:eastAsia="Arial" w:hAnsi="Arial"/>
                <w:color w:val="333333"/>
                <w:sz w:val="20"/>
                <w:szCs w:val="20"/>
              </w:rPr>
              <w:t xml:space="preserve">Inside the Storage Account, navigate to Tables and create a table — for example, DailySnapshots.</w:t>
            </w:r>
          </w:p>
        </w:tc>
      </w:tr>
      <w:tr>
        <w:tc>
          <w:tcPr>
            <w:tcW w:type="dxa" w:w="600"/>
            <w:tcBorders>
              <w:top w:val="none" w:color="FFFFFF" w:sz="0"/>
              <w:left w:val="none" w:color="FFFFFF" w:sz="0"/>
              <w:bottom w:val="none" w:color="FFFFFF" w:sz="0"/>
              <w:right w:val="none" w:color="FFFFFF" w:sz="0"/>
            </w:tcBorders>
            <w:shd w:fill="0F6E5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8760"/>
            <w:tcBorders>
              <w:top w:val="none" w:color="FFFFFF" w:sz="0"/>
              <w:left w:val="none" w:color="FFFFFF" w:sz="0"/>
              <w:bottom w:val="single" w:color="EEEEEE" w:sz="1"/>
              <w:right w:val="none" w:color="FFFFFF" w:sz="0"/>
            </w:tcBorders>
            <w:tcMar>
              <w:top w:type="dxa" w:w="80"/>
              <w:left w:type="dxa" w:w="160"/>
              <w:bottom w:type="dxa" w:w="80"/>
              <w:right w:type="dxa" w:w="80"/>
            </w:tcMar>
          </w:tcPr>
          <w:p>
            <w:pPr>
              <w:spacing w:after="0" w:before="0"/>
            </w:pPr>
            <w:r>
              <w:rPr>
                <w:rFonts w:ascii="Arial" w:cs="Arial" w:eastAsia="Arial" w:hAnsi="Arial"/>
                <w:color w:val="333333"/>
                <w:sz w:val="20"/>
                <w:szCs w:val="20"/>
              </w:rPr>
              <w:t xml:space="preserve">Assign Databricks's managed identity the 'Storage Table Data Contributor' role on the storage account. This avoids hardcoded connection strings.</w:t>
            </w:r>
          </w:p>
        </w:tc>
      </w:tr>
    </w:tbl>
    <w:p>
      <w:pPr>
        <w:spacing w:after="60" w:before="60"/>
      </w:pPr>
      <w:r>
        <w:t xml:space="preserve"/>
      </w:r>
    </w:p>
    <w:p>
      <w:pPr>
        <w:spacing w:after="80" w:before="180"/>
      </w:pPr>
      <w:r>
        <w:rPr>
          <w:rFonts w:ascii="Arial" w:cs="Arial" w:eastAsia="Arial" w:hAnsi="Arial"/>
          <w:b/>
          <w:bCs/>
          <w:color w:val="0F6E56"/>
          <w:sz w:val="22"/>
          <w:szCs w:val="22"/>
        </w:rPr>
        <w:t xml:space="preserve">Write pattern in Databricks</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F6E5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8760"/>
            <w:tcBorders>
              <w:top w:val="none" w:color="FFFFFF" w:sz="0"/>
              <w:left w:val="none" w:color="FFFFFF" w:sz="0"/>
              <w:bottom w:val="single" w:color="EEEEEE" w:sz="1"/>
              <w:right w:val="none" w:color="FFFFFF" w:sz="0"/>
            </w:tcBorders>
            <w:tcMar>
              <w:top w:type="dxa" w:w="80"/>
              <w:left w:type="dxa" w:w="160"/>
              <w:bottom w:type="dxa" w:w="80"/>
              <w:right w:type="dxa" w:w="80"/>
            </w:tcMar>
          </w:tcPr>
          <w:p>
            <w:pPr>
              <w:spacing w:after="0" w:before="0"/>
            </w:pPr>
            <w:r>
              <w:rPr>
                <w:rFonts w:ascii="Arial" w:cs="Arial" w:eastAsia="Arial" w:hAnsi="Arial"/>
                <w:color w:val="333333"/>
                <w:sz w:val="20"/>
                <w:szCs w:val="20"/>
              </w:rPr>
              <w:t xml:space="preserve">In your Databricks notebook, construct each entity with PartitionKey = RunDate (e.g. 2026-04-18) and a unique RowKey per record (e.g. a UUID or composite business key).</w:t>
            </w:r>
          </w:p>
        </w:tc>
      </w:tr>
      <w:tr>
        <w:tc>
          <w:tcPr>
            <w:tcW w:type="dxa" w:w="600"/>
            <w:tcBorders>
              <w:top w:val="none" w:color="FFFFFF" w:sz="0"/>
              <w:left w:val="none" w:color="FFFFFF" w:sz="0"/>
              <w:bottom w:val="none" w:color="FFFFFF" w:sz="0"/>
              <w:right w:val="none" w:color="FFFFFF" w:sz="0"/>
            </w:tcBorders>
            <w:shd w:fill="0F6E5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8760"/>
            <w:tcBorders>
              <w:top w:val="none" w:color="FFFFFF" w:sz="0"/>
              <w:left w:val="none" w:color="FFFFFF" w:sz="0"/>
              <w:bottom w:val="single" w:color="EEEEEE" w:sz="1"/>
              <w:right w:val="none" w:color="FFFFFF" w:sz="0"/>
            </w:tcBorders>
            <w:tcMar>
              <w:top w:type="dxa" w:w="80"/>
              <w:left w:type="dxa" w:w="160"/>
              <w:bottom w:type="dxa" w:w="80"/>
              <w:right w:type="dxa" w:w="80"/>
            </w:tcMar>
          </w:tcPr>
          <w:p>
            <w:pPr>
              <w:spacing w:after="0" w:before="0"/>
            </w:pPr>
            <w:r>
              <w:rPr>
                <w:rFonts w:ascii="Arial" w:cs="Arial" w:eastAsia="Arial" w:hAnsi="Arial"/>
                <w:color w:val="333333"/>
                <w:sz w:val="20"/>
                <w:szCs w:val="20"/>
              </w:rPr>
              <w:t xml:space="preserve">Use the azure-data-tables Python library to batch-insert rows using upsert_merge or create_entity. Never update or delete — only ever insert new partitions.</w:t>
            </w:r>
          </w:p>
        </w:tc>
      </w:tr>
      <w:tr>
        <w:tc>
          <w:tcPr>
            <w:tcW w:type="dxa" w:w="600"/>
            <w:tcBorders>
              <w:top w:val="none" w:color="FFFFFF" w:sz="0"/>
              <w:left w:val="none" w:color="FFFFFF" w:sz="0"/>
              <w:bottom w:val="none" w:color="FFFFFF" w:sz="0"/>
              <w:right w:val="none" w:color="FFFFFF" w:sz="0"/>
            </w:tcBorders>
            <w:shd w:fill="0F6E5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8760"/>
            <w:tcBorders>
              <w:top w:val="none" w:color="FFFFFF" w:sz="0"/>
              <w:left w:val="none" w:color="FFFFFF" w:sz="0"/>
              <w:bottom w:val="single" w:color="EEEEEE" w:sz="1"/>
              <w:right w:val="none" w:color="FFFFFF" w:sz="0"/>
            </w:tcBorders>
            <w:tcMar>
              <w:top w:type="dxa" w:w="80"/>
              <w:left w:type="dxa" w:w="160"/>
              <w:bottom w:type="dxa" w:w="80"/>
              <w:right w:type="dxa" w:w="80"/>
            </w:tcMar>
          </w:tcPr>
          <w:p>
            <w:pPr>
              <w:spacing w:after="0" w:before="0"/>
            </w:pPr>
            <w:r>
              <w:rPr>
                <w:rFonts w:ascii="Arial" w:cs="Arial" w:eastAsia="Arial" w:hAnsi="Arial"/>
                <w:color w:val="333333"/>
                <w:sz w:val="20"/>
                <w:szCs w:val="20"/>
              </w:rPr>
              <w:t xml:space="preserve">Schedule the job via Databricks Workflows (the built-in scheduler). Set a daily trigger at a fixed UTC time. Configure alerts on failure.</w:t>
            </w:r>
          </w:p>
        </w:tc>
      </w:tr>
      <w:tr>
        <w:tc>
          <w:tcPr>
            <w:tcW w:type="dxa" w:w="600"/>
            <w:tcBorders>
              <w:top w:val="none" w:color="FFFFFF" w:sz="0"/>
              <w:left w:val="none" w:color="FFFFFF" w:sz="0"/>
              <w:bottom w:val="none" w:color="FFFFFF" w:sz="0"/>
              <w:right w:val="none" w:color="FFFFFF" w:sz="0"/>
            </w:tcBorders>
            <w:shd w:fill="0F6E5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8760"/>
            <w:tcBorders>
              <w:top w:val="none" w:color="FFFFFF" w:sz="0"/>
              <w:left w:val="none" w:color="FFFFFF" w:sz="0"/>
              <w:bottom w:val="single" w:color="EEEEEE" w:sz="1"/>
              <w:right w:val="none" w:color="FFFFFF" w:sz="0"/>
            </w:tcBorders>
            <w:tcMar>
              <w:top w:type="dxa" w:w="80"/>
              <w:left w:type="dxa" w:w="160"/>
              <w:bottom w:type="dxa" w:w="80"/>
              <w:right w:type="dxa" w:w="80"/>
            </w:tcMar>
          </w:tcPr>
          <w:p>
            <w:pPr>
              <w:spacing w:after="0" w:before="0"/>
            </w:pPr>
            <w:r>
              <w:rPr>
                <w:rFonts w:ascii="Arial" w:cs="Arial" w:eastAsia="Arial" w:hAnsi="Arial"/>
                <w:color w:val="333333"/>
                <w:sz w:val="20"/>
                <w:szCs w:val="20"/>
              </w:rPr>
              <w:t xml:space="preserve">For raw JSON archiving: also write the full dataset as a JSON blob to Blob Storage under a path like raw/2026-04-18.json. This is your disaster-recovery copy.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93C1D" w:val="clear"/>
            <w:tcMar>
              <w:top w:type="dxa" w:w="160"/>
              <w:left w:type="dxa" w:w="240"/>
              <w:bottom w:type="dxa" w:w="160"/>
              <w:right w:type="dxa" w:w="240"/>
            </w:tcMar>
          </w:tcPr>
          <w:p>
            <w:pPr>
              <w:spacing w:after="40" w:before="0"/>
            </w:pPr>
            <w:r>
              <w:rPr>
                <w:rFonts w:ascii="Arial" w:cs="Arial" w:eastAsia="Arial" w:hAnsi="Arial"/>
                <w:color w:val="DDDDDD"/>
                <w:sz w:val="20"/>
                <w:szCs w:val="20"/>
              </w:rPr>
              <w:t xml:space="preserve">Section 3</w:t>
            </w:r>
          </w:p>
          <w:p>
            <w:pPr>
              <w:spacing w:after="30" w:before="0"/>
            </w:pPr>
            <w:r>
              <w:rPr>
                <w:rFonts w:ascii="Arial" w:cs="Arial" w:eastAsia="Arial" w:hAnsi="Arial"/>
                <w:b/>
                <w:bCs/>
                <w:color w:val="FFFFFF"/>
                <w:sz w:val="32"/>
                <w:szCs w:val="32"/>
              </w:rPr>
              <w:t xml:space="preserve">VNet &amp; Service Bus Messaging</w:t>
            </w:r>
          </w:p>
          <w:p>
            <w:pPr>
              <w:spacing w:after="0" w:before="0"/>
            </w:pPr>
            <w:r>
              <w:rPr>
                <w:rFonts w:ascii="Arial" w:cs="Arial" w:eastAsia="Arial" w:hAnsi="Arial"/>
                <w:color w:val="DDDDDD"/>
                <w:sz w:val="20"/>
                <w:szCs w:val="20"/>
              </w:rPr>
              <w:t xml:space="preserve">Why the direct proxy approach fails and how pub/sub solves it</w:t>
            </w:r>
          </w:p>
        </w:tc>
      </w:tr>
    </w:tbl>
    <w:p>
      <w:pPr>
        <w:spacing w:after="60" w:before="60"/>
      </w:pPr>
      <w:r>
        <w:t xml:space="preserve"/>
      </w:r>
    </w:p>
    <w:p>
      <w:pPr>
        <w:pStyle w:val="Heading2"/>
        <w:spacing w:after="100" w:before="240"/>
      </w:pPr>
      <w:r>
        <w:rPr>
          <w:rFonts w:ascii="Arial" w:cs="Arial" w:eastAsia="Arial" w:hAnsi="Arial"/>
          <w:b/>
          <w:bCs/>
          <w:color w:val="185FA5"/>
          <w:sz w:val="26"/>
          <w:szCs w:val="26"/>
        </w:rPr>
        <w:t xml:space="preserve">3.1  The core constraint — why can't we call Databricks directly?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1"/>
              <w:left w:val="single" w:color="993C1D" w:sz="16"/>
              <w:bottom w:val="single" w:color="993C1D" w:sz="1"/>
              <w:right w:val="single" w:color="993C1D" w:sz="1"/>
            </w:tcBorders>
            <w:shd w:fill="FAECE7" w:val="clear"/>
            <w:tcMar>
              <w:top w:type="dxa" w:w="120"/>
              <w:left w:type="dxa" w:w="180"/>
              <w:bottom w:type="dxa" w:w="120"/>
              <w:right w:type="dxa" w:w="180"/>
            </w:tcMar>
          </w:tcPr>
          <w:p>
            <w:pPr>
              <w:spacing w:after="60" w:before="40"/>
            </w:pPr>
            <w:r>
              <w:rPr>
                <w:rFonts w:ascii="Arial" w:cs="Arial" w:eastAsia="Arial" w:hAnsi="Arial"/>
                <w:b/>
                <w:bCs/>
                <w:color w:val="993C1D"/>
                <w:sz w:val="22"/>
                <w:szCs w:val="22"/>
              </w:rPr>
              <w:t xml:space="preserve">Critical constraint: VNet encapsulation</w:t>
            </w:r>
          </w:p>
          <w:p>
            <w:pPr>
              <w:spacing w:after="40" w:before="0"/>
            </w:pPr>
            <w:r>
              <w:rPr>
                <w:rFonts w:ascii="Arial" w:cs="Arial" w:eastAsia="Arial" w:hAnsi="Arial"/>
                <w:color w:val="333333"/>
                <w:sz w:val="20"/>
                <w:szCs w:val="20"/>
              </w:rPr>
              <w:t xml:space="preserve">When Databricks is deployed with VNet injection, it has no public IP. Services outside the VNet — including Azure-hosted APIs — cannot reach it directly over HTTP. Any direct call or API Management proxy approach will fail at the network layer before your code even runs.</w:t>
            </w:r>
          </w:p>
        </w:tc>
      </w:tr>
    </w:tbl>
    <w:p>
      <w:pPr>
        <w:spacing w:after="60" w:before="60"/>
      </w:pPr>
      <w:r>
        <w:t xml:space="preserve"/>
      </w:r>
    </w:p>
    <w:p>
      <w:pPr>
        <w:spacing w:after="80" w:before="60"/>
      </w:pPr>
      <w:r>
        <w:rPr>
          <w:rFonts w:ascii="Arial" w:cs="Arial" w:eastAsia="Arial" w:hAnsi="Arial"/>
          <w:color w:val="333333"/>
          <w:sz w:val="22"/>
          <w:szCs w:val="22"/>
        </w:rPr>
        <w:t xml:space="preserve">This is not a configuration problem that can be tweaked — it is the intended security behaviour of VNet encapsulation. The correct architectural response is to flip the connection direction: instead of pushing calls into the VNet, let a consumer inside the VNet pull messages from a broker on the outside.</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60"/>
        <w:gridCol w:w="456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1"/>
                    <w:left w:val="single" w:color="993C1D" w:sz="12"/>
                    <w:bottom w:val="single" w:color="CCCCCC" w:sz="1"/>
                    <w:right w:val="single" w:color="CCCCCC" w:sz="1"/>
                  </w:tcBorders>
                  <w:shd w:fill="FAECE7" w:val="clear"/>
                  <w:tcMar>
                    <w:top w:type="dxa" w:w="120"/>
                    <w:left w:type="dxa" w:w="180"/>
                    <w:bottom w:type="dxa" w:w="120"/>
                    <w:right w:type="dxa" w:w="180"/>
                  </w:tcMar>
                </w:tcPr>
                <w:p>
                  <w:pPr>
                    <w:spacing w:after="80" w:before="60"/>
                  </w:pPr>
                  <w:r>
                    <w:rPr>
                      <w:rFonts w:ascii="Arial" w:cs="Arial" w:eastAsia="Arial" w:hAnsi="Arial"/>
                      <w:b/>
                      <w:bCs/>
                      <w:color w:val="993C1D"/>
                      <w:sz w:val="22"/>
                      <w:szCs w:val="22"/>
                    </w:rPr>
                    <w:t xml:space="preserve">Why Service Bus (pub/sub)?</w:t>
                  </w:r>
                </w:p>
                <w:p>
                  <w:pPr>
                    <w:pStyle w:val="ListParagraph"/>
                    <w:numPr>
                      <w:ilvl w:val="0"/>
                      <w:numId w:val="2"/>
                    </w:numPr>
                    <w:spacing w:after="30" w:before="30"/>
                  </w:pPr>
                  <w:r>
                    <w:rPr>
                      <w:rFonts w:ascii="Arial" w:cs="Arial" w:eastAsia="Arial" w:hAnsi="Arial"/>
                      <w:color w:val="333333"/>
                      <w:sz w:val="20"/>
                      <w:szCs w:val="20"/>
                    </w:rPr>
                    <w:t xml:space="preserve">Service Bus is a managed message broker — your API publishes a message to a queue</w:t>
                  </w:r>
                </w:p>
                <w:p>
                  <w:pPr>
                    <w:pStyle w:val="ListParagraph"/>
                    <w:numPr>
                      <w:ilvl w:val="0"/>
                      <w:numId w:val="2"/>
                    </w:numPr>
                    <w:spacing w:after="30" w:before="30"/>
                  </w:pPr>
                  <w:r>
                    <w:rPr>
                      <w:rFonts w:ascii="Arial" w:cs="Arial" w:eastAsia="Arial" w:hAnsi="Arial"/>
                      <w:color w:val="333333"/>
                      <w:sz w:val="20"/>
                      <w:szCs w:val="20"/>
                    </w:rPr>
                    <w:t xml:space="preserve">A consumer inside the VNet (EVA Orchestrator) polls the queue and acts on it</w:t>
                  </w:r>
                </w:p>
                <w:p>
                  <w:pPr>
                    <w:pStyle w:val="ListParagraph"/>
                    <w:numPr>
                      <w:ilvl w:val="0"/>
                      <w:numId w:val="2"/>
                    </w:numPr>
                    <w:spacing w:after="30" w:before="30"/>
                  </w:pPr>
                  <w:r>
                    <w:rPr>
                      <w:rFonts w:ascii="Arial" w:cs="Arial" w:eastAsia="Arial" w:hAnsi="Arial"/>
                      <w:color w:val="333333"/>
                      <w:sz w:val="20"/>
                      <w:szCs w:val="20"/>
                    </w:rPr>
                    <w:t xml:space="preserve">The consumer pulls outbound — no inbound firewall holes needed</w:t>
                  </w:r>
                </w:p>
                <w:p>
                  <w:pPr>
                    <w:pStyle w:val="ListParagraph"/>
                    <w:numPr>
                      <w:ilvl w:val="0"/>
                      <w:numId w:val="2"/>
                    </w:numPr>
                    <w:spacing w:after="30" w:before="30"/>
                  </w:pPr>
                  <w:r>
                    <w:rPr>
                      <w:rFonts w:ascii="Arial" w:cs="Arial" w:eastAsia="Arial" w:hAnsi="Arial"/>
                      <w:color w:val="333333"/>
                      <w:sz w:val="20"/>
                      <w:szCs w:val="20"/>
                    </w:rPr>
                    <w:t xml:space="preserve">The internet never touches Databricks directly</w:t>
                  </w:r>
                </w:p>
                <w:p>
                  <w:pPr>
                    <w:pStyle w:val="ListParagraph"/>
                    <w:numPr>
                      <w:ilvl w:val="0"/>
                      <w:numId w:val="2"/>
                    </w:numPr>
                    <w:spacing w:after="30" w:before="30"/>
                  </w:pPr>
                  <w:r>
                    <w:rPr>
                      <w:rFonts w:ascii="Arial" w:cs="Arial" w:eastAsia="Arial" w:hAnsi="Arial"/>
                      <w:color w:val="333333"/>
                      <w:sz w:val="20"/>
                      <w:szCs w:val="20"/>
                    </w:rPr>
                    <w:t xml:space="preserve">Built-in retry, dead-letter queue, and at-least-once delivery</w:t>
                  </w:r>
                </w:p>
              </w:tc>
            </w:tr>
          </w:tbl>
          <w:p/>
        </w:tc>
        <w:tc>
          <w:tcPr>
            <w:tcW w:type="dxa" w:w="4560"/>
            <w:tcBorders>
              <w:top w:val="none" w:color="FFFFFF" w:sz="0"/>
              <w:left w:val="none" w:color="FFFFFF" w:sz="0"/>
              <w:bottom w:val="none" w:color="FFFFFF" w:sz="0"/>
              <w:right w:val="none" w:color="FFFFFF" w:sz="0"/>
            </w:tcBorders>
            <w:tcMar>
              <w:top w:type="dxa" w:w="0"/>
              <w:left w:type="dxa" w:w="20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1"/>
                    <w:left w:val="single" w:color="185FA5" w:sz="12"/>
                    <w:bottom w:val="single" w:color="CCCCCC" w:sz="1"/>
                    <w:right w:val="single" w:color="CCCCCC" w:sz="1"/>
                  </w:tcBorders>
                  <w:shd w:fill="D5E8F7" w:val="clear"/>
                  <w:tcMar>
                    <w:top w:type="dxa" w:w="120"/>
                    <w:left w:type="dxa" w:w="180"/>
                    <w:bottom w:type="dxa" w:w="120"/>
                    <w:right w:type="dxa" w:w="180"/>
                  </w:tcMar>
                </w:tcPr>
                <w:p>
                  <w:pPr>
                    <w:spacing w:after="80" w:before="60"/>
                  </w:pPr>
                  <w:r>
                    <w:rPr>
                      <w:rFonts w:ascii="Arial" w:cs="Arial" w:eastAsia="Arial" w:hAnsi="Arial"/>
                      <w:b/>
                      <w:bCs/>
                      <w:color w:val="185FA5"/>
                      <w:sz w:val="22"/>
                      <w:szCs w:val="22"/>
                    </w:rPr>
                    <w:t xml:space="preserve">Why not API Management as a direct proxy?</w:t>
                  </w:r>
                </w:p>
                <w:p>
                  <w:pPr>
                    <w:pStyle w:val="ListParagraph"/>
                    <w:numPr>
                      <w:ilvl w:val="0"/>
                      <w:numId w:val="2"/>
                    </w:numPr>
                    <w:spacing w:after="30" w:before="30"/>
                  </w:pPr>
                  <w:r>
                    <w:rPr>
                      <w:rFonts w:ascii="Arial" w:cs="Arial" w:eastAsia="Arial" w:hAnsi="Arial"/>
                      <w:color w:val="333333"/>
                      <w:sz w:val="20"/>
                      <w:szCs w:val="20"/>
                    </w:rPr>
                    <w:t xml:space="preserve">APIM can proxy to backend services but only if those backends have a reachable endpoint</w:t>
                  </w:r>
                </w:p>
                <w:p>
                  <w:pPr>
                    <w:pStyle w:val="ListParagraph"/>
                    <w:numPr>
                      <w:ilvl w:val="0"/>
                      <w:numId w:val="2"/>
                    </w:numPr>
                    <w:spacing w:after="30" w:before="30"/>
                  </w:pPr>
                  <w:r>
                    <w:rPr>
                      <w:rFonts w:ascii="Arial" w:cs="Arial" w:eastAsia="Arial" w:hAnsi="Arial"/>
                      <w:color w:val="333333"/>
                      <w:sz w:val="20"/>
                      <w:szCs w:val="20"/>
                    </w:rPr>
                    <w:t xml:space="preserve">A VNet-enclosed Databricks cluster has no such endpoint from APIM's perspective</w:t>
                  </w:r>
                </w:p>
                <w:p>
                  <w:pPr>
                    <w:pStyle w:val="ListParagraph"/>
                    <w:numPr>
                      <w:ilvl w:val="0"/>
                      <w:numId w:val="2"/>
                    </w:numPr>
                    <w:spacing w:after="30" w:before="30"/>
                  </w:pPr>
                  <w:r>
                    <w:rPr>
                      <w:rFonts w:ascii="Arial" w:cs="Arial" w:eastAsia="Arial" w:hAnsi="Arial"/>
                      <w:color w:val="333333"/>
                      <w:sz w:val="20"/>
                      <w:szCs w:val="20"/>
                    </w:rPr>
                    <w:t xml:space="preserve">You would need Private Endpoints + VNet peering — significant extra complexity</w:t>
                  </w:r>
                </w:p>
                <w:p>
                  <w:pPr>
                    <w:pStyle w:val="ListParagraph"/>
                    <w:numPr>
                      <w:ilvl w:val="0"/>
                      <w:numId w:val="2"/>
                    </w:numPr>
                    <w:spacing w:after="30" w:before="30"/>
                  </w:pPr>
                  <w:r>
                    <w:rPr>
                      <w:rFonts w:ascii="Arial" w:cs="Arial" w:eastAsia="Arial" w:hAnsi="Arial"/>
                      <w:color w:val="333333"/>
                      <w:sz w:val="20"/>
                      <w:szCs w:val="20"/>
                    </w:rPr>
                    <w:t xml:space="preserve">Service Bus is simpler, more reliable, and purpose-built for this pattern</w:t>
                  </w:r>
                </w:p>
                <w:p>
                  <w:pPr>
                    <w:pStyle w:val="ListParagraph"/>
                    <w:numPr>
                      <w:ilvl w:val="0"/>
                      <w:numId w:val="2"/>
                    </w:numPr>
                    <w:spacing w:after="30" w:before="30"/>
                  </w:pPr>
                  <w:r>
                    <w:rPr>
                      <w:rFonts w:ascii="Arial" w:cs="Arial" w:eastAsia="Arial" w:hAnsi="Arial"/>
                      <w:color w:val="333333"/>
                      <w:sz w:val="20"/>
                      <w:szCs w:val="20"/>
                    </w:rPr>
                    <w:t xml:space="preserve">APIM still handles JWT validation — it just does not proxy to Databricks</w:t>
                  </w:r>
                </w:p>
              </w:tc>
            </w:tr>
          </w:tbl>
          <w:p/>
        </w:tc>
      </w:tr>
    </w:tbl>
    <w:p>
      <w:pPr>
        <w:spacing w:after="60" w:before="60"/>
      </w:pPr>
      <w:r>
        <w:t xml:space="preserve"/>
      </w:r>
    </w:p>
    <w:p>
      <w:pPr>
        <w:pStyle w:val="Heading2"/>
        <w:spacing w:after="100" w:before="240"/>
      </w:pPr>
      <w:r>
        <w:rPr>
          <w:rFonts w:ascii="Arial" w:cs="Arial" w:eastAsia="Arial" w:hAnsi="Arial"/>
          <w:b/>
          <w:bCs/>
          <w:color w:val="185FA5"/>
          <w:sz w:val="26"/>
          <w:szCs w:val="26"/>
        </w:rPr>
        <w:t xml:space="preserve">3.2  How the message flow works (step by step)</w:t>
      </w:r>
    </w:p>
    <w:p>
      <w:pPr>
        <w:spacing w:after="60" w:before="60"/>
      </w:pPr>
      <w:r>
        <w:t xml:space="preserve"/>
      </w:r>
    </w:p>
    <w:p>
      <w:pPr>
        <w:spacing w:after="80" w:before="60"/>
      </w:pPr>
      <w:r>
        <w:rPr>
          <w:rFonts w:ascii="Arial" w:cs="Arial" w:eastAsia="Arial" w:hAnsi="Arial"/>
          <w:color w:val="333333"/>
          <w:sz w:val="22"/>
          <w:szCs w:val="22"/>
        </w:rPr>
        <w:t xml:space="preserve">Here is what happens when a user action triggers a Databricks job:</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000"/>
        <w:gridCol w:w="5840"/>
      </w:tblGrid>
      <w:tr>
        <w:tc>
          <w:tcPr>
            <w:tcW w:type="dxa" w:w="520"/>
            <w:tcBorders>
              <w:top w:val="single" w:color="CCCCCC" w:sz="1"/>
              <w:left w:val="single" w:color="CCCCCC" w:sz="1"/>
              <w:bottom w:val="single" w:color="CCCCCC" w:sz="1"/>
              <w:right w:val="single" w:color="CCCCCC" w:sz="1"/>
            </w:tcBorders>
            <w:shd w:fill="993C1D"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Who acts</w:t>
            </w:r>
          </w:p>
        </w:tc>
        <w:tc>
          <w:tcPr>
            <w:tcW w:type="dxa" w:w="584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993C1D"/>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Browser / SPA</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triggers an action. The SPA calls the backend API with a JWT token.</w:t>
            </w:r>
          </w:p>
        </w:tc>
      </w:tr>
      <w:tr>
        <w:tc>
          <w:tcPr>
            <w:tcW w:type="dxa" w:w="520"/>
            <w:tcBorders>
              <w:top w:val="single" w:color="CCCCCC" w:sz="1"/>
              <w:left w:val="single" w:color="CCCCCC" w:sz="1"/>
              <w:bottom w:val="single" w:color="CCCCCC" w:sz="1"/>
              <w:right w:val="single" w:color="CCCCCC" w:sz="1"/>
            </w:tcBorders>
            <w:shd w:fill="F5F5F3" w:val="clear"/>
            <w:tcMar>
              <w:top w:type="dxa" w:w="80"/>
              <w:left w:type="dxa" w:w="100"/>
              <w:bottom w:type="dxa" w:w="80"/>
              <w:right w:type="dxa" w:w="100"/>
            </w:tcMar>
          </w:tcPr>
          <w:p>
            <w:pPr>
              <w:jc w:val="center"/>
            </w:pPr>
            <w:r>
              <w:rPr>
                <w:rFonts w:ascii="Arial" w:cs="Arial" w:eastAsia="Arial" w:hAnsi="Arial"/>
                <w:b/>
                <w:bCs/>
                <w:color w:val="993C1D"/>
                <w:sz w:val="20"/>
                <w:szCs w:val="20"/>
              </w:rPr>
              <w:t xml:space="preserve">2</w:t>
            </w:r>
          </w:p>
        </w:tc>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333333"/>
                <w:sz w:val="20"/>
                <w:szCs w:val="20"/>
              </w:rPr>
              <w:t xml:space="preserve">API Management</w:t>
            </w:r>
          </w:p>
        </w:tc>
        <w:tc>
          <w:tcPr>
            <w:tcW w:type="dxa" w:w="58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APIM validates the JWT against Azure AD. If valid, the request reaches your backend.</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993C1D"/>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Backend API</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API sends a JSON message to the Service Bus queue (job-trigger-queue). This is a fast fire-and-forget call — the API does not wait for Databricks.</w:t>
            </w:r>
          </w:p>
        </w:tc>
      </w:tr>
      <w:tr>
        <w:tc>
          <w:tcPr>
            <w:tcW w:type="dxa" w:w="520"/>
            <w:tcBorders>
              <w:top w:val="single" w:color="CCCCCC" w:sz="1"/>
              <w:left w:val="single" w:color="CCCCCC" w:sz="1"/>
              <w:bottom w:val="single" w:color="CCCCCC" w:sz="1"/>
              <w:right w:val="single" w:color="CCCCCC" w:sz="1"/>
            </w:tcBorders>
            <w:shd w:fill="F5F5F3" w:val="clear"/>
            <w:tcMar>
              <w:top w:type="dxa" w:w="80"/>
              <w:left w:type="dxa" w:w="100"/>
              <w:bottom w:type="dxa" w:w="80"/>
              <w:right w:type="dxa" w:w="100"/>
            </w:tcMar>
          </w:tcPr>
          <w:p>
            <w:pPr>
              <w:jc w:val="center"/>
            </w:pPr>
            <w:r>
              <w:rPr>
                <w:rFonts w:ascii="Arial" w:cs="Arial" w:eastAsia="Arial" w:hAnsi="Arial"/>
                <w:b/>
                <w:bCs/>
                <w:color w:val="993C1D"/>
                <w:sz w:val="20"/>
                <w:szCs w:val="20"/>
              </w:rPr>
              <w:t xml:space="preserve">4</w:t>
            </w:r>
          </w:p>
        </w:tc>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333333"/>
                <w:sz w:val="20"/>
                <w:szCs w:val="20"/>
              </w:rPr>
              <w:t xml:space="preserve">Service Bus</w:t>
            </w:r>
          </w:p>
        </w:tc>
        <w:tc>
          <w:tcPr>
            <w:tcW w:type="dxa" w:w="58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The message sits in the queue, guaranteed to be delivered at least once. If EVA Orchestrator is down, the message waits.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993C1D"/>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EVA Orchestrator (inside VNet)</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Orchestrator polls the queue continuously. It picks up the message, parses the job parameters, and calls the Databricks Jobs API — which is reachable inside the VNet.</w:t>
            </w:r>
          </w:p>
        </w:tc>
      </w:tr>
      <w:tr>
        <w:tc>
          <w:tcPr>
            <w:tcW w:type="dxa" w:w="520"/>
            <w:tcBorders>
              <w:top w:val="single" w:color="CCCCCC" w:sz="1"/>
              <w:left w:val="single" w:color="CCCCCC" w:sz="1"/>
              <w:bottom w:val="single" w:color="CCCCCC" w:sz="1"/>
              <w:right w:val="single" w:color="CCCCCC" w:sz="1"/>
            </w:tcBorders>
            <w:shd w:fill="F5F5F3" w:val="clear"/>
            <w:tcMar>
              <w:top w:type="dxa" w:w="80"/>
              <w:left w:type="dxa" w:w="100"/>
              <w:bottom w:type="dxa" w:w="80"/>
              <w:right w:type="dxa" w:w="100"/>
            </w:tcMar>
          </w:tcPr>
          <w:p>
            <w:pPr>
              <w:jc w:val="center"/>
            </w:pPr>
            <w:r>
              <w:rPr>
                <w:rFonts w:ascii="Arial" w:cs="Arial" w:eastAsia="Arial" w:hAnsi="Arial"/>
                <w:b/>
                <w:bCs/>
                <w:color w:val="993C1D"/>
                <w:sz w:val="20"/>
                <w:szCs w:val="20"/>
              </w:rPr>
              <w:t xml:space="preserve">6</w:t>
            </w:r>
          </w:p>
        </w:tc>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bCs/>
                <w:color w:val="333333"/>
                <w:sz w:val="20"/>
                <w:szCs w:val="20"/>
              </w:rPr>
              <w:t xml:space="preserve">Databricks</w:t>
            </w:r>
          </w:p>
        </w:tc>
        <w:tc>
          <w:tcPr>
            <w:tcW w:type="dxa" w:w="58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Runs the job. Results are written to Table Storage and Blob Storage.</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993C1D"/>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EVA Orchestrator</w:t>
            </w:r>
          </w:p>
        </w:tc>
        <w:tc>
          <w:tcPr>
            <w:tcW w:type="dxa" w:w="5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After a successful Databricks run, it completes the message (removes it from the queue). On failure, the message is dead-lettered after max retries.</w:t>
            </w:r>
          </w:p>
        </w:tc>
      </w:tr>
    </w:tbl>
    <w:p>
      <w:pPr>
        <w:spacing w:after="60" w:before="60"/>
      </w:pPr>
      <w:r>
        <w:t xml:space="preserve"/>
      </w:r>
    </w:p>
    <w:p>
      <w:pPr>
        <w:pStyle w:val="Heading2"/>
        <w:spacing w:after="100" w:before="240"/>
      </w:pPr>
      <w:r>
        <w:rPr>
          <w:rFonts w:ascii="Arial" w:cs="Arial" w:eastAsia="Arial" w:hAnsi="Arial"/>
          <w:b/>
          <w:bCs/>
          <w:color w:val="185FA5"/>
          <w:sz w:val="26"/>
          <w:szCs w:val="26"/>
        </w:rPr>
        <w:t xml:space="preserve">3.3  Implementation steps</w:t>
      </w:r>
    </w:p>
    <w:p>
      <w:pPr>
        <w:spacing w:after="60" w:before="60"/>
      </w:pPr>
      <w:r>
        <w:t xml:space="preserve"/>
      </w:r>
    </w:p>
    <w:p>
      <w:pPr>
        <w:spacing w:after="80" w:before="180"/>
      </w:pPr>
      <w:r>
        <w:rPr>
          <w:rFonts w:ascii="Arial" w:cs="Arial" w:eastAsia="Arial" w:hAnsi="Arial"/>
          <w:b/>
          <w:bCs/>
          <w:color w:val="993C1D"/>
          <w:sz w:val="22"/>
          <w:szCs w:val="22"/>
        </w:rPr>
        <w:t xml:space="preserve">Service Bus setup</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993C1D"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8760"/>
            <w:tcBorders>
              <w:top w:val="none" w:color="FFFFFF" w:sz="0"/>
              <w:left w:val="none" w:color="FFFFFF" w:sz="0"/>
              <w:bottom w:val="single" w:color="EEEEEE" w:sz="1"/>
              <w:right w:val="none" w:color="FFFFFF" w:sz="0"/>
            </w:tcBorders>
            <w:tcMar>
              <w:top w:type="dxa" w:w="80"/>
              <w:left w:type="dxa" w:w="160"/>
              <w:bottom w:type="dxa" w:w="80"/>
              <w:right w:type="dxa" w:w="80"/>
            </w:tcMar>
          </w:tcPr>
          <w:p>
            <w:pPr>
              <w:spacing w:after="0" w:before="0"/>
            </w:pPr>
            <w:r>
              <w:rPr>
                <w:rFonts w:ascii="Arial" w:cs="Arial" w:eastAsia="Arial" w:hAnsi="Arial"/>
                <w:color w:val="333333"/>
                <w:sz w:val="20"/>
                <w:szCs w:val="20"/>
              </w:rPr>
              <w:t xml:space="preserve">In Azure Portal → Service Bus → create a Namespace. Choose Standard or Premium tier. Premium is required if you need VNet service endpoints (recommended for production).</w:t>
            </w:r>
          </w:p>
        </w:tc>
      </w:tr>
      <w:tr>
        <w:tc>
          <w:tcPr>
            <w:tcW w:type="dxa" w:w="600"/>
            <w:tcBorders>
              <w:top w:val="none" w:color="FFFFFF" w:sz="0"/>
              <w:left w:val="none" w:color="FFFFFF" w:sz="0"/>
              <w:bottom w:val="none" w:color="FFFFFF" w:sz="0"/>
              <w:right w:val="none" w:color="FFFFFF" w:sz="0"/>
            </w:tcBorders>
            <w:shd w:fill="993C1D"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8760"/>
            <w:tcBorders>
              <w:top w:val="none" w:color="FFFFFF" w:sz="0"/>
              <w:left w:val="none" w:color="FFFFFF" w:sz="0"/>
              <w:bottom w:val="single" w:color="EEEEEE" w:sz="1"/>
              <w:right w:val="none" w:color="FFFFFF" w:sz="0"/>
            </w:tcBorders>
            <w:tcMar>
              <w:top w:type="dxa" w:w="80"/>
              <w:left w:type="dxa" w:w="160"/>
              <w:bottom w:type="dxa" w:w="80"/>
              <w:right w:type="dxa" w:w="80"/>
            </w:tcMar>
          </w:tcPr>
          <w:p>
            <w:pPr>
              <w:spacing w:after="0" w:before="0"/>
            </w:pPr>
            <w:r>
              <w:rPr>
                <w:rFonts w:ascii="Arial" w:cs="Arial" w:eastAsia="Arial" w:hAnsi="Arial"/>
                <w:color w:val="333333"/>
                <w:sz w:val="20"/>
                <w:szCs w:val="20"/>
              </w:rPr>
              <w:t xml:space="preserve">Create a Queue inside the namespace — for example, job-trigger-queue. Enable dead-lettering so failed messages do not disappear silently.</w:t>
            </w:r>
          </w:p>
        </w:tc>
      </w:tr>
      <w:tr>
        <w:tc>
          <w:tcPr>
            <w:tcW w:type="dxa" w:w="600"/>
            <w:tcBorders>
              <w:top w:val="none" w:color="FFFFFF" w:sz="0"/>
              <w:left w:val="none" w:color="FFFFFF" w:sz="0"/>
              <w:bottom w:val="none" w:color="FFFFFF" w:sz="0"/>
              <w:right w:val="none" w:color="FFFFFF" w:sz="0"/>
            </w:tcBorders>
            <w:shd w:fill="993C1D"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8760"/>
            <w:tcBorders>
              <w:top w:val="none" w:color="FFFFFF" w:sz="0"/>
              <w:left w:val="none" w:color="FFFFFF" w:sz="0"/>
              <w:bottom w:val="single" w:color="EEEEEE" w:sz="1"/>
              <w:right w:val="none" w:color="FFFFFF" w:sz="0"/>
            </w:tcBorders>
            <w:tcMar>
              <w:top w:type="dxa" w:w="80"/>
              <w:left w:type="dxa" w:w="160"/>
              <w:bottom w:type="dxa" w:w="80"/>
              <w:right w:type="dxa" w:w="80"/>
            </w:tcMar>
          </w:tcPr>
          <w:p>
            <w:pPr>
              <w:spacing w:after="0" w:before="0"/>
            </w:pPr>
            <w:r>
              <w:rPr>
                <w:rFonts w:ascii="Arial" w:cs="Arial" w:eastAsia="Arial" w:hAnsi="Arial"/>
                <w:color w:val="333333"/>
                <w:sz w:val="20"/>
                <w:szCs w:val="20"/>
              </w:rPr>
              <w:t xml:space="preserve">Create two Shared Access Policies: one with Send permission (used by your backend API) and one with Listen permission (used by EVA Orchestrator).</w:t>
            </w:r>
          </w:p>
        </w:tc>
      </w:tr>
      <w:tr>
        <w:tc>
          <w:tcPr>
            <w:tcW w:type="dxa" w:w="600"/>
            <w:tcBorders>
              <w:top w:val="none" w:color="FFFFFF" w:sz="0"/>
              <w:left w:val="none" w:color="FFFFFF" w:sz="0"/>
              <w:bottom w:val="none" w:color="FFFFFF" w:sz="0"/>
              <w:right w:val="none" w:color="FFFFFF" w:sz="0"/>
            </w:tcBorders>
            <w:shd w:fill="993C1D"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8760"/>
            <w:tcBorders>
              <w:top w:val="none" w:color="FFFFFF" w:sz="0"/>
              <w:left w:val="none" w:color="FFFFFF" w:sz="0"/>
              <w:bottom w:val="single" w:color="EEEEEE" w:sz="1"/>
              <w:right w:val="none" w:color="FFFFFF" w:sz="0"/>
            </w:tcBorders>
            <w:tcMar>
              <w:top w:type="dxa" w:w="80"/>
              <w:left w:type="dxa" w:w="160"/>
              <w:bottom w:type="dxa" w:w="80"/>
              <w:right w:type="dxa" w:w="80"/>
            </w:tcMar>
          </w:tcPr>
          <w:p>
            <w:pPr>
              <w:spacing w:after="0" w:before="0"/>
            </w:pPr>
            <w:r>
              <w:rPr>
                <w:rFonts w:ascii="Arial" w:cs="Arial" w:eastAsia="Arial" w:hAnsi="Arial"/>
                <w:color w:val="333333"/>
                <w:sz w:val="20"/>
                <w:szCs w:val="20"/>
              </w:rPr>
              <w:t xml:space="preserve">Restrict the namespace to your VNet subnet using network firewall rules — so only the VNet and your API's IP range can reach the Service Bus endpoint.</w:t>
            </w:r>
          </w:p>
        </w:tc>
      </w:tr>
    </w:tbl>
    <w:p>
      <w:pPr>
        <w:spacing w:after="60" w:before="60"/>
      </w:pPr>
      <w:r>
        <w:t xml:space="preserve"/>
      </w:r>
    </w:p>
    <w:p>
      <w:pPr>
        <w:spacing w:after="80" w:before="180"/>
      </w:pPr>
      <w:r>
        <w:rPr>
          <w:rFonts w:ascii="Arial" w:cs="Arial" w:eastAsia="Arial" w:hAnsi="Arial"/>
          <w:b/>
          <w:bCs/>
          <w:color w:val="993C1D"/>
          <w:sz w:val="22"/>
          <w:szCs w:val="22"/>
        </w:rPr>
        <w:t xml:space="preserve">EVA Orchestrator consumer</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993C1D"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1</w:t>
            </w:r>
          </w:p>
        </w:tc>
        <w:tc>
          <w:tcPr>
            <w:tcW w:type="dxa" w:w="8760"/>
            <w:tcBorders>
              <w:top w:val="none" w:color="FFFFFF" w:sz="0"/>
              <w:left w:val="none" w:color="FFFFFF" w:sz="0"/>
              <w:bottom w:val="single" w:color="EEEEEE" w:sz="1"/>
              <w:right w:val="none" w:color="FFFFFF" w:sz="0"/>
            </w:tcBorders>
            <w:tcMar>
              <w:top w:type="dxa" w:w="80"/>
              <w:left w:type="dxa" w:w="160"/>
              <w:bottom w:type="dxa" w:w="80"/>
              <w:right w:type="dxa" w:w="80"/>
            </w:tcMar>
          </w:tcPr>
          <w:p>
            <w:pPr>
              <w:spacing w:after="0" w:before="0"/>
            </w:pPr>
            <w:r>
              <w:rPr>
                <w:rFonts w:ascii="Arial" w:cs="Arial" w:eastAsia="Arial" w:hAnsi="Arial"/>
                <w:color w:val="333333"/>
                <w:sz w:val="20"/>
                <w:szCs w:val="20"/>
              </w:rPr>
              <w:t xml:space="preserve">Deploy EVA Orchestrator as an Azure Container App or a VM/VMSS inside your VNet subnet. It must share the same VNet as Databricks.</w:t>
            </w:r>
          </w:p>
        </w:tc>
      </w:tr>
      <w:tr>
        <w:tc>
          <w:tcPr>
            <w:tcW w:type="dxa" w:w="600"/>
            <w:tcBorders>
              <w:top w:val="none" w:color="FFFFFF" w:sz="0"/>
              <w:left w:val="none" w:color="FFFFFF" w:sz="0"/>
              <w:bottom w:val="none" w:color="FFFFFF" w:sz="0"/>
              <w:right w:val="none" w:color="FFFFFF" w:sz="0"/>
            </w:tcBorders>
            <w:shd w:fill="993C1D"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2</w:t>
            </w:r>
          </w:p>
        </w:tc>
        <w:tc>
          <w:tcPr>
            <w:tcW w:type="dxa" w:w="8760"/>
            <w:tcBorders>
              <w:top w:val="none" w:color="FFFFFF" w:sz="0"/>
              <w:left w:val="none" w:color="FFFFFF" w:sz="0"/>
              <w:bottom w:val="single" w:color="EEEEEE" w:sz="1"/>
              <w:right w:val="none" w:color="FFFFFF" w:sz="0"/>
            </w:tcBorders>
            <w:tcMar>
              <w:top w:type="dxa" w:w="80"/>
              <w:left w:type="dxa" w:w="160"/>
              <w:bottom w:type="dxa" w:w="80"/>
              <w:right w:type="dxa" w:w="80"/>
            </w:tcMar>
          </w:tcPr>
          <w:p>
            <w:pPr>
              <w:spacing w:after="0" w:before="0"/>
            </w:pPr>
            <w:r>
              <w:rPr>
                <w:rFonts w:ascii="Arial" w:cs="Arial" w:eastAsia="Arial" w:hAnsi="Arial"/>
                <w:color w:val="333333"/>
                <w:sz w:val="20"/>
                <w:szCs w:val="20"/>
              </w:rPr>
              <w:t xml:space="preserve">In the Orchestrator code, use the azure-servicebus Python or .NET SDK to continuously poll the queue using a ServiceBusReceiver in receive_messages mode.</w:t>
            </w:r>
          </w:p>
        </w:tc>
      </w:tr>
      <w:tr>
        <w:tc>
          <w:tcPr>
            <w:tcW w:type="dxa" w:w="600"/>
            <w:tcBorders>
              <w:top w:val="none" w:color="FFFFFF" w:sz="0"/>
              <w:left w:val="none" w:color="FFFFFF" w:sz="0"/>
              <w:bottom w:val="none" w:color="FFFFFF" w:sz="0"/>
              <w:right w:val="none" w:color="FFFFFF" w:sz="0"/>
            </w:tcBorders>
            <w:shd w:fill="993C1D"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3</w:t>
            </w:r>
          </w:p>
        </w:tc>
        <w:tc>
          <w:tcPr>
            <w:tcW w:type="dxa" w:w="8760"/>
            <w:tcBorders>
              <w:top w:val="none" w:color="FFFFFF" w:sz="0"/>
              <w:left w:val="none" w:color="FFFFFF" w:sz="0"/>
              <w:bottom w:val="single" w:color="EEEEEE" w:sz="1"/>
              <w:right w:val="none" w:color="FFFFFF" w:sz="0"/>
            </w:tcBorders>
            <w:tcMar>
              <w:top w:type="dxa" w:w="80"/>
              <w:left w:type="dxa" w:w="160"/>
              <w:bottom w:type="dxa" w:w="80"/>
              <w:right w:type="dxa" w:w="80"/>
            </w:tcMar>
          </w:tcPr>
          <w:p>
            <w:pPr>
              <w:spacing w:after="0" w:before="0"/>
            </w:pPr>
            <w:r>
              <w:rPr>
                <w:rFonts w:ascii="Arial" w:cs="Arial" w:eastAsia="Arial" w:hAnsi="Arial"/>
                <w:color w:val="333333"/>
                <w:sz w:val="20"/>
                <w:szCs w:val="20"/>
              </w:rPr>
              <w:t xml:space="preserve">On each message received, parse the JSON payload (jobName, runDate, params) and call the Databricks Jobs API (POST /api/2.1/jobs/run-now). The Databricks endpoint is reachable inside the VNet.</w:t>
            </w:r>
          </w:p>
        </w:tc>
      </w:tr>
      <w:tr>
        <w:tc>
          <w:tcPr>
            <w:tcW w:type="dxa" w:w="600"/>
            <w:tcBorders>
              <w:top w:val="none" w:color="FFFFFF" w:sz="0"/>
              <w:left w:val="none" w:color="FFFFFF" w:sz="0"/>
              <w:bottom w:val="none" w:color="FFFFFF" w:sz="0"/>
              <w:right w:val="none" w:color="FFFFFF" w:sz="0"/>
            </w:tcBorders>
            <w:shd w:fill="993C1D"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4</w:t>
            </w:r>
          </w:p>
        </w:tc>
        <w:tc>
          <w:tcPr>
            <w:tcW w:type="dxa" w:w="8760"/>
            <w:tcBorders>
              <w:top w:val="none" w:color="FFFFFF" w:sz="0"/>
              <w:left w:val="none" w:color="FFFFFF" w:sz="0"/>
              <w:bottom w:val="single" w:color="EEEEEE" w:sz="1"/>
              <w:right w:val="none" w:color="FFFFFF" w:sz="0"/>
            </w:tcBorders>
            <w:tcMar>
              <w:top w:type="dxa" w:w="80"/>
              <w:left w:type="dxa" w:w="160"/>
              <w:bottom w:type="dxa" w:w="80"/>
              <w:right w:type="dxa" w:w="80"/>
            </w:tcMar>
          </w:tcPr>
          <w:p>
            <w:pPr>
              <w:spacing w:after="0" w:before="0"/>
            </w:pPr>
            <w:r>
              <w:rPr>
                <w:rFonts w:ascii="Arial" w:cs="Arial" w:eastAsia="Arial" w:hAnsi="Arial"/>
                <w:color w:val="333333"/>
                <w:sz w:val="20"/>
                <w:szCs w:val="20"/>
              </w:rPr>
              <w:t xml:space="preserve">After a successful Databricks run, call receiver.complete_message() to remove it from the queue. On failure, call receiver.abandon_message() to trigger retry, or receiver.dead_letter_message() after max attempts.</w:t>
            </w:r>
          </w:p>
        </w:tc>
      </w:tr>
      <w:tr>
        <w:tc>
          <w:tcPr>
            <w:tcW w:type="dxa" w:w="600"/>
            <w:tcBorders>
              <w:top w:val="none" w:color="FFFFFF" w:sz="0"/>
              <w:left w:val="none" w:color="FFFFFF" w:sz="0"/>
              <w:bottom w:val="none" w:color="FFFFFF" w:sz="0"/>
              <w:right w:val="none" w:color="FFFFFF" w:sz="0"/>
            </w:tcBorders>
            <w:shd w:fill="993C1D"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5</w:t>
            </w:r>
          </w:p>
        </w:tc>
        <w:tc>
          <w:tcPr>
            <w:tcW w:type="dxa" w:w="8760"/>
            <w:tcBorders>
              <w:top w:val="none" w:color="FFFFFF" w:sz="0"/>
              <w:left w:val="none" w:color="FFFFFF" w:sz="0"/>
              <w:bottom w:val="single" w:color="EEEEEE" w:sz="1"/>
              <w:right w:val="none" w:color="FFFFFF" w:sz="0"/>
            </w:tcBorders>
            <w:tcMar>
              <w:top w:type="dxa" w:w="80"/>
              <w:left w:type="dxa" w:w="160"/>
              <w:bottom w:type="dxa" w:w="80"/>
              <w:right w:type="dxa" w:w="80"/>
            </w:tcMar>
          </w:tcPr>
          <w:p>
            <w:pPr>
              <w:spacing w:after="0" w:before="0"/>
            </w:pPr>
            <w:r>
              <w:rPr>
                <w:rFonts w:ascii="Arial" w:cs="Arial" w:eastAsia="Arial" w:hAnsi="Arial"/>
                <w:color w:val="333333"/>
                <w:sz w:val="20"/>
                <w:szCs w:val="20"/>
              </w:rPr>
              <w:t xml:space="preserve">Sub-agents follow the same pattern — each listens to its own topic subscription on the Service Bus for tasks delegated by the Orchestrator.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4AB7" w:val="clear"/>
            <w:tcMar>
              <w:top w:type="dxa" w:w="160"/>
              <w:left w:type="dxa" w:w="240"/>
              <w:bottom w:type="dxa" w:w="160"/>
              <w:right w:type="dxa" w:w="240"/>
            </w:tcMar>
          </w:tcPr>
          <w:p>
            <w:pPr>
              <w:spacing w:after="40" w:before="0"/>
            </w:pPr>
            <w:r>
              <w:rPr>
                <w:rFonts w:ascii="Arial" w:cs="Arial" w:eastAsia="Arial" w:hAnsi="Arial"/>
                <w:color w:val="DDDDDD"/>
                <w:sz w:val="20"/>
                <w:szCs w:val="20"/>
              </w:rPr>
              <w:t xml:space="preserve">Section 4</w:t>
            </w:r>
          </w:p>
          <w:p>
            <w:pPr>
              <w:spacing w:after="30" w:before="0"/>
            </w:pPr>
            <w:r>
              <w:rPr>
                <w:rFonts w:ascii="Arial" w:cs="Arial" w:eastAsia="Arial" w:hAnsi="Arial"/>
                <w:b/>
                <w:bCs/>
                <w:color w:val="FFFFFF"/>
                <w:sz w:val="32"/>
                <w:szCs w:val="32"/>
              </w:rPr>
              <w:t xml:space="preserve">Supporting Layers</w:t>
            </w:r>
          </w:p>
          <w:p>
            <w:pPr>
              <w:spacing w:after="0" w:before="0"/>
            </w:pPr>
            <w:r>
              <w:rPr>
                <w:rFonts w:ascii="Arial" w:cs="Arial" w:eastAsia="Arial" w:hAnsi="Arial"/>
                <w:color w:val="DDDDDD"/>
                <w:sz w:val="20"/>
                <w:szCs w:val="20"/>
              </w:rPr>
              <w:t xml:space="preserve">Frontend, Auth, Voice, and CI/CD</w:t>
            </w:r>
          </w:p>
        </w:tc>
      </w:tr>
    </w:tbl>
    <w:p>
      <w:pPr>
        <w:spacing w:after="60" w:before="60"/>
      </w:pPr>
      <w:r>
        <w:t xml:space="preserve"/>
      </w:r>
    </w:p>
    <w:p>
      <w:pPr>
        <w:pStyle w:val="Heading2"/>
        <w:spacing w:after="100" w:before="240"/>
      </w:pPr>
      <w:r>
        <w:rPr>
          <w:rFonts w:ascii="Arial" w:cs="Arial" w:eastAsia="Arial" w:hAnsi="Arial"/>
          <w:b/>
          <w:bCs/>
          <w:color w:val="185FA5"/>
          <w:sz w:val="26"/>
          <w:szCs w:val="26"/>
        </w:rPr>
        <w:t xml:space="preserve">4.1  Frontend — Azure Static Web Apps</w:t>
      </w:r>
    </w:p>
    <w:p>
      <w:pPr>
        <w:spacing w:after="80" w:before="60"/>
      </w:pPr>
      <w:r>
        <w:rPr>
          <w:rFonts w:ascii="Arial" w:cs="Arial" w:eastAsia="Arial" w:hAnsi="Arial"/>
          <w:color w:val="333333"/>
          <w:sz w:val="22"/>
          <w:szCs w:val="22"/>
        </w:rPr>
        <w:t xml:space="preserve">Azure Static Web Apps serves your SPA (Vue or React) globally via a CDN. It has built-in CI/CD: connect your Git repository and every push to main triggers a deployment automatically. There is no server to manage or scale.</w:t>
      </w:r>
    </w:p>
    <w:p>
      <w:pPr>
        <w:spacing w:after="60" w:before="60"/>
      </w:pPr>
      <w:r>
        <w:t xml:space="preserve"/>
      </w:r>
    </w:p>
    <w:p>
      <w:pPr>
        <w:pStyle w:val="ListParagraph"/>
        <w:numPr>
          <w:ilvl w:val="0"/>
          <w:numId w:val="2"/>
        </w:numPr>
        <w:spacing w:after="40" w:before="40"/>
      </w:pPr>
      <w:r>
        <w:rPr>
          <w:rFonts w:ascii="Arial" w:cs="Arial" w:eastAsia="Arial" w:hAnsi="Arial"/>
          <w:color w:val="333333"/>
          <w:sz w:val="22"/>
          <w:szCs w:val="22"/>
        </w:rPr>
        <w:t xml:space="preserve">Create a Static Web App resource in Azure Portal</w:t>
      </w:r>
    </w:p>
    <w:p>
      <w:pPr>
        <w:pStyle w:val="ListParagraph"/>
        <w:numPr>
          <w:ilvl w:val="0"/>
          <w:numId w:val="2"/>
        </w:numPr>
        <w:spacing w:after="40" w:before="40"/>
      </w:pPr>
      <w:r>
        <w:rPr>
          <w:rFonts w:ascii="Arial" w:cs="Arial" w:eastAsia="Arial" w:hAnsi="Arial"/>
          <w:color w:val="333333"/>
          <w:sz w:val="22"/>
          <w:szCs w:val="22"/>
        </w:rPr>
        <w:t xml:space="preserve">Connect it to your GitHub or Azure DevOps repository</w:t>
      </w:r>
    </w:p>
    <w:p>
      <w:pPr>
        <w:pStyle w:val="ListParagraph"/>
        <w:numPr>
          <w:ilvl w:val="0"/>
          <w:numId w:val="2"/>
        </w:numPr>
        <w:spacing w:after="40" w:before="40"/>
      </w:pPr>
      <w:r>
        <w:rPr>
          <w:rFonts w:ascii="Arial" w:cs="Arial" w:eastAsia="Arial" w:hAnsi="Arial"/>
          <w:color w:val="333333"/>
          <w:sz w:val="22"/>
          <w:szCs w:val="22"/>
        </w:rPr>
        <w:t xml:space="preserve">Set the app location (e.g. /frontend), API location if using Azure Functions, and output location (e.g. dist)</w:t>
      </w:r>
    </w:p>
    <w:p>
      <w:pPr>
        <w:pStyle w:val="ListParagraph"/>
        <w:numPr>
          <w:ilvl w:val="0"/>
          <w:numId w:val="2"/>
        </w:numPr>
        <w:spacing w:after="40" w:before="40"/>
      </w:pPr>
      <w:r>
        <w:rPr>
          <w:rFonts w:ascii="Arial" w:cs="Arial" w:eastAsia="Arial" w:hAnsi="Arial"/>
          <w:color w:val="333333"/>
          <w:sz w:val="22"/>
          <w:szCs w:val="22"/>
        </w:rPr>
        <w:t xml:space="preserve">Azure issues a free wildcard SSL certificate automatically</w:t>
      </w:r>
    </w:p>
    <w:p>
      <w:pPr>
        <w:spacing w:after="60" w:before="60"/>
      </w:pPr>
      <w:r>
        <w:t xml:space="preserve"/>
      </w:r>
    </w:p>
    <w:p>
      <w:pPr>
        <w:pStyle w:val="Heading2"/>
        <w:spacing w:after="100" w:before="240"/>
      </w:pPr>
      <w:r>
        <w:rPr>
          <w:rFonts w:ascii="Arial" w:cs="Arial" w:eastAsia="Arial" w:hAnsi="Arial"/>
          <w:b/>
          <w:bCs/>
          <w:color w:val="185FA5"/>
          <w:sz w:val="26"/>
          <w:szCs w:val="26"/>
        </w:rPr>
        <w:t xml:space="preserve">4.2  Authentication — Azure AD / Entra ID</w:t>
      </w:r>
    </w:p>
    <w:p>
      <w:pPr>
        <w:spacing w:after="80" w:before="60"/>
      </w:pPr>
      <w:r>
        <w:rPr>
          <w:rFonts w:ascii="Arial" w:cs="Arial" w:eastAsia="Arial" w:hAnsi="Arial"/>
          <w:color w:val="333333"/>
          <w:sz w:val="22"/>
          <w:szCs w:val="22"/>
        </w:rPr>
        <w:t xml:space="preserve">All users authenticate via Azure Active Directory (now called Entra ID) using your tenant. The frontend redirects to the Entra login page, receives a JWT token, and includes it in every API call. API Management validates the token before forwarding requests.</w:t>
      </w:r>
    </w:p>
    <w:p>
      <w:pPr>
        <w:spacing w:after="60" w:before="60"/>
      </w:pPr>
      <w:r>
        <w:t xml:space="preserve"/>
      </w:r>
    </w:p>
    <w:p>
      <w:pPr>
        <w:pStyle w:val="ListParagraph"/>
        <w:numPr>
          <w:ilvl w:val="0"/>
          <w:numId w:val="2"/>
        </w:numPr>
        <w:spacing w:after="40" w:before="40"/>
      </w:pPr>
      <w:r>
        <w:rPr>
          <w:rFonts w:ascii="Arial" w:cs="Arial" w:eastAsia="Arial" w:hAnsi="Arial"/>
          <w:color w:val="333333"/>
          <w:sz w:val="22"/>
          <w:szCs w:val="22"/>
        </w:rPr>
        <w:t xml:space="preserve">In the Entra portal (entra.microsoft.com), navigate to App Registrations → New registration</w:t>
      </w:r>
    </w:p>
    <w:p>
      <w:pPr>
        <w:pStyle w:val="ListParagraph"/>
        <w:numPr>
          <w:ilvl w:val="0"/>
          <w:numId w:val="2"/>
        </w:numPr>
        <w:spacing w:after="40" w:before="40"/>
      </w:pPr>
      <w:r>
        <w:rPr>
          <w:rFonts w:ascii="Arial" w:cs="Arial" w:eastAsia="Arial" w:hAnsi="Arial"/>
          <w:color w:val="333333"/>
          <w:sz w:val="22"/>
          <w:szCs w:val="22"/>
        </w:rPr>
        <w:t xml:space="preserve">Set the redirect URI to your Static Web App URL (e.g. https://yourapp.azurestaticapps.net)</w:t>
      </w:r>
    </w:p>
    <w:p>
      <w:pPr>
        <w:pStyle w:val="ListParagraph"/>
        <w:numPr>
          <w:ilvl w:val="0"/>
          <w:numId w:val="2"/>
        </w:numPr>
        <w:spacing w:after="40" w:before="40"/>
      </w:pPr>
      <w:r>
        <w:rPr>
          <w:rFonts w:ascii="Arial" w:cs="Arial" w:eastAsia="Arial" w:hAnsi="Arial"/>
          <w:color w:val="333333"/>
          <w:sz w:val="22"/>
          <w:szCs w:val="22"/>
        </w:rPr>
        <w:t xml:space="preserve">Note the Application (client) ID and your Tenant ID: c1eb5112-7946-4c9d-bc57-40040cfe3a91</w:t>
      </w:r>
    </w:p>
    <w:p>
      <w:pPr>
        <w:pStyle w:val="ListParagraph"/>
        <w:numPr>
          <w:ilvl w:val="0"/>
          <w:numId w:val="2"/>
        </w:numPr>
        <w:spacing w:after="40" w:before="40"/>
      </w:pPr>
      <w:r>
        <w:rPr>
          <w:rFonts w:ascii="Arial" w:cs="Arial" w:eastAsia="Arial" w:hAnsi="Arial"/>
          <w:color w:val="333333"/>
          <w:sz w:val="22"/>
          <w:szCs w:val="22"/>
        </w:rPr>
        <w:t xml:space="preserve">In API Management, add a validate-jwt policy using your Entra tenant's OIDC metadata endpoint</w:t>
      </w:r>
    </w:p>
    <w:p>
      <w:pPr>
        <w:spacing w:after="60" w:before="60"/>
      </w:pPr>
      <w:r>
        <w:t xml:space="preserve"/>
      </w:r>
    </w:p>
    <w:p>
      <w:pPr>
        <w:pStyle w:val="Heading2"/>
        <w:spacing w:after="100" w:before="240"/>
      </w:pPr>
      <w:r>
        <w:rPr>
          <w:rFonts w:ascii="Arial" w:cs="Arial" w:eastAsia="Arial" w:hAnsi="Arial"/>
          <w:b/>
          <w:bCs/>
          <w:color w:val="185FA5"/>
          <w:sz w:val="26"/>
          <w:szCs w:val="26"/>
        </w:rPr>
        <w:t xml:space="preserve">4.3  Voice — browser-based (POC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
              <w:left w:val="single" w:color="854F0B" w:sz="16"/>
              <w:bottom w:val="single" w:color="854F0B" w:sz="1"/>
              <w:right w:val="single" w:color="854F0B" w:sz="1"/>
            </w:tcBorders>
            <w:shd w:fill="FAEEDA" w:val="clear"/>
            <w:tcMar>
              <w:top w:type="dxa" w:w="120"/>
              <w:left w:type="dxa" w:w="180"/>
              <w:bottom w:type="dxa" w:w="120"/>
              <w:right w:type="dxa" w:w="180"/>
            </w:tcMar>
          </w:tcPr>
          <w:p>
            <w:pPr>
              <w:spacing w:after="60" w:before="40"/>
            </w:pPr>
            <w:r>
              <w:rPr>
                <w:rFonts w:ascii="Arial" w:cs="Arial" w:eastAsia="Arial" w:hAnsi="Arial"/>
                <w:b/>
                <w:bCs/>
                <w:color w:val="854F0B"/>
                <w:sz w:val="22"/>
                <w:szCs w:val="22"/>
              </w:rPr>
              <w:t xml:space="preserve">POC required before committing</w:t>
            </w:r>
          </w:p>
          <w:p>
            <w:pPr>
              <w:spacing w:after="40" w:before="0"/>
            </w:pPr>
            <w:r>
              <w:rPr>
                <w:rFonts w:ascii="Arial" w:cs="Arial" w:eastAsia="Arial" w:hAnsi="Arial"/>
                <w:color w:val="333333"/>
                <w:sz w:val="20"/>
                <w:szCs w:val="20"/>
              </w:rPr>
              <w:t xml:space="preserve">Voice is not yet confirmed. A proof of concept must be completed before this layer is finalised. The recommended approach (browser-based WebRTC / Web Speech API) avoids server-side audio streaming, but cross-browser compatibility and latency must be validated in your target environments.</w:t>
            </w:r>
          </w:p>
        </w:tc>
      </w:tr>
    </w:tbl>
    <w:p>
      <w:pPr>
        <w:spacing w:after="60" w:before="60"/>
      </w:pPr>
      <w:r>
        <w:t xml:space="preserve"/>
      </w:r>
    </w:p>
    <w:p>
      <w:pPr>
        <w:spacing w:after="80" w:before="60"/>
      </w:pPr>
      <w:r>
        <w:rPr>
          <w:rFonts w:ascii="Arial" w:cs="Arial" w:eastAsia="Arial" w:hAnsi="Arial"/>
          <w:color w:val="333333"/>
          <w:sz w:val="22"/>
          <w:szCs w:val="22"/>
        </w:rPr>
        <w:t xml:space="preserve">The POC should validate: audio capture via getUserMedia(), speech-to-text via the Web Speech API, latency under realistic network conditions, and browser support across Chrome, Edge, and Safari.</w:t>
      </w:r>
    </w:p>
    <w:p>
      <w:pPr>
        <w:spacing w:after="60" w:before="60"/>
      </w:pPr>
      <w:r>
        <w:t xml:space="preserve"/>
      </w:r>
    </w:p>
    <w:p>
      <w:pPr>
        <w:pStyle w:val="Heading2"/>
        <w:spacing w:after="100" w:before="240"/>
      </w:pPr>
      <w:r>
        <w:rPr>
          <w:rFonts w:ascii="Arial" w:cs="Arial" w:eastAsia="Arial" w:hAnsi="Arial"/>
          <w:b/>
          <w:bCs/>
          <w:color w:val="185FA5"/>
          <w:sz w:val="26"/>
          <w:szCs w:val="26"/>
        </w:rPr>
        <w:t xml:space="preserve">4.4  CI/CD — ADO Pipelines + Terraform</w:t>
      </w:r>
    </w:p>
    <w:p>
      <w:pPr>
        <w:spacing w:after="80" w:before="60"/>
      </w:pPr>
      <w:r>
        <w:rPr>
          <w:rFonts w:ascii="Arial" w:cs="Arial" w:eastAsia="Arial" w:hAnsi="Arial"/>
          <w:color w:val="333333"/>
          <w:sz w:val="22"/>
          <w:szCs w:val="22"/>
        </w:rPr>
        <w:t xml:space="preserve">Azure DevOps (ADO) Pipelines handles all deployments. Infrastructure is defined as code using Terraform (chosen over Bicep because Terraform maintains a state file that tracks real-world drift — Bicep is stateless by default).</w:t>
      </w:r>
    </w:p>
    <w:p>
      <w:pPr>
        <w:spacing w:after="60" w:before="60"/>
      </w:pPr>
      <w:r>
        <w:t xml:space="preserve"/>
      </w:r>
    </w:p>
    <w:p>
      <w:pPr>
        <w:pStyle w:val="ListParagraph"/>
        <w:numPr>
          <w:ilvl w:val="0"/>
          <w:numId w:val="2"/>
        </w:numPr>
        <w:spacing w:after="40" w:before="40"/>
      </w:pPr>
      <w:r>
        <w:rPr>
          <w:rFonts w:ascii="Arial" w:cs="Arial" w:eastAsia="Arial" w:hAnsi="Arial"/>
          <w:color w:val="333333"/>
          <w:sz w:val="22"/>
          <w:szCs w:val="22"/>
        </w:rPr>
        <w:t xml:space="preserve">Store Terraform state in an Azure Blob Storage container (the standard backend for Azure)</w:t>
      </w:r>
    </w:p>
    <w:p>
      <w:pPr>
        <w:pStyle w:val="ListParagraph"/>
        <w:numPr>
          <w:ilvl w:val="0"/>
          <w:numId w:val="2"/>
        </w:numPr>
        <w:spacing w:after="40" w:before="40"/>
      </w:pPr>
      <w:r>
        <w:rPr>
          <w:rFonts w:ascii="Arial" w:cs="Arial" w:eastAsia="Arial" w:hAnsi="Arial"/>
          <w:color w:val="333333"/>
          <w:sz w:val="22"/>
          <w:szCs w:val="22"/>
        </w:rPr>
        <w:t xml:space="preserve">Create one pipeline per environment (dev, staging, prod) with manual approval gates on prod</w:t>
      </w:r>
    </w:p>
    <w:p>
      <w:pPr>
        <w:pStyle w:val="ListParagraph"/>
        <w:numPr>
          <w:ilvl w:val="0"/>
          <w:numId w:val="2"/>
        </w:numPr>
        <w:spacing w:after="40" w:before="40"/>
      </w:pPr>
      <w:r>
        <w:rPr>
          <w:rFonts w:ascii="Arial" w:cs="Arial" w:eastAsia="Arial" w:hAnsi="Arial"/>
          <w:color w:val="333333"/>
          <w:sz w:val="22"/>
          <w:szCs w:val="22"/>
        </w:rPr>
        <w:t xml:space="preserve">Use Azure service principals with minimum required permissions for pipeline authentication</w:t>
      </w:r>
    </w:p>
    <w:p>
      <w:pPr>
        <w:pStyle w:val="ListParagraph"/>
        <w:numPr>
          <w:ilvl w:val="0"/>
          <w:numId w:val="2"/>
        </w:numPr>
        <w:spacing w:after="40" w:before="40"/>
      </w:pPr>
      <w:r>
        <w:rPr>
          <w:rFonts w:ascii="Arial" w:cs="Arial" w:eastAsia="Arial" w:hAnsi="Arial"/>
          <w:color w:val="333333"/>
          <w:sz w:val="22"/>
          <w:szCs w:val="22"/>
        </w:rPr>
        <w:t xml:space="preserve">Each resource (VNet, Databricks, Service Bus, Storage Account) gets its own Terraform module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B6D11" w:val="clear"/>
            <w:tcMar>
              <w:top w:type="dxa" w:w="160"/>
              <w:left w:type="dxa" w:w="240"/>
              <w:bottom w:type="dxa" w:w="160"/>
              <w:right w:type="dxa" w:w="240"/>
            </w:tcMar>
          </w:tcPr>
          <w:p>
            <w:pPr>
              <w:spacing w:after="40" w:before="0"/>
            </w:pPr>
            <w:r>
              <w:rPr>
                <w:rFonts w:ascii="Arial" w:cs="Arial" w:eastAsia="Arial" w:hAnsi="Arial"/>
                <w:color w:val="DDDDDD"/>
                <w:sz w:val="20"/>
                <w:szCs w:val="20"/>
              </w:rPr>
              <w:t xml:space="preserve">Section 5</w:t>
            </w:r>
          </w:p>
          <w:p>
            <w:pPr>
              <w:spacing w:after="30" w:before="0"/>
            </w:pPr>
            <w:r>
              <w:rPr>
                <w:rFonts w:ascii="Arial" w:cs="Arial" w:eastAsia="Arial" w:hAnsi="Arial"/>
                <w:b/>
                <w:bCs/>
                <w:color w:val="FFFFFF"/>
                <w:sz w:val="32"/>
                <w:szCs w:val="32"/>
              </w:rPr>
              <w:t xml:space="preserve">Build Sequence &amp; What Needs Creating</w:t>
            </w:r>
          </w:p>
          <w:p>
            <w:pPr>
              <w:spacing w:after="0" w:before="0"/>
            </w:pPr>
            <w:r>
              <w:rPr>
                <w:rFonts w:ascii="Arial" w:cs="Arial" w:eastAsia="Arial" w:hAnsi="Arial"/>
                <w:color w:val="DDDDDD"/>
                <w:sz w:val="20"/>
                <w:szCs w:val="20"/>
              </w:rPr>
              <w:t xml:space="preserve">Recommended order to reduce risk and unblock work early</w:t>
            </w:r>
          </w:p>
        </w:tc>
      </w:tr>
    </w:tbl>
    <w:p>
      <w:pPr>
        <w:spacing w:after="60" w:before="60"/>
      </w:pPr>
      <w:r>
        <w:t xml:space="preserve"/>
      </w:r>
    </w:p>
    <w:p>
      <w:pPr>
        <w:pStyle w:val="Heading2"/>
        <w:spacing w:after="100" w:before="240"/>
      </w:pPr>
      <w:r>
        <w:rPr>
          <w:rFonts w:ascii="Arial" w:cs="Arial" w:eastAsia="Arial" w:hAnsi="Arial"/>
          <w:b/>
          <w:bCs/>
          <w:color w:val="185FA5"/>
          <w:sz w:val="26"/>
          <w:szCs w:val="26"/>
        </w:rPr>
        <w:t xml:space="preserve">5.1  Recommended build order</w:t>
      </w:r>
    </w:p>
    <w:p>
      <w:pPr>
        <w:spacing w:after="6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60"/>
        <w:gridCol w:w="456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D11" w:sz="1"/>
                    <w:left w:val="single" w:color="3B6D11" w:sz="12"/>
                    <w:bottom w:val="single" w:color="CCCCCC" w:sz="1"/>
                    <w:right w:val="single" w:color="CCCCCC" w:sz="1"/>
                  </w:tcBorders>
                  <w:shd w:fill="EAF3DE" w:val="clear"/>
                  <w:tcMar>
                    <w:top w:type="dxa" w:w="120"/>
                    <w:left w:type="dxa" w:w="180"/>
                    <w:bottom w:type="dxa" w:w="120"/>
                    <w:right w:type="dxa" w:w="180"/>
                  </w:tcMar>
                </w:tcPr>
                <w:p>
                  <w:pPr>
                    <w:spacing w:after="80" w:before="60"/>
                  </w:pPr>
                  <w:r>
                    <w:rPr>
                      <w:rFonts w:ascii="Arial" w:cs="Arial" w:eastAsia="Arial" w:hAnsi="Arial"/>
                      <w:b/>
                      <w:bCs/>
                      <w:color w:val="3B6D11"/>
                      <w:sz w:val="22"/>
                      <w:szCs w:val="22"/>
                    </w:rPr>
                    <w:t xml:space="preserve">Phase 1 — Foundation (Week 1-2)</w:t>
                  </w:r>
                </w:p>
                <w:p>
                  <w:pPr>
                    <w:pStyle w:val="ListParagraph"/>
                    <w:numPr>
                      <w:ilvl w:val="0"/>
                      <w:numId w:val="2"/>
                    </w:numPr>
                    <w:spacing w:after="30" w:before="30"/>
                  </w:pPr>
                  <w:r>
                    <w:rPr>
                      <w:rFonts w:ascii="Arial" w:cs="Arial" w:eastAsia="Arial" w:hAnsi="Arial"/>
                      <w:color w:val="333333"/>
                      <w:sz w:val="20"/>
                      <w:szCs w:val="20"/>
                    </w:rPr>
                    <w:t xml:space="preserve">Register app in Azure AD (Entra) — get tenant and client IDs</w:t>
                  </w:r>
                </w:p>
                <w:p>
                  <w:pPr>
                    <w:pStyle w:val="ListParagraph"/>
                    <w:numPr>
                      <w:ilvl w:val="0"/>
                      <w:numId w:val="2"/>
                    </w:numPr>
                    <w:spacing w:after="30" w:before="30"/>
                  </w:pPr>
                  <w:r>
                    <w:rPr>
                      <w:rFonts w:ascii="Arial" w:cs="Arial" w:eastAsia="Arial" w:hAnsi="Arial"/>
                      <w:color w:val="333333"/>
                      <w:sz w:val="20"/>
                      <w:szCs w:val="20"/>
                    </w:rPr>
                    <w:t xml:space="preserve">Deploy Azure Static Web Apps, connect to Git repo</w:t>
                  </w:r>
                </w:p>
                <w:p>
                  <w:pPr>
                    <w:pStyle w:val="ListParagraph"/>
                    <w:numPr>
                      <w:ilvl w:val="0"/>
                      <w:numId w:val="2"/>
                    </w:numPr>
                    <w:spacing w:after="30" w:before="30"/>
                  </w:pPr>
                  <w:r>
                    <w:rPr>
                      <w:rFonts w:ascii="Arial" w:cs="Arial" w:eastAsia="Arial" w:hAnsi="Arial"/>
                      <w:color w:val="333333"/>
                      <w:sz w:val="20"/>
                      <w:szCs w:val="20"/>
                    </w:rPr>
                    <w:t xml:space="preserve">Set up ADO Pipelines and Terraform state backend (Blob Storage)</w:t>
                  </w:r>
                </w:p>
                <w:p>
                  <w:pPr>
                    <w:pStyle w:val="ListParagraph"/>
                    <w:numPr>
                      <w:ilvl w:val="0"/>
                      <w:numId w:val="2"/>
                    </w:numPr>
                    <w:spacing w:after="30" w:before="30"/>
                  </w:pPr>
                  <w:r>
                    <w:rPr>
                      <w:rFonts w:ascii="Arial" w:cs="Arial" w:eastAsia="Arial" w:hAnsi="Arial"/>
                      <w:color w:val="333333"/>
                      <w:sz w:val="20"/>
                      <w:szCs w:val="20"/>
                    </w:rPr>
                    <w:t xml:space="preserve">Configure API Management with JWT validation policy</w:t>
                  </w:r>
                </w:p>
              </w:tc>
            </w:tr>
          </w:tbl>
          <w:p/>
        </w:tc>
        <w:tc>
          <w:tcPr>
            <w:tcW w:type="dxa" w:w="4560"/>
            <w:tcBorders>
              <w:top w:val="none" w:color="FFFFFF" w:sz="0"/>
              <w:left w:val="none" w:color="FFFFFF" w:sz="0"/>
              <w:bottom w:val="none" w:color="FFFFFF" w:sz="0"/>
              <w:right w:val="none" w:color="FFFFFF" w:sz="0"/>
            </w:tcBorders>
            <w:tcMar>
              <w:top w:type="dxa" w:w="0"/>
              <w:left w:type="dxa" w:w="20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1"/>
                    <w:left w:val="single" w:color="993C1D" w:sz="12"/>
                    <w:bottom w:val="single" w:color="CCCCCC" w:sz="1"/>
                    <w:right w:val="single" w:color="CCCCCC" w:sz="1"/>
                  </w:tcBorders>
                  <w:shd w:fill="FAECE7" w:val="clear"/>
                  <w:tcMar>
                    <w:top w:type="dxa" w:w="120"/>
                    <w:left w:type="dxa" w:w="180"/>
                    <w:bottom w:type="dxa" w:w="120"/>
                    <w:right w:type="dxa" w:w="180"/>
                  </w:tcMar>
                </w:tcPr>
                <w:p>
                  <w:pPr>
                    <w:spacing w:after="80" w:before="60"/>
                  </w:pPr>
                  <w:r>
                    <w:rPr>
                      <w:rFonts w:ascii="Arial" w:cs="Arial" w:eastAsia="Arial" w:hAnsi="Arial"/>
                      <w:b/>
                      <w:bCs/>
                      <w:color w:val="993C1D"/>
                      <w:sz w:val="22"/>
                      <w:szCs w:val="22"/>
                    </w:rPr>
                    <w:t xml:space="preserve">Phase 2 — Data &amp; Messaging (Week 3-4)</w:t>
                  </w:r>
                </w:p>
                <w:p>
                  <w:pPr>
                    <w:pStyle w:val="ListParagraph"/>
                    <w:numPr>
                      <w:ilvl w:val="0"/>
                      <w:numId w:val="2"/>
                    </w:numPr>
                    <w:spacing w:after="30" w:before="30"/>
                  </w:pPr>
                  <w:r>
                    <w:rPr>
                      <w:rFonts w:ascii="Arial" w:cs="Arial" w:eastAsia="Arial" w:hAnsi="Arial"/>
                      <w:color w:val="333333"/>
                      <w:sz w:val="20"/>
                      <w:szCs w:val="20"/>
                    </w:rPr>
                    <w:t xml:space="preserve">Create VNet and subnets (plan IP ranges first)</w:t>
                  </w:r>
                </w:p>
                <w:p>
                  <w:pPr>
                    <w:pStyle w:val="ListParagraph"/>
                    <w:numPr>
                      <w:ilvl w:val="0"/>
                      <w:numId w:val="2"/>
                    </w:numPr>
                    <w:spacing w:after="30" w:before="30"/>
                  </w:pPr>
                  <w:r>
                    <w:rPr>
                      <w:rFonts w:ascii="Arial" w:cs="Arial" w:eastAsia="Arial" w:hAnsi="Arial"/>
                      <w:color w:val="333333"/>
                      <w:sz w:val="20"/>
                      <w:szCs w:val="20"/>
                    </w:rPr>
                    <w:t xml:space="preserve">Deploy Databricks workspace with VNet injection enabled</w:t>
                  </w:r>
                </w:p>
                <w:p>
                  <w:pPr>
                    <w:pStyle w:val="ListParagraph"/>
                    <w:numPr>
                      <w:ilvl w:val="0"/>
                      <w:numId w:val="2"/>
                    </w:numPr>
                    <w:spacing w:after="30" w:before="30"/>
                  </w:pPr>
                  <w:r>
                    <w:rPr>
                      <w:rFonts w:ascii="Arial" w:cs="Arial" w:eastAsia="Arial" w:hAnsi="Arial"/>
                      <w:color w:val="333333"/>
                      <w:sz w:val="20"/>
                      <w:szCs w:val="20"/>
                    </w:rPr>
                    <w:t xml:space="preserve">Create Storage Account and DailySnapshots table</w:t>
                  </w:r>
                </w:p>
                <w:p>
                  <w:pPr>
                    <w:pStyle w:val="ListParagraph"/>
                    <w:numPr>
                      <w:ilvl w:val="0"/>
                      <w:numId w:val="2"/>
                    </w:numPr>
                    <w:spacing w:after="30" w:before="30"/>
                  </w:pPr>
                  <w:r>
                    <w:rPr>
                      <w:rFonts w:ascii="Arial" w:cs="Arial" w:eastAsia="Arial" w:hAnsi="Arial"/>
                      <w:color w:val="333333"/>
                      <w:sz w:val="20"/>
                      <w:szCs w:val="20"/>
                    </w:rPr>
                    <w:t xml:space="preserve">Write first Databricks job with RunDate partition writes</w:t>
                  </w:r>
                </w:p>
                <w:p>
                  <w:pPr>
                    <w:pStyle w:val="ListParagraph"/>
                    <w:numPr>
                      <w:ilvl w:val="0"/>
                      <w:numId w:val="2"/>
                    </w:numPr>
                    <w:spacing w:after="30" w:before="30"/>
                  </w:pPr>
                  <w:r>
                    <w:rPr>
                      <w:rFonts w:ascii="Arial" w:cs="Arial" w:eastAsia="Arial" w:hAnsi="Arial"/>
                      <w:color w:val="333333"/>
                      <w:sz w:val="20"/>
                      <w:szCs w:val="20"/>
                    </w:rPr>
                    <w:t xml:space="preserve">Create Service Bus namespace and job-trigger-queue</w:t>
                  </w:r>
                </w:p>
                <w:p>
                  <w:pPr>
                    <w:pStyle w:val="ListParagraph"/>
                    <w:numPr>
                      <w:ilvl w:val="0"/>
                      <w:numId w:val="2"/>
                    </w:numPr>
                    <w:spacing w:after="30" w:before="30"/>
                  </w:pPr>
                  <w:r>
                    <w:rPr>
                      <w:rFonts w:ascii="Arial" w:cs="Arial" w:eastAsia="Arial" w:hAnsi="Arial"/>
                      <w:color w:val="333333"/>
                      <w:sz w:val="20"/>
                      <w:szCs w:val="20"/>
                    </w:rPr>
                    <w:t xml:space="preserve">Deploy EVA Orchestrator inside VNet — test end-to-end message flow</w:t>
                  </w:r>
                </w:p>
              </w:tc>
            </w:tr>
          </w:tbl>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
              <w:left w:val="single" w:color="854F0B" w:sz="16"/>
              <w:bottom w:val="single" w:color="854F0B" w:sz="1"/>
              <w:right w:val="single" w:color="854F0B" w:sz="1"/>
            </w:tcBorders>
            <w:shd w:fill="FAEEDA" w:val="clear"/>
            <w:tcMar>
              <w:top w:type="dxa" w:w="120"/>
              <w:left w:type="dxa" w:w="180"/>
              <w:bottom w:type="dxa" w:w="120"/>
              <w:right w:type="dxa" w:w="180"/>
            </w:tcMar>
          </w:tcPr>
          <w:p>
            <w:pPr>
              <w:spacing w:after="60" w:before="40"/>
            </w:pPr>
            <w:r>
              <w:rPr>
                <w:rFonts w:ascii="Arial" w:cs="Arial" w:eastAsia="Arial" w:hAnsi="Arial"/>
                <w:b/>
                <w:bCs/>
                <w:color w:val="854F0B"/>
                <w:sz w:val="22"/>
                <w:szCs w:val="22"/>
              </w:rPr>
              <w:t xml:space="preserve">Phase 3 — Voice POC (run in parallel with Phase 2)</w:t>
            </w:r>
          </w:p>
          <w:p>
            <w:pPr>
              <w:spacing w:after="40" w:before="0"/>
            </w:pPr>
            <w:r>
              <w:rPr>
                <w:rFonts w:ascii="Arial" w:cs="Arial" w:eastAsia="Arial" w:hAnsi="Arial"/>
                <w:color w:val="333333"/>
                <w:sz w:val="20"/>
                <w:szCs w:val="20"/>
              </w:rPr>
              <w:t xml:space="preserve">Build a minimal browser test: capture audio with getUserMedia(), run speech-to-text via Web Speech API, measure latency on realistic network conditions, and test Chrome + Edge + Safari. Only finalise the voice approach after POC results are reviewed. Do not build server-side audio infrastructure until the POC confirms browser-based is insufficient.</w:t>
            </w:r>
          </w:p>
        </w:tc>
      </w:tr>
    </w:tbl>
    <w:p>
      <w:pPr>
        <w:spacing w:after="60" w:before="60"/>
      </w:pPr>
      <w:r>
        <w:t xml:space="preserve"/>
      </w:r>
    </w:p>
    <w:p>
      <w:pPr>
        <w:pStyle w:val="Heading2"/>
        <w:spacing w:after="100" w:before="240"/>
      </w:pPr>
      <w:r>
        <w:rPr>
          <w:rFonts w:ascii="Arial" w:cs="Arial" w:eastAsia="Arial" w:hAnsi="Arial"/>
          <w:b/>
          <w:bCs/>
          <w:color w:val="185FA5"/>
          <w:sz w:val="26"/>
          <w:szCs w:val="26"/>
        </w:rPr>
        <w:t xml:space="preserve">5.2  Assets that still need to be created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3B6D11"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3000"/>
            <w:tcBorders>
              <w:top w:val="single" w:color="CCCCCC" w:sz="1"/>
              <w:left w:val="single" w:color="CCCCCC" w:sz="1"/>
              <w:bottom w:val="single" w:color="CCCCCC" w:sz="1"/>
              <w:right w:val="single" w:color="CCCCCC" w:sz="1"/>
            </w:tcBorders>
            <w:shd w:fill="3B6D1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360"/>
            <w:tcBorders>
              <w:top w:val="single" w:color="CCCCCC" w:sz="1"/>
              <w:left w:val="single" w:color="CCCCCC" w:sz="1"/>
              <w:bottom w:val="single" w:color="CCCCCC" w:sz="1"/>
              <w:right w:val="single" w:color="CCCCCC" w:sz="1"/>
            </w:tcBorders>
            <w:shd w:fill="3B6D11" w:val="clear"/>
            <w:tcMar>
              <w:top w:type="dxa" w:w="80"/>
              <w:left w:type="dxa" w:w="120"/>
              <w:bottom w:type="dxa" w:w="80"/>
              <w:right w:type="dxa" w:w="120"/>
            </w:tcMar>
          </w:tcPr>
          <w:p>
            <w:r>
              <w:rPr>
                <w:rFonts w:ascii="Arial" w:cs="Arial" w:eastAsia="Arial" w:hAnsi="Arial"/>
                <w:b/>
                <w:bCs/>
                <w:color w:val="FFFFFF"/>
                <w:sz w:val="20"/>
                <w:szCs w:val="20"/>
              </w:rPr>
              <w:t xml:space="preserve">Owner / 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VNet + subnets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Azure Networking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Plan IP ranges before deployment</w:t>
            </w:r>
          </w:p>
        </w:tc>
      </w:tr>
      <w:tr>
        <w:tc>
          <w:tcPr>
            <w:tcW w:type="dxa" w:w="3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333333"/>
                <w:sz w:val="20"/>
                <w:szCs w:val="20"/>
              </w:rPr>
              <w:t xml:space="preserve">Databricks workspace</w:t>
            </w:r>
          </w:p>
        </w:tc>
        <w:tc>
          <w:tcPr>
            <w:tcW w:type="dxa" w:w="3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color w:val="555555"/>
                <w:sz w:val="20"/>
                <w:szCs w:val="20"/>
              </w:rPr>
              <w:t xml:space="preserve">Compute</w:t>
            </w:r>
          </w:p>
        </w:tc>
        <w:tc>
          <w:tcPr>
            <w:tcW w:type="dxa" w:w="3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color w:val="555555"/>
                <w:sz w:val="20"/>
                <w:szCs w:val="20"/>
              </w:rPr>
              <w:t xml:space="preserve">Must enable VNet injection at creation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Storage Account + tables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Storage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Create DailySnapshots table</w:t>
            </w:r>
          </w:p>
        </w:tc>
      </w:tr>
      <w:tr>
        <w:tc>
          <w:tcPr>
            <w:tcW w:type="dxa" w:w="3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333333"/>
                <w:sz w:val="20"/>
                <w:szCs w:val="20"/>
              </w:rPr>
              <w:t xml:space="preserve">Service Bus namespace</w:t>
            </w:r>
          </w:p>
        </w:tc>
        <w:tc>
          <w:tcPr>
            <w:tcW w:type="dxa" w:w="3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color w:val="555555"/>
                <w:sz w:val="20"/>
                <w:szCs w:val="20"/>
              </w:rPr>
              <w:t xml:space="preserve">Messaging</w:t>
            </w:r>
          </w:p>
        </w:tc>
        <w:tc>
          <w:tcPr>
            <w:tcW w:type="dxa" w:w="3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color w:val="555555"/>
                <w:sz w:val="20"/>
                <w:szCs w:val="20"/>
              </w:rPr>
              <w:t xml:space="preserve">Premium tier recommended for production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EVA Orchestrator container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Compute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Must deploy inside VNet subnet</w:t>
            </w:r>
          </w:p>
        </w:tc>
      </w:tr>
      <w:tr>
        <w:tc>
          <w:tcPr>
            <w:tcW w:type="dxa" w:w="3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333333"/>
                <w:sz w:val="20"/>
                <w:szCs w:val="20"/>
              </w:rPr>
              <w:t xml:space="preserve">ADO pipeline definitions</w:t>
            </w:r>
          </w:p>
        </w:tc>
        <w:tc>
          <w:tcPr>
            <w:tcW w:type="dxa" w:w="3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color w:val="555555"/>
                <w:sz w:val="20"/>
                <w:szCs w:val="20"/>
              </w:rPr>
              <w:t xml:space="preserve">CI/CD</w:t>
            </w:r>
          </w:p>
        </w:tc>
        <w:tc>
          <w:tcPr>
            <w:tcW w:type="dxa" w:w="3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color w:val="555555"/>
                <w:sz w:val="20"/>
                <w:szCs w:val="20"/>
              </w:rPr>
              <w:t xml:space="preserve">One pipeline per environment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Terraform modules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IaC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One module per resource type</w:t>
            </w:r>
          </w:p>
        </w:tc>
      </w:tr>
      <w:tr>
        <w:tc>
          <w:tcPr>
            <w:tcW w:type="dxa" w:w="3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333333"/>
                <w:sz w:val="20"/>
                <w:szCs w:val="20"/>
              </w:rPr>
              <w:t xml:space="preserve">Azure AD App Registration</w:t>
            </w:r>
          </w:p>
        </w:tc>
        <w:tc>
          <w:tcPr>
            <w:tcW w:type="dxa" w:w="3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color w:val="555555"/>
                <w:sz w:val="20"/>
                <w:szCs w:val="20"/>
              </w:rPr>
              <w:t xml:space="preserve">Auth</w:t>
            </w:r>
          </w:p>
        </w:tc>
        <w:tc>
          <w:tcPr>
            <w:tcW w:type="dxa" w:w="3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color w:val="555555"/>
                <w:sz w:val="20"/>
                <w:szCs w:val="20"/>
              </w:rPr>
              <w:t xml:space="preserve">Redirect URIs needed from Static Web App</w:t>
            </w:r>
          </w:p>
        </w:tc>
      </w:tr>
    </w:tbl>
    <w:p>
      <w:pPr>
        <w:spacing w:after="60" w:before="60"/>
      </w:pPr>
      <w:r>
        <w:t xml:space="preserve"/>
      </w:r>
    </w:p>
    <w:p>
      <w:pPr>
        <w:spacing w:after="60" w:before="60"/>
      </w:pPr>
      <w:r>
        <w:t xml:space="preserve"/>
      </w:r>
    </w:p>
    <w:p>
      <w:pPr>
        <w:pBdr>
          <w:bottom w:val="single" w:color="185FA5" w:sz="4" w:space="1"/>
        </w:pBdr>
        <w:spacing w:after="120" w:before="120"/>
      </w:pPr>
      <w:r>
        <w:t xml:space="preserve"/>
      </w:r>
    </w:p>
    <w:p>
      <w:pPr>
        <w:spacing w:after="40" w:before="80"/>
        <w:jc w:val="center"/>
      </w:pPr>
      <w:r>
        <w:rPr>
          <w:rFonts w:ascii="Arial" w:cs="Arial" w:eastAsia="Arial" w:hAnsi="Arial"/>
          <w:color w:val="AAAAAA"/>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after="0" w:before="120"/>
    </w:pPr>
    <w:r>
      <w:rPr>
        <w:rFonts w:ascii="Arial" w:cs="Arial" w:eastAsia="Arial" w:hAnsi="Arial"/>
        <w:color w:val="AAAAAA"/>
        <w:sz w:val="18"/>
        <w:szCs w:val="18"/>
      </w:rPr>
      <w:t xml:space="preserve">Confidential — Team Use Only</w:t>
    </w:r>
    <w:r>
      <w:rPr>
        <w:rFonts w:ascii="Arial" w:cs="Arial" w:eastAsia="Arial" w:hAnsi="Arial"/>
        <w:color w:val="AAAAAA"/>
        <w:sz w:val="18"/>
        <w:szCs w:val="18"/>
      </w:rPr>
      <w:t xml:space="preserve">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4" w:space="1"/>
      </w:pBdr>
      <w:spacing w:after="120" w:before="0"/>
    </w:pPr>
    <w:r>
      <w:rPr>
        <w:rFonts w:ascii="Arial" w:cs="Arial" w:eastAsia="Arial" w:hAnsi="Arial"/>
        <w:color w:val="888888"/>
        <w:sz w:val="18"/>
        <w:szCs w:val="18"/>
      </w:rPr>
      <w:t xml:space="preserve">Azure Solution Architecture</w:t>
    </w:r>
    <w:r>
      <w:rPr>
        <w:rFonts w:ascii="Arial" w:cs="Arial" w:eastAsia="Arial" w:hAnsi="Arial"/>
        <w:color w:val="AAAAAA"/>
        <w:sz w:val="18"/>
        <w:szCs w:val="18"/>
      </w:rPr>
      <w:t xml:space="preserve">   |   Internal Technical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1A1A"/>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85F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2026-04-19T04:57:12.896Z</dcterms:created>
  <dcterms:modified xsi:type="dcterms:W3CDTF">2026-04-19T04:57:12.897Z</dcterms:modified>
</cp:coreProperties>
</file>

<file path=docProps/custom.xml><?xml version="1.0" encoding="utf-8"?>
<Properties xmlns="http://schemas.openxmlformats.org/officeDocument/2006/custom-properties" xmlns:vt="http://schemas.openxmlformats.org/officeDocument/2006/docPropsVTypes"/>
</file>