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38"/>
          <w:szCs w:val="38"/>
        </w:rPr>
        <w:t xml:space="preserve">UNKNOWN: An Evidence-Grounded Hybrid Retrieval and Reasoning System for Intelligent Information Discovery</w:t>
      </w:r>
    </w:p>
    <w:tbl>
      <w:tblPr>
        <w:tblW w:type="dxa" w:w="10179"/>
        <w:tblBorders>
          <w:top w:val="single" w:color="auto" w:sz="4"/>
          <w:left w:val="single" w:color="auto" w:sz="4"/>
          <w:bottom w:val="single" w:color="auto" w:sz="4"/>
          <w:right w:val="single" w:color="auto" w:sz="4"/>
          <w:insideH w:val="single" w:color="auto" w:sz="4"/>
          <w:insideV w:val="single" w:color="auto" w:sz="4"/>
        </w:tblBorders>
      </w:tblPr>
      <w:tblGrid>
        <w:gridCol w:w="3393"/>
        <w:gridCol w:w="3393"/>
        <w:gridCol w:w="3393"/>
      </w:tblGrid>
      <w:tr>
        <w:tc>
          <w:tcPr>
            <w:tcW w:type="dxa" w:w="3393"/>
            <w:tcBorders>
              <w:top w:val="none"/>
              <w:left w:val="none"/>
              <w:bottom w:val="none"/>
              <w:right w:val="none"/>
            </w:tcBorders>
          </w:tcPr>
          <w:p>
            <w:pPr>
              <w:spacing w:after="0"/>
              <w:jc w:val="center"/>
            </w:pPr>
            <w:r>
              <w:rPr>
                <w:rFonts w:ascii="Times New Roman" w:cs="Times New Roman" w:eastAsia="Times New Roman" w:hAnsi="Times New Roman"/>
                <w:sz w:val="20"/>
                <w:szCs w:val="20"/>
                <w:highlight w:val="yellow"/>
                <w:highlightCs w:val="yellow"/>
              </w:rPr>
              <w:t xml:space="preserve">Author 1 Name</w:t>
            </w:r>
          </w:p>
          <w:p>
            <w:pPr>
              <w:spacing w:after="0"/>
              <w:jc w:val="center"/>
            </w:pPr>
            <w:r>
              <w:rPr>
                <w:rFonts w:ascii="Times New Roman" w:cs="Times New Roman" w:eastAsia="Times New Roman" w:hAnsi="Times New Roman"/>
                <w:i/>
                <w:iCs/>
                <w:sz w:val="17"/>
                <w:szCs w:val="17"/>
              </w:rPr>
              <w:t xml:space="preserve">Dept. of Computer Science and Engineering (IoT and Cybersecurity including Blockchain Technology)</w:t>
            </w:r>
          </w:p>
          <w:p>
            <w:pPr>
              <w:spacing w:after="0"/>
              <w:jc w:val="center"/>
            </w:pPr>
            <w:r>
              <w:rPr>
                <w:rFonts w:ascii="Times New Roman" w:cs="Times New Roman" w:eastAsia="Times New Roman" w:hAnsi="Times New Roman"/>
                <w:sz w:val="17"/>
                <w:szCs w:val="17"/>
              </w:rPr>
              <w:t xml:space="preserve">Dayananda Sagar College of Engineering</w:t>
            </w:r>
          </w:p>
          <w:p>
            <w:pPr>
              <w:spacing w:after="80"/>
              <w:jc w:val="center"/>
            </w:pPr>
            <w:r>
              <w:rPr>
                <w:rFonts w:ascii="Times New Roman" w:cs="Times New Roman" w:eastAsia="Times New Roman" w:hAnsi="Times New Roman"/>
                <w:sz w:val="17"/>
                <w:szCs w:val="17"/>
              </w:rPr>
              <w:t xml:space="preserve">Bengaluru, India</w:t>
            </w:r>
          </w:p>
          <w:p>
            <w:pPr>
              <w:spacing w:after="0"/>
              <w:jc w:val="center"/>
            </w:pPr>
            <w:r>
              <w:rPr>
                <w:rFonts w:ascii="Times New Roman" w:cs="Times New Roman" w:eastAsia="Times New Roman" w:hAnsi="Times New Roman"/>
                <w:sz w:val="17"/>
                <w:szCs w:val="17"/>
                <w:highlight w:val="yellow"/>
                <w:highlightCs w:val="yellow"/>
              </w:rPr>
              <w:t xml:space="preserve">email@domain</w:t>
            </w:r>
          </w:p>
        </w:tc>
        <w:tc>
          <w:tcPr>
            <w:tcW w:type="dxa" w:w="3393"/>
            <w:tcBorders>
              <w:top w:val="none"/>
              <w:left w:val="none"/>
              <w:bottom w:val="none"/>
              <w:right w:val="none"/>
            </w:tcBorders>
          </w:tcPr>
          <w:p>
            <w:pPr>
              <w:spacing w:after="0"/>
              <w:jc w:val="center"/>
            </w:pPr>
            <w:r>
              <w:rPr>
                <w:rFonts w:ascii="Times New Roman" w:cs="Times New Roman" w:eastAsia="Times New Roman" w:hAnsi="Times New Roman"/>
                <w:sz w:val="20"/>
                <w:szCs w:val="20"/>
                <w:highlight w:val="yellow"/>
                <w:highlightCs w:val="yellow"/>
              </w:rPr>
              <w:t xml:space="preserve">Author 2 Name</w:t>
            </w:r>
          </w:p>
          <w:p>
            <w:pPr>
              <w:spacing w:after="0"/>
              <w:jc w:val="center"/>
            </w:pPr>
            <w:r>
              <w:rPr>
                <w:rFonts w:ascii="Times New Roman" w:cs="Times New Roman" w:eastAsia="Times New Roman" w:hAnsi="Times New Roman"/>
                <w:i/>
                <w:iCs/>
                <w:sz w:val="17"/>
                <w:szCs w:val="17"/>
              </w:rPr>
              <w:t xml:space="preserve">Dept. of Computer Science and Engineering (IoT and Cybersecurity including Blockchain Technology)</w:t>
            </w:r>
          </w:p>
          <w:p>
            <w:pPr>
              <w:spacing w:after="0"/>
              <w:jc w:val="center"/>
            </w:pPr>
            <w:r>
              <w:rPr>
                <w:rFonts w:ascii="Times New Roman" w:cs="Times New Roman" w:eastAsia="Times New Roman" w:hAnsi="Times New Roman"/>
                <w:sz w:val="17"/>
                <w:szCs w:val="17"/>
              </w:rPr>
              <w:t xml:space="preserve">Dayananda Sagar College of Engineering</w:t>
            </w:r>
          </w:p>
          <w:p>
            <w:pPr>
              <w:spacing w:after="80"/>
              <w:jc w:val="center"/>
            </w:pPr>
            <w:r>
              <w:rPr>
                <w:rFonts w:ascii="Times New Roman" w:cs="Times New Roman" w:eastAsia="Times New Roman" w:hAnsi="Times New Roman"/>
                <w:sz w:val="17"/>
                <w:szCs w:val="17"/>
              </w:rPr>
              <w:t xml:space="preserve">Bengaluru, India</w:t>
            </w:r>
          </w:p>
          <w:p>
            <w:pPr>
              <w:spacing w:after="0"/>
              <w:jc w:val="center"/>
            </w:pPr>
            <w:r>
              <w:rPr>
                <w:rFonts w:ascii="Times New Roman" w:cs="Times New Roman" w:eastAsia="Times New Roman" w:hAnsi="Times New Roman"/>
                <w:sz w:val="17"/>
                <w:szCs w:val="17"/>
                <w:highlight w:val="yellow"/>
                <w:highlightCs w:val="yellow"/>
              </w:rPr>
              <w:t xml:space="preserve">email@domain</w:t>
            </w:r>
          </w:p>
        </w:tc>
        <w:tc>
          <w:tcPr>
            <w:tcW w:type="dxa" w:w="3393"/>
            <w:tcBorders>
              <w:top w:val="none"/>
              <w:left w:val="none"/>
              <w:bottom w:val="none"/>
              <w:right w:val="none"/>
            </w:tcBorders>
          </w:tcPr>
          <w:p>
            <w:pPr>
              <w:spacing w:after="0"/>
              <w:jc w:val="center"/>
            </w:pPr>
            <w:r>
              <w:rPr>
                <w:rFonts w:ascii="Times New Roman" w:cs="Times New Roman" w:eastAsia="Times New Roman" w:hAnsi="Times New Roman"/>
                <w:sz w:val="20"/>
                <w:szCs w:val="20"/>
                <w:highlight w:val="yellow"/>
                <w:highlightCs w:val="yellow"/>
              </w:rPr>
              <w:t xml:space="preserve">Author 3 Name</w:t>
            </w:r>
          </w:p>
          <w:p>
            <w:pPr>
              <w:spacing w:after="0"/>
              <w:jc w:val="center"/>
            </w:pPr>
            <w:r>
              <w:rPr>
                <w:rFonts w:ascii="Times New Roman" w:cs="Times New Roman" w:eastAsia="Times New Roman" w:hAnsi="Times New Roman"/>
                <w:i/>
                <w:iCs/>
                <w:sz w:val="17"/>
                <w:szCs w:val="17"/>
              </w:rPr>
              <w:t xml:space="preserve">Dept. of Computer Science and Engineering (IoT and Cybersecurity including Blockchain Technology)</w:t>
            </w:r>
          </w:p>
          <w:p>
            <w:pPr>
              <w:spacing w:after="0"/>
              <w:jc w:val="center"/>
            </w:pPr>
            <w:r>
              <w:rPr>
                <w:rFonts w:ascii="Times New Roman" w:cs="Times New Roman" w:eastAsia="Times New Roman" w:hAnsi="Times New Roman"/>
                <w:sz w:val="17"/>
                <w:szCs w:val="17"/>
              </w:rPr>
              <w:t xml:space="preserve">Dayananda Sagar College of Engineering</w:t>
            </w:r>
          </w:p>
          <w:p>
            <w:pPr>
              <w:spacing w:after="80"/>
              <w:jc w:val="center"/>
            </w:pPr>
            <w:r>
              <w:rPr>
                <w:rFonts w:ascii="Times New Roman" w:cs="Times New Roman" w:eastAsia="Times New Roman" w:hAnsi="Times New Roman"/>
                <w:sz w:val="17"/>
                <w:szCs w:val="17"/>
              </w:rPr>
              <w:t xml:space="preserve">Bengaluru, India</w:t>
            </w:r>
          </w:p>
          <w:p>
            <w:pPr>
              <w:spacing w:after="0"/>
              <w:jc w:val="center"/>
            </w:pPr>
            <w:r>
              <w:rPr>
                <w:rFonts w:ascii="Times New Roman" w:cs="Times New Roman" w:eastAsia="Times New Roman" w:hAnsi="Times New Roman"/>
                <w:sz w:val="17"/>
                <w:szCs w:val="17"/>
                <w:highlight w:val="yellow"/>
                <w:highlightCs w:val="yellow"/>
              </w:rPr>
              <w:t xml:space="preserve">email@domain</w:t>
            </w:r>
          </w:p>
        </w:tc>
      </w:tr>
    </w:tbl>
    <w:p>
      <w:pPr>
        <w:spacing w:after="40"/>
      </w:pPr>
    </w:p>
    <w:p>
      <w:pPr>
        <w:sectPr>
          <w:footerReference w:type="default" r:id="rId7"/>
          <w:pgSz w:w="11906" w:h="16838" w:orient="portrait"/>
          <w:pgMar w:top="1080" w:right="862" w:bottom="1134" w:left="862" w:header="708" w:footer="708" w:gutter="0"/>
          <w:pgNumType/>
          <w:docGrid w:linePitch="360"/>
        </w:sectPr>
      </w:pPr>
    </w:p>
    <w:p>
      <w:pPr>
        <w:spacing w:after="70" w:line="218"/>
        <w:jc w:val="both"/>
      </w:pPr>
      <w:r>
        <w:rPr>
          <w:rFonts w:ascii="Times New Roman" w:cs="Times New Roman" w:eastAsia="Times New Roman" w:hAnsi="Times New Roman"/>
          <w:b/>
          <w:bCs/>
          <w:i/>
          <w:iCs/>
          <w:sz w:val="18"/>
          <w:szCs w:val="18"/>
        </w:rPr>
        <w:t xml:space="preserve">Abstract—Researchers must find relevant papers, judge whether the available evidence is sufficient, detect disagreement among sources, and check their own documents against the current literature. Retrieval-augmented generation (RAG) systems usually return one fused answer and leave these judgments to the reader. This paper presents UNKNOWN, a multi-source scholarly retrieval system in which an evidence-sufficiency signal controls retrieval and answer generation. A query is decomposed into sub-questions; each is scored for sufficiency, and insufficient ones are reformulated, searched in additional sources, or reported as gaps. Every atomic claim in a generated answer, including numbers, dates and named entities, is checked against its cited passage and repaired or removed. Sources are weighted by venue, recency and retraction status, conflicting evidence is reported with both sides, and statements in a user’s document are compared with the literature. On </w:t>
      </w:r>
      <w:r>
        <w:rPr>
          <w:rFonts w:ascii="Times New Roman" w:cs="Times New Roman" w:eastAsia="Times New Roman" w:hAnsi="Times New Roman"/>
          <w:b/>
          <w:bCs/>
          <w:i/>
          <w:iCs/>
          <w:sz w:val="18"/>
          <w:szCs w:val="18"/>
          <w:highlight w:val="yellow"/>
          <w:highlightCs w:val="yellow"/>
        </w:rPr>
        <w:t xml:space="preserve">[datasets]</w:t>
      </w:r>
      <w:r>
        <w:rPr>
          <w:rFonts w:ascii="Times New Roman" w:cs="Times New Roman" w:eastAsia="Times New Roman" w:hAnsi="Times New Roman"/>
          <w:b/>
          <w:bCs/>
          <w:i/>
          <w:iCs/>
          <w:sz w:val="18"/>
          <w:szCs w:val="18"/>
        </w:rPr>
        <w:t xml:space="preserve">, the full pipeline reduces the unsupported-claim rate from </w:t>
      </w:r>
      <w:r>
        <w:rPr>
          <w:rFonts w:ascii="Times New Roman" w:cs="Times New Roman" w:eastAsia="Times New Roman" w:hAnsi="Times New Roman"/>
          <w:b/>
          <w:bCs/>
          <w:i/>
          <w:iCs/>
          <w:sz w:val="18"/>
          <w:szCs w:val="18"/>
          <w:highlight w:val="yellow"/>
          <w:highlightCs w:val="yellow"/>
        </w:rPr>
        <w:t xml:space="preserve">[X]</w:t>
      </w:r>
      <w:r>
        <w:rPr>
          <w:rFonts w:ascii="Times New Roman" w:cs="Times New Roman" w:eastAsia="Times New Roman" w:hAnsi="Times New Roman"/>
          <w:b/>
          <w:bCs/>
          <w:i/>
          <w:iCs/>
          <w:sz w:val="18"/>
          <w:szCs w:val="18"/>
        </w:rPr>
        <w:t xml:space="preserve">% to </w:t>
      </w:r>
      <w:r>
        <w:rPr>
          <w:rFonts w:ascii="Times New Roman" w:cs="Times New Roman" w:eastAsia="Times New Roman" w:hAnsi="Times New Roman"/>
          <w:b/>
          <w:bCs/>
          <w:i/>
          <w:iCs/>
          <w:sz w:val="18"/>
          <w:szCs w:val="18"/>
          <w:highlight w:val="yellow"/>
          <w:highlightCs w:val="yellow"/>
        </w:rPr>
        <w:t xml:space="preserve">[Y]</w:t>
      </w:r>
      <w:r>
        <w:rPr>
          <w:rFonts w:ascii="Times New Roman" w:cs="Times New Roman" w:eastAsia="Times New Roman" w:hAnsi="Times New Roman"/>
          <w:b/>
          <w:bCs/>
          <w:i/>
          <w:iCs/>
          <w:sz w:val="18"/>
          <w:szCs w:val="18"/>
        </w:rPr>
        <w:t xml:space="preserve">% against hybrid retrieval with the same retriever, with </w:t>
      </w:r>
      <w:r>
        <w:rPr>
          <w:rFonts w:ascii="Times New Roman" w:cs="Times New Roman" w:eastAsia="Times New Roman" w:hAnsi="Times New Roman"/>
          <w:b/>
          <w:bCs/>
          <w:i/>
          <w:iCs/>
          <w:sz w:val="18"/>
          <w:szCs w:val="18"/>
          <w:highlight w:val="yellow"/>
          <w:highlightCs w:val="yellow"/>
        </w:rPr>
        <w:t xml:space="preserve">[Z]</w:t>
      </w:r>
      <w:r>
        <w:rPr>
          <w:rFonts w:ascii="Times New Roman" w:cs="Times New Roman" w:eastAsia="Times New Roman" w:hAnsi="Times New Roman"/>
          <w:b/>
          <w:bCs/>
          <w:i/>
          <w:iCs/>
          <w:sz w:val="18"/>
          <w:szCs w:val="18"/>
        </w:rPr>
        <w:t xml:space="preserve"> change in nDCG@10 and </w:t>
      </w:r>
      <w:r>
        <w:rPr>
          <w:rFonts w:ascii="Times New Roman" w:cs="Times New Roman" w:eastAsia="Times New Roman" w:hAnsi="Times New Roman"/>
          <w:b/>
          <w:bCs/>
          <w:i/>
          <w:iCs/>
          <w:sz w:val="18"/>
          <w:szCs w:val="18"/>
          <w:highlight w:val="yellow"/>
          <w:highlightCs w:val="yellow"/>
        </w:rPr>
        <w:t xml:space="preserve">[L]</w:t>
      </w:r>
      <w:r>
        <w:rPr>
          <w:rFonts w:ascii="Times New Roman" w:cs="Times New Roman" w:eastAsia="Times New Roman" w:hAnsi="Times New Roman"/>
          <w:b/>
          <w:bCs/>
          <w:i/>
          <w:iCs/>
          <w:sz w:val="18"/>
          <w:szCs w:val="18"/>
        </w:rPr>
        <w:t xml:space="preserve">× latency. Ablations show </w:t>
      </w:r>
      <w:r>
        <w:rPr>
          <w:rFonts w:ascii="Times New Roman" w:cs="Times New Roman" w:eastAsia="Times New Roman" w:hAnsi="Times New Roman"/>
          <w:b/>
          <w:bCs/>
          <w:i/>
          <w:iCs/>
          <w:sz w:val="18"/>
          <w:szCs w:val="18"/>
          <w:highlight w:val="yellow"/>
          <w:highlightCs w:val="yellow"/>
        </w:rPr>
        <w:t xml:space="preserve">[which components contribute most]</w:t>
      </w:r>
      <w:r>
        <w:rPr>
          <w:rFonts w:ascii="Times New Roman" w:cs="Times New Roman" w:eastAsia="Times New Roman" w:hAnsi="Times New Roman"/>
          <w:b/>
          <w:bCs/>
          <w:i/>
          <w:iCs/>
          <w:sz w:val="18"/>
          <w:szCs w:val="18"/>
        </w:rPr>
        <w:t xml:space="preserve">.</w:t>
      </w:r>
    </w:p>
    <w:p>
      <w:pPr>
        <w:spacing w:after="90" w:line="218"/>
        <w:jc w:val="both"/>
      </w:pPr>
      <w:r>
        <w:rPr>
          <w:rFonts w:ascii="Times New Roman" w:cs="Times New Roman" w:eastAsia="Times New Roman" w:hAnsi="Times New Roman"/>
          <w:b/>
          <w:bCs/>
          <w:i/>
          <w:iCs/>
          <w:sz w:val="18"/>
          <w:szCs w:val="18"/>
        </w:rPr>
        <w:t xml:space="preserve">Index Terms—Evidence sufficiency, retrieval-augmented generation, claim verification, conflict-aware retrieval, scholarly question answering, research-gap analysis.</w:t>
      </w:r>
    </w:p>
    <w:p>
      <w:pPr>
        <w:pStyle w:val="Heading1"/>
        <w:keepNext/>
        <w:spacing w:after="70" w:before="140"/>
        <w:jc w:val="center"/>
      </w:pPr>
      <w:r>
        <w:rPr>
          <w:rFonts w:ascii="Times New Roman" w:cs="Times New Roman" w:eastAsia="Times New Roman" w:hAnsi="Times New Roman"/>
          <w:sz w:val="20"/>
          <w:szCs w:val="20"/>
        </w:rPr>
        <w:t xml:space="preserve">I. INTRODUCTION</w:t>
      </w:r>
    </w:p>
    <w:p>
      <w:pPr>
        <w:spacing w:after="70" w:line="228"/>
        <w:ind w:firstLine="200"/>
        <w:jc w:val="both"/>
      </w:pPr>
      <w:r>
        <w:rPr>
          <w:rFonts w:ascii="Times New Roman" w:cs="Times New Roman" w:eastAsia="Times New Roman" w:hAnsi="Times New Roman"/>
          <w:sz w:val="20"/>
          <w:szCs w:val="20"/>
        </w:rPr>
        <w:t xml:space="preserve">Research relies on reading many papers. The answer to a literature question is rarely contained in one snippet: a definition may come from one paper, a number from another and a limitation from a third, and the papers may disagree. A system must therefore decide whether it has enough evidence and whether that evidence can be trusted before it answers.</w:t>
      </w:r>
    </w:p>
    <w:p>
      <w:pPr>
        <w:spacing w:after="70" w:line="228"/>
        <w:ind w:firstLine="200"/>
        <w:jc w:val="both"/>
      </w:pPr>
      <w:r>
        <w:rPr>
          <w:rFonts w:ascii="Times New Roman" w:cs="Times New Roman" w:eastAsia="Times New Roman" w:hAnsi="Times New Roman"/>
          <w:sz w:val="20"/>
          <w:szCs w:val="20"/>
        </w:rPr>
        <w:t xml:space="preserve">Retrieval-augmented generation (RAG) reduces unsupported answers by conditioning a language model on retrieved passages [1]. Four problems remain. First, an answer is generated even when the retrieved evidence is weak or irrelevant [2]. Second, a generated sentence may contain a number, date or name that is absent from the cited passage. Third, when papers disagree, the answer tends to blend the conflicting statements. Fourth, a user’s own document is not systematically checked against the literature.</w:t>
      </w:r>
    </w:p>
    <w:p>
      <w:pPr>
        <w:spacing w:after="70" w:line="228"/>
        <w:ind w:firstLine="200"/>
        <w:jc w:val="both"/>
      </w:pPr>
      <w:r>
        <w:rPr>
          <w:rFonts w:ascii="Times New Roman" w:cs="Times New Roman" w:eastAsia="Times New Roman" w:hAnsi="Times New Roman"/>
          <w:sz w:val="20"/>
          <w:szCs w:val="20"/>
        </w:rPr>
        <w:t xml:space="preserve">Lexical ranking with BM25 and dense retrieval over a FAISS index are standard and complementary [3]–[8]. UNKNOWN uses them as a base and does not claim them as a contribution. The contribution is the control layer around retrieval and generation:</w:t>
      </w:r>
    </w:p>
    <w:p>
      <w:pPr>
        <w:spacing w:after="50" w:line="228"/>
        <w:ind w:left="260" w:hanging="2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Sufficiency-controlled retrieval.</w:t>
      </w:r>
      <w:r>
        <w:rPr>
          <w:rFonts w:ascii="Times New Roman" w:cs="Times New Roman" w:eastAsia="Times New Roman" w:hAnsi="Times New Roman"/>
          <w:sz w:val="20"/>
          <w:szCs w:val="20"/>
        </w:rPr>
        <w:t xml:space="preserve"> Evidence sufficiency is computed per sub-question across independent sources and decides whether to answer, search again, or report a gap.</w:t>
      </w:r>
    </w:p>
    <w:p>
      <w:pPr>
        <w:spacing w:after="50" w:line="228"/>
        <w:ind w:left="260" w:hanging="2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Claim-level verification with repair.</w:t>
      </w:r>
      <w:r>
        <w:rPr>
          <w:rFonts w:ascii="Times New Roman" w:cs="Times New Roman" w:eastAsia="Times New Roman" w:hAnsi="Times New Roman"/>
          <w:sz w:val="20"/>
          <w:szCs w:val="20"/>
        </w:rPr>
        <w:t xml:space="preserve"> Atomic claims, including numbers, dates and names, are checked against the cited passage and corrected or removed.</w:t>
      </w:r>
    </w:p>
    <w:p>
      <w:pPr>
        <w:spacing w:after="50" w:line="228"/>
        <w:ind w:left="260" w:hanging="2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Conflict-aware, reliability-weighted evidence.</w:t>
      </w:r>
      <w:r>
        <w:rPr>
          <w:rFonts w:ascii="Times New Roman" w:cs="Times New Roman" w:eastAsia="Times New Roman" w:hAnsi="Times New Roman"/>
          <w:sz w:val="20"/>
          <w:szCs w:val="20"/>
        </w:rPr>
        <w:t xml:space="preserve"> Sources are weighted by venue, recency and retraction status; disagreements are reported with both sides and a likely cause.</w:t>
      </w:r>
    </w:p>
    <w:p>
      <w:pPr>
        <w:spacing w:after="50" w:line="228"/>
        <w:ind w:left="260" w:hanging="2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Document-versus-literature comparison.</w:t>
      </w:r>
      <w:r>
        <w:rPr>
          <w:rFonts w:ascii="Times New Roman" w:cs="Times New Roman" w:eastAsia="Times New Roman" w:hAnsi="Times New Roman"/>
          <w:sz w:val="20"/>
          <w:szCs w:val="20"/>
        </w:rPr>
        <w:t xml:space="preserve"> Statements in a user’s document are compared with external literature to expose outdated or contradicted claims.</w:t>
      </w:r>
    </w:p>
    <w:p>
      <w:pPr>
        <w:spacing w:after="70" w:line="228"/>
        <w:ind w:firstLine="200"/>
        <w:jc w:val="both"/>
      </w:pPr>
      <w:r>
        <w:rPr>
          <w:rFonts w:ascii="Times New Roman" w:cs="Times New Roman" w:eastAsia="Times New Roman" w:hAnsi="Times New Roman"/>
          <w:sz w:val="20"/>
          <w:szCs w:val="20"/>
        </w:rPr>
        <w:t xml:space="preserve">A typed research-gap report and evidence-linked visual tools (concept map, Knowledge DNA, 3D orbit view) are supporting features described in Section IV but not evaluated as core contributions. We do not claim to be the first scholarly question-answering system. The claim is the combination of the four mechanisms in one workflow, and its measured benefit, reported in Section VII. The remainder of the paper is organized as follows: Section II reviews related work, Section III states the problem, Section IV presents the method, Section V the implementation, Section VI the experimental setup, Section VII the results, Section VIII the limitations, and Section IX concludes.</w:t>
      </w:r>
    </w:p>
    <w:p>
      <w:pPr>
        <w:pStyle w:val="Heading1"/>
        <w:keepNext/>
        <w:spacing w:after="70" w:before="140"/>
        <w:jc w:val="center"/>
      </w:pPr>
      <w:r>
        <w:rPr>
          <w:rFonts w:ascii="Times New Roman" w:cs="Times New Roman" w:eastAsia="Times New Roman" w:hAnsi="Times New Roman"/>
          <w:sz w:val="20"/>
          <w:szCs w:val="20"/>
        </w:rPr>
        <w:t xml:space="preserve">II. RELATED WORK</w:t>
      </w:r>
    </w:p>
    <w:p>
      <w:pPr>
        <w:pStyle w:val="Heading2"/>
        <w:keepNext/>
        <w:spacing w:after="50" w:before="90"/>
      </w:pPr>
      <w:r>
        <w:rPr>
          <w:rFonts w:ascii="Times New Roman" w:cs="Times New Roman" w:eastAsia="Times New Roman" w:hAnsi="Times New Roman"/>
          <w:i/>
          <w:iCs/>
          <w:sz w:val="20"/>
          <w:szCs w:val="20"/>
        </w:rPr>
        <w:t xml:space="preserve">A. Retrieval and Adaptive Retrieval</w:t>
      </w:r>
    </w:p>
    <w:p>
      <w:pPr>
        <w:spacing w:after="70" w:line="228"/>
        <w:ind w:firstLine="200"/>
        <w:jc w:val="both"/>
      </w:pPr>
      <w:r>
        <w:rPr>
          <w:rFonts w:ascii="Times New Roman" w:cs="Times New Roman" w:eastAsia="Times New Roman" w:hAnsi="Times New Roman"/>
          <w:sz w:val="20"/>
          <w:szCs w:val="20"/>
        </w:rPr>
        <w:t xml:space="preserve">BM25 ranks passages by term frequency, inverse document frequency and length normalization [6]. Dense retrievers compare embeddings and match paraphrases [4], [5], and FAISS supports efficient nearest-neighbor search [7]. Reciprocal rank fusion (RRF) merges ranked lists without requiring comparable scores [8], and the behavior of fusion functions has been analyzed in detail [9]. Hybrid RAG with re-ranking has also been studied in an IEEE conference paper [10], and a survey covers RAG extensions [11].</w:t>
      </w:r>
    </w:p>
    <w:p>
      <w:pPr>
        <w:spacing w:after="70" w:line="228"/>
        <w:ind w:firstLine="200"/>
        <w:jc w:val="both"/>
      </w:pPr>
      <w:r>
        <w:rPr>
          <w:rFonts w:ascii="Times New Roman" w:cs="Times New Roman" w:eastAsia="Times New Roman" w:hAnsi="Times New Roman"/>
          <w:sz w:val="20"/>
          <w:szCs w:val="20"/>
        </w:rPr>
        <w:t xml:space="preserve">Self-RAG, CRAG and Adaptive-RAG adapt when and how to retrieve by critiquing retrieved passages or by selecting a strategy from question complexity [12]–[14]. Work on sufficient context reports that language models frequently answer even when the provided context is insufficient [2]. These works show that multi-round and adaptive retrieval is established. They do not compute sufficiency per sub-question over independent scholarly sources, nor connect that measurement to a gap report.</w:t>
      </w:r>
    </w:p>
    <w:p>
      <w:pPr>
        <w:pStyle w:val="Heading2"/>
        <w:keepNext/>
        <w:spacing w:after="50" w:before="90"/>
      </w:pPr>
      <w:r>
        <w:rPr>
          <w:rFonts w:ascii="Times New Roman" w:cs="Times New Roman" w:eastAsia="Times New Roman" w:hAnsi="Times New Roman"/>
          <w:i/>
          <w:iCs/>
          <w:sz w:val="20"/>
          <w:szCs w:val="20"/>
        </w:rPr>
        <w:t xml:space="preserve">B. Scholarly Question Answering</w:t>
      </w:r>
    </w:p>
    <w:p>
      <w:pPr>
        <w:spacing w:after="70" w:line="228"/>
        <w:ind w:firstLine="200"/>
        <w:jc w:val="both"/>
      </w:pPr>
      <w:r>
        <w:rPr>
          <w:rFonts w:ascii="Times New Roman" w:cs="Times New Roman" w:eastAsia="Times New Roman" w:hAnsi="Times New Roman"/>
          <w:sz w:val="20"/>
          <w:szCs w:val="20"/>
        </w:rPr>
        <w:t xml:space="preserve">PaperQA2 and OpenScholar answer scientific questions with citations to papers [15], [16]; Elicit and Consensus are commercial tools for literature search and synthesis [17], [18]. Knowledge-graph methods can structure extracted knowledge for LLMs [19]. In the sources we reviewed, these systems do not compare a user’s own document with the literature or repair individual claims.</w:t>
      </w:r>
    </w:p>
    <w:p>
      <w:pPr>
        <w:pStyle w:val="Heading2"/>
        <w:keepNext/>
        <w:spacing w:after="50" w:before="90"/>
      </w:pPr>
      <w:r>
        <w:rPr>
          <w:rFonts w:ascii="Times New Roman" w:cs="Times New Roman" w:eastAsia="Times New Roman" w:hAnsi="Times New Roman"/>
          <w:i/>
          <w:iCs/>
          <w:sz w:val="20"/>
          <w:szCs w:val="20"/>
        </w:rPr>
        <w:t xml:space="preserve">C. Claim Verification and Conflicting Evidence</w:t>
      </w:r>
    </w:p>
    <w:p>
      <w:pPr>
        <w:spacing w:after="70" w:line="228"/>
        <w:ind w:firstLine="200"/>
        <w:jc w:val="both"/>
      </w:pPr>
      <w:r>
        <w:rPr>
          <w:rFonts w:ascii="Times New Roman" w:cs="Times New Roman" w:eastAsia="Times New Roman" w:hAnsi="Times New Roman"/>
          <w:sz w:val="20"/>
          <w:szCs w:val="20"/>
        </w:rPr>
        <w:t xml:space="preserve">Attribution studies ask whether generated text is supported by its sources [20]. FEVER and SciFact formalize claim verification against evidence [21], [22], and ALCE and FActScore evaluate citation quality and atomic factual precision [23], [24]. VeriCite applies natural language inference to improve citations in RAG [25], and a fake-news framework retrieves external evidence to verify extracted claims [26]. Surveys explain why generated text drifts from sources [27]. Numeric and date verification inside scholarly answers has received less attention.</w:t>
      </w:r>
    </w:p>
    <w:p>
      <w:pPr>
        <w:pStyle w:val="Heading2"/>
        <w:keepNext/>
        <w:spacing w:after="50" w:before="90"/>
      </w:pPr>
      <w:r>
        <w:rPr>
          <w:rFonts w:ascii="Times New Roman" w:cs="Times New Roman" w:eastAsia="Times New Roman" w:hAnsi="Times New Roman"/>
          <w:i/>
          <w:iCs/>
          <w:sz w:val="20"/>
          <w:szCs w:val="20"/>
        </w:rPr>
        <w:t xml:space="preserve">D. Literature Survey</w:t>
      </w:r>
    </w:p>
    <w:p>
      <w:pPr>
        <w:spacing w:after="70" w:line="228"/>
        <w:ind w:firstLine="200"/>
        <w:jc w:val="both"/>
      </w:pPr>
      <w:r>
        <w:rPr>
          <w:rFonts w:ascii="Times New Roman" w:cs="Times New Roman" w:eastAsia="Times New Roman" w:hAnsi="Times New Roman"/>
          <w:sz w:val="20"/>
          <w:szCs w:val="20"/>
        </w:rPr>
        <w:t xml:space="preserve">We analyzed eleven papers on RAG, claim verification, evaluation and knowledge structuring, seven of them published by IEEE. Table I gives each paper’s contribution and the limitation, relative to our problem, that UNKNOWN addresses. Two papers serve as base papers. The fake-news framework of Bai and Fu [26] shares our extract–retrieve–verify verification stage, and the hybrid RAG work of Omrani et al. [10] is the closest IEEE counterpart to our retrieval base. UNKNOWN differs from [26] by verifying scholarly passages instead of news, producing an evidence-based explanation instead of a class label, and adding sufficiency control, source weighting, conflict reporting and document comparison. It differs from [10] by adding the control and verification layers around a comparable hybrid retriever.</w:t>
      </w:r>
    </w:p>
    <w:p>
      <w:pPr>
        <w:sectPr>
          <w:type w:val="continuous"/>
          <w:pgSz w:w="11906" w:h="16838" w:orient="portrait"/>
          <w:pgMar w:top="1080" w:right="862" w:bottom="1134" w:left="862" w:header="708" w:footer="708" w:gutter="0"/>
          <w:pgNumType/>
          <w:cols w:space="360" w:num="2"/>
          <w:docGrid w:linePitch="360"/>
        </w:sectPr>
      </w:pPr>
    </w:p>
    <w:p>
      <w:pPr>
        <w:keepNext/>
        <w:spacing w:after="50" w:before="90"/>
        <w:jc w:val="center"/>
      </w:pPr>
      <w:r>
        <w:rPr>
          <w:rFonts w:ascii="Times New Roman" w:cs="Times New Roman" w:eastAsia="Times New Roman" w:hAnsi="Times New Roman"/>
          <w:sz w:val="16"/>
          <w:szCs w:val="16"/>
        </w:rPr>
        <w:t xml:space="preserve">TABLE I</w:t>
      </w:r>
      <w:r>
        <w:br/>
        <w:t xml:space="preserve"/>
      </w:r>
      <w:r>
        <w:rPr>
          <w:rFonts w:ascii="Times New Roman" w:cs="Times New Roman" w:eastAsia="Times New Roman" w:hAnsi="Times New Roman"/>
          <w:sz w:val="16"/>
          <w:szCs w:val="16"/>
        </w:rPr>
        <w:t xml:space="preserve">LITERATURE SURVEY (IEEE PAPERS: 1–7)</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20"/>
        <w:gridCol w:w="2350"/>
        <w:gridCol w:w="3500"/>
        <w:gridCol w:w="3910"/>
      </w:tblGrid>
      <w:tr>
        <w:trPr>
          <w:cantSplit/>
          <w:tblHeader/>
        </w:trPr>
        <w:tc>
          <w:tcPr>
            <w:tcW w:type="dxa" w:w="42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6"/>
                <w:szCs w:val="16"/>
              </w:rPr>
              <w:t xml:space="preserve">No.</w:t>
            </w:r>
          </w:p>
        </w:tc>
        <w:tc>
          <w:tcPr>
            <w:tcW w:type="dxa" w:w="23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bCs/>
                <w:sz w:val="16"/>
                <w:szCs w:val="16"/>
              </w:rPr>
              <w:t xml:space="preserve">Paper (venue, year)</w:t>
            </w:r>
          </w:p>
        </w:tc>
        <w:tc>
          <w:tcPr>
            <w:tcW w:type="dxa" w:w="35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bCs/>
                <w:sz w:val="16"/>
                <w:szCs w:val="16"/>
              </w:rPr>
              <w:t xml:space="preserve">Main contribution</w:t>
            </w:r>
          </w:p>
        </w:tc>
        <w:tc>
          <w:tcPr>
            <w:tcW w:type="dxa" w:w="391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bCs/>
                <w:sz w:val="16"/>
                <w:szCs w:val="16"/>
              </w:rPr>
              <w:t xml:space="preserve">Limitation relative to UNKNOWN</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1</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Omrani et al. [10] (IEEE ICWR,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Hybrid RAG combining sentence-window and parent–child retrieval with re-ranking for LLM query responses.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Targets response quality; no claim-level verification, sufficiency check or multi-source scholarly setting.</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2</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Bai and Fu [26] (IEEE Big Data, 2024) — base paper</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Extracts claims, retrieves external evidence and verifies claims for fake-news detection.</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News-domain classification in a three-page paper; no source weighting, conflict explanation or abstention on sparse evidence.</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3</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Budakoglu and Emekci [28] (IEEE Access, 2025)</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Compares RAG, fine-tuning and their combination across tasks for performance and efficiency.</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Compares adaptation strategies; no evidence control or per-claim verification.</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4</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Shen et al., MGPRAG [29] (IEEE Access, 2025)</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Task decomposition, medical entity alignment and knowledge-graph retrieval for medical QA.</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Medical domain; decomposition is not coupled to a sufficiency decision or document comparison.</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5</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Brehme et al. [30] (IEEE SDS, 2025)</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Systematic review of 63 articles on RAG evaluation (datasets, retrievers, indexing, generators).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A survey, not a system; calls for domain-specific datasets, which motivates our protocol in Section VI.</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6</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Pan et al. [19] (IEEE TKDE,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Roadmap for unifying LLMs and knowledge graphs.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Conceptual roadmap; no scholarly retrieval pipeline with evidence-linked outputs.</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7</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Evaluation of LLMs’ reasoning for RAG [31] (IEEE Xplore) </w:t>
            </w:r>
            <w:r>
              <w:rPr>
                <w:rFonts w:ascii="Times New Roman" w:cs="Times New Roman" w:eastAsia="Times New Roman" w:hAnsi="Times New Roman"/>
                <w:b w:val="false"/>
                <w:bCs w:val="false"/>
                <w:sz w:val="16"/>
                <w:szCs w:val="16"/>
                <w:highlight w:val="yellow"/>
                <w:highlightCs w:val="yellow"/>
              </w:rPr>
              <w:t xml:space="preserve">[year/venue]</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Reports that reasoning models exceed a non-reasoning baseline in faithfulness and semantic similarity under good retrieval.</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Evaluates generators given retrieval; no retrieval control or claim repair.</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8</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Asai et al., Self-RAG [12] (ICLR,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Learns to retrieve on demand and critique its own output with reflection tokens.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Needs a trained generator; no per-sub-question sufficiency over independent scholarly sources or document comparison.</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9</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Yan et al., CRAG [13] (arXiv,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Retrieval evaluator that triggers corrective actions, including web search.</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Corrects at document level; does not verify generated claims or report gaps.</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10</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Skarlinski et al., PaperQA2 [15] (arXiv,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Agentic RAG over scientific literature with cited answers.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No comparison of a user’s own document with the literature; no per-claim numeric repair reported.</w:t>
            </w:r>
          </w:p>
        </w:tc>
      </w:tr>
      <w:tr>
        <w:trPr>
          <w:cantSplit/>
          <w:tblHeader w:val="false"/>
        </w:trPr>
        <w:tc>
          <w:tcPr>
            <w:tcW w:type="dxa" w:w="4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rPr>
              <w:t xml:space="preserve">11</w:t>
            </w:r>
          </w:p>
        </w:tc>
        <w:tc>
          <w:tcPr>
            <w:tcW w:type="dxa" w:w="23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Asai et al., OpenScholar [16] (arXiv, 2024)</w:t>
            </w:r>
          </w:p>
        </w:tc>
        <w:tc>
          <w:tcPr>
            <w:tcW w:type="dxa" w:w="3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Retrieval-augmented LM over a large open-access datastore with iterative self-feedback and citations.</w:t>
            </w:r>
          </w:p>
        </w:tc>
        <w:tc>
          <w:tcPr>
            <w:tcW w:type="dxa" w:w="39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Centered on its datastore; user-document comparison and conflict explanation not reported.</w:t>
            </w:r>
          </w:p>
        </w:tc>
      </w:tr>
    </w:tbl>
    <w:p>
      <w:pPr>
        <w:spacing w:after="40"/>
      </w:pPr>
    </w:p>
    <w:p>
      <w:pPr>
        <w:sectPr>
          <w:type w:val="continuous"/>
          <w:pgSz w:w="11906" w:h="16838" w:orient="portrait"/>
          <w:pgMar w:top="1080" w:right="862" w:bottom="1134" w:left="862" w:header="708" w:footer="708" w:gutter="0"/>
          <w:pgNumType/>
          <w:docGrid w:linePitch="360"/>
        </w:sectPr>
      </w:pPr>
    </w:p>
    <w:p>
      <w:pPr>
        <w:pStyle w:val="Heading2"/>
        <w:keepNext/>
        <w:spacing w:after="50" w:before="90"/>
      </w:pPr>
      <w:r>
        <w:rPr>
          <w:rFonts w:ascii="Times New Roman" w:cs="Times New Roman" w:eastAsia="Times New Roman" w:hAnsi="Times New Roman"/>
          <w:i/>
          <w:iCs/>
          <w:sz w:val="20"/>
          <w:szCs w:val="20"/>
        </w:rPr>
        <w:t xml:space="preserve">E. Research Gap</w:t>
      </w:r>
    </w:p>
    <w:p>
      <w:pPr>
        <w:spacing w:after="70" w:line="228"/>
        <w:ind w:firstLine="200"/>
        <w:jc w:val="both"/>
      </w:pPr>
      <w:r>
        <w:rPr>
          <w:rFonts w:ascii="Times New Roman" w:cs="Times New Roman" w:eastAsia="Times New Roman" w:hAnsi="Times New Roman"/>
          <w:sz w:val="20"/>
          <w:szCs w:val="20"/>
        </w:rPr>
        <w:t xml:space="preserve">Table II summarizes which of the four mechanisms are reported in the closest systems. The comparison reflects our reading of the cited papers and may omit unpublished features. The gap is not a missing component but a missing combination: controlling retrieval by evidence sufficiency, verifying claims, reporting contradictions and comparing a user’s document with the literature in one scholarly workflow. We do not state that these gaps exist in every system.</w:t>
      </w:r>
    </w:p>
    <w:p>
      <w:pPr>
        <w:keepNext/>
        <w:spacing w:after="50" w:before="90"/>
        <w:jc w:val="center"/>
      </w:pPr>
      <w:r>
        <w:rPr>
          <w:rFonts w:ascii="Times New Roman" w:cs="Times New Roman" w:eastAsia="Times New Roman" w:hAnsi="Times New Roman"/>
          <w:sz w:val="16"/>
          <w:szCs w:val="16"/>
        </w:rPr>
        <w:t xml:space="preserve">TABLE II</w:t>
      </w:r>
      <w:r>
        <w:br/>
        <w:t xml:space="preserve"/>
      </w:r>
      <w:r>
        <w:rPr>
          <w:rFonts w:ascii="Times New Roman" w:cs="Times New Roman" w:eastAsia="Times New Roman" w:hAnsi="Times New Roman"/>
          <w:sz w:val="16"/>
          <w:szCs w:val="16"/>
        </w:rPr>
        <w:t xml:space="preserve">MECHANISMS REPORTED IN RELATED SYSTEMS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260"/>
        <w:gridCol w:w="730"/>
        <w:gridCol w:w="730"/>
        <w:gridCol w:w="730"/>
        <w:gridCol w:w="730"/>
        <w:gridCol w:w="720"/>
      </w:tblGrid>
      <w:tr>
        <w:trPr>
          <w:cantSplit/>
          <w:tblHeader/>
        </w:trPr>
        <w:tc>
          <w:tcPr>
            <w:tcW w:type="dxa" w:w="126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System</w:t>
            </w:r>
          </w:p>
        </w:tc>
        <w:tc>
          <w:tcPr>
            <w:tcW w:type="dxa" w:w="73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Suff.</w:t>
            </w:r>
          </w:p>
        </w:tc>
        <w:tc>
          <w:tcPr>
            <w:tcW w:type="dxa" w:w="73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Claim</w:t>
            </w:r>
          </w:p>
        </w:tc>
        <w:tc>
          <w:tcPr>
            <w:tcW w:type="dxa" w:w="73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Confl.</w:t>
            </w:r>
          </w:p>
        </w:tc>
        <w:tc>
          <w:tcPr>
            <w:tcW w:type="dxa" w:w="73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Doc-lit.</w:t>
            </w:r>
          </w:p>
        </w:tc>
        <w:tc>
          <w:tcPr>
            <w:tcW w:type="dxa" w:w="72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Gaps</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Self-RAG [12]</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CRAG [13]</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PaperQA2 [15]</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OpenScholar [16]</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Partial</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VeriCite [25]</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FCRV [26]</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Yes</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bCs/>
                <w:sz w:val="15"/>
                <w:szCs w:val="15"/>
              </w:rPr>
              <w:t xml:space="preserve">UNKNOWN</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5"/>
                <w:szCs w:val="15"/>
              </w:rPr>
              <w:t xml:space="preserve">Yes</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5"/>
                <w:szCs w:val="15"/>
              </w:rPr>
              <w:t xml:space="preserve">Yes</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5"/>
                <w:szCs w:val="15"/>
              </w:rPr>
              <w:t xml:space="preserve">Yes</w:t>
            </w:r>
          </w:p>
        </w:tc>
        <w:tc>
          <w:tcPr>
            <w:tcW w:type="dxa" w:w="7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5"/>
                <w:szCs w:val="15"/>
              </w:rPr>
              <w:t xml:space="preserve">Yes</w:t>
            </w:r>
          </w:p>
        </w:tc>
        <w:tc>
          <w:tcPr>
            <w:tcW w:type="dxa" w:w="72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bCs/>
                <w:sz w:val="15"/>
                <w:szCs w:val="15"/>
              </w:rPr>
              <w:t xml:space="preserve">Yes</w:t>
            </w:r>
          </w:p>
        </w:tc>
      </w:tr>
    </w:tbl>
    <w:p>
      <w:pPr>
        <w:spacing w:after="90" w:before="30" w:line="200"/>
        <w:jc w:val="both"/>
      </w:pPr>
      <w:r>
        <w:rPr>
          <w:rFonts w:ascii="Times New Roman" w:cs="Times New Roman" w:eastAsia="Times New Roman" w:hAnsi="Times New Roman"/>
          <w:sz w:val="15"/>
          <w:szCs w:val="15"/>
        </w:rPr>
        <w:t xml:space="preserve">Suff.: sufficiency-controlled retrieval; Claim: claim-level verification; Confl.: conflict reporting; Doc-lit.: document-versus-literature comparison; Gaps: typed research-gap report. N/R: not reported in the cited paper.</w:t>
      </w:r>
    </w:p>
    <w:p>
      <w:pPr>
        <w:pStyle w:val="Heading1"/>
        <w:keepNext/>
        <w:spacing w:after="70" w:before="140"/>
        <w:jc w:val="center"/>
      </w:pPr>
      <w:r>
        <w:rPr>
          <w:rFonts w:ascii="Times New Roman" w:cs="Times New Roman" w:eastAsia="Times New Roman" w:hAnsi="Times New Roman"/>
          <w:sz w:val="20"/>
          <w:szCs w:val="20"/>
        </w:rPr>
        <w:t xml:space="preserve">III. PROBLEM FORMULATION</w:t>
      </w:r>
    </w:p>
    <w:p>
      <w:pPr>
        <w:pStyle w:val="Heading2"/>
        <w:keepNext/>
        <w:spacing w:after="50" w:before="90"/>
      </w:pPr>
      <w:r>
        <w:rPr>
          <w:rFonts w:ascii="Times New Roman" w:cs="Times New Roman" w:eastAsia="Times New Roman" w:hAnsi="Times New Roman"/>
          <w:i/>
          <w:iCs/>
          <w:sz w:val="20"/>
          <w:szCs w:val="20"/>
        </w:rPr>
        <w:t xml:space="preserve">A. Problem Statement</w:t>
      </w:r>
    </w:p>
    <w:p>
      <w:pPr>
        <w:spacing w:after="70" w:line="228"/>
        <w:ind w:firstLine="200"/>
        <w:jc w:val="both"/>
      </w:pPr>
      <w:r>
        <w:rPr>
          <w:rFonts w:ascii="Times New Roman" w:cs="Times New Roman" w:eastAsia="Times New Roman" w:hAnsi="Times New Roman"/>
          <w:sz w:val="20"/>
          <w:szCs w:val="20"/>
        </w:rPr>
        <w:t xml:space="preserve">Let D = D</w:t>
      </w:r>
      <w:r>
        <w:rPr>
          <w:rFonts w:ascii="Times New Roman" w:cs="Times New Roman" w:eastAsia="Times New Roman" w:hAnsi="Times New Roman"/>
          <w:sz w:val="20"/>
          <w:szCs w:val="20"/>
          <w:vertAlign w:val="subscript"/>
        </w:rPr>
        <w:t xml:space="preserve">u</w:t>
      </w:r>
      <w:r>
        <w:rPr>
          <w:rFonts w:ascii="Times New Roman" w:cs="Times New Roman" w:eastAsia="Times New Roman" w:hAnsi="Times New Roman"/>
          <w:sz w:val="20"/>
          <w:szCs w:val="20"/>
        </w:rPr>
        <w:t xml:space="preserve"> ∪ D</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be a collection of papers, where D</w:t>
      </w:r>
      <w:r>
        <w:rPr>
          <w:rFonts w:ascii="Times New Roman" w:cs="Times New Roman" w:eastAsia="Times New Roman" w:hAnsi="Times New Roman"/>
          <w:sz w:val="20"/>
          <w:szCs w:val="20"/>
          <w:vertAlign w:val="subscript"/>
        </w:rPr>
        <w:t xml:space="preserve">u</w:t>
      </w:r>
      <w:r>
        <w:rPr>
          <w:rFonts w:ascii="Times New Roman" w:cs="Times New Roman" w:eastAsia="Times New Roman" w:hAnsi="Times New Roman"/>
          <w:sz w:val="20"/>
          <w:szCs w:val="20"/>
        </w:rPr>
        <w:t xml:space="preserve"> holds the user’s documents and D</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holds open scholarly sources. For a query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the system must return an answer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a verdict for each sub-question, and a report of conflicts, document-versus-literature differences and gaps, such that every assertion in the output is supported by a passage in D or is removed.</w:t>
      </w:r>
    </w:p>
    <w:p>
      <w:pPr>
        <w:spacing w:after="70" w:line="228"/>
        <w:ind w:firstLine="200"/>
        <w:jc w:val="both"/>
      </w:pPr>
      <w:r>
        <w:rPr>
          <w:rFonts w:ascii="Times New Roman" w:cs="Times New Roman" w:eastAsia="Times New Roman" w:hAnsi="Times New Roman"/>
          <w:sz w:val="20"/>
          <w:szCs w:val="20"/>
        </w:rPr>
        <w:t xml:space="preserve">The query is decomposed into sub-questions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For each, the retriever returns evidence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the sufficiency test assigns one of three statuses: sufficient, weak or insufficient.</w:t>
      </w:r>
    </w:p>
    <w:p>
      <w:pPr>
        <w:pStyle w:val="Heading2"/>
        <w:keepNext/>
        <w:spacing w:after="50" w:before="90"/>
      </w:pPr>
      <w:r>
        <w:rPr>
          <w:rFonts w:ascii="Times New Roman" w:cs="Times New Roman" w:eastAsia="Times New Roman" w:hAnsi="Times New Roman"/>
          <w:i/>
          <w:iCs/>
          <w:sz w:val="20"/>
          <w:szCs w:val="20"/>
        </w:rPr>
        <w:t xml:space="preserve">B. Research Questions</w:t>
      </w:r>
    </w:p>
    <w:p>
      <w:pPr>
        <w:spacing w:after="70" w:line="228"/>
        <w:ind w:firstLine="20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Compared with single-pass hybrid retrieval using the same retriever, does sufficiency-controlled retrieval improve answer accuracy and reduce unsupported claims?</w:t>
      </w:r>
    </w:p>
    <w:p>
      <w:pPr>
        <w:spacing w:after="70" w:line="228"/>
        <w:ind w:firstLine="20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accurately does claim-level verification identify unsupported claims, and what share is repaired or removed?</w:t>
      </w:r>
    </w:p>
    <w:p>
      <w:pPr>
        <w:spacing w:after="70" w:line="228"/>
        <w:ind w:firstLine="20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Do reliability-weighted conflict reporting and document-versus-literature comparison surface known disagreements and seeded outdated statements?</w:t>
      </w:r>
    </w:p>
    <w:p>
      <w:pPr>
        <w:spacing w:after="70" w:line="228"/>
        <w:ind w:firstLine="200"/>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What latency and cost does the full pipeline add relative to the base retriever and to a general-purpose assistant given the same documents?</w:t>
      </w:r>
    </w:p>
    <w:p>
      <w:pPr>
        <w:pStyle w:val="Heading1"/>
        <w:keepNext/>
        <w:spacing w:after="70" w:before="140"/>
        <w:jc w:val="center"/>
      </w:pPr>
      <w:r>
        <w:rPr>
          <w:rFonts w:ascii="Times New Roman" w:cs="Times New Roman" w:eastAsia="Times New Roman" w:hAnsi="Times New Roman"/>
          <w:sz w:val="20"/>
          <w:szCs w:val="20"/>
        </w:rPr>
        <w:t xml:space="preserve">IV. METHODOLOGY</w:t>
      </w:r>
    </w:p>
    <w:p>
      <w:pPr>
        <w:pStyle w:val="Heading2"/>
        <w:keepNext/>
        <w:spacing w:after="50" w:before="90"/>
      </w:pPr>
      <w:r>
        <w:rPr>
          <w:rFonts w:ascii="Times New Roman" w:cs="Times New Roman" w:eastAsia="Times New Roman" w:hAnsi="Times New Roman"/>
          <w:i/>
          <w:iCs/>
          <w:sz w:val="20"/>
          <w:szCs w:val="20"/>
        </w:rPr>
        <w:t xml:space="preserve">A. System Overview</w:t>
      </w:r>
    </w:p>
    <w:p>
      <w:pPr>
        <w:spacing w:after="70" w:line="228"/>
        <w:ind w:firstLine="200"/>
        <w:jc w:val="both"/>
      </w:pPr>
      <w:r>
        <w:rPr>
          <w:rFonts w:ascii="Times New Roman" w:cs="Times New Roman" w:eastAsia="Times New Roman" w:hAnsi="Times New Roman"/>
          <w:sz w:val="20"/>
          <w:szCs w:val="20"/>
        </w:rPr>
        <w:t xml:space="preserve">Fig. 1 shows the pipeline. Documents are ingested, chunked and indexed. A query is analyzed and decomposed, and evidence is retrieved from the user’s library and from open scholarly sources. Each sub-question is checked for sufficiency, selected evidence is weighted for reliability and compared across sources, an answer is generated from the selected passages only, and every claim is verified. The comparison, gap report and visual tools are generated from the verified evidence.</w:t>
      </w:r>
    </w:p>
    <w:p>
      <w:pPr>
        <w:keepNext/>
        <w:spacing w:after="20" w:before="60"/>
        <w:jc w:val="center"/>
      </w:pPr>
      <w:r>
        <w:drawing>
          <wp:inline distT="0" distB="0" distL="0" distR="0">
            <wp:extent cx="2857500" cy="4219575"/>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219575"/>
                    </a:xfrm>
                    <a:prstGeom prst="rect">
                      <a:avLst/>
                    </a:prstGeom>
                  </pic:spPr>
                </pic:pic>
              </a:graphicData>
            </a:graphic>
          </wp:inline>
        </w:drawing>
      </w:r>
    </w:p>
    <w:p>
      <w:pPr>
        <w:spacing w:after="100" w:before="40"/>
        <w:jc w:val="center"/>
      </w:pPr>
      <w:r>
        <w:rPr>
          <w:rFonts w:ascii="Times New Roman" w:cs="Times New Roman" w:eastAsia="Times New Roman" w:hAnsi="Times New Roman"/>
          <w:sz w:val="16"/>
          <w:szCs w:val="16"/>
        </w:rPr>
        <w:t xml:space="preserve">Fig. 1. UNKNOWN pipeline. Shaded stages are the contributions of this work.</w:t>
      </w:r>
    </w:p>
    <w:p>
      <w:pPr>
        <w:pStyle w:val="Heading2"/>
        <w:keepNext/>
        <w:spacing w:after="50" w:before="90"/>
      </w:pPr>
      <w:r>
        <w:rPr>
          <w:rFonts w:ascii="Times New Roman" w:cs="Times New Roman" w:eastAsia="Times New Roman" w:hAnsi="Times New Roman"/>
          <w:i/>
          <w:iCs/>
          <w:sz w:val="20"/>
          <w:szCs w:val="20"/>
        </w:rPr>
        <w:t xml:space="preserve">B. Ingestion and Chunking</w:t>
      </w:r>
    </w:p>
    <w:p>
      <w:pPr>
        <w:spacing w:after="70" w:line="228"/>
        <w:ind w:firstLine="200"/>
        <w:jc w:val="both"/>
      </w:pPr>
      <w:r>
        <w:rPr>
          <w:rFonts w:ascii="Times New Roman" w:cs="Times New Roman" w:eastAsia="Times New Roman" w:hAnsi="Times New Roman"/>
          <w:sz w:val="20"/>
          <w:szCs w:val="20"/>
        </w:rPr>
        <w:t xml:space="preserve">TXT, DOCX and PDF files are converted to text, and OCR is applied to pages without a text layer. The text is split into overlapping chunks that store the document name, title, page number, chunk number and a content hash. This metadata is kept through all later stages so that every output can be traced to its source.</w:t>
      </w:r>
    </w:p>
    <w:p>
      <w:pPr>
        <w:pStyle w:val="Heading2"/>
        <w:keepNext/>
        <w:spacing w:after="50" w:before="90"/>
      </w:pPr>
      <w:r>
        <w:rPr>
          <w:rFonts w:ascii="Times New Roman" w:cs="Times New Roman" w:eastAsia="Times New Roman" w:hAnsi="Times New Roman"/>
          <w:i/>
          <w:iCs/>
          <w:sz w:val="20"/>
          <w:szCs w:val="20"/>
        </w:rPr>
        <w:t xml:space="preserve">C. Hybrid Retrieval Base</w:t>
      </w:r>
    </w:p>
    <w:p>
      <w:pPr>
        <w:spacing w:after="70" w:line="228"/>
        <w:ind w:firstLine="200"/>
        <w:jc w:val="both"/>
      </w:pPr>
      <w:r>
        <w:rPr>
          <w:rFonts w:ascii="Times New Roman" w:cs="Times New Roman" w:eastAsia="Times New Roman" w:hAnsi="Times New Roman"/>
          <w:sz w:val="20"/>
          <w:szCs w:val="20"/>
        </w:rPr>
        <w:t xml:space="preserve">For each sub-question, BM25 [6] ranks the chunk index and a dense retriever ranks the FAISS [7] index built with all-MiniLM-L6-v2 [4], [32]. The two ranked lists are fused by reciprocal rank fusion [8]:</w:t>
      </w:r>
    </w:p>
    <w:p>
      <w:pPr>
        <w:tabs>
          <w:tab w:val="center" w:pos="2450"/>
          <w:tab w:val="right" w:pos="490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score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rank</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spacing w:after="70" w:line="228"/>
        <w:ind w:firstLine="20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ranges over the two lists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a smoothing constant. This base is identical in all experiments.</w:t>
      </w:r>
    </w:p>
    <w:p>
      <w:pPr>
        <w:pStyle w:val="Heading2"/>
        <w:keepNext/>
        <w:spacing w:after="50" w:before="90"/>
      </w:pPr>
      <w:r>
        <w:rPr>
          <w:rFonts w:ascii="Times New Roman" w:cs="Times New Roman" w:eastAsia="Times New Roman" w:hAnsi="Times New Roman"/>
          <w:i/>
          <w:iCs/>
          <w:sz w:val="20"/>
          <w:szCs w:val="20"/>
        </w:rPr>
        <w:t xml:space="preserve">D. Sufficiency-Controlled Retrieval</w:t>
      </w:r>
    </w:p>
    <w:p>
      <w:pPr>
        <w:spacing w:after="70" w:line="228"/>
        <w:ind w:firstLine="200"/>
        <w:jc w:val="both"/>
      </w:pPr>
      <w:r>
        <w:rPr>
          <w:rFonts w:ascii="Times New Roman" w:cs="Times New Roman" w:eastAsia="Times New Roman" w:hAnsi="Times New Roman"/>
          <w:sz w:val="20"/>
          <w:szCs w:val="20"/>
        </w:rPr>
        <w:t xml:space="preserve">For sub-question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let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be the top fused chunks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independent source papers among them (chunks from one paper count once, and papers that reuse each other’s results are merged). Let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be the mean relevance of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to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scored by </w:t>
      </w:r>
      <w:r>
        <w:rPr>
          <w:rFonts w:ascii="Times New Roman" w:cs="Times New Roman" w:eastAsia="Times New Roman" w:hAnsi="Times New Roman"/>
          <w:sz w:val="20"/>
          <w:szCs w:val="20"/>
          <w:highlight w:val="yellow"/>
          <w:highlightCs w:val="yellow"/>
        </w:rPr>
        <w:t xml:space="preserve">[cross-encoder model]</w:t>
      </w:r>
      <w:r>
        <w:rPr>
          <w:rFonts w:ascii="Times New Roman" w:cs="Times New Roman" w:eastAsia="Times New Roman" w:hAnsi="Times New Roman"/>
          <w:sz w:val="20"/>
          <w:szCs w:val="20"/>
        </w:rPr>
        <w:t xml:space="preserve"> [33] and normalized to [0, 1]. The status is</w:t>
      </w:r>
    </w:p>
    <w:p>
      <w:pPr>
        <w:tabs>
          <w:tab w:val="center" w:pos="2450"/>
          <w:tab w:val="right" w:pos="490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status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sufficient</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τ</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τ</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(2)</w:t>
      </w:r>
    </w:p>
    <w:p>
      <w:pPr>
        <w:tabs>
          <w:tab w:val="center" w:pos="2450"/>
          <w:tab w:val="right" w:pos="490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weak</w:t>
      </w:r>
      <w:r>
        <w:rPr>
          <w:rFonts w:ascii="Times New Roman" w:cs="Times New Roman" w:eastAsia="Times New Roman" w:hAnsi="Times New Roman"/>
          <w:sz w:val="20"/>
          <w:szCs w:val="20"/>
        </w:rPr>
        <w:t xml:space="preserve">  if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τ</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/2;  </w:t>
      </w:r>
      <w:r>
        <w:rPr>
          <w:rFonts w:ascii="Times New Roman" w:cs="Times New Roman" w:eastAsia="Times New Roman" w:hAnsi="Times New Roman"/>
          <w:i/>
          <w:iCs/>
          <w:sz w:val="20"/>
          <w:szCs w:val="20"/>
        </w:rPr>
        <w:t xml:space="preserve">insufficient</w:t>
      </w:r>
      <w:r>
        <w:rPr>
          <w:rFonts w:ascii="Times New Roman" w:cs="Times New Roman" w:eastAsia="Times New Roman" w:hAnsi="Times New Roman"/>
          <w:sz w:val="20"/>
          <w:szCs w:val="20"/>
        </w:rPr>
        <w:t xml:space="preserve">  otherwise</w:t>
      </w:r>
      <w:r>
        <w:rPr>
          <w:rFonts w:ascii="Times New Roman" w:cs="Times New Roman" w:eastAsia="Times New Roman" w:hAnsi="Times New Roman"/>
          <w:sz w:val="20"/>
          <w:szCs w:val="20"/>
        </w:rPr>
        <w:t xml:space="preserve"/>
      </w:r>
    </w:p>
    <w:p>
      <w:pPr>
        <w:spacing w:after="70" w:line="228"/>
        <w:ind w:firstLine="200"/>
        <w:jc w:val="both"/>
      </w:pPr>
      <w:r>
        <w:rPr>
          <w:rFonts w:ascii="Times New Roman" w:cs="Times New Roman" w:eastAsia="Times New Roman" w:hAnsi="Times New Roman"/>
          <w:sz w:val="20"/>
          <w:szCs w:val="20"/>
        </w:rPr>
        <w:t xml:space="preserve">The thresholds τ</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and τ</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are tuned on a development split and reported in Section VII. Algorithm 1 gives the control loop and Fig. 2 its decision logic. An insufficient sub-question is reformulated and searched in additional sources for at most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rounds. If it remains insufficient, it is reported as a gap and the generator is not allowed to answer it from its own memory.</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4900"/>
      </w:tblGrid>
      <w:tr>
        <w:trPr>
          <w:cantSplit/>
        </w:trPr>
        <w:tc>
          <w:tcPr>
            <w:tcW w:type="dxa" w:w="4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Algorithm 1.</w:t>
            </w:r>
            <w:r>
              <w:rPr>
                <w:rFonts w:ascii="Times New Roman" w:cs="Times New Roman" w:eastAsia="Times New Roman" w:hAnsi="Times New Roman"/>
                <w:sz w:val="17"/>
                <w:szCs w:val="17"/>
              </w:rPr>
              <w:t xml:space="preserve"> Sufficiency-controlled retrieval</w:t>
            </w:r>
          </w:p>
          <w:p>
            <w:pPr>
              <w:spacing w:after="0" w:line="205"/>
              <w:ind w:left="0"/>
            </w:pP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query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corpus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rPr>
              <w:t xml:space="preserve">, thresholds τ</w:t>
            </w:r>
            <w:r>
              <w:rPr>
                <w:rFonts w:ascii="Times New Roman" w:cs="Times New Roman" w:eastAsia="Times New Roman" w:hAnsi="Times New Roman"/>
                <w:sz w:val="16"/>
                <w:szCs w:val="16"/>
                <w:vertAlign w:val="subscript"/>
              </w:rPr>
              <w:t xml:space="preserve">n</w:t>
            </w:r>
            <w:r>
              <w:rPr>
                <w:rFonts w:ascii="Times New Roman" w:cs="Times New Roman" w:eastAsia="Times New Roman" w:hAnsi="Times New Roman"/>
                <w:sz w:val="16"/>
                <w:szCs w:val="16"/>
              </w:rPr>
              <w:t xml:space="preserve">, τ</w:t>
            </w:r>
            <w:r>
              <w:rPr>
                <w:rFonts w:ascii="Times New Roman" w:cs="Times New Roman" w:eastAsia="Times New Roman" w:hAnsi="Times New Roman"/>
                <w:sz w:val="16"/>
                <w:szCs w:val="16"/>
                <w:vertAlign w:val="subscript"/>
              </w:rPr>
              <w:t xml:space="preserve">r</w:t>
            </w:r>
            <w:r>
              <w:rPr>
                <w:rFonts w:ascii="Times New Roman" w:cs="Times New Roman" w:eastAsia="Times New Roman" w:hAnsi="Times New Roman"/>
                <w:sz w:val="16"/>
                <w:szCs w:val="16"/>
              </w:rPr>
              <w:t xml:space="preserve">, max rounds </w:t>
            </w:r>
            <w:r>
              <w:rPr>
                <w:rFonts w:ascii="Times New Roman" w:cs="Times New Roman" w:eastAsia="Times New Roman" w:hAnsi="Times New Roman"/>
                <w:i/>
                <w:iCs/>
                <w:sz w:val="16"/>
                <w:szCs w:val="16"/>
              </w:rPr>
              <w:t xml:space="preserve">T</w:t>
            </w:r>
          </w:p>
          <w:p>
            <w:pPr>
              <w:spacing w:after="0" w:line="205"/>
              <w:ind w:left="0"/>
            </w:pPr>
            <w:r>
              <w:rPr>
                <w:rFonts w:ascii="Times New Roman" w:cs="Times New Roman" w:eastAsia="Times New Roman" w:hAnsi="Times New Roman"/>
                <w:sz w:val="16"/>
                <w:szCs w:val="16"/>
              </w:rPr>
              <w:t xml:space="preserve">1  Decompose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into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1</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m</w:t>
            </w:r>
          </w:p>
          <w:p>
            <w:pPr>
              <w:spacing w:after="0" w:line="205"/>
              <w:ind w:left="0"/>
            </w:pPr>
            <w:r>
              <w:rPr>
                <w:rFonts w:ascii="Times New Roman" w:cs="Times New Roman" w:eastAsia="Times New Roman" w:hAnsi="Times New Roman"/>
                <w:sz w:val="16"/>
                <w:szCs w:val="16"/>
              </w:rPr>
              <w:t xml:space="preserve">2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0,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i</w:t>
            </w:r>
          </w:p>
          <w:p>
            <w:pPr>
              <w:spacing w:after="0" w:line="205"/>
              <w:ind w:left="200"/>
            </w:pPr>
            <w:r>
              <w:rPr>
                <w:rFonts w:ascii="Times New Roman" w:cs="Times New Roman" w:eastAsia="Times New Roman" w:hAnsi="Times New Roman"/>
                <w:sz w:val="16"/>
                <w:szCs w:val="16"/>
              </w:rPr>
              <w:t xml:space="preserve">3  </w:t>
            </w:r>
            <w:r>
              <w:rPr>
                <w:rFonts w:ascii="Times New Roman" w:cs="Times New Roman" w:eastAsia="Times New Roman" w:hAnsi="Times New Roman"/>
                <w:b/>
                <w:bCs/>
                <w:sz w:val="16"/>
                <w:szCs w:val="16"/>
              </w:rPr>
              <w:t xml:space="preserve">repeat</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 Retrieve(</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D</w:t>
            </w:r>
            <w:r>
              <w:rPr>
                <w:rFonts w:ascii="Times New Roman" w:cs="Times New Roman" w:eastAsia="Times New Roman" w:hAnsi="Times New Roman"/>
                <w:sz w:val="16"/>
                <w:szCs w:val="16"/>
              </w:rPr>
              <w:t xml:space="preserve">) by Eq. (1); compute </w:t>
            </w:r>
            <w:r>
              <w:rPr>
                <w:rFonts w:ascii="Times New Roman" w:cs="Times New Roman" w:eastAsia="Times New Roman" w:hAnsi="Times New Roman"/>
                <w:i/>
                <w:iCs/>
                <w:sz w:val="16"/>
                <w:szCs w:val="16"/>
              </w:rPr>
              <w:t xml:space="preserve">n</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r</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status(</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by Eq. (2)</w:t>
            </w:r>
          </w:p>
          <w:p>
            <w:pPr>
              <w:spacing w:after="0" w:line="205"/>
              <w:ind w:left="200"/>
            </w:pPr>
            <w:r>
              <w:rPr>
                <w:rFonts w:ascii="Times New Roman" w:cs="Times New Roman" w:eastAsia="Times New Roman" w:hAnsi="Times New Roman"/>
                <w:sz w:val="16"/>
                <w:szCs w:val="16"/>
              </w:rPr>
              <w:t xml:space="preserve">4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insufficient: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 Reformulate(</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rPr>
              <w:t xml:space="preserve">), expand sources,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+ 1</w:t>
            </w:r>
          </w:p>
          <w:p>
            <w:pPr>
              <w:spacing w:after="0" w:line="205"/>
              <w:ind w:left="200"/>
            </w:pPr>
            <w:r>
              <w:rPr>
                <w:rFonts w:ascii="Times New Roman" w:cs="Times New Roman" w:eastAsia="Times New Roman" w:hAnsi="Times New Roman"/>
                <w:sz w:val="16"/>
                <w:szCs w:val="16"/>
              </w:rPr>
              <w:t xml:space="preserve">5  </w:t>
            </w:r>
            <w:r>
              <w:rPr>
                <w:rFonts w:ascii="Times New Roman" w:cs="Times New Roman" w:eastAsia="Times New Roman" w:hAnsi="Times New Roman"/>
                <w:b/>
                <w:bCs/>
                <w:sz w:val="16"/>
                <w:szCs w:val="16"/>
              </w:rPr>
              <w:t xml:space="preserve">until</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insufficient </w:t>
            </w:r>
            <w:r>
              <w:rPr>
                <w:rFonts w:ascii="Times New Roman" w:cs="Times New Roman" w:eastAsia="Times New Roman" w:hAnsi="Times New Roman"/>
                <w:b/>
                <w:bCs/>
                <w:sz w:val="16"/>
                <w:szCs w:val="16"/>
              </w:rPr>
              <w:t xml:space="preserve">or</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t</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T</w:t>
            </w:r>
          </w:p>
          <w:p>
            <w:pPr>
              <w:spacing w:after="0" w:line="205"/>
              <w:ind w:left="200"/>
            </w:pPr>
            <w:r>
              <w:rPr>
                <w:rFonts w:ascii="Times New Roman" w:cs="Times New Roman" w:eastAsia="Times New Roman" w:hAnsi="Times New Roman"/>
                <w:sz w:val="16"/>
                <w:szCs w:val="16"/>
              </w:rPr>
              <w:t xml:space="preserve">6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rPr>
              <w:t xml:space="preserve"> = insufficient: mark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as gap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keep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vertAlign w:val="subscript"/>
              </w:rPr>
              <w:t xml:space="preserve">i</w:t>
            </w:r>
          </w:p>
          <w:p>
            <w:pPr>
              <w:spacing w:after="0" w:line="205"/>
              <w:ind w:left="0"/>
            </w:pPr>
            <w:r>
              <w:rPr>
                <w:rFonts w:ascii="Times New Roman" w:cs="Times New Roman" w:eastAsia="Times New Roman" w:hAnsi="Times New Roman"/>
                <w:sz w:val="16"/>
                <w:szCs w:val="16"/>
              </w:rPr>
              <w:t xml:space="preserve">7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q</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s</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sz w:val="16"/>
                <w:szCs w:val="16"/>
              </w:rPr>
              <w:t xml:space="preserve">)}</w:t>
            </w:r>
          </w:p>
        </w:tc>
      </w:tr>
    </w:tbl>
    <w:p>
      <w:pPr>
        <w:spacing w:after="40"/>
      </w:pPr>
    </w:p>
    <w:p>
      <w:pPr>
        <w:keepNext/>
        <w:spacing w:after="20" w:before="60"/>
        <w:jc w:val="center"/>
      </w:pPr>
      <w:r>
        <w:drawing>
          <wp:inline distT="0" distB="0" distL="0" distR="0">
            <wp:extent cx="3105150" cy="2257425"/>
            <wp:effectExtent t="0" r="0" b="0" l="0"/>
            <wp:docPr id="1" name="fig2_sufficiency.png" descr="fig2_sufficiency.png" title="fig2_su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257425"/>
                    </a:xfrm>
                    <a:prstGeom prst="rect">
                      <a:avLst/>
                    </a:prstGeom>
                  </pic:spPr>
                </pic:pic>
              </a:graphicData>
            </a:graphic>
          </wp:inline>
        </w:drawing>
      </w:r>
    </w:p>
    <w:p>
      <w:pPr>
        <w:spacing w:after="100" w:before="40"/>
        <w:jc w:val="center"/>
      </w:pPr>
      <w:r>
        <w:rPr>
          <w:rFonts w:ascii="Times New Roman" w:cs="Times New Roman" w:eastAsia="Times New Roman" w:hAnsi="Times New Roman"/>
          <w:sz w:val="16"/>
          <w:szCs w:val="16"/>
        </w:rPr>
        <w:t xml:space="preserve">Fig. 2. Decision logic of the sufficiency check for one sub-question.</w:t>
      </w:r>
    </w:p>
    <w:p>
      <w:pPr>
        <w:pStyle w:val="Heading2"/>
        <w:keepNext/>
        <w:spacing w:after="50" w:before="90"/>
      </w:pPr>
      <w:r>
        <w:rPr>
          <w:rFonts w:ascii="Times New Roman" w:cs="Times New Roman" w:eastAsia="Times New Roman" w:hAnsi="Times New Roman"/>
          <w:i/>
          <w:iCs/>
          <w:sz w:val="20"/>
          <w:szCs w:val="20"/>
        </w:rPr>
        <w:t xml:space="preserve">E. Claim-Level Verification and Repair</w:t>
      </w:r>
    </w:p>
    <w:p>
      <w:pPr>
        <w:spacing w:after="70" w:line="228"/>
        <w:ind w:firstLine="200"/>
        <w:jc w:val="both"/>
      </w:pPr>
      <w:r>
        <w:rPr>
          <w:rFonts w:ascii="Times New Roman" w:cs="Times New Roman" w:eastAsia="Times New Roman" w:hAnsi="Times New Roman"/>
          <w:sz w:val="20"/>
          <w:szCs w:val="20"/>
        </w:rPr>
        <w:t xml:space="preserve">The generated answer is split into atomic claims, each linked to its cited passage. A claim is </w:t>
      </w:r>
      <w:r>
        <w:rPr>
          <w:rFonts w:ascii="Times New Roman" w:cs="Times New Roman" w:eastAsia="Times New Roman" w:hAnsi="Times New Roman"/>
          <w:i/>
          <w:iCs/>
          <w:sz w:val="20"/>
          <w:szCs w:val="20"/>
        </w:rPr>
        <w:t xml:space="preserve">supported</w:t>
      </w:r>
      <w:r>
        <w:rPr>
          <w:rFonts w:ascii="Times New Roman" w:cs="Times New Roman" w:eastAsia="Times New Roman" w:hAnsi="Times New Roman"/>
          <w:sz w:val="20"/>
          <w:szCs w:val="20"/>
        </w:rPr>
        <w:t xml:space="preserve"> only if three checks pass: the passage entails the claim according to </w:t>
      </w:r>
      <w:r>
        <w:rPr>
          <w:rFonts w:ascii="Times New Roman" w:cs="Times New Roman" w:eastAsia="Times New Roman" w:hAnsi="Times New Roman"/>
          <w:sz w:val="20"/>
          <w:szCs w:val="20"/>
          <w:highlight w:val="yellow"/>
          <w:highlightCs w:val="yellow"/>
        </w:rPr>
        <w:t xml:space="preserve">[NLI model]</w:t>
      </w:r>
      <w:r>
        <w:rPr>
          <w:rFonts w:ascii="Times New Roman" w:cs="Times New Roman" w:eastAsia="Times New Roman" w:hAnsi="Times New Roman"/>
          <w:sz w:val="20"/>
          <w:szCs w:val="20"/>
        </w:rPr>
        <w:t xml:space="preserve">; every number and date in the claim appears in the passage after normalization of units and formats; and every named entity in the claim appears in the passage. A failed claim is regenerated from the passage alone and checked again; if it fails twice it is removed. Algorithm 2 summarizes the procedure.</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4900"/>
      </w:tblGrid>
      <w:tr>
        <w:trPr>
          <w:cantSplit/>
        </w:trPr>
        <w:tc>
          <w:tcPr>
            <w:tcW w:type="dxa" w:w="4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20"/>
            </w:pPr>
            <w:r>
              <w:rPr>
                <w:rFonts w:ascii="Times New Roman" w:cs="Times New Roman" w:eastAsia="Times New Roman" w:hAnsi="Times New Roman"/>
                <w:b/>
                <w:bCs/>
                <w:sz w:val="17"/>
                <w:szCs w:val="17"/>
              </w:rPr>
              <w:t xml:space="preserve">Algorithm 2.</w:t>
            </w:r>
            <w:r>
              <w:rPr>
                <w:rFonts w:ascii="Times New Roman" w:cs="Times New Roman" w:eastAsia="Times New Roman" w:hAnsi="Times New Roman"/>
                <w:sz w:val="17"/>
                <w:szCs w:val="17"/>
              </w:rPr>
              <w:t xml:space="preserve"> Claim verification and repair</w:t>
            </w:r>
          </w:p>
          <w:p>
            <w:pPr>
              <w:spacing w:after="0" w:line="205"/>
              <w:ind w:left="0"/>
            </w:pPr>
            <w:r>
              <w:rPr>
                <w:rFonts w:ascii="Times New Roman" w:cs="Times New Roman" w:eastAsia="Times New Roman" w:hAnsi="Times New Roman"/>
                <w:b/>
                <w:bCs/>
                <w:sz w:val="16"/>
                <w:szCs w:val="16"/>
              </w:rPr>
              <w:t xml:space="preserve">Input:</w:t>
            </w:r>
            <w:r>
              <w:rPr>
                <w:rFonts w:ascii="Times New Roman" w:cs="Times New Roman" w:eastAsia="Times New Roman" w:hAnsi="Times New Roman"/>
                <w:sz w:val="16"/>
                <w:szCs w:val="16"/>
              </w:rPr>
              <w:t xml:space="preserve"> answer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evidence passages </w:t>
            </w:r>
            <w:r>
              <w:rPr>
                <w:rFonts w:ascii="Times New Roman" w:cs="Times New Roman" w:eastAsia="Times New Roman" w:hAnsi="Times New Roman"/>
                <w:i/>
                <w:iCs/>
                <w:sz w:val="16"/>
                <w:szCs w:val="16"/>
              </w:rPr>
              <w:t xml:space="preserve">P</w:t>
            </w:r>
          </w:p>
          <w:p>
            <w:pPr>
              <w:spacing w:after="0" w:line="205"/>
              <w:ind w:left="0"/>
            </w:pPr>
            <w:r>
              <w:rPr>
                <w:rFonts w:ascii="Times New Roman" w:cs="Times New Roman" w:eastAsia="Times New Roman" w:hAnsi="Times New Roman"/>
                <w:sz w:val="16"/>
                <w:szCs w:val="16"/>
              </w:rPr>
              <w:t xml:space="preserve">1  Split </w:t>
            </w:r>
            <w:r>
              <w:rPr>
                <w:rFonts w:ascii="Times New Roman" w:cs="Times New Roman" w:eastAsia="Times New Roman" w:hAnsi="Times New Roman"/>
                <w:i/>
                <w:iCs/>
                <w:sz w:val="16"/>
                <w:szCs w:val="16"/>
              </w:rPr>
              <w:t xml:space="preserve">a</w:t>
            </w:r>
            <w:r>
              <w:rPr>
                <w:rFonts w:ascii="Times New Roman" w:cs="Times New Roman" w:eastAsia="Times New Roman" w:hAnsi="Times New Roman"/>
                <w:sz w:val="16"/>
                <w:szCs w:val="16"/>
              </w:rPr>
              <w:t xml:space="preserve"> into atomic claims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each linked to a passage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P</w:t>
            </w:r>
          </w:p>
          <w:p>
            <w:pPr>
              <w:spacing w:after="0" w:line="205"/>
              <w:ind w:left="0"/>
            </w:pPr>
            <w:r>
              <w:rPr>
                <w:rFonts w:ascii="Times New Roman" w:cs="Times New Roman" w:eastAsia="Times New Roman" w:hAnsi="Times New Roman"/>
                <w:sz w:val="16"/>
                <w:szCs w:val="16"/>
              </w:rPr>
              <w:t xml:space="preserve">2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rPr>
              <w:t xml:space="preserve"> ← Entails(</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 ← numbers and dates of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found in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 entities of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found in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j</w:t>
            </w:r>
          </w:p>
          <w:p>
            <w:pPr>
              <w:spacing w:after="0" w:line="205"/>
              <w:ind w:left="200"/>
            </w:pPr>
            <w:r>
              <w:rPr>
                <w:rFonts w:ascii="Times New Roman" w:cs="Times New Roman" w:eastAsia="Times New Roman" w:hAnsi="Times New Roman"/>
                <w:sz w:val="16"/>
                <w:szCs w:val="16"/>
              </w:rPr>
              <w:t xml:space="preserve">3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e</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u</w:t>
            </w:r>
            <w:r>
              <w:rPr>
                <w:rFonts w:ascii="Times New Roman" w:cs="Times New Roman" w:eastAsia="Times New Roman" w:hAnsi="Times New Roman"/>
                <w:sz w:val="16"/>
                <w:szCs w:val="16"/>
              </w:rPr>
              <w:t xml:space="preserve"> ∧ </w:t>
            </w:r>
            <w:r>
              <w:rPr>
                <w:rFonts w:ascii="Times New Roman" w:cs="Times New Roman" w:eastAsia="Times New Roman" w:hAnsi="Times New Roman"/>
                <w:i/>
                <w:iCs/>
                <w:sz w:val="16"/>
                <w:szCs w:val="16"/>
              </w:rPr>
              <w:t xml:space="preserve">v</w:t>
            </w:r>
            <w:r>
              <w:rPr>
                <w:rFonts w:ascii="Times New Roman" w:cs="Times New Roman" w:eastAsia="Times New Roman" w:hAnsi="Times New Roman"/>
                <w:sz w:val="16"/>
                <w:szCs w:val="16"/>
              </w:rPr>
              <w:t xml:space="preserve">: label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supported</w:t>
            </w:r>
          </w:p>
          <w:p>
            <w:pPr>
              <w:spacing w:after="0" w:line="205"/>
              <w:ind w:left="200"/>
            </w:pPr>
            <w:r>
              <w:rPr>
                <w:rFonts w:ascii="Times New Roman" w:cs="Times New Roman" w:eastAsia="Times New Roman" w:hAnsi="Times New Roman"/>
                <w:sz w:val="16"/>
                <w:szCs w:val="16"/>
              </w:rPr>
              <w:t xml:space="preserve">4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regenerate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from </w:t>
            </w:r>
            <w:r>
              <w:rPr>
                <w:rFonts w:ascii="Times New Roman" w:cs="Times New Roman" w:eastAsia="Times New Roman" w:hAnsi="Times New Roman"/>
                <w:i/>
                <w:iCs/>
                <w:sz w:val="16"/>
                <w:szCs w:val="16"/>
              </w:rPr>
              <w:t xml:space="preserve">p</w:t>
            </w:r>
            <w:r>
              <w:rPr>
                <w:rFonts w:ascii="Times New Roman" w:cs="Times New Roman" w:eastAsia="Times New Roman" w:hAnsi="Times New Roman"/>
                <w:sz w:val="16"/>
                <w:szCs w:val="16"/>
                <w:vertAlign w:val="subscript"/>
              </w:rPr>
              <w:t xml:space="preserve">j</w:t>
            </w:r>
            <w:r>
              <w:rPr>
                <w:rFonts w:ascii="Times New Roman" w:cs="Times New Roman" w:eastAsia="Times New Roman" w:hAnsi="Times New Roman"/>
                <w:sz w:val="16"/>
                <w:szCs w:val="16"/>
              </w:rPr>
              <w:t xml:space="preserve">; re-check; if it fails again, drop </w:t>
            </w:r>
            <w:r>
              <w:rPr>
                <w:rFonts w:ascii="Times New Roman" w:cs="Times New Roman" w:eastAsia="Times New Roman" w:hAnsi="Times New Roman"/>
                <w:i/>
                <w:iCs/>
                <w:sz w:val="16"/>
                <w:szCs w:val="16"/>
              </w:rPr>
              <w:t xml:space="preserve">c</w:t>
            </w:r>
            <w:r>
              <w:rPr>
                <w:rFonts w:ascii="Times New Roman" w:cs="Times New Roman" w:eastAsia="Times New Roman" w:hAnsi="Times New Roman"/>
                <w:sz w:val="16"/>
                <w:szCs w:val="16"/>
                <w:vertAlign w:val="subscript"/>
              </w:rPr>
              <w:t xml:space="preserve">j</w:t>
            </w:r>
          </w:p>
          <w:p>
            <w:pPr>
              <w:spacing w:after="0" w:line="205"/>
              <w:ind w:left="0"/>
            </w:pPr>
            <w:r>
              <w:rPr>
                <w:rFonts w:ascii="Times New Roman" w:cs="Times New Roman" w:eastAsia="Times New Roman" w:hAnsi="Times New Roman"/>
                <w:sz w:val="16"/>
                <w:szCs w:val="16"/>
              </w:rPr>
              <w:t xml:space="preserve">5  </w:t>
            </w:r>
            <w:r>
              <w:rPr>
                <w:rFonts w:ascii="Times New Roman" w:cs="Times New Roman" w:eastAsia="Times New Roman" w:hAnsi="Times New Roman"/>
                <w:b/>
                <w:bCs/>
                <w:sz w:val="16"/>
                <w:szCs w:val="16"/>
              </w:rPr>
              <w:t xml:space="preserve">return</w:t>
            </w:r>
            <w:r>
              <w:rPr>
                <w:rFonts w:ascii="Times New Roman" w:cs="Times New Roman" w:eastAsia="Times New Roman" w:hAnsi="Times New Roman"/>
                <w:sz w:val="16"/>
                <w:szCs w:val="16"/>
              </w:rPr>
              <w:t xml:space="preserve"> verified answer and claim labels</w:t>
            </w:r>
          </w:p>
        </w:tc>
      </w:tr>
    </w:tbl>
    <w:p>
      <w:pPr>
        <w:spacing w:after="40"/>
      </w:pPr>
    </w:p>
    <w:p>
      <w:pPr>
        <w:pStyle w:val="Heading2"/>
        <w:keepNext/>
        <w:spacing w:after="50" w:before="90"/>
      </w:pPr>
      <w:r>
        <w:rPr>
          <w:rFonts w:ascii="Times New Roman" w:cs="Times New Roman" w:eastAsia="Times New Roman" w:hAnsi="Times New Roman"/>
          <w:i/>
          <w:iCs/>
          <w:sz w:val="20"/>
          <w:szCs w:val="20"/>
        </w:rPr>
        <w:t xml:space="preserve">F. Reliability Weighting and Conflict Reporting</w:t>
      </w:r>
    </w:p>
    <w:p>
      <w:pPr>
        <w:spacing w:after="70" w:line="228"/>
        <w:ind w:firstLine="200"/>
        <w:jc w:val="both"/>
      </w:pPr>
      <w:r>
        <w:rPr>
          <w:rFonts w:ascii="Times New Roman" w:cs="Times New Roman" w:eastAsia="Times New Roman" w:hAnsi="Times New Roman"/>
          <w:sz w:val="20"/>
          <w:szCs w:val="20"/>
        </w:rPr>
        <w:t xml:space="preserve">Each source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receives a weight</w:t>
      </w:r>
    </w:p>
    <w:p>
      <w:pPr>
        <w:tabs>
          <w:tab w:val="center" w:pos="2450"/>
          <w:tab w:val="right" w:pos="490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0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retracted</w:t>
      </w:r>
      <w:r>
        <w:rPr>
          <w:rFonts w:ascii="Times New Roman" w:cs="Times New Roman" w:eastAsia="Times New Roman" w:hAnsi="Times New Roman"/>
          <w:sz w:val="20"/>
          <w:szCs w:val="20"/>
        </w:rPr>
        <w:t xml:space="preserve"/>
      </w:r>
    </w:p>
    <w:p>
      <w:pPr>
        <w:tabs>
          <w:tab w:val="center" w:pos="2450"/>
          <w:tab w:val="right" w:pos="490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α</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β</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γ</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otherwise</w:t>
      </w:r>
      <w:r>
        <w:rPr>
          <w:rFonts w:ascii="Times New Roman" w:cs="Times New Roman" w:eastAsia="Times New Roman" w:hAnsi="Times New Roman"/>
          <w:sz w:val="20"/>
          <w:szCs w:val="20"/>
        </w:rPr>
        <w:t xml:space="preserve">	(3)</w:t>
      </w:r>
    </w:p>
    <w:p>
      <w:pPr>
        <w:spacing w:after="70" w:line="228"/>
        <w:ind w:firstLine="200"/>
        <w:jc w:val="both"/>
      </w:pPr>
      <w:r>
        <w:rPr>
          <w:rFonts w:ascii="Times New Roman" w:cs="Times New Roman" w:eastAsia="Times New Roman" w:hAnsi="Times New Roman"/>
          <w:sz w:val="20"/>
          <w:szCs w:val="20"/>
        </w:rPr>
        <w:t xml:space="preserve">with α + β + γ = 1 and α, β &gt; γ so that citation count has the smallest influence.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a venue score </w:t>
      </w:r>
      <w:r>
        <w:rPr>
          <w:rFonts w:ascii="Times New Roman" w:cs="Times New Roman" w:eastAsia="Times New Roman" w:hAnsi="Times New Roman"/>
          <w:sz w:val="20"/>
          <w:szCs w:val="20"/>
          <w:highlight w:val="yellow"/>
          <w:highlightCs w:val="yellow"/>
        </w:rPr>
        <w:t xml:space="preserve">[source of venue scores]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exp(−λΔ</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decays with the age Δ</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of the paper in years, and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 log(1 + cites)/log(1 + cites</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Retraction status is read from metadata when available. When two evidence sets contradict each other on the same sub-question, as judged by </w:t>
      </w:r>
      <w:r>
        <w:rPr>
          <w:rFonts w:ascii="Times New Roman" w:cs="Times New Roman" w:eastAsia="Times New Roman" w:hAnsi="Times New Roman"/>
          <w:sz w:val="20"/>
          <w:szCs w:val="20"/>
          <w:highlight w:val="yellow"/>
          <w:highlightCs w:val="yellow"/>
        </w:rPr>
        <w:t xml:space="preserve">[NLI model]</w:t>
      </w:r>
      <w:r>
        <w:rPr>
          <w:rFonts w:ascii="Times New Roman" w:cs="Times New Roman" w:eastAsia="Times New Roman" w:hAnsi="Times New Roman"/>
          <w:sz w:val="20"/>
          <w:szCs w:val="20"/>
        </w:rPr>
        <w:t xml:space="preserve">, both are shown with their weights and a candidate cause extracted from metadata, such as year, dataset or method.</w:t>
      </w:r>
    </w:p>
    <w:p>
      <w:pPr>
        <w:pStyle w:val="Heading2"/>
        <w:keepNext/>
        <w:spacing w:after="50" w:before="90"/>
      </w:pPr>
      <w:r>
        <w:rPr>
          <w:rFonts w:ascii="Times New Roman" w:cs="Times New Roman" w:eastAsia="Times New Roman" w:hAnsi="Times New Roman"/>
          <w:i/>
          <w:iCs/>
          <w:sz w:val="20"/>
          <w:szCs w:val="20"/>
        </w:rPr>
        <w:t xml:space="preserve">G. Document-Versus-Literature Comparison</w:t>
      </w:r>
    </w:p>
    <w:p>
      <w:pPr>
        <w:spacing w:after="70" w:line="228"/>
        <w:ind w:firstLine="200"/>
        <w:jc w:val="both"/>
      </w:pPr>
      <w:r>
        <w:rPr>
          <w:rFonts w:ascii="Times New Roman" w:cs="Times New Roman" w:eastAsia="Times New Roman" w:hAnsi="Times New Roman"/>
          <w:sz w:val="20"/>
          <w:szCs w:val="20"/>
        </w:rPr>
        <w:t xml:space="preserve">Statements from the user’s document are aligned with statements on the same topic retrieved from D</w:t>
      </w:r>
      <w:r>
        <w:rPr>
          <w:rFonts w:ascii="Times New Roman" w:cs="Times New Roman" w:eastAsia="Times New Roman" w:hAnsi="Times New Roman"/>
          <w:sz w:val="20"/>
          <w:szCs w:val="20"/>
          <w:vertAlign w:val="subscript"/>
        </w:rPr>
        <w:t xml:space="preserve">o</w:t>
      </w:r>
      <w:r>
        <w:rPr>
          <w:rFonts w:ascii="Times New Roman" w:cs="Times New Roman" w:eastAsia="Times New Roman" w:hAnsi="Times New Roman"/>
          <w:sz w:val="20"/>
          <w:szCs w:val="20"/>
        </w:rPr>
        <w:t xml:space="preserve">. Each aligned pair is labeled </w:t>
      </w:r>
      <w:r>
        <w:rPr>
          <w:rFonts w:ascii="Times New Roman" w:cs="Times New Roman" w:eastAsia="Times New Roman" w:hAnsi="Times New Roman"/>
          <w:i/>
          <w:iCs/>
          <w:sz w:val="20"/>
          <w:szCs w:val="20"/>
        </w:rPr>
        <w:t xml:space="preserve">agree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disagree</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not addressed</w:t>
      </w:r>
      <w:r>
        <w:rPr>
          <w:rFonts w:ascii="Times New Roman" w:cs="Times New Roman" w:eastAsia="Times New Roman" w:hAnsi="Times New Roman"/>
          <w:sz w:val="20"/>
          <w:szCs w:val="20"/>
        </w:rPr>
        <w:t xml:space="preserve">. For a </w:t>
      </w:r>
      <w:r>
        <w:rPr>
          <w:rFonts w:ascii="Times New Roman" w:cs="Times New Roman" w:eastAsia="Times New Roman" w:hAnsi="Times New Roman"/>
          <w:i/>
          <w:iCs/>
          <w:sz w:val="20"/>
          <w:szCs w:val="20"/>
        </w:rPr>
        <w:t xml:space="preserve">disagree</w:t>
      </w:r>
      <w:r>
        <w:rPr>
          <w:rFonts w:ascii="Times New Roman" w:cs="Times New Roman" w:eastAsia="Times New Roman" w:hAnsi="Times New Roman"/>
          <w:sz w:val="20"/>
          <w:szCs w:val="20"/>
        </w:rPr>
        <w:t xml:space="preserve"> pair, both statements are shown with their reliability weights, which can reveal outdated or contradicted claims.</w:t>
      </w:r>
    </w:p>
    <w:p>
      <w:pPr>
        <w:pStyle w:val="Heading2"/>
        <w:keepNext/>
        <w:spacing w:after="50" w:before="90"/>
      </w:pPr>
      <w:r>
        <w:rPr>
          <w:rFonts w:ascii="Times New Roman" w:cs="Times New Roman" w:eastAsia="Times New Roman" w:hAnsi="Times New Roman"/>
          <w:i/>
          <w:iCs/>
          <w:sz w:val="20"/>
          <w:szCs w:val="20"/>
        </w:rPr>
        <w:t xml:space="preserve">H. Typed Research-Gap Report</w:t>
      </w:r>
    </w:p>
    <w:p>
      <w:pPr>
        <w:spacing w:after="70" w:line="228"/>
        <w:ind w:firstLine="200"/>
        <w:jc w:val="both"/>
      </w:pPr>
      <w:r>
        <w:rPr>
          <w:rFonts w:ascii="Times New Roman" w:cs="Times New Roman" w:eastAsia="Times New Roman" w:hAnsi="Times New Roman"/>
          <w:sz w:val="20"/>
          <w:szCs w:val="20"/>
        </w:rPr>
        <w:t xml:space="preserve">Candidate gaps are stored in three lists: limitations stated by the authors, gaps inferred across several papers, and future directions. An inferred gap is listed only with its supporting evidence and rationale, because an author-stated limitation is not necessarily a research gap. Each entry carries its document, page, chunk and sufficiency status.</w:t>
      </w:r>
    </w:p>
    <w:p>
      <w:pPr>
        <w:pStyle w:val="Heading2"/>
        <w:keepNext/>
        <w:spacing w:after="50" w:before="90"/>
      </w:pPr>
      <w:r>
        <w:rPr>
          <w:rFonts w:ascii="Times New Roman" w:cs="Times New Roman" w:eastAsia="Times New Roman" w:hAnsi="Times New Roman"/>
          <w:i/>
          <w:iCs/>
          <w:sz w:val="20"/>
          <w:szCs w:val="20"/>
        </w:rPr>
        <w:t xml:space="preserve">I. Evidence-Linked Interface</w:t>
      </w:r>
    </w:p>
    <w:p>
      <w:pPr>
        <w:spacing w:after="70" w:line="228"/>
        <w:ind w:firstLine="200"/>
        <w:jc w:val="both"/>
      </w:pPr>
      <w:r>
        <w:rPr>
          <w:rFonts w:ascii="Times New Roman" w:cs="Times New Roman" w:eastAsia="Times New Roman" w:hAnsi="Times New Roman"/>
          <w:sz w:val="20"/>
          <w:szCs w:val="20"/>
        </w:rPr>
        <w:t xml:space="preserve">The overview, Knowledge DNA, mind map and 3D orbit view are generated from concepts and relations extracted from retrieved chunks. A node or edge is kept only if a retrieved chunk supports it, and it stores the document, page and chunk. This does not remove extraction errors; it makes them traceable.</w:t>
      </w:r>
    </w:p>
    <w:p>
      <w:pPr>
        <w:pStyle w:val="Heading1"/>
        <w:keepNext/>
        <w:spacing w:after="70" w:before="140"/>
        <w:jc w:val="center"/>
      </w:pPr>
      <w:r>
        <w:rPr>
          <w:rFonts w:ascii="Times New Roman" w:cs="Times New Roman" w:eastAsia="Times New Roman" w:hAnsi="Times New Roman"/>
          <w:sz w:val="20"/>
          <w:szCs w:val="20"/>
        </w:rPr>
        <w:t xml:space="preserve">V. IMPLEMENTATION</w:t>
      </w:r>
    </w:p>
    <w:p>
      <w:pPr>
        <w:spacing w:after="70" w:line="228"/>
        <w:ind w:firstLine="200"/>
        <w:jc w:val="both"/>
      </w:pPr>
      <w:r>
        <w:rPr>
          <w:rFonts w:ascii="Times New Roman" w:cs="Times New Roman" w:eastAsia="Times New Roman" w:hAnsi="Times New Roman"/>
          <w:sz w:val="20"/>
          <w:szCs w:val="20"/>
        </w:rPr>
        <w:t xml:space="preserve">UNKNOWN is a Python application. FastAPI serves the backend, Streamlit provides the interface, and Pydantic validates request and response schemas. Ingestion, retrieval, generation, validation and research analysis are separate modules that can be tested individually. A provider layer handles timeouts, retries and fallback across the configured language-model providers; this is engineering and not a research contribution. Table III lists the technologies. The backend regression suite of 304 tests passes. These tests check functionality and say nothing about retrieval quality or answer accuracy, which Section VII measures. The code revision, dependency versions, model settings and random seeds are available at </w:t>
      </w:r>
      <w:r>
        <w:rPr>
          <w:rFonts w:ascii="Times New Roman" w:cs="Times New Roman" w:eastAsia="Times New Roman" w:hAnsi="Times New Roman"/>
          <w:sz w:val="20"/>
          <w:szCs w:val="20"/>
          <w:highlight w:val="yellow"/>
          <w:highlightCs w:val="yellow"/>
        </w:rPr>
        <w:t xml:space="preserve">[repository link]</w:t>
      </w:r>
      <w:r>
        <w:rPr>
          <w:rFonts w:ascii="Times New Roman" w:cs="Times New Roman" w:eastAsia="Times New Roman" w:hAnsi="Times New Roman"/>
          <w:sz w:val="20"/>
          <w:szCs w:val="20"/>
        </w:rPr>
        <w:t xml:space="preserve">.</w:t>
      </w:r>
    </w:p>
    <w:p>
      <w:pPr>
        <w:keepNext/>
        <w:spacing w:after="50" w:before="90"/>
        <w:jc w:val="center"/>
      </w:pPr>
      <w:r>
        <w:rPr>
          <w:rFonts w:ascii="Times New Roman" w:cs="Times New Roman" w:eastAsia="Times New Roman" w:hAnsi="Times New Roman"/>
          <w:sz w:val="16"/>
          <w:szCs w:val="16"/>
        </w:rPr>
        <w:t xml:space="preserve">TABLE III</w:t>
      </w:r>
      <w:r>
        <w:br/>
        <w:t xml:space="preserve"/>
      </w:r>
      <w:r>
        <w:rPr>
          <w:rFonts w:ascii="Times New Roman" w:cs="Times New Roman" w:eastAsia="Times New Roman" w:hAnsi="Times New Roman"/>
          <w:sz w:val="16"/>
          <w:szCs w:val="16"/>
        </w:rPr>
        <w:t xml:space="preserve">IMPLEMENTATION TECHNOLOGIES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100"/>
        <w:gridCol w:w="1550"/>
        <w:gridCol w:w="2250"/>
      </w:tblGrid>
      <w:tr>
        <w:trPr>
          <w:cantSplit/>
          <w:tblHeader/>
        </w:trPr>
        <w:tc>
          <w:tcPr>
            <w:tcW w:type="dxa" w:w="11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bCs/>
                <w:sz w:val="15"/>
                <w:szCs w:val="15"/>
              </w:rPr>
              <w:t xml:space="preserve">Component</w:t>
            </w:r>
          </w:p>
        </w:tc>
        <w:tc>
          <w:tcPr>
            <w:tcW w:type="dxa" w:w="15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bCs/>
                <w:sz w:val="15"/>
                <w:szCs w:val="15"/>
              </w:rPr>
              <w:t xml:space="preserve">Technology</w:t>
            </w:r>
          </w:p>
        </w:tc>
        <w:tc>
          <w:tcPr>
            <w:tcW w:type="dxa" w:w="22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bCs/>
                <w:sz w:val="15"/>
                <w:szCs w:val="15"/>
              </w:rPr>
              <w:t xml:space="preserve">Purpose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Language</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Python</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Backend logic</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Backend / UI</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FastAPI / Streamlit</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Services, API, queries and results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Lexical search</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BM25 [6]</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Term-based ranking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Vector search</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FAISS [7]</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Dense similarity search</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Embeddings</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all-MiniLM-L6-v2 [4], [32]</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Query and chunk vectors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Scholarly sources</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highlight w:val="yellow"/>
                <w:highlightCs w:val="yellow"/>
              </w:rPr>
              <w:t xml:space="preserve">[e.g., OpenAlex, arXiv, Crossref]</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Open scholarly metadata and text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Re-ranker</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highlight w:val="yellow"/>
                <w:highlightCs w:val="yellow"/>
              </w:rPr>
              <w:t xml:space="preserve">[cross-encoder model]</w:t>
            </w:r>
            <w:r>
              <w:rPr>
                <w:rFonts w:ascii="Times New Roman" w:cs="Times New Roman" w:eastAsia="Times New Roman" w:hAnsi="Times New Roman"/>
                <w:b w:val="false"/>
                <w:bCs w:val="false"/>
                <w:sz w:val="15"/>
                <w:szCs w:val="15"/>
              </w:rPr>
              <w:t xml:space="preserve"> [33]</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Relevance score r</w:t>
            </w:r>
            <w:r>
              <w:rPr>
                <w:rFonts w:ascii="Times New Roman" w:cs="Times New Roman" w:eastAsia="Times New Roman" w:hAnsi="Times New Roman"/>
                <w:b w:val="false"/>
                <w:bCs w:val="false"/>
                <w:sz w:val="15"/>
                <w:szCs w:val="15"/>
                <w:vertAlign w:val="subscript"/>
              </w:rPr>
              <w:t xml:space="preserve">i</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Entailment</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highlight w:val="yellow"/>
                <w:highlightCs w:val="yellow"/>
              </w:rPr>
              <w:t xml:space="preserve">[NLI model]</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Claim and conflict checks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OCR</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highlight w:val="yellow"/>
                <w:highlightCs w:val="yellow"/>
              </w:rPr>
              <w:t xml:space="preserve">[OCR engine]</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Scanned PDF pages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LLM providers</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highlight w:val="yellow"/>
                <w:highlightCs w:val="yellow"/>
              </w:rPr>
              <w:t xml:space="preserve">[providers, versions]</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Generation with fallback</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Validation / tests</w:t>
            </w:r>
          </w:p>
        </w:tc>
        <w:tc>
          <w:tcPr>
            <w:tcW w:type="dxa" w:w="15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Pydantic / pytest</w:t>
            </w:r>
          </w:p>
        </w:tc>
        <w:tc>
          <w:tcPr>
            <w:tcW w:type="dxa" w:w="2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Schemas; unit, integration, API tests</w:t>
            </w:r>
          </w:p>
        </w:tc>
      </w:tr>
    </w:tbl>
    <w:p>
      <w:pPr>
        <w:spacing w:after="40"/>
      </w:pPr>
    </w:p>
    <w:p>
      <w:pPr>
        <w:pStyle w:val="Heading1"/>
        <w:keepNext/>
        <w:spacing w:after="70" w:before="140"/>
        <w:jc w:val="center"/>
      </w:pPr>
      <w:r>
        <w:rPr>
          <w:rFonts w:ascii="Times New Roman" w:cs="Times New Roman" w:eastAsia="Times New Roman" w:hAnsi="Times New Roman"/>
          <w:sz w:val="20"/>
          <w:szCs w:val="20"/>
        </w:rPr>
        <w:t xml:space="preserve">VI. EXPERIMENTAL SETUP</w:t>
      </w:r>
    </w:p>
    <w:p>
      <w:pPr>
        <w:pStyle w:val="Heading2"/>
        <w:keepNext/>
        <w:spacing w:after="50" w:before="90"/>
      </w:pPr>
      <w:r>
        <w:rPr>
          <w:rFonts w:ascii="Times New Roman" w:cs="Times New Roman" w:eastAsia="Times New Roman" w:hAnsi="Times New Roman"/>
          <w:i/>
          <w:iCs/>
          <w:sz w:val="20"/>
          <w:szCs w:val="20"/>
        </w:rPr>
        <w:t xml:space="preserve">A. Datasets</w:t>
      </w:r>
    </w:p>
    <w:p>
      <w:pPr>
        <w:spacing w:after="70" w:line="228"/>
        <w:ind w:firstLine="200"/>
        <w:jc w:val="both"/>
      </w:pPr>
      <w:r>
        <w:rPr>
          <w:rFonts w:ascii="Times New Roman" w:cs="Times New Roman" w:eastAsia="Times New Roman" w:hAnsi="Times New Roman"/>
          <w:sz w:val="20"/>
          <w:szCs w:val="20"/>
        </w:rPr>
        <w:t xml:space="preserve">For retrieval we use the SciFact, SCIDOCS, TREC-COVID and NFCorpus subsets of BEIR [34]. For answer quality we use QASPER [35] and the claims of SciFact [22]. For RQ3 we built two sets: </w:t>
      </w:r>
      <w:r>
        <w:rPr>
          <w:rFonts w:ascii="Times New Roman" w:cs="Times New Roman" w:eastAsia="Times New Roman" w:hAnsi="Times New Roman"/>
          <w:sz w:val="20"/>
          <w:szCs w:val="20"/>
          <w:highlight w:val="yellow"/>
          <w:highlightCs w:val="yellow"/>
        </w:rPr>
        <w:t xml:space="preserve">[N]</w:t>
      </w:r>
      <w:r>
        <w:rPr>
          <w:rFonts w:ascii="Times New Roman" w:cs="Times New Roman" w:eastAsia="Times New Roman" w:hAnsi="Times New Roman"/>
          <w:sz w:val="20"/>
          <w:szCs w:val="20"/>
        </w:rPr>
        <w:t xml:space="preserve"> papers with </w:t>
      </w:r>
      <w:r>
        <w:rPr>
          <w:rFonts w:ascii="Times New Roman" w:cs="Times New Roman" w:eastAsia="Times New Roman" w:hAnsi="Times New Roman"/>
          <w:sz w:val="20"/>
          <w:szCs w:val="20"/>
          <w:highlight w:val="yellow"/>
          <w:highlightCs w:val="yellow"/>
        </w:rPr>
        <w:t xml:space="preserve">[M]</w:t>
      </w:r>
      <w:r>
        <w:rPr>
          <w:rFonts w:ascii="Times New Roman" w:cs="Times New Roman" w:eastAsia="Times New Roman" w:hAnsi="Times New Roman"/>
          <w:sz w:val="20"/>
          <w:szCs w:val="20"/>
        </w:rPr>
        <w:t xml:space="preserve"> deliberately outdated or incorrect statements seeded into user documents, and </w:t>
      </w:r>
      <w:r>
        <w:rPr>
          <w:rFonts w:ascii="Times New Roman" w:cs="Times New Roman" w:eastAsia="Times New Roman" w:hAnsi="Times New Roman"/>
          <w:sz w:val="20"/>
          <w:szCs w:val="20"/>
          <w:highlight w:val="yellow"/>
          <w:highlightCs w:val="yellow"/>
        </w:rPr>
        <w:t xml:space="preserve">[K]</w:t>
      </w:r>
      <w:r>
        <w:rPr>
          <w:rFonts w:ascii="Times New Roman" w:cs="Times New Roman" w:eastAsia="Times New Roman" w:hAnsi="Times New Roman"/>
          <w:sz w:val="20"/>
          <w:szCs w:val="20"/>
        </w:rPr>
        <w:t xml:space="preserve"> question–evidence pairs with known disagreement between papers. Two annotators labeled relevance and claim support independently and resolved differences; agreement is reported as Cohen’s κ = </w:t>
      </w:r>
      <w:r>
        <w:rPr>
          <w:rFonts w:ascii="Times New Roman" w:cs="Times New Roman" w:eastAsia="Times New Roman" w:hAnsi="Times New Roman"/>
          <w:sz w:val="20"/>
          <w:szCs w:val="20"/>
          <w:highlight w:val="yellow"/>
          <w:highlightCs w:val="yellow"/>
        </w:rPr>
        <w:t xml:space="preserve">[value]</w:t>
      </w:r>
      <w:r>
        <w:rPr>
          <w:rFonts w:ascii="Times New Roman" w:cs="Times New Roman" w:eastAsia="Times New Roman" w:hAnsi="Times New Roman"/>
          <w:sz w:val="20"/>
          <w:szCs w:val="20"/>
        </w:rPr>
        <w:t xml:space="preserve">. A development split is used only to tune τ</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τ</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α, β, γ and λ, and all reported numbers come from the held-out test split.</w:t>
      </w:r>
    </w:p>
    <w:p>
      <w:pPr>
        <w:pStyle w:val="Heading2"/>
        <w:keepNext/>
        <w:spacing w:after="50" w:before="90"/>
      </w:pPr>
      <w:r>
        <w:rPr>
          <w:rFonts w:ascii="Times New Roman" w:cs="Times New Roman" w:eastAsia="Times New Roman" w:hAnsi="Times New Roman"/>
          <w:i/>
          <w:iCs/>
          <w:sz w:val="20"/>
          <w:szCs w:val="20"/>
        </w:rPr>
        <w:t xml:space="preserve">B. Baselines and Ablations</w:t>
      </w:r>
    </w:p>
    <w:p>
      <w:pPr>
        <w:spacing w:after="70" w:line="228"/>
        <w:ind w:firstLine="200"/>
        <w:jc w:val="both"/>
      </w:pPr>
      <w:r>
        <w:rPr>
          <w:rFonts w:ascii="Times New Roman" w:cs="Times New Roman" w:eastAsia="Times New Roman" w:hAnsi="Times New Roman"/>
          <w:sz w:val="20"/>
          <w:szCs w:val="20"/>
        </w:rPr>
        <w:t xml:space="preserve">All configurations share the same corpus, chunking, embedding model, candidate count, language model and temperature. Baselines are BM25 only, FAISS only, hybrid retrieval with RRF, a standard hybrid RAG pipeline, and a general-purpose assistant (</w:t>
      </w:r>
      <w:r>
        <w:rPr>
          <w:rFonts w:ascii="Times New Roman" w:cs="Times New Roman" w:eastAsia="Times New Roman" w:hAnsi="Times New Roman"/>
          <w:sz w:val="20"/>
          <w:szCs w:val="20"/>
          <w:highlight w:val="yellow"/>
          <w:highlightCs w:val="yellow"/>
        </w:rPr>
        <w:t xml:space="preserve">[model, version, date]</w:t>
      </w:r>
      <w:r>
        <w:rPr>
          <w:rFonts w:ascii="Times New Roman" w:cs="Times New Roman" w:eastAsia="Times New Roman" w:hAnsi="Times New Roman"/>
          <w:sz w:val="20"/>
          <w:szCs w:val="20"/>
        </w:rPr>
        <w:t xml:space="preserve">) given the same documents. Ablations remove one component of the full pipeline at a time: the sufficiency loop, claim verification, reliability weighting, and document-versus-literature comparison.</w:t>
      </w:r>
    </w:p>
    <w:p>
      <w:pPr>
        <w:pStyle w:val="Heading2"/>
        <w:keepNext/>
        <w:spacing w:after="50" w:before="90"/>
      </w:pPr>
      <w:r>
        <w:rPr>
          <w:rFonts w:ascii="Times New Roman" w:cs="Times New Roman" w:eastAsia="Times New Roman" w:hAnsi="Times New Roman"/>
          <w:i/>
          <w:iCs/>
          <w:sz w:val="20"/>
          <w:szCs w:val="20"/>
        </w:rPr>
        <w:t xml:space="preserve">C. Metrics and Protocol</w:t>
      </w:r>
    </w:p>
    <w:p>
      <w:pPr>
        <w:spacing w:after="70" w:line="228"/>
        <w:ind w:firstLine="200"/>
        <w:jc w:val="both"/>
      </w:pPr>
      <w:r>
        <w:rPr>
          <w:rFonts w:ascii="Times New Roman" w:cs="Times New Roman" w:eastAsia="Times New Roman" w:hAnsi="Times New Roman"/>
          <w:sz w:val="20"/>
          <w:szCs w:val="20"/>
        </w:rPr>
        <w:t xml:space="preserve">Retrieval is measured by Recall@10, nDCG@10 and MRR. Answer quality is measured by accuracy and the unsupported-claim rate, with claim-support precision for verification. Conflict handling is the share of known disagreements shown with both sides; document comparison is the recall and precision of flagged seeded statements and the false-alarm rate. Efficiency is median and 95th-percentile latency and cost per answer, with hardware and concurrency stated. Each configuration is run </w:t>
      </w:r>
      <w:r>
        <w:rPr>
          <w:rFonts w:ascii="Times New Roman" w:cs="Times New Roman" w:eastAsia="Times New Roman" w:hAnsi="Times New Roman"/>
          <w:sz w:val="20"/>
          <w:szCs w:val="20"/>
          <w:highlight w:val="yellow"/>
          <w:highlightCs w:val="yellow"/>
        </w:rPr>
        <w:t xml:space="preserve">[3]</w:t>
      </w:r>
      <w:r>
        <w:rPr>
          <w:rFonts w:ascii="Times New Roman" w:cs="Times New Roman" w:eastAsia="Times New Roman" w:hAnsi="Times New Roman"/>
          <w:sz w:val="20"/>
          <w:szCs w:val="20"/>
        </w:rPr>
        <w:t xml:space="preserve"> times; we report means with 95% bootstrap confidence intervals and test differences with a paired bootstrap.</w:t>
      </w:r>
    </w:p>
    <w:p>
      <w:pPr>
        <w:pStyle w:val="Heading1"/>
        <w:keepNext/>
        <w:spacing w:after="70" w:before="140"/>
        <w:jc w:val="center"/>
      </w:pPr>
      <w:r>
        <w:rPr>
          <w:rFonts w:ascii="Times New Roman" w:cs="Times New Roman" w:eastAsia="Times New Roman" w:hAnsi="Times New Roman"/>
          <w:sz w:val="20"/>
          <w:szCs w:val="20"/>
        </w:rPr>
        <w:t xml:space="preserve">VII. RESULTS AND DISCUSSION</w:t>
      </w:r>
    </w:p>
    <w:p>
      <w:pPr>
        <w:pStyle w:val="Heading2"/>
        <w:keepNext/>
        <w:spacing w:after="50" w:before="90"/>
      </w:pPr>
      <w:r>
        <w:rPr>
          <w:rFonts w:ascii="Times New Roman" w:cs="Times New Roman" w:eastAsia="Times New Roman" w:hAnsi="Times New Roman"/>
          <w:i/>
          <w:iCs/>
          <w:sz w:val="20"/>
          <w:szCs w:val="20"/>
        </w:rPr>
        <w:t xml:space="preserve">A. Retrieval</w:t>
      </w:r>
    </w:p>
    <w:p>
      <w:pPr>
        <w:spacing w:after="70" w:line="228"/>
        <w:ind w:firstLine="200"/>
        <w:jc w:val="both"/>
      </w:pPr>
      <w:r>
        <w:rPr>
          <w:rFonts w:ascii="Times New Roman" w:cs="Times New Roman" w:eastAsia="Times New Roman" w:hAnsi="Times New Roman"/>
          <w:sz w:val="20"/>
          <w:szCs w:val="20"/>
        </w:rPr>
        <w:t xml:space="preserve">Table IV compares the retrieval base. Hybrid retrieval with RRF reached nDCG@10 of </w:t>
      </w:r>
      <w:r>
        <w:rPr>
          <w:rFonts w:ascii="Times New Roman" w:cs="Times New Roman" w:eastAsia="Times New Roman" w:hAnsi="Times New Roman"/>
          <w:sz w:val="20"/>
          <w:szCs w:val="20"/>
          <w:highlight w:val="yellow"/>
          <w:highlightCs w:val="yellow"/>
        </w:rPr>
        <w:t xml:space="preserve">[X]</w:t>
      </w:r>
      <w:r>
        <w:rPr>
          <w:rFonts w:ascii="Times New Roman" w:cs="Times New Roman" w:eastAsia="Times New Roman" w:hAnsi="Times New Roman"/>
          <w:sz w:val="20"/>
          <w:szCs w:val="20"/>
        </w:rPr>
        <w:t xml:space="preserve"> against </w:t>
      </w:r>
      <w:r>
        <w:rPr>
          <w:rFonts w:ascii="Times New Roman" w:cs="Times New Roman" w:eastAsia="Times New Roman" w:hAnsi="Times New Roman"/>
          <w:sz w:val="20"/>
          <w:szCs w:val="20"/>
          <w:highlight w:val="yellow"/>
          <w:highlightCs w:val="yellow"/>
        </w:rPr>
        <w:t xml:space="preserve">[Y]</w:t>
      </w:r>
      <w:r>
        <w:rPr>
          <w:rFonts w:ascii="Times New Roman" w:cs="Times New Roman" w:eastAsia="Times New Roman" w:hAnsi="Times New Roman"/>
          <w:sz w:val="20"/>
          <w:szCs w:val="20"/>
        </w:rPr>
        <w:t xml:space="preserve"> for BM25 and </w:t>
      </w:r>
      <w:r>
        <w:rPr>
          <w:rFonts w:ascii="Times New Roman" w:cs="Times New Roman" w:eastAsia="Times New Roman" w:hAnsi="Times New Roman"/>
          <w:sz w:val="20"/>
          <w:szCs w:val="20"/>
          <w:highlight w:val="yellow"/>
          <w:highlightCs w:val="yellow"/>
        </w:rPr>
        <w:t xml:space="preserve">[Z]</w:t>
      </w:r>
      <w:r>
        <w:rPr>
          <w:rFonts w:ascii="Times New Roman" w:cs="Times New Roman" w:eastAsia="Times New Roman" w:hAnsi="Times New Roman"/>
          <w:sz w:val="20"/>
          <w:szCs w:val="20"/>
        </w:rPr>
        <w:t xml:space="preserve"> for FAISS alone. </w:t>
      </w:r>
      <w:r>
        <w:rPr>
          <w:rFonts w:ascii="Times New Roman" w:cs="Times New Roman" w:eastAsia="Times New Roman" w:hAnsi="Times New Roman"/>
          <w:sz w:val="20"/>
          <w:szCs w:val="20"/>
          <w:highlight w:val="yellow"/>
          <w:highlightCs w:val="yellow"/>
        </w:rPr>
        <w:t xml:space="preserve">[State whether hybrid outperforms both and on which datasets.]</w:t>
      </w:r>
    </w:p>
    <w:p>
      <w:pPr>
        <w:keepNext/>
        <w:spacing w:after="50" w:before="90"/>
        <w:jc w:val="center"/>
      </w:pPr>
      <w:r>
        <w:rPr>
          <w:rFonts w:ascii="Times New Roman" w:cs="Times New Roman" w:eastAsia="Times New Roman" w:hAnsi="Times New Roman"/>
          <w:sz w:val="16"/>
          <w:szCs w:val="16"/>
        </w:rPr>
        <w:t xml:space="preserve">TABLE IV</w:t>
      </w:r>
      <w:r>
        <w:br/>
        <w:t xml:space="preserve"/>
      </w:r>
      <w:r>
        <w:rPr>
          <w:rFonts w:ascii="Times New Roman" w:cs="Times New Roman" w:eastAsia="Times New Roman" w:hAnsi="Times New Roman"/>
          <w:sz w:val="16"/>
          <w:szCs w:val="16"/>
        </w:rPr>
        <w:t xml:space="preserve">RETRIEVAL COMPARISON (TEST SPLIT, MEAN OVER DATASETS)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700"/>
        <w:gridCol w:w="1070"/>
        <w:gridCol w:w="1070"/>
        <w:gridCol w:w="1060"/>
      </w:tblGrid>
      <w:tr>
        <w:trPr>
          <w:cantSplit/>
          <w:tblHeader/>
        </w:trPr>
        <w:tc>
          <w:tcPr>
            <w:tcW w:type="dxa" w:w="17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6"/>
                <w:szCs w:val="16"/>
              </w:rPr>
              <w:t xml:space="preserve">Method</w:t>
            </w:r>
          </w:p>
        </w:tc>
        <w:tc>
          <w:tcPr>
            <w:tcW w:type="dxa" w:w="107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6"/>
                <w:szCs w:val="16"/>
              </w:rPr>
              <w:t xml:space="preserve">Recall@10</w:t>
            </w:r>
          </w:p>
        </w:tc>
        <w:tc>
          <w:tcPr>
            <w:tcW w:type="dxa" w:w="107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6"/>
                <w:szCs w:val="16"/>
              </w:rPr>
              <w:t xml:space="preserve">nDCG@10</w:t>
            </w:r>
          </w:p>
        </w:tc>
        <w:tc>
          <w:tcPr>
            <w:tcW w:type="dxa" w:w="106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6"/>
                <w:szCs w:val="16"/>
              </w:rPr>
              <w:t xml:space="preserve">MRR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6"/>
                <w:szCs w:val="16"/>
              </w:rPr>
              <w:t xml:space="preserve">BM25 only</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6"/>
                <w:szCs w:val="16"/>
              </w:rPr>
              <w:t xml:space="preserve">FAISS only</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6"/>
                <w:szCs w:val="16"/>
              </w:rPr>
              <w:t xml:space="preserve">Hybrid (RRF)</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7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c>
          <w:tcPr>
            <w:tcW w:type="dxa" w:w="10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6"/>
                <w:szCs w:val="16"/>
                <w:highlight w:val="yellow"/>
                <w:highlightCs w:val="yellow"/>
              </w:rPr>
              <w:t xml:space="preserve">TBD</w:t>
            </w:r>
          </w:p>
        </w:tc>
      </w:tr>
    </w:tbl>
    <w:p>
      <w:pPr>
        <w:spacing w:after="40"/>
      </w:pPr>
    </w:p>
    <w:p>
      <w:pPr>
        <w:pStyle w:val="Heading2"/>
        <w:keepNext/>
        <w:spacing w:after="50" w:before="90"/>
      </w:pPr>
      <w:r>
        <w:rPr>
          <w:rFonts w:ascii="Times New Roman" w:cs="Times New Roman" w:eastAsia="Times New Roman" w:hAnsi="Times New Roman"/>
          <w:i/>
          <w:iCs/>
          <w:sz w:val="20"/>
          <w:szCs w:val="20"/>
        </w:rPr>
        <w:t xml:space="preserve">B. End-to-End Answer Quality and Ablation</w:t>
      </w:r>
    </w:p>
    <w:p>
      <w:pPr>
        <w:spacing w:after="70" w:line="228"/>
        <w:ind w:firstLine="200"/>
        <w:jc w:val="both"/>
      </w:pPr>
      <w:r>
        <w:rPr>
          <w:rFonts w:ascii="Times New Roman" w:cs="Times New Roman" w:eastAsia="Times New Roman" w:hAnsi="Times New Roman"/>
          <w:sz w:val="20"/>
          <w:szCs w:val="20"/>
        </w:rPr>
        <w:t xml:space="preserve">Table V reports end-to-end results. Relative to the hybrid RAG baseline, sufficiency-controlled retrieval changed accuracy from </w:t>
      </w:r>
      <w:r>
        <w:rPr>
          <w:rFonts w:ascii="Times New Roman" w:cs="Times New Roman" w:eastAsia="Times New Roman" w:hAnsi="Times New Roman"/>
          <w:sz w:val="20"/>
          <w:szCs w:val="20"/>
          <w:highlight w:val="yellow"/>
          <w:highlightCs w:val="yellow"/>
        </w:rPr>
        <w:t xml:space="preserve">[A]</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highlight w:val="yellow"/>
          <w:highlightCs w:val="yellow"/>
        </w:rPr>
        <w:t xml:space="preserve">[B]</w:t>
      </w:r>
      <w:r>
        <w:rPr>
          <w:rFonts w:ascii="Times New Roman" w:cs="Times New Roman" w:eastAsia="Times New Roman" w:hAnsi="Times New Roman"/>
          <w:sz w:val="20"/>
          <w:szCs w:val="20"/>
        </w:rPr>
        <w:t xml:space="preserve"> and the unsupported-claim rate from </w:t>
      </w:r>
      <w:r>
        <w:rPr>
          <w:rFonts w:ascii="Times New Roman" w:cs="Times New Roman" w:eastAsia="Times New Roman" w:hAnsi="Times New Roman"/>
          <w:sz w:val="20"/>
          <w:szCs w:val="20"/>
          <w:highlight w:val="yellow"/>
          <w:highlightCs w:val="yellow"/>
        </w:rPr>
        <w:t xml:space="preserve">[C]</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highlight w:val="yellow"/>
          <w:highlightCs w:val="yellow"/>
        </w:rPr>
        <w:t xml:space="preserve">[D]</w:t>
      </w:r>
      <w:r>
        <w:rPr>
          <w:rFonts w:ascii="Times New Roman" w:cs="Times New Roman" w:eastAsia="Times New Roman" w:hAnsi="Times New Roman"/>
          <w:sz w:val="20"/>
          <w:szCs w:val="20"/>
        </w:rPr>
        <w:t xml:space="preserve">% (RQ1). Claim verification reached claim-support precision of </w:t>
      </w:r>
      <w:r>
        <w:rPr>
          <w:rFonts w:ascii="Times New Roman" w:cs="Times New Roman" w:eastAsia="Times New Roman" w:hAnsi="Times New Roman"/>
          <w:sz w:val="20"/>
          <w:szCs w:val="20"/>
          <w:highlight w:val="yellow"/>
          <w:highlightCs w:val="yellow"/>
        </w:rPr>
        <w:t xml:space="preserve">[E]</w:t>
      </w:r>
      <w:r>
        <w:rPr>
          <w:rFonts w:ascii="Times New Roman" w:cs="Times New Roman" w:eastAsia="Times New Roman" w:hAnsi="Times New Roman"/>
          <w:sz w:val="20"/>
          <w:szCs w:val="20"/>
        </w:rPr>
        <w:t xml:space="preserve"> and removed </w:t>
      </w:r>
      <w:r>
        <w:rPr>
          <w:rFonts w:ascii="Times New Roman" w:cs="Times New Roman" w:eastAsia="Times New Roman" w:hAnsi="Times New Roman"/>
          <w:sz w:val="20"/>
          <w:szCs w:val="20"/>
          <w:highlight w:val="yellow"/>
          <w:highlightCs w:val="yellow"/>
        </w:rPr>
        <w:t xml:space="preserve">[F]</w:t>
      </w:r>
      <w:r>
        <w:rPr>
          <w:rFonts w:ascii="Times New Roman" w:cs="Times New Roman" w:eastAsia="Times New Roman" w:hAnsi="Times New Roman"/>
          <w:sz w:val="20"/>
          <w:szCs w:val="20"/>
        </w:rPr>
        <w:t xml:space="preserve">% of unsupported claims (RQ2). Removing each component changed the unsupported-claim rate by </w:t>
      </w:r>
      <w:r>
        <w:rPr>
          <w:rFonts w:ascii="Times New Roman" w:cs="Times New Roman" w:eastAsia="Times New Roman" w:hAnsi="Times New Roman"/>
          <w:sz w:val="20"/>
          <w:szCs w:val="20"/>
          <w:highlight w:val="yellow"/>
          <w:highlightCs w:val="yellow"/>
        </w:rPr>
        <w:t xml:space="preserve">[values]</w:t>
      </w:r>
      <w:r>
        <w:rPr>
          <w:rFonts w:ascii="Times New Roman" w:cs="Times New Roman" w:eastAsia="Times New Roman" w:hAnsi="Times New Roman"/>
          <w:sz w:val="20"/>
          <w:szCs w:val="20"/>
        </w:rPr>
        <w:t xml:space="preserve">, showing that </w:t>
      </w:r>
      <w:r>
        <w:rPr>
          <w:rFonts w:ascii="Times New Roman" w:cs="Times New Roman" w:eastAsia="Times New Roman" w:hAnsi="Times New Roman"/>
          <w:sz w:val="20"/>
          <w:szCs w:val="20"/>
          <w:highlight w:val="yellow"/>
          <w:highlightCs w:val="yellow"/>
        </w:rPr>
        <w:t xml:space="preserve">[which component contributes most]</w:t>
      </w:r>
      <w:r>
        <w:rPr>
          <w:rFonts w:ascii="Times New Roman" w:cs="Times New Roman" w:eastAsia="Times New Roman" w:hAnsi="Times New Roman"/>
          <w:sz w:val="20"/>
          <w:szCs w:val="20"/>
        </w:rPr>
        <w:t xml:space="preserve">.</w:t>
      </w:r>
    </w:p>
    <w:p>
      <w:pPr>
        <w:keepNext/>
        <w:spacing w:after="50" w:before="90"/>
        <w:jc w:val="center"/>
      </w:pPr>
      <w:r>
        <w:rPr>
          <w:rFonts w:ascii="Times New Roman" w:cs="Times New Roman" w:eastAsia="Times New Roman" w:hAnsi="Times New Roman"/>
          <w:sz w:val="16"/>
          <w:szCs w:val="16"/>
        </w:rPr>
        <w:t xml:space="preserve">TABLE V</w:t>
      </w:r>
      <w:r>
        <w:br/>
        <w:t xml:space="preserve"/>
      </w:r>
      <w:r>
        <w:rPr>
          <w:rFonts w:ascii="Times New Roman" w:cs="Times New Roman" w:eastAsia="Times New Roman" w:hAnsi="Times New Roman"/>
          <w:sz w:val="16"/>
          <w:szCs w:val="16"/>
        </w:rPr>
        <w:t xml:space="preserve">END-TO-END RESULTS AND ABLATION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300"/>
        <w:gridCol w:w="640"/>
        <w:gridCol w:w="640"/>
        <w:gridCol w:w="640"/>
        <w:gridCol w:w="840"/>
        <w:gridCol w:w="840"/>
      </w:tblGrid>
      <w:tr>
        <w:trPr>
          <w:cantSplit/>
          <w:tblHeader/>
        </w:trPr>
        <w:tc>
          <w:tcPr>
            <w:tcW w:type="dxa" w:w="13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Configuration</w:t>
            </w:r>
          </w:p>
        </w:tc>
        <w:tc>
          <w:tcPr>
            <w:tcW w:type="dxa" w:w="6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Acc.</w:t>
            </w:r>
          </w:p>
        </w:tc>
        <w:tc>
          <w:tcPr>
            <w:tcW w:type="dxa" w:w="6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Unsup. (%)</w:t>
            </w:r>
          </w:p>
        </w:tc>
        <w:tc>
          <w:tcPr>
            <w:tcW w:type="dxa" w:w="6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Claim prec.</w:t>
            </w:r>
          </w:p>
        </w:tc>
        <w:tc>
          <w:tcPr>
            <w:tcW w:type="dxa" w:w="8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Latency p50/p95 (s)</w:t>
            </w:r>
          </w:p>
        </w:tc>
        <w:tc>
          <w:tcPr>
            <w:tcW w:type="dxa" w:w="8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Cost / ans.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Hybrid RAG (baseline)</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Full UNKNOWN</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 sufficiency loop</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 claim verification</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 reliability weights</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 doc-vs-literature</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General assistant </w:t>
            </w:r>
            <w:r>
              <w:rPr>
                <w:rFonts w:ascii="Times New Roman" w:cs="Times New Roman" w:eastAsia="Times New Roman" w:hAnsi="Times New Roman"/>
                <w:b w:val="false"/>
                <w:bCs w:val="false"/>
                <w:sz w:val="15"/>
                <w:szCs w:val="15"/>
                <w:highlight w:val="yellow"/>
                <w:highlightCs w:val="yellow"/>
              </w:rPr>
              <w:t xml:space="preserve">[model]</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bl>
    <w:p>
      <w:pPr>
        <w:spacing w:after="90" w:before="30" w:line="200"/>
        <w:jc w:val="both"/>
      </w:pPr>
      <w:r>
        <w:rPr>
          <w:rFonts w:ascii="Times New Roman" w:cs="Times New Roman" w:eastAsia="Times New Roman" w:hAnsi="Times New Roman"/>
          <w:sz w:val="15"/>
          <w:szCs w:val="15"/>
        </w:rPr>
        <w:t xml:space="preserve">Acc.: answer accuracy; Unsup.: unsupported-claim rate; Claim prec.: claim-support precision.</w:t>
      </w:r>
    </w:p>
    <w:p>
      <w:pPr>
        <w:pStyle w:val="Heading2"/>
        <w:keepNext/>
        <w:spacing w:after="50" w:before="90"/>
      </w:pPr>
      <w:r>
        <w:rPr>
          <w:rFonts w:ascii="Times New Roman" w:cs="Times New Roman" w:eastAsia="Times New Roman" w:hAnsi="Times New Roman"/>
          <w:i/>
          <w:iCs/>
          <w:sz w:val="20"/>
          <w:szCs w:val="20"/>
        </w:rPr>
        <w:t xml:space="preserve">C. Conflicts and Document Comparison</w:t>
      </w:r>
    </w:p>
    <w:p>
      <w:pPr>
        <w:spacing w:after="70" w:line="228"/>
        <w:ind w:firstLine="200"/>
        <w:jc w:val="both"/>
      </w:pPr>
      <w:r>
        <w:rPr>
          <w:rFonts w:ascii="Times New Roman" w:cs="Times New Roman" w:eastAsia="Times New Roman" w:hAnsi="Times New Roman"/>
          <w:sz w:val="20"/>
          <w:szCs w:val="20"/>
        </w:rPr>
        <w:t xml:space="preserve">Table VI addresses RQ3. The full pipeline showed both sides for </w:t>
      </w:r>
      <w:r>
        <w:rPr>
          <w:rFonts w:ascii="Times New Roman" w:cs="Times New Roman" w:eastAsia="Times New Roman" w:hAnsi="Times New Roman"/>
          <w:sz w:val="20"/>
          <w:szCs w:val="20"/>
          <w:highlight w:val="yellow"/>
          <w:highlightCs w:val="yellow"/>
        </w:rPr>
        <w:t xml:space="preserve">[P]</w:t>
      </w:r>
      <w:r>
        <w:rPr>
          <w:rFonts w:ascii="Times New Roman" w:cs="Times New Roman" w:eastAsia="Times New Roman" w:hAnsi="Times New Roman"/>
          <w:sz w:val="20"/>
          <w:szCs w:val="20"/>
        </w:rPr>
        <w:t xml:space="preserve">% of known disagreements and flagged </w:t>
      </w:r>
      <w:r>
        <w:rPr>
          <w:rFonts w:ascii="Times New Roman" w:cs="Times New Roman" w:eastAsia="Times New Roman" w:hAnsi="Times New Roman"/>
          <w:sz w:val="20"/>
          <w:szCs w:val="20"/>
          <w:highlight w:val="yellow"/>
          <w:highlightCs w:val="yellow"/>
        </w:rPr>
        <w:t xml:space="preserve">[Q]</w:t>
      </w:r>
      <w:r>
        <w:rPr>
          <w:rFonts w:ascii="Times New Roman" w:cs="Times New Roman" w:eastAsia="Times New Roman" w:hAnsi="Times New Roman"/>
          <w:sz w:val="20"/>
          <w:szCs w:val="20"/>
        </w:rPr>
        <w:t xml:space="preserve">% of seeded outdated statements with precision </w:t>
      </w:r>
      <w:r>
        <w:rPr>
          <w:rFonts w:ascii="Times New Roman" w:cs="Times New Roman" w:eastAsia="Times New Roman" w:hAnsi="Times New Roman"/>
          <w:sz w:val="20"/>
          <w:szCs w:val="20"/>
          <w:highlight w:val="yellow"/>
          <w:highlightCs w:val="yellow"/>
        </w:rPr>
        <w:t xml:space="preserve">[R]</w:t>
      </w:r>
      <w:r>
        <w:rPr>
          <w:rFonts w:ascii="Times New Roman" w:cs="Times New Roman" w:eastAsia="Times New Roman" w:hAnsi="Times New Roman"/>
          <w:sz w:val="20"/>
          <w:szCs w:val="20"/>
        </w:rPr>
        <w:t xml:space="preserve">% and a false-alarm rate of </w:t>
      </w:r>
      <w:r>
        <w:rPr>
          <w:rFonts w:ascii="Times New Roman" w:cs="Times New Roman" w:eastAsia="Times New Roman" w:hAnsi="Times New Roman"/>
          <w:sz w:val="20"/>
          <w:szCs w:val="20"/>
          <w:highlight w:val="yellow"/>
          <w:highlightCs w:val="yellow"/>
        </w:rPr>
        <w:t xml:space="preserve">[S]</w:t>
      </w:r>
      <w:r>
        <w:rPr>
          <w:rFonts w:ascii="Times New Roman" w:cs="Times New Roman" w:eastAsia="Times New Roman" w:hAnsi="Times New Roman"/>
          <w:sz w:val="20"/>
          <w:szCs w:val="20"/>
        </w:rPr>
        <w:t xml:space="preserve">%.</w:t>
      </w:r>
    </w:p>
    <w:p>
      <w:pPr>
        <w:keepNext/>
        <w:spacing w:after="50" w:before="90"/>
        <w:jc w:val="center"/>
      </w:pPr>
      <w:r>
        <w:rPr>
          <w:rFonts w:ascii="Times New Roman" w:cs="Times New Roman" w:eastAsia="Times New Roman" w:hAnsi="Times New Roman"/>
          <w:sz w:val="16"/>
          <w:szCs w:val="16"/>
        </w:rPr>
        <w:t xml:space="preserve">TABLE VI</w:t>
      </w:r>
      <w:r>
        <w:br/>
        <w:t xml:space="preserve"/>
      </w:r>
      <w:r>
        <w:rPr>
          <w:rFonts w:ascii="Times New Roman" w:cs="Times New Roman" w:eastAsia="Times New Roman" w:hAnsi="Times New Roman"/>
          <w:sz w:val="16"/>
          <w:szCs w:val="16"/>
        </w:rPr>
        <w:t xml:space="preserve">CONFLICT REPORTING AND DOCUMENT COMPARISON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250"/>
      </w:tblGrid>
      <w:tr>
        <w:trPr>
          <w:cantSplit/>
          <w:tblHeader/>
        </w:trPr>
        <w:tc>
          <w:tcPr>
            <w:tcW w:type="dxa" w:w="24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Measure</w:t>
            </w:r>
          </w:p>
        </w:tc>
        <w:tc>
          <w:tcPr>
            <w:tcW w:type="dxa" w:w="12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Hybrid RAG</w:t>
            </w:r>
          </w:p>
        </w:tc>
        <w:tc>
          <w:tcPr>
            <w:tcW w:type="dxa" w:w="12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bCs/>
                <w:sz w:val="15"/>
                <w:szCs w:val="15"/>
              </w:rPr>
              <w:t xml:space="preserve">Full UNKNOWN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Known disagreements with both sides shown (%)</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Seeded outdated statements flagged: recall (%)</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left"/>
            </w:pPr>
            <w:r>
              <w:rPr>
                <w:rFonts w:ascii="Times New Roman" w:cs="Times New Roman" w:eastAsia="Times New Roman" w:hAnsi="Times New Roman"/>
                <w:b w:val="false"/>
                <w:bCs w:val="false"/>
                <w:sz w:val="15"/>
                <w:szCs w:val="15"/>
              </w:rPr>
              <w:t xml:space="preserve">Seeded outdated statements flagged: precision (%)</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left"/>
            </w:pPr>
            <w:r>
              <w:rPr>
                <w:rFonts w:ascii="Times New Roman" w:cs="Times New Roman" w:eastAsia="Times New Roman" w:hAnsi="Times New Roman"/>
                <w:b w:val="false"/>
                <w:bCs w:val="false"/>
                <w:sz w:val="15"/>
                <w:szCs w:val="15"/>
              </w:rPr>
              <w:t xml:space="preserve">False alarms on correct statements (%)</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val="false"/>
              <w:spacing w:after="0" w:line="200"/>
              <w:jc w:val="center"/>
            </w:pPr>
            <w:r>
              <w:rPr>
                <w:rFonts w:ascii="Times New Roman" w:cs="Times New Roman" w:eastAsia="Times New Roman" w:hAnsi="Times New Roman"/>
                <w:b w:val="false"/>
                <w:bCs w:val="false"/>
                <w:sz w:val="15"/>
                <w:szCs w:val="15"/>
                <w:highlight w:val="yellow"/>
                <w:highlightCs w:val="yellow"/>
              </w:rPr>
              <w:t xml:space="preserve">TBD</w:t>
            </w:r>
          </w:p>
        </w:tc>
      </w:tr>
    </w:tbl>
    <w:p>
      <w:pPr>
        <w:spacing w:after="40"/>
      </w:pPr>
    </w:p>
    <w:p>
      <w:pPr>
        <w:pStyle w:val="Heading2"/>
        <w:keepNext/>
        <w:spacing w:after="50" w:before="90"/>
      </w:pPr>
      <w:r>
        <w:rPr>
          <w:rFonts w:ascii="Times New Roman" w:cs="Times New Roman" w:eastAsia="Times New Roman" w:hAnsi="Times New Roman"/>
          <w:i/>
          <w:iCs/>
          <w:sz w:val="20"/>
          <w:szCs w:val="20"/>
        </w:rPr>
        <w:t xml:space="preserve">D. Cost and Discussion</w:t>
      </w:r>
    </w:p>
    <w:p>
      <w:pPr>
        <w:spacing w:after="70" w:line="228"/>
        <w:ind w:firstLine="200"/>
        <w:jc w:val="both"/>
      </w:pPr>
      <w:r>
        <w:rPr>
          <w:rFonts w:ascii="Times New Roman" w:cs="Times New Roman" w:eastAsia="Times New Roman" w:hAnsi="Times New Roman"/>
          <w:sz w:val="20"/>
          <w:szCs w:val="20"/>
        </w:rPr>
        <w:t xml:space="preserve">The additional stages increased median latency from </w:t>
      </w:r>
      <w:r>
        <w:rPr>
          <w:rFonts w:ascii="Times New Roman" w:cs="Times New Roman" w:eastAsia="Times New Roman" w:hAnsi="Times New Roman"/>
          <w:sz w:val="20"/>
          <w:szCs w:val="20"/>
          <w:highlight w:val="yellow"/>
          <w:highlightCs w:val="yellow"/>
        </w:rPr>
        <w:t xml:space="preserve">[a]</w:t>
      </w:r>
      <w:r>
        <w:rPr>
          <w:rFonts w:ascii="Times New Roman" w:cs="Times New Roman" w:eastAsia="Times New Roman" w:hAnsi="Times New Roman"/>
          <w:sz w:val="20"/>
          <w:szCs w:val="20"/>
        </w:rPr>
        <w:t xml:space="preserve"> s to </w:t>
      </w:r>
      <w:r>
        <w:rPr>
          <w:rFonts w:ascii="Times New Roman" w:cs="Times New Roman" w:eastAsia="Times New Roman" w:hAnsi="Times New Roman"/>
          <w:sz w:val="20"/>
          <w:szCs w:val="20"/>
          <w:highlight w:val="yellow"/>
          <w:highlightCs w:val="yellow"/>
        </w:rPr>
        <w:t xml:space="preserve">[b]</w:t>
      </w:r>
      <w:r>
        <w:rPr>
          <w:rFonts w:ascii="Times New Roman" w:cs="Times New Roman" w:eastAsia="Times New Roman" w:hAnsi="Times New Roman"/>
          <w:sz w:val="20"/>
          <w:szCs w:val="20"/>
        </w:rPr>
        <w:t xml:space="preserve"> s and cost per answer from </w:t>
      </w:r>
      <w:r>
        <w:rPr>
          <w:rFonts w:ascii="Times New Roman" w:cs="Times New Roman" w:eastAsia="Times New Roman" w:hAnsi="Times New Roman"/>
          <w:sz w:val="20"/>
          <w:szCs w:val="20"/>
          <w:highlight w:val="yellow"/>
          <w:highlightCs w:val="yellow"/>
        </w:rPr>
        <w:t xml:space="preserve">[c]</w:t>
      </w:r>
      <w:r>
        <w:rPr>
          <w:rFonts w:ascii="Times New Roman" w:cs="Times New Roman" w:eastAsia="Times New Roman" w:hAnsi="Times New Roman"/>
          <w:sz w:val="20"/>
          <w:szCs w:val="20"/>
        </w:rPr>
        <w:t xml:space="preserve"> to </w:t>
      </w:r>
      <w:r>
        <w:rPr>
          <w:rFonts w:ascii="Times New Roman" w:cs="Times New Roman" w:eastAsia="Times New Roman" w:hAnsi="Times New Roman"/>
          <w:sz w:val="20"/>
          <w:szCs w:val="20"/>
          <w:highlight w:val="yellow"/>
          <w:highlightCs w:val="yellow"/>
        </w:rPr>
        <w:t xml:space="preserve">[d]</w:t>
      </w:r>
      <w:r>
        <w:rPr>
          <w:rFonts w:ascii="Times New Roman" w:cs="Times New Roman" w:eastAsia="Times New Roman" w:hAnsi="Times New Roman"/>
          <w:sz w:val="20"/>
          <w:szCs w:val="20"/>
        </w:rPr>
        <w:t xml:space="preserve"> (RQ4). Compared with the general-purpose assistant, UNKNOWN </w:t>
      </w:r>
      <w:r>
        <w:rPr>
          <w:rFonts w:ascii="Times New Roman" w:cs="Times New Roman" w:eastAsia="Times New Roman" w:hAnsi="Times New Roman"/>
          <w:sz w:val="20"/>
          <w:szCs w:val="20"/>
          <w:highlight w:val="yellow"/>
          <w:highlightCs w:val="yellow"/>
        </w:rPr>
        <w:t xml:space="preserve">[describe accuracy, repeatability and cost]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highlightCs w:val="yellow"/>
        </w:rPr>
        <w:t xml:space="preserve">[Discuss when each component helped, representative failure cases, and the sensitivity of the sufficiency thresholds to the dataset.]</w:t>
      </w:r>
    </w:p>
    <w:p>
      <w:pPr>
        <w:pStyle w:val="Heading1"/>
        <w:keepNext/>
        <w:spacing w:after="70" w:before="140"/>
        <w:jc w:val="center"/>
      </w:pPr>
      <w:r>
        <w:rPr>
          <w:rFonts w:ascii="Times New Roman" w:cs="Times New Roman" w:eastAsia="Times New Roman" w:hAnsi="Times New Roman"/>
          <w:sz w:val="20"/>
          <w:szCs w:val="20"/>
        </w:rPr>
        <w:t xml:space="preserve">VIII. LIMITATIONS AND THREATS TO VALIDITY</w:t>
      </w:r>
    </w:p>
    <w:p>
      <w:pPr>
        <w:spacing w:after="70" w:line="228"/>
        <w:ind w:firstLine="200"/>
        <w:jc w:val="both"/>
      </w:pPr>
      <w:r>
        <w:rPr>
          <w:rFonts w:ascii="Times New Roman" w:cs="Times New Roman" w:eastAsia="Times New Roman" w:hAnsi="Times New Roman"/>
          <w:b/>
          <w:bCs/>
          <w:sz w:val="20"/>
          <w:szCs w:val="20"/>
        </w:rPr>
        <w:t xml:space="preserve">Verification.</w:t>
      </w:r>
      <w:r>
        <w:rPr>
          <w:rFonts w:ascii="Times New Roman" w:cs="Times New Roman" w:eastAsia="Times New Roman" w:hAnsi="Times New Roman"/>
          <w:sz w:val="20"/>
          <w:szCs w:val="20"/>
        </w:rPr>
        <w:t xml:space="preserve"> Entailment and number matching can fail on paraphrase and implicit claims, and the cited passage itself may be wrong. </w:t>
      </w:r>
      <w:r>
        <w:rPr>
          <w:rFonts w:ascii="Times New Roman" w:cs="Times New Roman" w:eastAsia="Times New Roman" w:hAnsi="Times New Roman"/>
          <w:b/>
          <w:bCs/>
          <w:sz w:val="20"/>
          <w:szCs w:val="20"/>
        </w:rPr>
        <w:t xml:space="preserve">Reliability weights.</w:t>
      </w:r>
      <w:r>
        <w:rPr>
          <w:rFonts w:ascii="Times New Roman" w:cs="Times New Roman" w:eastAsia="Times New Roman" w:hAnsi="Times New Roman"/>
          <w:sz w:val="20"/>
          <w:szCs w:val="20"/>
        </w:rPr>
        <w:t xml:space="preserve"> Venue and recency are imperfect proxies for quality, and retraction metadata may be incomplete; weights need tuning and bias checks. </w:t>
      </w:r>
      <w:r>
        <w:rPr>
          <w:rFonts w:ascii="Times New Roman" w:cs="Times New Roman" w:eastAsia="Times New Roman" w:hAnsi="Times New Roman"/>
          <w:b/>
          <w:bCs/>
          <w:sz w:val="20"/>
          <w:szCs w:val="20"/>
        </w:rPr>
        <w:t xml:space="preserve">Comparison and gaps.</w:t>
      </w:r>
      <w:r>
        <w:rPr>
          <w:rFonts w:ascii="Times New Roman" w:cs="Times New Roman" w:eastAsia="Times New Roman" w:hAnsi="Times New Roman"/>
          <w:sz w:val="20"/>
          <w:szCs w:val="20"/>
        </w:rPr>
        <w:t xml:space="preserve"> Aligning a statement with the literature can misjudge scope, and an inferred gap needs expert confirmation. Model confidence is not a calibrated probability. </w:t>
      </w:r>
      <w:r>
        <w:rPr>
          <w:rFonts w:ascii="Times New Roman" w:cs="Times New Roman" w:eastAsia="Times New Roman" w:hAnsi="Times New Roman"/>
          <w:b/>
          <w:bCs/>
          <w:sz w:val="20"/>
          <w:szCs w:val="20"/>
        </w:rPr>
        <w:t xml:space="preserve">Extraction.</w:t>
      </w:r>
      <w:r>
        <w:rPr>
          <w:rFonts w:ascii="Times New Roman" w:cs="Times New Roman" w:eastAsia="Times New Roman" w:hAnsi="Times New Roman"/>
          <w:sz w:val="20"/>
          <w:szCs w:val="20"/>
        </w:rPr>
        <w:t xml:space="preserve"> A supported node is not necessarily a correct extraction. </w:t>
      </w:r>
      <w:r>
        <w:rPr>
          <w:rFonts w:ascii="Times New Roman" w:cs="Times New Roman" w:eastAsia="Times New Roman" w:hAnsi="Times New Roman"/>
          <w:b/>
          <w:bCs/>
          <w:sz w:val="20"/>
          <w:szCs w:val="20"/>
        </w:rPr>
        <w:t xml:space="preserve">Data and models.</w:t>
      </w:r>
      <w:r>
        <w:rPr>
          <w:rFonts w:ascii="Times New Roman" w:cs="Times New Roman" w:eastAsia="Times New Roman" w:hAnsi="Times New Roman"/>
          <w:sz w:val="20"/>
          <w:szCs w:val="20"/>
        </w:rPr>
        <w:t xml:space="preserve"> Only open-access text and abstracts are used, so coverage is partial; language-model output is not fully deterministic; any model-based judge can be biased; and the evaluated domains may not represent all fields. </w:t>
      </w:r>
      <w:r>
        <w:rPr>
          <w:rFonts w:ascii="Times New Roman" w:cs="Times New Roman" w:eastAsia="Times New Roman" w:hAnsi="Times New Roman"/>
          <w:b/>
          <w:bCs/>
          <w:sz w:val="20"/>
          <w:szCs w:val="20"/>
        </w:rPr>
        <w:t xml:space="preserve">Scope.</w:t>
      </w:r>
      <w:r>
        <w:rPr>
          <w:rFonts w:ascii="Times New Roman" w:cs="Times New Roman" w:eastAsia="Times New Roman" w:hAnsi="Times New Roman"/>
          <w:sz w:val="20"/>
          <w:szCs w:val="20"/>
        </w:rPr>
        <w:t xml:space="preserve"> The typed gap report and the visual tools were not evaluated quantitatively.</w:t>
      </w:r>
    </w:p>
    <w:p>
      <w:pPr>
        <w:pStyle w:val="Heading1"/>
        <w:keepNext/>
        <w:spacing w:after="70" w:before="140"/>
        <w:jc w:val="center"/>
      </w:pPr>
      <w:r>
        <w:rPr>
          <w:rFonts w:ascii="Times New Roman" w:cs="Times New Roman" w:eastAsia="Times New Roman" w:hAnsi="Times New Roman"/>
          <w:sz w:val="20"/>
          <w:szCs w:val="20"/>
        </w:rPr>
        <w:t xml:space="preserve">IX. CONCLUSION AND FUTURE WORK</w:t>
      </w:r>
    </w:p>
    <w:p>
      <w:pPr>
        <w:spacing w:after="70" w:line="228"/>
        <w:ind w:firstLine="200"/>
        <w:jc w:val="both"/>
      </w:pPr>
      <w:r>
        <w:rPr>
          <w:rFonts w:ascii="Times New Roman" w:cs="Times New Roman" w:eastAsia="Times New Roman" w:hAnsi="Times New Roman"/>
          <w:sz w:val="20"/>
          <w:szCs w:val="20"/>
        </w:rPr>
        <w:t xml:space="preserve">UNKNOWN uses an evidence-sufficiency signal to control retrieval and generation, verifies claims against their passages, weights sources by reliability, reports conflicts, and compares a user’s document with the literature. On </w:t>
      </w:r>
      <w:r>
        <w:rPr>
          <w:rFonts w:ascii="Times New Roman" w:cs="Times New Roman" w:eastAsia="Times New Roman" w:hAnsi="Times New Roman"/>
          <w:sz w:val="20"/>
          <w:szCs w:val="20"/>
          <w:highlight w:val="yellow"/>
          <w:highlightCs w:val="yellow"/>
        </w:rPr>
        <w:t xml:space="preserve">[datasets]</w:t>
      </w:r>
      <w:r>
        <w:rPr>
          <w:rFonts w:ascii="Times New Roman" w:cs="Times New Roman" w:eastAsia="Times New Roman" w:hAnsi="Times New Roman"/>
          <w:sz w:val="20"/>
          <w:szCs w:val="20"/>
        </w:rPr>
        <w:t xml:space="preserve">, the full pipeline </w:t>
      </w:r>
      <w:r>
        <w:rPr>
          <w:rFonts w:ascii="Times New Roman" w:cs="Times New Roman" w:eastAsia="Times New Roman" w:hAnsi="Times New Roman"/>
          <w:sz w:val="20"/>
          <w:szCs w:val="20"/>
          <w:highlight w:val="yellow"/>
          <w:highlightCs w:val="yellow"/>
        </w:rPr>
        <w:t xml:space="preserve">[summarize the main measured findings with numbers]</w:t>
      </w:r>
      <w:r>
        <w:rPr>
          <w:rFonts w:ascii="Times New Roman" w:cs="Times New Roman" w:eastAsia="Times New Roman" w:hAnsi="Times New Roman"/>
          <w:sz w:val="20"/>
          <w:szCs w:val="20"/>
        </w:rPr>
        <w:t xml:space="preserve">, at a cost of </w:t>
      </w:r>
      <w:r>
        <w:rPr>
          <w:rFonts w:ascii="Times New Roman" w:cs="Times New Roman" w:eastAsia="Times New Roman" w:hAnsi="Times New Roman"/>
          <w:sz w:val="20"/>
          <w:szCs w:val="20"/>
          <w:highlight w:val="yellow"/>
          <w:highlightCs w:val="yellow"/>
        </w:rPr>
        <w:t xml:space="preserve">[latency/cost overhead]</w:t>
      </w:r>
      <w:r>
        <w:rPr>
          <w:rFonts w:ascii="Times New Roman" w:cs="Times New Roman" w:eastAsia="Times New Roman" w:hAnsi="Times New Roman"/>
          <w:sz w:val="20"/>
          <w:szCs w:val="20"/>
        </w:rPr>
        <w:t xml:space="preserve">. Future work includes verifying evidence in tables and figures, validating gap reports with expert annotation, evaluating more domains and larger corpora, running usability studies with students and researchers, and releasing datasets, configuration and code.</w:t>
      </w:r>
    </w:p>
    <w:p>
      <w:pPr>
        <w:spacing w:after="70" w:before="100" w:line="228"/>
        <w:jc w:val="both"/>
      </w:pPr>
      <w:r>
        <w:rPr>
          <w:rFonts w:ascii="Times New Roman" w:cs="Times New Roman" w:eastAsia="Times New Roman" w:hAnsi="Times New Roman"/>
          <w:b/>
          <w:bCs/>
          <w:sz w:val="18"/>
          <w:szCs w:val="18"/>
        </w:rPr>
        <w:t xml:space="preserve">Acknowledgment.</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highlightCs w:val="yellow"/>
        </w:rPr>
        <w:t xml:space="preserve">[Funding and guide acknowledgment.]</w:t>
      </w:r>
      <w:r>
        <w:rPr>
          <w:rFonts w:ascii="Times New Roman" w:cs="Times New Roman" w:eastAsia="Times New Roman" w:hAnsi="Times New Roman"/>
          <w:sz w:val="18"/>
          <w:szCs w:val="18"/>
        </w:rPr>
        <w:t xml:space="preserve"> The authors used an AI writing assistant to help structure and edit the manuscript text </w:t>
      </w:r>
      <w:r>
        <w:rPr>
          <w:rFonts w:ascii="Times New Roman" w:cs="Times New Roman" w:eastAsia="Times New Roman" w:hAnsi="Times New Roman"/>
          <w:sz w:val="18"/>
          <w:szCs w:val="18"/>
          <w:highlight w:val="yellow"/>
          <w:highlightCs w:val="yellow"/>
        </w:rPr>
        <w:t xml:space="preserve">[confirm wording against the venue’s AI-disclosure policy]</w:t>
      </w:r>
      <w:r>
        <w:rPr>
          <w:rFonts w:ascii="Times New Roman" w:cs="Times New Roman" w:eastAsia="Times New Roman" w:hAnsi="Times New Roman"/>
          <w:sz w:val="18"/>
          <w:szCs w:val="18"/>
        </w:rPr>
        <w:t xml:space="preserve">. The authors reviewed all content, ran all experiments and are responsible for the paper.</w:t>
      </w:r>
    </w:p>
    <w:p>
      <w:pPr>
        <w:pStyle w:val="Heading1"/>
        <w:keepNext/>
        <w:spacing w:after="70" w:before="140"/>
        <w:jc w:val="center"/>
      </w:pPr>
      <w:r>
        <w:rPr>
          <w:rFonts w:ascii="Times New Roman" w:cs="Times New Roman" w:eastAsia="Times New Roman" w:hAnsi="Times New Roman"/>
          <w:sz w:val="20"/>
          <w:szCs w:val="20"/>
        </w:rPr>
        <w:t xml:space="preserve">REFERENCES</w:t>
      </w:r>
    </w:p>
    <w:p>
      <w:pPr>
        <w:tabs>
          <w:tab w:val="left" w:pos="360"/>
        </w:tabs>
        <w:spacing w:after="30" w:line="205"/>
        <w:ind w:left="360" w:hanging="360"/>
        <w:jc w:val="both"/>
      </w:pPr>
      <w:r>
        <w:rPr>
          <w:rFonts w:ascii="Times New Roman" w:cs="Times New Roman" w:eastAsia="Times New Roman" w:hAnsi="Times New Roman"/>
          <w:sz w:val="16"/>
          <w:szCs w:val="16"/>
        </w:rPr>
        <w:t xml:space="preserve">[1]	P. Lewis et al., “Retrieval-augmented generation for knowledge-intensive NLP tasks,” in </w:t>
      </w:r>
      <w:r>
        <w:rPr>
          <w:rFonts w:ascii="Times New Roman" w:cs="Times New Roman" w:eastAsia="Times New Roman" w:hAnsi="Times New Roman"/>
          <w:i/>
          <w:iCs/>
          <w:sz w:val="16"/>
          <w:szCs w:val="16"/>
        </w:rPr>
        <w:t xml:space="preserve">Proc. Adv. Neural Inf. Process. Syst.</w:t>
      </w:r>
      <w:r>
        <w:rPr>
          <w:rFonts w:ascii="Times New Roman" w:cs="Times New Roman" w:eastAsia="Times New Roman" w:hAnsi="Times New Roman"/>
          <w:sz w:val="16"/>
          <w:szCs w:val="16"/>
        </w:rPr>
        <w:t xml:space="preserve">, vol. 33, 2020, pp. 9459–9474.</w:t>
      </w:r>
    </w:p>
    <w:p>
      <w:pPr>
        <w:tabs>
          <w:tab w:val="left" w:pos="360"/>
        </w:tabs>
        <w:spacing w:after="30" w:line="205"/>
        <w:ind w:left="360" w:hanging="360"/>
        <w:jc w:val="both"/>
      </w:pPr>
      <w:r>
        <w:rPr>
          <w:rFonts w:ascii="Times New Roman" w:cs="Times New Roman" w:eastAsia="Times New Roman" w:hAnsi="Times New Roman"/>
          <w:sz w:val="16"/>
          <w:szCs w:val="16"/>
        </w:rPr>
        <w:t xml:space="preserve">[2]	H. Joren et al., “Sufficient context: A new lens on retrieval augmented generation systems,” in </w:t>
      </w:r>
      <w:r>
        <w:rPr>
          <w:rFonts w:ascii="Times New Roman" w:cs="Times New Roman" w:eastAsia="Times New Roman" w:hAnsi="Times New Roman"/>
          <w:i/>
          <w:iCs/>
          <w:sz w:val="16"/>
          <w:szCs w:val="16"/>
        </w:rPr>
        <w:t xml:space="preserve">Proc. Int. Conf. Learn. Represent.</w:t>
      </w:r>
      <w:r>
        <w:rPr>
          <w:rFonts w:ascii="Times New Roman" w:cs="Times New Roman" w:eastAsia="Times New Roman" w:hAnsi="Times New Roman"/>
          <w:sz w:val="16"/>
          <w:szCs w:val="16"/>
        </w:rPr>
        <w:t xml:space="preserve">, 2025. </w:t>
      </w:r>
      <w:r>
        <w:rPr>
          <w:rFonts w:ascii="Times New Roman" w:cs="Times New Roman" w:eastAsia="Times New Roman" w:hAnsi="Times New Roman"/>
          <w:sz w:val="16"/>
          <w:szCs w:val="16"/>
          <w:highlight w:val="yellow"/>
          <w:highlightCs w:val="yellow"/>
        </w:rPr>
        <w:t xml:space="preserve">[verify authors]</w:t>
      </w:r>
    </w:p>
    <w:p>
      <w:pPr>
        <w:tabs>
          <w:tab w:val="left" w:pos="360"/>
        </w:tabs>
        <w:spacing w:after="30" w:line="205"/>
        <w:ind w:left="360" w:hanging="360"/>
        <w:jc w:val="both"/>
      </w:pPr>
      <w:r>
        <w:rPr>
          <w:rFonts w:ascii="Times New Roman" w:cs="Times New Roman" w:eastAsia="Times New Roman" w:hAnsi="Times New Roman"/>
          <w:sz w:val="16"/>
          <w:szCs w:val="16"/>
        </w:rPr>
        <w:t xml:space="preserve">[3]	C. D. Manning, P. Raghavan, and H. Schütze, </w:t>
      </w:r>
      <w:r>
        <w:rPr>
          <w:rFonts w:ascii="Times New Roman" w:cs="Times New Roman" w:eastAsia="Times New Roman" w:hAnsi="Times New Roman"/>
          <w:i/>
          <w:iCs/>
          <w:sz w:val="16"/>
          <w:szCs w:val="16"/>
        </w:rPr>
        <w:t xml:space="preserve">Introduction to Information Retrieval</w:t>
      </w:r>
      <w:r>
        <w:rPr>
          <w:rFonts w:ascii="Times New Roman" w:cs="Times New Roman" w:eastAsia="Times New Roman" w:hAnsi="Times New Roman"/>
          <w:sz w:val="16"/>
          <w:szCs w:val="16"/>
        </w:rPr>
        <w:t xml:space="preserve">. Cambridge, U.K.: Cambridge Univ. Press, 2008.</w:t>
      </w:r>
    </w:p>
    <w:p>
      <w:pPr>
        <w:tabs>
          <w:tab w:val="left" w:pos="360"/>
        </w:tabs>
        <w:spacing w:after="30" w:line="205"/>
        <w:ind w:left="360" w:hanging="360"/>
        <w:jc w:val="both"/>
      </w:pPr>
      <w:r>
        <w:rPr>
          <w:rFonts w:ascii="Times New Roman" w:cs="Times New Roman" w:eastAsia="Times New Roman" w:hAnsi="Times New Roman"/>
          <w:sz w:val="16"/>
          <w:szCs w:val="16"/>
        </w:rPr>
        <w:t xml:space="preserve">[4]	N. Reimers and I. Gurevych, “Sentence-BERT: Sentence embeddings using Siamese BERT-networks,” in </w:t>
      </w:r>
      <w:r>
        <w:rPr>
          <w:rFonts w:ascii="Times New Roman" w:cs="Times New Roman" w:eastAsia="Times New Roman" w:hAnsi="Times New Roman"/>
          <w:i/>
          <w:iCs/>
          <w:sz w:val="16"/>
          <w:szCs w:val="16"/>
        </w:rPr>
        <w:t xml:space="preserve">Proc. EMNLP-IJCNLP</w:t>
      </w:r>
      <w:r>
        <w:rPr>
          <w:rFonts w:ascii="Times New Roman" w:cs="Times New Roman" w:eastAsia="Times New Roman" w:hAnsi="Times New Roman"/>
          <w:sz w:val="16"/>
          <w:szCs w:val="16"/>
        </w:rPr>
        <w:t xml:space="preserve">, 2019, pp. 3982–3992.</w:t>
      </w:r>
    </w:p>
    <w:p>
      <w:pPr>
        <w:tabs>
          <w:tab w:val="left" w:pos="360"/>
        </w:tabs>
        <w:spacing w:after="30" w:line="205"/>
        <w:ind w:left="360" w:hanging="360"/>
        <w:jc w:val="both"/>
      </w:pPr>
      <w:r>
        <w:rPr>
          <w:rFonts w:ascii="Times New Roman" w:cs="Times New Roman" w:eastAsia="Times New Roman" w:hAnsi="Times New Roman"/>
          <w:sz w:val="16"/>
          <w:szCs w:val="16"/>
        </w:rPr>
        <w:t xml:space="preserve">[5]	V. Karpukhin et al., “Dense passage retrieval for open-domain question answering,”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2020, pp. 6769–6781.</w:t>
      </w:r>
    </w:p>
    <w:p>
      <w:pPr>
        <w:tabs>
          <w:tab w:val="left" w:pos="360"/>
        </w:tabs>
        <w:spacing w:after="30" w:line="205"/>
        <w:ind w:left="360" w:hanging="360"/>
        <w:jc w:val="both"/>
      </w:pPr>
      <w:r>
        <w:rPr>
          <w:rFonts w:ascii="Times New Roman" w:cs="Times New Roman" w:eastAsia="Times New Roman" w:hAnsi="Times New Roman"/>
          <w:sz w:val="16"/>
          <w:szCs w:val="16"/>
        </w:rPr>
        <w:t xml:space="preserve">[6]	S. Robertson and H. Zaragoza, “The probabilistic relevance framework: BM25 and beyond,” </w:t>
      </w:r>
      <w:r>
        <w:rPr>
          <w:rFonts w:ascii="Times New Roman" w:cs="Times New Roman" w:eastAsia="Times New Roman" w:hAnsi="Times New Roman"/>
          <w:i/>
          <w:iCs/>
          <w:sz w:val="16"/>
          <w:szCs w:val="16"/>
        </w:rPr>
        <w:t xml:space="preserve">Found. Trends Inf. Retr.</w:t>
      </w:r>
      <w:r>
        <w:rPr>
          <w:rFonts w:ascii="Times New Roman" w:cs="Times New Roman" w:eastAsia="Times New Roman" w:hAnsi="Times New Roman"/>
          <w:sz w:val="16"/>
          <w:szCs w:val="16"/>
        </w:rPr>
        <w:t xml:space="preserve">, vol. 3, no. 4, pp. 333–389, 2009.</w:t>
      </w:r>
    </w:p>
    <w:p>
      <w:pPr>
        <w:tabs>
          <w:tab w:val="left" w:pos="360"/>
        </w:tabs>
        <w:spacing w:after="30" w:line="205"/>
        <w:ind w:left="360" w:hanging="360"/>
        <w:jc w:val="both"/>
      </w:pPr>
      <w:r>
        <w:rPr>
          <w:rFonts w:ascii="Times New Roman" w:cs="Times New Roman" w:eastAsia="Times New Roman" w:hAnsi="Times New Roman"/>
          <w:sz w:val="16"/>
          <w:szCs w:val="16"/>
        </w:rPr>
        <w:t xml:space="preserve">[7]	J. Johnson, M. Douze, and H. Jégou, “Billion-scale similarity search with GPUs,” </w:t>
      </w:r>
      <w:r>
        <w:rPr>
          <w:rFonts w:ascii="Times New Roman" w:cs="Times New Roman" w:eastAsia="Times New Roman" w:hAnsi="Times New Roman"/>
          <w:i/>
          <w:iCs/>
          <w:sz w:val="16"/>
          <w:szCs w:val="16"/>
        </w:rPr>
        <w:t xml:space="preserve">IEEE Trans. Big Data</w:t>
      </w:r>
      <w:r>
        <w:rPr>
          <w:rFonts w:ascii="Times New Roman" w:cs="Times New Roman" w:eastAsia="Times New Roman" w:hAnsi="Times New Roman"/>
          <w:sz w:val="16"/>
          <w:szCs w:val="16"/>
        </w:rPr>
        <w:t xml:space="preserve">, vol. 7, no. 3, pp. 535–547, 2021.</w:t>
      </w:r>
    </w:p>
    <w:p>
      <w:pPr>
        <w:tabs>
          <w:tab w:val="left" w:pos="360"/>
        </w:tabs>
        <w:spacing w:after="30" w:line="205"/>
        <w:ind w:left="360" w:hanging="360"/>
        <w:jc w:val="both"/>
      </w:pPr>
      <w:r>
        <w:rPr>
          <w:rFonts w:ascii="Times New Roman" w:cs="Times New Roman" w:eastAsia="Times New Roman" w:hAnsi="Times New Roman"/>
          <w:sz w:val="16"/>
          <w:szCs w:val="16"/>
        </w:rPr>
        <w:t xml:space="preserve">[8]	G. V. Cormack, C. L. A. Clarke, and S. Büttcher, “Reciprocal rank fusion outperforms Condorcet and individual rank learning methods,” in </w:t>
      </w:r>
      <w:r>
        <w:rPr>
          <w:rFonts w:ascii="Times New Roman" w:cs="Times New Roman" w:eastAsia="Times New Roman" w:hAnsi="Times New Roman"/>
          <w:i/>
          <w:iCs/>
          <w:sz w:val="16"/>
          <w:szCs w:val="16"/>
        </w:rPr>
        <w:t xml:space="preserve">Proc. 32nd Int. ACM SIGIR Conf.</w:t>
      </w:r>
      <w:r>
        <w:rPr>
          <w:rFonts w:ascii="Times New Roman" w:cs="Times New Roman" w:eastAsia="Times New Roman" w:hAnsi="Times New Roman"/>
          <w:sz w:val="16"/>
          <w:szCs w:val="16"/>
        </w:rPr>
        <w:t xml:space="preserve">, 2009, pp. 758–759.</w:t>
      </w:r>
    </w:p>
    <w:p>
      <w:pPr>
        <w:tabs>
          <w:tab w:val="left" w:pos="360"/>
        </w:tabs>
        <w:spacing w:after="30" w:line="205"/>
        <w:ind w:left="360" w:hanging="360"/>
        <w:jc w:val="both"/>
      </w:pPr>
      <w:r>
        <w:rPr>
          <w:rFonts w:ascii="Times New Roman" w:cs="Times New Roman" w:eastAsia="Times New Roman" w:hAnsi="Times New Roman"/>
          <w:sz w:val="16"/>
          <w:szCs w:val="16"/>
        </w:rPr>
        <w:t xml:space="preserve">[9]	S. Bruch, S. Gai, and A. Ingber, “An analysis of fusion functions for hybrid retrieval,” </w:t>
      </w:r>
      <w:r>
        <w:rPr>
          <w:rFonts w:ascii="Times New Roman" w:cs="Times New Roman" w:eastAsia="Times New Roman" w:hAnsi="Times New Roman"/>
          <w:i/>
          <w:iCs/>
          <w:sz w:val="16"/>
          <w:szCs w:val="16"/>
        </w:rPr>
        <w:t xml:space="preserve">ACM Trans. Inf. Syst.</w:t>
      </w:r>
      <w:r>
        <w:rPr>
          <w:rFonts w:ascii="Times New Roman" w:cs="Times New Roman" w:eastAsia="Times New Roman" w:hAnsi="Times New Roman"/>
          <w:sz w:val="16"/>
          <w:szCs w:val="16"/>
        </w:rPr>
        <w:t xml:space="preserve">, vol. 42, no. 1, 2023.</w:t>
      </w:r>
    </w:p>
    <w:p>
      <w:pPr>
        <w:tabs>
          <w:tab w:val="left" w:pos="360"/>
        </w:tabs>
        <w:spacing w:after="30" w:line="205"/>
        <w:ind w:left="360" w:hanging="360"/>
        <w:jc w:val="both"/>
      </w:pPr>
      <w:r>
        <w:rPr>
          <w:rFonts w:ascii="Times New Roman" w:cs="Times New Roman" w:eastAsia="Times New Roman" w:hAnsi="Times New Roman"/>
          <w:sz w:val="16"/>
          <w:szCs w:val="16"/>
        </w:rPr>
        <w:t xml:space="preserve">[10]	P. Omrani, A. Hosseini, K. Hooshanfar, Z. Ebrahimian, R. Toosi, and M. A. Akhaee, “Hybrid retrieval-augmented generation approach for LLMs query response enhancement,” in </w:t>
      </w:r>
      <w:r>
        <w:rPr>
          <w:rFonts w:ascii="Times New Roman" w:cs="Times New Roman" w:eastAsia="Times New Roman" w:hAnsi="Times New Roman"/>
          <w:i/>
          <w:iCs/>
          <w:sz w:val="16"/>
          <w:szCs w:val="16"/>
        </w:rPr>
        <w:t xml:space="preserve">Proc. 10th Int. Conf. Web Res. (ICWR)</w:t>
      </w:r>
      <w:r>
        <w:rPr>
          <w:rFonts w:ascii="Times New Roman" w:cs="Times New Roman" w:eastAsia="Times New Roman" w:hAnsi="Times New Roman"/>
          <w:sz w:val="16"/>
          <w:szCs w:val="16"/>
        </w:rPr>
        <w:t xml:space="preserve">, IEEE,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[11]	Y. Gao et al., “Retrieval-augmented generation for large language models: A survey,” arXiv:2312.10997, 2023.</w:t>
      </w:r>
    </w:p>
    <w:p>
      <w:pPr>
        <w:tabs>
          <w:tab w:val="left" w:pos="360"/>
        </w:tabs>
        <w:spacing w:after="30" w:line="205"/>
        <w:ind w:left="360" w:hanging="360"/>
        <w:jc w:val="both"/>
      </w:pPr>
      <w:r>
        <w:rPr>
          <w:rFonts w:ascii="Times New Roman" w:cs="Times New Roman" w:eastAsia="Times New Roman" w:hAnsi="Times New Roman"/>
          <w:sz w:val="16"/>
          <w:szCs w:val="16"/>
        </w:rPr>
        <w:t xml:space="preserve">[12]	A. Asai, Z. Wu, Y. Wang, A. Sil, and H. Hajishirzi, “Self-RAG: Learning to retrieve, generate, and critique through self-reflection,” in </w:t>
      </w:r>
      <w:r>
        <w:rPr>
          <w:rFonts w:ascii="Times New Roman" w:cs="Times New Roman" w:eastAsia="Times New Roman" w:hAnsi="Times New Roman"/>
          <w:i/>
          <w:iCs/>
          <w:sz w:val="16"/>
          <w:szCs w:val="16"/>
        </w:rPr>
        <w:t xml:space="preserve">Proc. Int. Conf. Learn. Represent.</w:t>
      </w:r>
      <w:r>
        <w:rPr>
          <w:rFonts w:ascii="Times New Roman" w:cs="Times New Roman" w:eastAsia="Times New Roman" w:hAnsi="Times New Roman"/>
          <w:sz w:val="16"/>
          <w:szCs w:val="16"/>
        </w:rPr>
        <w:t xml:space="preserve">,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[13]	S.-Q. Yan, J.-C. Gu, Y. Zhu, and Z.-H. Ling, “Corrective retrieval augmented generation,” arXiv:2401.15884,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[14]	S. Jeong, J. Baek, S. Cho, S. J. Hwang, and J. C. Park, “Adaptive-RAG: Learning to adapt retrieval-augmented large language models through question complexity,”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[15]	M. D. Skarlinski et al., “Language agents achieve superhuman synthesis of scientific knowledge,” arXiv:2409.13740,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[16]	A. Asai et al., “OpenScholar: Synthesizing scientific literature with retrieval-augmented LMs,” arXiv:2411.14199, 2024.</w:t>
      </w:r>
    </w:p>
    <w:p>
      <w:pPr>
        <w:tabs>
          <w:tab w:val="left" w:pos="360"/>
        </w:tabs>
        <w:spacing w:after="30" w:line="205"/>
        <w:ind w:left="360" w:hanging="360"/>
        <w:jc w:val="both"/>
      </w:pPr>
      <w:r>
        <w:rPr>
          <w:rFonts w:ascii="Times New Roman" w:cs="Times New Roman" w:eastAsia="Times New Roman" w:hAnsi="Times New Roman"/>
          <w:sz w:val="16"/>
          <w:szCs w:val="16"/>
        </w:rPr>
        <w:t xml:space="preserve">[17]	Elicit. [Online]. Available: https://elicit.com (accessed Oct. 24, 2026).</w:t>
      </w:r>
    </w:p>
    <w:p>
      <w:pPr>
        <w:tabs>
          <w:tab w:val="left" w:pos="360"/>
        </w:tabs>
        <w:spacing w:after="30" w:line="205"/>
        <w:ind w:left="360" w:hanging="360"/>
        <w:jc w:val="both"/>
      </w:pPr>
      <w:r>
        <w:rPr>
          <w:rFonts w:ascii="Times New Roman" w:cs="Times New Roman" w:eastAsia="Times New Roman" w:hAnsi="Times New Roman"/>
          <w:sz w:val="16"/>
          <w:szCs w:val="16"/>
        </w:rPr>
        <w:t xml:space="preserve">[18]	Consensus. [Online]. Available: https://consensus.app (accessed Oct. 24, 2026).</w:t>
      </w:r>
    </w:p>
    <w:p>
      <w:pPr>
        <w:tabs>
          <w:tab w:val="left" w:pos="360"/>
        </w:tabs>
        <w:spacing w:after="30" w:line="205"/>
        <w:ind w:left="360" w:hanging="360"/>
        <w:jc w:val="both"/>
      </w:pPr>
      <w:r>
        <w:rPr>
          <w:rFonts w:ascii="Times New Roman" w:cs="Times New Roman" w:eastAsia="Times New Roman" w:hAnsi="Times New Roman"/>
          <w:sz w:val="16"/>
          <w:szCs w:val="16"/>
        </w:rPr>
        <w:t xml:space="preserve">[19]	S. Pan, L. Luo, Y. Wang, C. Chen, J. Wang, and X. Wu, “Unifying large language models and knowledge graphs: A roadmap,” </w:t>
      </w:r>
      <w:r>
        <w:rPr>
          <w:rFonts w:ascii="Times New Roman" w:cs="Times New Roman" w:eastAsia="Times New Roman" w:hAnsi="Times New Roman"/>
          <w:i/>
          <w:iCs/>
          <w:sz w:val="16"/>
          <w:szCs w:val="16"/>
        </w:rPr>
        <w:t xml:space="preserve">IEEE Trans. Knowl. Data Eng.</w:t>
      </w:r>
      <w:r>
        <w:rPr>
          <w:rFonts w:ascii="Times New Roman" w:cs="Times New Roman" w:eastAsia="Times New Roman" w:hAnsi="Times New Roman"/>
          <w:sz w:val="16"/>
          <w:szCs w:val="16"/>
        </w:rPr>
        <w:t xml:space="preserve">, 2024. </w:t>
      </w:r>
      <w:r>
        <w:rPr>
          <w:rFonts w:ascii="Times New Roman" w:cs="Times New Roman" w:eastAsia="Times New Roman" w:hAnsi="Times New Roman"/>
          <w:sz w:val="16"/>
          <w:szCs w:val="16"/>
          <w:highlight w:val="yellow"/>
          <w:highlightCs w:val="yellow"/>
        </w:rPr>
        <w:t xml:space="preserve">[add volume, pages]</w:t>
      </w:r>
    </w:p>
    <w:p>
      <w:pPr>
        <w:tabs>
          <w:tab w:val="left" w:pos="360"/>
        </w:tabs>
        <w:spacing w:after="30" w:line="205"/>
        <w:ind w:left="360" w:hanging="360"/>
        <w:jc w:val="both"/>
      </w:pPr>
      <w:r>
        <w:rPr>
          <w:rFonts w:ascii="Times New Roman" w:cs="Times New Roman" w:eastAsia="Times New Roman" w:hAnsi="Times New Roman"/>
          <w:sz w:val="16"/>
          <w:szCs w:val="16"/>
        </w:rPr>
        <w:t xml:space="preserve">[20]	H. Rashkin et al., “Measuring attribution in natural language generation models,” </w:t>
      </w:r>
      <w:r>
        <w:rPr>
          <w:rFonts w:ascii="Times New Roman" w:cs="Times New Roman" w:eastAsia="Times New Roman" w:hAnsi="Times New Roman"/>
          <w:i/>
          <w:iCs/>
          <w:sz w:val="16"/>
          <w:szCs w:val="16"/>
        </w:rPr>
        <w:t xml:space="preserve">Comput. Linguistics</w:t>
      </w:r>
      <w:r>
        <w:rPr>
          <w:rFonts w:ascii="Times New Roman" w:cs="Times New Roman" w:eastAsia="Times New Roman" w:hAnsi="Times New Roman"/>
          <w:sz w:val="16"/>
          <w:szCs w:val="16"/>
        </w:rPr>
        <w:t xml:space="preserve">, vol. 49, no. 4, pp. 777–840, 2023.</w:t>
      </w:r>
    </w:p>
    <w:p>
      <w:pPr>
        <w:tabs>
          <w:tab w:val="left" w:pos="360"/>
        </w:tabs>
        <w:spacing w:after="30" w:line="205"/>
        <w:ind w:left="360" w:hanging="360"/>
        <w:jc w:val="both"/>
      </w:pPr>
      <w:r>
        <w:rPr>
          <w:rFonts w:ascii="Times New Roman" w:cs="Times New Roman" w:eastAsia="Times New Roman" w:hAnsi="Times New Roman"/>
          <w:sz w:val="16"/>
          <w:szCs w:val="16"/>
        </w:rPr>
        <w:t xml:space="preserve">[21]	J. Thorne, A. Vlachos, C. Christodoulopoulos, and A. Mittal, “FEVER: A large-scale dataset for fact extraction and VERification,”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2018, pp. 809–819.</w:t>
      </w:r>
    </w:p>
    <w:p>
      <w:pPr>
        <w:tabs>
          <w:tab w:val="left" w:pos="360"/>
        </w:tabs>
        <w:spacing w:after="30" w:line="205"/>
        <w:ind w:left="360" w:hanging="360"/>
        <w:jc w:val="both"/>
      </w:pPr>
      <w:r>
        <w:rPr>
          <w:rFonts w:ascii="Times New Roman" w:cs="Times New Roman" w:eastAsia="Times New Roman" w:hAnsi="Times New Roman"/>
          <w:sz w:val="16"/>
          <w:szCs w:val="16"/>
        </w:rPr>
        <w:t xml:space="preserve">[22]	D. Wadden et al., “Fact or fiction: Verifying scientific claims,”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2020, pp. 7534–7550.</w:t>
      </w:r>
    </w:p>
    <w:p>
      <w:pPr>
        <w:tabs>
          <w:tab w:val="left" w:pos="360"/>
        </w:tabs>
        <w:spacing w:after="30" w:line="205"/>
        <w:ind w:left="360" w:hanging="360"/>
        <w:jc w:val="both"/>
      </w:pPr>
      <w:r>
        <w:rPr>
          <w:rFonts w:ascii="Times New Roman" w:cs="Times New Roman" w:eastAsia="Times New Roman" w:hAnsi="Times New Roman"/>
          <w:sz w:val="16"/>
          <w:szCs w:val="16"/>
        </w:rPr>
        <w:t xml:space="preserve">[23]	T. Gao, H. Yen, J. Yu, and D. Chen, “Enabling large language models to generate text with citations,”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2023, pp. 6465–6488.</w:t>
      </w:r>
    </w:p>
    <w:p>
      <w:pPr>
        <w:tabs>
          <w:tab w:val="left" w:pos="360"/>
        </w:tabs>
        <w:spacing w:after="30" w:line="205"/>
        <w:ind w:left="360" w:hanging="360"/>
        <w:jc w:val="both"/>
      </w:pPr>
      <w:r>
        <w:rPr>
          <w:rFonts w:ascii="Times New Roman" w:cs="Times New Roman" w:eastAsia="Times New Roman" w:hAnsi="Times New Roman"/>
          <w:sz w:val="16"/>
          <w:szCs w:val="16"/>
        </w:rPr>
        <w:t xml:space="preserve">[24]	S. Min et al., “FActScore: Fine-grained atomic evaluation of factual precision in long form text generation,”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2023, pp. 12076–12100.</w:t>
      </w:r>
    </w:p>
    <w:p>
      <w:pPr>
        <w:tabs>
          <w:tab w:val="left" w:pos="360"/>
        </w:tabs>
        <w:spacing w:after="30" w:line="205"/>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“VeriCite: Towards reliable citations in retrieval-augmented generation via rigorous verification,” </w:t>
      </w:r>
      <w:r>
        <w:rPr>
          <w:rFonts w:ascii="Times New Roman" w:cs="Times New Roman" w:eastAsia="Times New Roman" w:hAnsi="Times New Roman"/>
          <w:sz w:val="16"/>
          <w:szCs w:val="16"/>
          <w:highlight w:val="yellow"/>
          <w:highlightCs w:val="yellow"/>
        </w:rPr>
        <w:t xml:space="preserve">[venue]</w:t>
      </w:r>
      <w:r>
        <w:rPr>
          <w:rFonts w:ascii="Times New Roman" w:cs="Times New Roman" w:eastAsia="Times New Roman" w:hAnsi="Times New Roman"/>
          <w:sz w:val="16"/>
          <w:szCs w:val="16"/>
        </w:rPr>
        <w:t xml:space="preserve">, 2025, doi: 10.1145/3767695.3769505.</w:t>
      </w:r>
    </w:p>
    <w:p>
      <w:pPr>
        <w:tabs>
          <w:tab w:val="left" w:pos="360"/>
        </w:tabs>
        <w:spacing w:after="30" w:line="205"/>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Bai and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Fu, “A large language model-based fake news detection framework with RAG fact-checking,” in </w:t>
      </w:r>
      <w:r>
        <w:rPr>
          <w:rFonts w:ascii="Times New Roman" w:cs="Times New Roman" w:eastAsia="Times New Roman" w:hAnsi="Times New Roman"/>
          <w:i/>
          <w:iCs/>
          <w:sz w:val="16"/>
          <w:szCs w:val="16"/>
        </w:rPr>
        <w:t xml:space="preserve">Proc. IEEE Int. Conf. Big Data</w:t>
      </w:r>
      <w:r>
        <w:rPr>
          <w:rFonts w:ascii="Times New Roman" w:cs="Times New Roman" w:eastAsia="Times New Roman" w:hAnsi="Times New Roman"/>
          <w:sz w:val="16"/>
          <w:szCs w:val="16"/>
        </w:rPr>
        <w:t xml:space="preserve">, Washington, DC, USA, 2024, pp. 8617–8619.</w:t>
      </w:r>
    </w:p>
    <w:p>
      <w:pPr>
        <w:tabs>
          <w:tab w:val="left" w:pos="360"/>
        </w:tabs>
        <w:spacing w:after="30" w:line="205"/>
        <w:ind w:left="360" w:hanging="360"/>
        <w:jc w:val="both"/>
      </w:pPr>
      <w:r>
        <w:rPr>
          <w:rFonts w:ascii="Times New Roman" w:cs="Times New Roman" w:eastAsia="Times New Roman" w:hAnsi="Times New Roman"/>
          <w:sz w:val="16"/>
          <w:szCs w:val="16"/>
        </w:rPr>
        <w:t xml:space="preserve">[27]	Z. Ji et al.,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Art. no. 248, 2023.</w:t>
      </w:r>
    </w:p>
    <w:p>
      <w:pPr>
        <w:tabs>
          <w:tab w:val="left" w:pos="360"/>
        </w:tabs>
        <w:spacing w:after="30" w:line="205"/>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Budakoglu and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Emekci, “Unveiling the power of large language models: A comparative study of RAG, fine-tuning and their synergistic fusion,”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13, pp. 30936–30951, 2025, doi: 10.1109/ACCESS.2025.3542334.</w:t>
      </w:r>
    </w:p>
    <w:p>
      <w:pPr>
        <w:tabs>
          <w:tab w:val="left" w:pos="360"/>
        </w:tabs>
        <w:spacing w:after="30" w:line="205"/>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Shen,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Xu,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Li,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Fu, and </w:t>
      </w:r>
      <w:r>
        <w:rPr>
          <w:rFonts w:ascii="Times New Roman" w:cs="Times New Roman" w:eastAsia="Times New Roman" w:hAnsi="Times New Roman"/>
          <w:sz w:val="16"/>
          <w:szCs w:val="16"/>
          <w:highlight w:val="yellow"/>
          <w:highlightCs w:val="yellow"/>
        </w:rPr>
        <w:t xml:space="preserve">[initials]</w:t>
      </w:r>
      <w:r>
        <w:rPr>
          <w:rFonts w:ascii="Times New Roman" w:cs="Times New Roman" w:eastAsia="Times New Roman" w:hAnsi="Times New Roman"/>
          <w:sz w:val="16"/>
          <w:szCs w:val="16"/>
        </w:rPr>
        <w:t xml:space="preserve"> Liu, “MGPRAG: Enhancing medical large language models via precision retrieval-augmented generation,”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13, pp. 183225–183241, 2025, doi: 10.1109/ACCESS.2025.3624887.</w:t>
      </w:r>
    </w:p>
    <w:p>
      <w:pPr>
        <w:tabs>
          <w:tab w:val="left" w:pos="360"/>
        </w:tabs>
        <w:spacing w:after="30" w:line="205"/>
        <w:ind w:left="360" w:hanging="360"/>
        <w:jc w:val="both"/>
      </w:pPr>
      <w:r>
        <w:rPr>
          <w:rFonts w:ascii="Times New Roman" w:cs="Times New Roman" w:eastAsia="Times New Roman" w:hAnsi="Times New Roman"/>
          <w:sz w:val="16"/>
          <w:szCs w:val="16"/>
        </w:rPr>
        <w:t xml:space="preserve">[30]	L. Brehme, T. Ströhle, and R. Breu, “Can LLMs be trusted for evaluating RAG systems? A survey of methods and datasets,” in </w:t>
      </w:r>
      <w:r>
        <w:rPr>
          <w:rFonts w:ascii="Times New Roman" w:cs="Times New Roman" w:eastAsia="Times New Roman" w:hAnsi="Times New Roman"/>
          <w:i/>
          <w:iCs/>
          <w:sz w:val="16"/>
          <w:szCs w:val="16"/>
        </w:rPr>
        <w:t xml:space="preserve">Proc. IEEE Swiss Conf. Data Sci. (SDS)</w:t>
      </w:r>
      <w:r>
        <w:rPr>
          <w:rFonts w:ascii="Times New Roman" w:cs="Times New Roman" w:eastAsia="Times New Roman" w:hAnsi="Times New Roman"/>
          <w:sz w:val="16"/>
          <w:szCs w:val="16"/>
        </w:rPr>
        <w:t xml:space="preserve">, 2025, doi: 10.1109/SDS66131.2025.00010.</w:t>
      </w:r>
    </w:p>
    <w:p>
      <w:pPr>
        <w:tabs>
          <w:tab w:val="left" w:pos="360"/>
        </w:tabs>
        <w:spacing w:after="30" w:line="205"/>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highlight w:val="yellow"/>
          <w:highlightCs w:val="yellow"/>
        </w:rPr>
        <w:t xml:space="preserve">[Authors]</w:t>
      </w:r>
      <w:r>
        <w:rPr>
          <w:rFonts w:ascii="Times New Roman" w:cs="Times New Roman" w:eastAsia="Times New Roman" w:hAnsi="Times New Roman"/>
          <w:sz w:val="16"/>
          <w:szCs w:val="16"/>
        </w:rPr>
        <w:t xml:space="preserve">, “Evaluation of LLMs’ reasoning for retrieval augmented generation (RAG) systems,” IEEE Xplore document 11199211, </w:t>
      </w:r>
      <w:r>
        <w:rPr>
          <w:rFonts w:ascii="Times New Roman" w:cs="Times New Roman" w:eastAsia="Times New Roman" w:hAnsi="Times New Roman"/>
          <w:sz w:val="16"/>
          <w:szCs w:val="16"/>
          <w:highlight w:val="yellow"/>
          <w:highlightCs w:val="yellow"/>
        </w:rPr>
        <w:t xml:space="preserve">[venue, year]</w:t>
      </w:r>
      <w:r>
        <w:rPr>
          <w:rFonts w:ascii="Times New Roman" w:cs="Times New Roman" w:eastAsia="Times New Roman" w:hAnsi="Times New Roman"/>
          <w:sz w:val="16"/>
          <w:szCs w:val="16"/>
        </w:rPr>
        <w:t xml:space="preserve">.</w:t>
      </w:r>
    </w:p>
    <w:p>
      <w:pPr>
        <w:tabs>
          <w:tab w:val="left" w:pos="360"/>
        </w:tabs>
        <w:spacing w:after="30" w:line="205"/>
        <w:ind w:left="360" w:hanging="360"/>
        <w:jc w:val="both"/>
      </w:pPr>
      <w:r>
        <w:rPr>
          <w:rFonts w:ascii="Times New Roman" w:cs="Times New Roman" w:eastAsia="Times New Roman" w:hAnsi="Times New Roman"/>
          <w:sz w:val="16"/>
          <w:szCs w:val="16"/>
        </w:rPr>
        <w:t xml:space="preserve">[32]	W. Wang et al., “MiniLM: Deep self-attention distillation for task-agnostic compression of pre-trained transformers,” in </w:t>
      </w:r>
      <w:r>
        <w:rPr>
          <w:rFonts w:ascii="Times New Roman" w:cs="Times New Roman" w:eastAsia="Times New Roman" w:hAnsi="Times New Roman"/>
          <w:i/>
          <w:iCs/>
          <w:sz w:val="16"/>
          <w:szCs w:val="16"/>
        </w:rPr>
        <w:t xml:space="preserve">Proc. Adv. Neural Inf. Process. Syst.</w:t>
      </w:r>
      <w:r>
        <w:rPr>
          <w:rFonts w:ascii="Times New Roman" w:cs="Times New Roman" w:eastAsia="Times New Roman" w:hAnsi="Times New Roman"/>
          <w:sz w:val="16"/>
          <w:szCs w:val="16"/>
        </w:rPr>
        <w:t xml:space="preserve">, vol. 33, 2020, pp. 5776–5788.</w:t>
      </w:r>
    </w:p>
    <w:p>
      <w:pPr>
        <w:tabs>
          <w:tab w:val="left" w:pos="360"/>
        </w:tabs>
        <w:spacing w:after="30" w:line="205"/>
        <w:ind w:left="360" w:hanging="360"/>
        <w:jc w:val="both"/>
      </w:pPr>
      <w:r>
        <w:rPr>
          <w:rFonts w:ascii="Times New Roman" w:cs="Times New Roman" w:eastAsia="Times New Roman" w:hAnsi="Times New Roman"/>
          <w:sz w:val="16"/>
          <w:szCs w:val="16"/>
        </w:rPr>
        <w:t xml:space="preserve">[33]	R. Nogueira and K. Cho, “Passage re-ranking with BERT,” arXiv:1901.04085, 2019.</w:t>
      </w:r>
    </w:p>
    <w:p>
      <w:pPr>
        <w:tabs>
          <w:tab w:val="left" w:pos="360"/>
        </w:tabs>
        <w:spacing w:after="30" w:line="205"/>
        <w:ind w:left="360" w:hanging="360"/>
        <w:jc w:val="both"/>
      </w:pPr>
      <w:r>
        <w:rPr>
          <w:rFonts w:ascii="Times New Roman" w:cs="Times New Roman" w:eastAsia="Times New Roman" w:hAnsi="Times New Roman"/>
          <w:sz w:val="16"/>
          <w:szCs w:val="16"/>
        </w:rPr>
        <w:t xml:space="preserve">[34]	N. Thakur et al., “BEIR: A heterogeneous benchmark for zero-shot evaluation of information retrieval models,” in </w:t>
      </w:r>
      <w:r>
        <w:rPr>
          <w:rFonts w:ascii="Times New Roman" w:cs="Times New Roman" w:eastAsia="Times New Roman" w:hAnsi="Times New Roman"/>
          <w:i/>
          <w:iCs/>
          <w:sz w:val="16"/>
          <w:szCs w:val="16"/>
        </w:rPr>
        <w:t xml:space="preserve">Proc. NeurIPS Datasets Benchmarks Track</w:t>
      </w:r>
      <w:r>
        <w:rPr>
          <w:rFonts w:ascii="Times New Roman" w:cs="Times New Roman" w:eastAsia="Times New Roman" w:hAnsi="Times New Roman"/>
          <w:sz w:val="16"/>
          <w:szCs w:val="16"/>
        </w:rPr>
        <w:t xml:space="preserve">, 2021.</w:t>
      </w:r>
    </w:p>
    <w:p>
      <w:pPr>
        <w:tabs>
          <w:tab w:val="left" w:pos="360"/>
        </w:tabs>
        <w:spacing w:after="30" w:line="205"/>
        <w:ind w:left="360" w:hanging="360"/>
        <w:jc w:val="both"/>
      </w:pPr>
      <w:r>
        <w:rPr>
          <w:rFonts w:ascii="Times New Roman" w:cs="Times New Roman" w:eastAsia="Times New Roman" w:hAnsi="Times New Roman"/>
          <w:sz w:val="16"/>
          <w:szCs w:val="16"/>
        </w:rPr>
        <w:t xml:space="preserve">[35]	P. Dasigi et al., “A dataset of information-seeking questions and answers anchored in research papers,” in </w:t>
      </w:r>
      <w:r>
        <w:rPr>
          <w:rFonts w:ascii="Times New Roman" w:cs="Times New Roman" w:eastAsia="Times New Roman" w:hAnsi="Times New Roman"/>
          <w:i/>
          <w:iCs/>
          <w:sz w:val="16"/>
          <w:szCs w:val="16"/>
        </w:rPr>
        <w:t xml:space="preserve">Proc. NAACL-HLT</w:t>
      </w:r>
      <w:r>
        <w:rPr>
          <w:rFonts w:ascii="Times New Roman" w:cs="Times New Roman" w:eastAsia="Times New Roman" w:hAnsi="Times New Roman"/>
          <w:sz w:val="16"/>
          <w:szCs w:val="16"/>
        </w:rPr>
        <w:t xml:space="preserve">, 2021, pp. 4599–4610.</w:t>
      </w:r>
    </w:p>
    <w:p>
      <w:pPr>
        <w:tabs>
          <w:tab w:val="left" w:pos="360"/>
        </w:tabs>
        <w:spacing w:after="30" w:line="205"/>
        <w:ind w:left="360" w:hanging="360"/>
        <w:jc w:val="both"/>
      </w:pPr>
      <w:r>
        <w:rPr>
          <w:rFonts w:ascii="Times New Roman" w:cs="Times New Roman" w:eastAsia="Times New Roman" w:hAnsi="Times New Roman"/>
          <w:sz w:val="16"/>
          <w:szCs w:val="16"/>
        </w:rPr>
        <w:t xml:space="preserve">[36]	S. Es et al., “RAGAs: Automated evaluation of retrieval augmented generation,” in </w:t>
      </w:r>
      <w:r>
        <w:rPr>
          <w:rFonts w:ascii="Times New Roman" w:cs="Times New Roman" w:eastAsia="Times New Roman" w:hAnsi="Times New Roman"/>
          <w:i/>
          <w:iCs/>
          <w:sz w:val="16"/>
          <w:szCs w:val="16"/>
        </w:rPr>
        <w:t xml:space="preserve">Proc. EACL Syst. Demonstrations</w:t>
      </w:r>
      <w:r>
        <w:rPr>
          <w:rFonts w:ascii="Times New Roman" w:cs="Times New Roman" w:eastAsia="Times New Roman" w:hAnsi="Times New Roman"/>
          <w:sz w:val="16"/>
          <w:szCs w:val="16"/>
        </w:rPr>
        <w:t xml:space="preserve">, 2024.</w:t>
      </w:r>
    </w:p>
    <w:sectPr>
      <w:type w:val="continuous"/>
      <w:pgSz w:w="11906" w:h="16838" w:orient="portrait"/>
      <w:pgMar w:top="1080" w:right="862" w:bottom="1134" w:left="862"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40"/>
      <w:outlineLvl w:val="0"/>
    </w:pPr>
    <w:rPr>
      <w:rFonts w:ascii="Times New Roman" w:cs="Times New Roman" w:eastAsia="Times New Roman" w:hAnsi="Times New Roman"/>
      <w:sz w:val="20"/>
      <w:szCs w:val="20"/>
    </w:rPr>
  </w:style>
  <w:style w:type="paragraph" w:styleId="Heading2">
    <w:name w:val="Heading 2"/>
    <w:basedOn w:val="Normal"/>
    <w:next w:val="Normal"/>
    <w:qFormat/>
    <w:pPr>
      <w:spacing w:after="50" w:before="9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a4945fac1ec701ed3fd7e23582799ef3e44896.png"/><Relationship Id="rId9" Type="http://schemas.openxmlformats.org/officeDocument/2006/relationships/image" Target="media/c2a09029b06b327be1a36beb11d2e2f59c7507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UNKNOWN: An Evidence-Grounded Hybrid Retrieval and Reasoning System</dc:title>
  <dc:creator>UNKNOWN authors</dc:creator>
  <cp:lastModifiedBy>Un-named</cp:lastModifiedBy>
  <cp:revision>1</cp:revision>
  <dcterms:created xsi:type="dcterms:W3CDTF">2026-10-24T05:25:17.546Z</dcterms:created>
  <dcterms:modified xsi:type="dcterms:W3CDTF">2026-10-24T05:25:17.547Z</dcterms:modified>
</cp:coreProperties>
</file>

<file path=docProps/custom.xml><?xml version="1.0" encoding="utf-8"?>
<Properties xmlns="http://schemas.openxmlformats.org/officeDocument/2006/custom-properties" xmlns:vt="http://schemas.openxmlformats.org/officeDocument/2006/docPropsVTypes"/>
</file>