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Specification of Requirements: Electronic Clinical Records Platform</w:t>
      </w:r>
    </w:p>
    <w:p>
      <w:pPr>
        <w:pStyle w:val="Heading1"/>
      </w:pPr>
      <w:r>
        <w:t>1. Introduction</w:t>
      </w:r>
    </w:p>
    <w:p>
      <w:r>
        <w:t>Northern Fells NHS Foundation Trust (fictional) provides acute and community services to a population of around 450,000 people across a largely rural area.</w:t>
      </w:r>
    </w:p>
    <w:p>
      <w:r>
        <w:t>The Trust is procuring an electronic clinical records platform to replace three legacy systems, with go-live planned in two phases over eighteen months.</w:t>
      </w:r>
    </w:p>
    <w:p>
      <w:r>
        <w:t>This document sets out the Trust's requirements. Each requirement carries a reference and a priority, and bidders state their compliance with every requirement in their response.</w:t>
      </w:r>
    </w:p>
    <w:p>
      <w:pPr>
        <w:pStyle w:val="Heading1"/>
      </w:pPr>
      <w:r>
        <w:t>2. Clinical safety</w:t>
      </w:r>
    </w:p>
    <w:p>
      <w:r>
        <w:t>2.1 The supplier must operate a clinical risk management system that meets the requirements of DCB0129 and maintain a clinical safety case for the solution.</w:t>
      </w:r>
    </w:p>
    <w:p>
      <w:r>
        <w:t>2.2 The supplier must name a Clinical Safety Officer who is a registered clinician and who approves every release before deployment.</w:t>
      </w:r>
    </w:p>
    <w:p>
      <w:r>
        <w:t>2.3 The supplier should support the Trust in discharging its own duties under DCB0160, including joint hazard workshops for local configuration and a clinical safety impact statement with every release.</w:t>
      </w:r>
    </w:p>
    <w:p>
      <w:pPr>
        <w:pStyle w:val="Heading1"/>
      </w:pPr>
      <w:r>
        <w:t>3. Information governance and security</w:t>
      </w:r>
    </w:p>
    <w:p>
      <w:r>
        <w:t>3.1 The supplier must hold current ISO/IEC 27001 certification covering the information security management system for the solution.</w:t>
      </w:r>
    </w:p>
    <w:p>
      <w:r>
        <w:t>3.2 The supplier must hold Cyber Essentials Plus certification covering the whole organisation and renew it annually.</w:t>
      </w:r>
    </w:p>
    <w:p>
      <w:r>
        <w:t>3.3 The supplier must have achieved Standards Met in its most recent Data Security and Protection Toolkit assessment.</w:t>
      </w:r>
    </w:p>
    <w:p>
      <w:r>
        <w:t>3.4 All personal data shall be hosted in United Kingdom public cloud regions and no personal data shall be transferred outside the United Kingdom.</w:t>
      </w:r>
    </w:p>
    <w:p>
      <w:r>
        <w:t>3.5 The supplier should commission an independent penetration test of the solution at least once a year and share a summary of the findings with the Trust.</w:t>
      </w:r>
    </w:p>
    <w:p>
      <w:pPr>
        <w:pStyle w:val="Heading1"/>
      </w:pPr>
      <w:r>
        <w:t>4. Interoperability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The solution must expose and consume HL7 FHIR R4 resources profiled to UK Core and integrate with the Personal Demographics Service, including real-time event notifications to the Trust's integration engine.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Coded clinical entries must use the SNOMED CT UK Edition, with every national terminology update applied within seven days.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The solution should provide a single sign-on option using NHS Care Identity Service 2.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  <w:tr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The solution could offer a patient-facing mobile application for appointment booking.</w:t>
            </w:r>
          </w:p>
        </w:tc>
        <w:tc>
          <w:tcPr>
            <w:tcW w:type="dxa" w:w="2880"/>
          </w:tcPr>
          <w:p>
            <w:r>
              <w:t>Could</w:t>
            </w:r>
          </w:p>
        </w:tc>
      </w:tr>
    </w:tbl>
    <w:p>
      <w:pPr>
        <w:pStyle w:val="Heading1"/>
      </w:pPr>
      <w:r>
        <w:t>5. Service levels and support</w:t>
      </w:r>
    </w:p>
    <w:p>
      <w:r>
        <w:t>5.1 The supplier must provide a service desk available twenty-four hours a day, every day, by telephone, email and a customer portal.</w:t>
      </w:r>
    </w:p>
    <w:p>
      <w:r>
        <w:t>5.2 Role-based e-learning should be available to all staff before go-live, with classroom training for every clinical user.</w:t>
      </w:r>
    </w:p>
    <w:p>
      <w:r>
        <w:t>5.3 The solution must meet the Web Content Accessibility Guidelines 2.2 at level AA.</w:t>
      </w:r>
    </w:p>
    <w:p>
      <w:pPr>
        <w:pStyle w:val="Heading1"/>
      </w:pPr>
      <w:r>
        <w:t>6. Social value</w:t>
      </w:r>
    </w:p>
    <w:p>
      <w:r>
        <w:t>6.1 The supplier must have published a Carbon Reduction Plan in the format required by Procurement Policy Note 06/21, with a commitment to net zero.</w:t>
      </w:r>
    </w:p>
    <w:p>
      <w:r>
        <w:t>6.2 The supplier should fund at least five apprenticeships for young people from the Trust's area in every contract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