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Invitation to Tender: Electronic Task Management and Clinical Noting Solution</w:t>
      </w:r>
    </w:p>
    <w:p>
      <w:r>
        <w:t>Buyer: Harbourside University Hospitals NHS Foundation Trust</w:t>
      </w:r>
    </w:p>
    <w:p>
      <w:r>
        <w:t>Tender reference: HUH/ITT/2025/032</w:t>
      </w:r>
    </w:p>
    <w:p>
      <w:r>
        <w:t>Submitted by Northlight Health Informatics Ltd on 21 February 2025.</w:t>
      </w:r>
    </w:p>
    <w:p>
      <w:r>
        <w:t>This document is Northlight Health Informatics Ltd's response to the invitation to tender issued by Harbourside University Hospitals NHS Foundation Trust for the Electronic Task Management and Clinical Noting Solution. It answers every question in the buyer's response schedule in the order and structure the buyer set out. Pricing is provided separately in the commercial schedule and does not appear in this document.</w:t>
      </w:r>
    </w:p>
    <w:p>
      <w:pPr>
        <w:pStyle w:val="Heading1"/>
      </w:pPr>
      <w:r>
        <w:t>Section 1: Clinical safety</w:t>
      </w:r>
    </w:p>
    <w:p>
      <w:pPr>
        <w:pStyle w:val="Heading2"/>
      </w:pPr>
      <w:r>
        <w:t>1.1 Please describe your compliance with the DCB0129 clinical risk management standard, including the clinical safety case for the product offered.</w:t>
      </w:r>
    </w:p>
    <w:p>
      <w:r>
        <w:t>Northlight manages clinical risk for Northlight Connect under a clinical risk management system built to DCB0129, the standard that applies to manufacturers of health IT systems. Ownership sits with our Clinical Safety Officer, and the board reviews the system every six months. Every release of Northlight Connect passes through hazard identification, risk assessment and risk control before it is approved for deployment.</w:t>
      </w:r>
    </w:p>
    <w:p>
      <w:r>
        <w:t>The clinical safety case report for Northlight Connect is at version 3.2 and was approved by our Clinical Safety Officer on 14 January 2025. The report draws on a hazard log of forty-two identified hazards, each with its initial and residual risk rating and the controls that reduce it. We review the safety case at every major release and at least annually, and we will share the current report with Harbourside University Hospitals NHS Foundation Trust under a confidentiality agreement.</w:t>
      </w:r>
    </w:p>
    <w:p>
      <w:r>
        <w:t>When a customer reports a clinical safety incident it is triaged within one working day, recorded against the hazard log where a hazard is new or changed, and closed only with the Clinical Safety Officer's sign-off.</w:t>
      </w:r>
    </w:p>
    <w:p>
      <w:pPr>
        <w:pStyle w:val="Heading2"/>
      </w:pPr>
      <w:r>
        <w:t>1.2 Explain your hazard log process and how clinical safety incidents are reported, investigated and resolved.</w:t>
      </w:r>
    </w:p>
    <w:p>
      <w:r>
        <w:t>At the start of every release cycle clinicians, product managers and engineers hold a structured hazard identification workshop. Each hazard is recorded in the hazard log with its causes, effects, existing controls, initial risk rating on the DCB0129 five-by-five matrix, proposed controls and residual rating. A hazard with a residual rating above three cannot be released without a written justification from the Clinical Safety Officer.</w:t>
      </w:r>
    </w:p>
    <w:p>
      <w:r>
        <w:t>Our service desk carries a dedicated category for clinical safety incidents; each is escalated to the Clinical Safety Officer within one working day and investigated by root cause analysis. Where an incident affects more than one customer we issue a safety notice to all affected organisations within two working days. The hazard log and incident register are reviewed together at the quarterly clinical safety review.</w:t>
      </w:r>
    </w:p>
    <w:p>
      <w:pPr>
        <w:pStyle w:val="Heading1"/>
      </w:pPr>
      <w:r>
        <w:t>Section 2: Information governance</w:t>
      </w:r>
    </w:p>
    <w:p>
      <w:pPr>
        <w:pStyle w:val="Heading2"/>
      </w:pPr>
      <w:r>
        <w:t>2.1 Please state your latest Data Security and Protection Toolkit assessment outcome and explain how you keep it current.</w:t>
      </w:r>
    </w:p>
    <w:p>
      <w:r>
        <w:t>Northlight Health Informatics Ltd completed the 2023/24 Data Security and Protection Toolkit assessment with an outcome of Standards Met, published on 24 June 2024 under ODS code 8JX45. We have achieved Standards Met in every assessment year since we first registered.</w:t>
      </w:r>
    </w:p>
    <w:p>
      <w:r>
        <w:t>Compliance is maintained through an annual cycle owned by our Data Protection Officer: evidence is refreshed each quarter, the ten data security standards are mapped to our ISO 27001 controls, and the board approves the submission before publication. All staff complete data security awareness training within their first month and annually thereafter, and completion is above ninety-five per cent.</w:t>
      </w:r>
    </w:p>
    <w:p>
      <w:pPr>
        <w:pStyle w:val="Heading2"/>
      </w:pPr>
      <w:r>
        <w:t>2.2 How will you help us complete our Data Protection Impact Assessment, and what controller and processor roles apply to the proposed service?</w:t>
      </w:r>
    </w:p>
    <w:p>
      <w:r>
        <w:t>Northlight Health Informatics Ltd acts as data processor and Harbourside University Hospitals NHS Foundation Trust remains data controller, governed by a data processing agreement aligned to the NHS Standard Contract. Customer data is used only to deliver the contracted service and for no other purpose.</w:t>
      </w:r>
    </w:p>
    <w:p>
      <w:r>
        <w:t>To support the Data Protection Impact Assessment we supply a completed supplier annex covering data flows, hosting, sub-processors, retention, security controls and international transfers, which in our case there are none. The Trust's assessment workshop is attended by our Data Protection Officer, who answers any follow-up questions within five working days.</w:t>
      </w:r>
    </w:p>
    <w:p>
      <w:pPr>
        <w:pStyle w:val="Heading2"/>
      </w:pPr>
      <w:r>
        <w:t>2.3 State the location of hosting and processing for all personal data and confirm whether any transfer outside the United Kingdom occurs.</w:t>
      </w:r>
    </w:p>
    <w:p>
      <w:r>
        <w:t>Northlight Connect hosts all personal data in two public cloud regions located in the United Kingdom, the second serving replication and disaster recovery. No personal data is transferred outside the United Kingdom, and our support staff access production systems only from within the United Kingdom.</w:t>
      </w:r>
    </w:p>
    <w:p>
      <w:r>
        <w:t>The data processing agreement lists our sub-processors, which are the hosting provider and a messaging gateway based in the United Kingdom. Encryption is applied in transit using TLS 1.2 or above and at rest using AES-256.</w:t>
      </w:r>
    </w:p>
    <w:p>
      <w:pPr>
        <w:pStyle w:val="Heading1"/>
      </w:pPr>
      <w:r>
        <w:t>Section 3: Information security</w:t>
      </w:r>
    </w:p>
    <w:p>
      <w:pPr>
        <w:pStyle w:val="Heading2"/>
      </w:pPr>
      <w:r>
        <w:t>3.1 Do you hold ISO 27001 certification? Provide the certificate number, the certifying body, the scope and the date of issue.</w:t>
      </w:r>
    </w:p>
    <w:p>
      <w:r>
        <w:t>Northlight Health Informatics Ltd holds ISO/IEC 27001:2022 certification for its information security management system. Our ISO/IEC 27001 certificate, number NHI-27001-0417, was issued on 12 March 2024 by Albion Certification Services Ltd and is valid until 11 March 2027. The scope covers the design, development, hosting and support of Northlight Connect and all corporate systems that process customer data.</w:t>
      </w:r>
    </w:p>
    <w:p>
      <w:r>
        <w:t>The certification body audits us every year, and no major non-conformities were raised at the latest audit. A copy of the certificate is available on request.</w:t>
      </w:r>
    </w:p>
    <w:p>
      <w:pPr>
        <w:pStyle w:val="Heading2"/>
      </w:pPr>
      <w:r>
        <w:t>3.2 How often is the solution penetration tested, by whom, and how quickly are vulnerabilities remediated?</w:t>
      </w:r>
    </w:p>
    <w:p>
      <w:r>
        <w:t>An independent CREST-accredited firm penetration tests Northlight Connect every year and after every major architectural change. The test covers the web application, the public interfaces and the hosting environment, and a summary report is made available to customers.</w:t>
      </w:r>
    </w:p>
    <w:p>
      <w:r>
        <w:t>Automated vulnerability scanning runs against dependencies and infrastructure on every build, and weekly against production. We fix critical vulnerabilities within seven days, high within thirty and medium within ninety, with monthly progress reporting to the board by the security lead.</w:t>
      </w:r>
    </w:p>
    <w:p>
      <w:pPr>
        <w:pStyle w:val="Heading1"/>
      </w:pPr>
      <w:r>
        <w:t>Section 4: Interoperability</w:t>
      </w:r>
    </w:p>
    <w:p>
      <w:pPr>
        <w:pStyle w:val="Heading2"/>
      </w:pPr>
      <w:r>
        <w:t>4.1 Which open standards does the solution support, and how does it connect to national NHS services such as the Personal Demographics Service?</w:t>
      </w:r>
    </w:p>
    <w:p>
      <w:r>
        <w:t>Northlight Connect exposes and consumes HL7 FHIR R4 resources profiled to UK Core, and supports HL7 version 2 messaging for integration with older patient administration systems. Every application programming interface is documented in OpenAPI and is open to the Trust and its other suppliers at no extra licence cost.</w:t>
      </w:r>
    </w:p>
    <w:p>
      <w:r>
        <w:t>National integrations include the Personal Demographics Service for NHS number and demographic verification, MESH for secure messaging to primary care, and NHS login for direct patient access. The Spine connection is assured and already live with our current customers.</w:t>
      </w:r>
    </w:p>
    <w:p>
      <w:pPr>
        <w:pStyle w:val="Heading2"/>
      </w:pPr>
      <w:r>
        <w:t>4.2 How does the solution use SNOMED CT, dm+d and the NHS number to record and exchange clinical information?</w:t>
      </w:r>
    </w:p>
    <w:p>
      <w:r>
        <w:t>Northlight Connect codes clinical entries with the SNOMED CT UK Edition and refers to medicines using the NHS Dictionary of Medicines and Devices. Terminology content is refreshed from the national releases within thirty days of publication.</w:t>
      </w:r>
    </w:p>
    <w:p>
      <w:r>
        <w:t>The NHS number is the primary patient identifier throughout the solution, verified against the Personal Demographics Service at the point of registration and displayed in the national format.</w:t>
      </w:r>
    </w:p>
    <w:p>
      <w:pPr>
        <w:pStyle w:val="Heading1"/>
      </w:pPr>
      <w:r>
        <w:t>Section 5: Implementation and onboarding</w:t>
      </w:r>
    </w:p>
    <w:p>
      <w:pPr>
        <w:pStyle w:val="Heading2"/>
      </w:pPr>
      <w:r>
        <w:t>5.1 How will the implementation be governed, and how will risks and issues be managed and escalated?</w:t>
      </w:r>
    </w:p>
    <w:p>
      <w:r>
        <w:t>Implementation is governed by a joint project board, chaired by the Trust's senior responsible owner, that meets monthly to approve stage gates and resolve escalated risks. Beneath the board a weekly project meeting, led by our project manager and the Trust's project lead, tracks the plan, actions and dependencies.</w:t>
      </w:r>
    </w:p>
    <w:p>
      <w:r>
        <w:t>Risks, assumptions, issues and dependencies are held in a shared log with an owner, a rating and a mitigation for each, and any risk rated high is escalated to the project board within two working days. Changes to scope follow a written change control process with impact assessment before approval.</w:t>
      </w:r>
    </w:p>
    <w:p>
      <w:pPr>
        <w:pStyle w:val="Heading1"/>
      </w:pPr>
      <w:r>
        <w:t>Section 6: Training and support</w:t>
      </w:r>
    </w:p>
    <w:p>
      <w:pPr>
        <w:pStyle w:val="Heading2"/>
      </w:pPr>
      <w:r>
        <w:t>6.1 How will you train our staff before go-live, and what training is available afterwards for new starters?</w:t>
      </w:r>
    </w:p>
    <w:p>
      <w:r>
        <w:t>We use a train-the-trainer model: we train a cohort of Trust super-users in half-day sessions, and they cascade training to their teams with our materials and support. All staff have access to role-based e-learning modules lasting twenty to thirty minutes ahead of go-live, and completion is tracked and reported to the project team.</w:t>
      </w:r>
    </w:p>
    <w:p>
      <w:r>
        <w:t>During each go-live week our trainers floor-walk on the wards alongside the super-users. For the whole contract the Trust keeps a training environment populated with realistic test data, and new starters take the e-learning modules during induction.</w:t>
      </w:r>
    </w:p>
    <w:p>
      <w:pPr>
        <w:pStyle w:val="Heading1"/>
      </w:pPr>
      <w:r>
        <w:t>Section 7: Commercial</w:t>
      </w:r>
    </w:p>
    <w:p>
      <w:pPr>
        <w:pStyle w:val="Heading2"/>
      </w:pPr>
      <w:r>
        <w:t>7.1 What exit management support do you provide, and how will data be returned or transferred to a successor supplier?</w:t>
      </w:r>
    </w:p>
    <w:p>
      <w:r>
        <w:t>An exit plan is agreed with the Trust within three months of contract award and reviewed annually, so that exit is planned rather than improvised. On exit we provide a complete export of the Trust's data in open, documented formats and make our integration specifications available to the successor supplier.</w:t>
      </w:r>
    </w:p>
    <w:p>
      <w:r>
        <w:t>We support up to three months of parallel running and provide knowledge transfer sessions for the Trust and the incoming supplier at no additional charge. Once the Trust confirms the data has been received, all copies are deleted and a certificate of deletion is issued.</w:t>
      </w:r>
    </w:p>
    <w:p>
      <w:pPr>
        <w:pStyle w:val="Heading1"/>
      </w:pPr>
      <w:r>
        <w:t>Section 8: Social value</w:t>
      </w:r>
    </w:p>
    <w:p>
      <w:pPr>
        <w:pStyle w:val="Heading2"/>
      </w:pPr>
      <w:r>
        <w:t>8.1 Set out your organisation's net zero commitment and summarise your published Carbon Reduction Plan.</w:t>
      </w:r>
    </w:p>
    <w:p>
      <w:r>
        <w:t>Our Carbon Reduction Plan follows the Procurement Policy Note 06/21 format and commits Northlight Health Informatics Ltd to net zero for scope one, scope two and the required scope three categories by 2040. It is board-signed, reviewed each year and published on our website.</w:t>
      </w:r>
    </w:p>
    <w:p>
      <w:r>
        <w:t>Our hosting runs in regions powered by renewable energy, our offices use renewable electricity tariffs and we operate a remote-first working policy that has reduced commuting emissions by more than half since our baseline year. A rail-first travel policy applies to all business travel, and we report our emissions to customers each year at the service review.</w:t>
      </w:r>
    </w:p>
    <w:p>
      <w:pPr>
        <w:pStyle w:val="Heading2"/>
      </w:pPr>
      <w:r>
        <w:t>8.2 What commitments do you make to local employment, apprenticeships and skills development as part of this contract?</w:t>
      </w:r>
    </w:p>
    <w:p>
      <w:r>
        <w:t>Through this contract we will create two digital apprenticeship places in the Trust's area within the first year and offer paid work experience to students from local further education colleges. Contract implementation and support roles are advertised in the local area before anywhere else.</w:t>
      </w:r>
    </w:p>
    <w:p>
      <w:r>
        <w:t>We will run free digital skills sessions for Trust staff twice a year, covering data literacy and the safe use of digital tools. Each quarter we report social value delivery against the agreed measures for review at the contract review meeting.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