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Response to Invitation to Tender: Community Clinical Communication and Referral Platform</w:t>
      </w:r>
    </w:p>
    <w:p>
      <w:r>
        <w:t>Buyer: Northern Fells Community Health NHS Trust</w:t>
      </w:r>
    </w:p>
    <w:p>
      <w:r>
        <w:t>Tender reference: NFCH-2025-ITT-09</w:t>
      </w:r>
    </w:p>
    <w:p>
      <w:r>
        <w:t>Submitted by Northlight Health Informatics Ltd on 18 July 2025.</w:t>
      </w:r>
    </w:p>
    <w:p>
      <w:r>
        <w:t>This document is Northlight Health Informatics Ltd's response to the invitation to tender issued by Northern Fells Community Health NHS Trust for the Community Clinical Communication and Referral Platform. It answers every question in the buyer's response schedule in the order and structure the buyer set out. Pricing is provided separately in the commercial schedule and does not appear in this document.</w:t>
      </w:r>
    </w:p>
    <w:p>
      <w:pPr>
        <w:pStyle w:val="Heading1"/>
      </w:pPr>
      <w:r>
        <w:t>Section 1: Clinical safety</w:t>
      </w:r>
    </w:p>
    <w:p>
      <w:r>
        <w:rPr>
          <w:b/>
        </w:rPr>
        <w:t>Question 1.1</w:t>
      </w:r>
    </w:p>
    <w:p>
      <w:r>
        <w:t>Explain how clinical risk is managed for the solution in line with DCB0129 and how the clinical safety case report is kept current.</w:t>
      </w:r>
    </w:p>
    <w:p>
      <w:r>
        <w:rPr>
          <w:i/>
        </w:rPr>
        <w:t>Word limit: 600 words</w:t>
      </w:r>
    </w:p>
    <w:tbl>
      <w:tblPr>
        <w:tblStyle w:val="TableGrid"/>
        <w:tblW w:type="auto" w:w="0"/>
        <w:tblLook w:firstColumn="1" w:firstRow="1" w:lastColumn="0" w:lastRow="0" w:noHBand="0" w:noVBand="1" w:val="04A0"/>
      </w:tblPr>
      <w:tblGrid>
        <w:gridCol w:w="8640"/>
      </w:tblGrid>
      <w:tr>
        <w:tc>
          <w:tcPr>
            <w:tcW w:type="dxa" w:w="8640"/>
          </w:tcPr>
          <w:p>
            <w:r>
              <w:t>Supplier response</w:t>
            </w:r>
          </w:p>
        </w:tc>
      </w:tr>
      <w:tr>
        <w:tc>
          <w:tcPr>
            <w:tcW w:type="dxa" w:w="8640"/>
          </w:tcPr>
          <w:p>
            <w:r>
              <w:t>Northlight manages clinical risk for Northlight Connect under a clinical risk management system built to DCB0129, the standard that applies to manufacturers of health IT systems. Ownership sits with our Clinical Safety Officer, and the board reviews the system every six months. No release of Northlight Connect is approved for deployment until hazard identification, risk assessment and risk control have been completed for it.</w:t>
            </w:r>
          </w:p>
          <w:p>
            <w:r>
              <w:t>The clinical safety case report for Northlight Connect is at version 3.2 and was approved by our Clinical Safety Officer on 14 January 2025. The report draws on a hazard log of forty-two identified hazards, each with its initial and residual risk rating and the controls that reduce it. The safety case is reviewed at each major release and no less than once a year, and the current report is available to Northern Fells Community Health NHS Trust under a confidentiality agreement.</w:t>
            </w:r>
          </w:p>
          <w:p>
            <w:r>
              <w:t>Clinical safety incidents reported by customers are triaged within one working day, entered in the hazard log where they reveal a new or changed hazard, and closed only when the Clinical Safety Officer has signed off the resolution.</w:t>
            </w:r>
          </w:p>
        </w:tc>
      </w:tr>
    </w:tbl>
    <w:p/>
    <w:p>
      <w:r>
        <w:rPr>
          <w:b/>
        </w:rPr>
        <w:t>Question 1.2</w:t>
      </w:r>
    </w:p>
    <w:p>
      <w:r>
        <w:t>Provide the name and qualifications of your Clinical Safety Officer and describe their role in the delivery of this contract.</w:t>
      </w:r>
    </w:p>
    <w:p>
      <w:r>
        <w:rPr>
          <w:i/>
        </w:rPr>
        <w:t>Word limit: 300 words</w:t>
      </w:r>
    </w:p>
    <w:tbl>
      <w:tblPr>
        <w:tblStyle w:val="TableGrid"/>
        <w:tblW w:type="auto" w:w="0"/>
        <w:tblLook w:firstColumn="1" w:firstRow="1" w:lastColumn="0" w:lastRow="0" w:noHBand="0" w:noVBand="1" w:val="04A0"/>
      </w:tblPr>
      <w:tblGrid>
        <w:gridCol w:w="8640"/>
      </w:tblGrid>
      <w:tr>
        <w:tc>
          <w:tcPr>
            <w:tcW w:type="dxa" w:w="8640"/>
          </w:tcPr>
          <w:p>
            <w:r>
              <w:t>Supplier response</w:t>
            </w:r>
          </w:p>
        </w:tc>
      </w:tr>
      <w:tr>
        <w:tc>
          <w:tcPr>
            <w:tcW w:type="dxa" w:w="8640"/>
          </w:tcPr>
          <w:p>
            <w:r>
              <w:t>Our Clinical Safety Officer is Dr Helen Okafor, a registered general nurse with fourteen years of acute clinical experience. Dr Helen Okafor maintains professional registration and is trained to the accredited DCB0129 and DCB0160 clinical risk management syllabus. She reports directly to the Chief Medical Officer and can stop any release on clinical safety grounds.</w:t>
            </w:r>
          </w:p>
          <w:p>
            <w:r>
              <w:t>For this contract Dr Helen Okafor will join the Northern Fells Community Health NHS Trust Clinical Safety Officer in the deployment hazard workshops, maintain our side of the deployment hazard log and sign the clinical safety closure statement ahead of go-live. Once the service is live she reviews each clinical safety incident and chairs a quarterly clinical safety review open to all customers.</w:t>
            </w:r>
          </w:p>
        </w:tc>
      </w:tr>
    </w:tbl>
    <w:p/>
    <w:p>
      <w:r>
        <w:rPr>
          <w:b/>
        </w:rPr>
        <w:t>Question 1.3</w:t>
      </w:r>
    </w:p>
    <w:p>
      <w:r>
        <w:t>Describe how hazards are identified, recorded and controlled throughout the life of the solution, and how clinical safety incidents are managed.</w:t>
      </w:r>
    </w:p>
    <w:p>
      <w:r>
        <w:rPr>
          <w:i/>
        </w:rPr>
        <w:t>Word limit: 500 words</w:t>
      </w:r>
    </w:p>
    <w:tbl>
      <w:tblPr>
        <w:tblStyle w:val="TableGrid"/>
        <w:tblW w:type="auto" w:w="0"/>
        <w:tblLook w:firstColumn="1" w:firstRow="1" w:lastColumn="0" w:lastRow="0" w:noHBand="0" w:noVBand="1" w:val="04A0"/>
      </w:tblPr>
      <w:tblGrid>
        <w:gridCol w:w="8640"/>
      </w:tblGrid>
      <w:tr>
        <w:tc>
          <w:tcPr>
            <w:tcW w:type="dxa" w:w="8640"/>
          </w:tcPr>
          <w:p>
            <w:r>
              <w:t>Supplier response</w:t>
            </w:r>
          </w:p>
        </w:tc>
      </w:tr>
      <w:tr>
        <w:tc>
          <w:tcPr>
            <w:tcW w:type="dxa" w:w="8640"/>
          </w:tcPr>
          <w:p>
            <w:r>
              <w:t>At the start of every release cycle clinicians, product managers and engineers hold a structured hazard identification workshop. The hazard log records, for every hazard, its causes and effects, the controls already in place, an initial rating on the DCB0129 five-by-five matrix, the further controls proposed and the residual rating. A hazard with a residual rating above three cannot be released without a written justification from the Clinical Safety Officer.</w:t>
            </w:r>
          </w:p>
          <w:p>
            <w:r>
              <w:t>Our service desk carries a dedicated category for clinical safety incidents; each is escalated to the Clinical Safety Officer within one working day and investigated by root cause analysis. Where an incident affects more than one customer we issue a safety notice to all affected organisations within two working days. Both the hazard log and the incident register are examined at each quarterly clinical safety review.</w:t>
            </w:r>
          </w:p>
        </w:tc>
      </w:tr>
    </w:tbl>
    <w:p/>
    <w:p>
      <w:r>
        <w:rPr>
          <w:b/>
        </w:rPr>
        <w:t>Question 1.4</w:t>
      </w:r>
    </w:p>
    <w:p>
      <w:r>
        <w:t>Describe how you will support the Trust to discharge its own obligations under DCB0160 during deployment and in live service.</w:t>
      </w:r>
    </w:p>
    <w:p>
      <w:r>
        <w:rPr>
          <w:i/>
        </w:rPr>
        <w:t>Word limit: 400 words</w:t>
      </w:r>
    </w:p>
    <w:tbl>
      <w:tblPr>
        <w:tblStyle w:val="TableGrid"/>
        <w:tblW w:type="auto" w:w="0"/>
        <w:tblLook w:firstColumn="1" w:firstRow="1" w:lastColumn="0" w:lastRow="0" w:noHBand="0" w:noVBand="1" w:val="04A0"/>
      </w:tblPr>
      <w:tblGrid>
        <w:gridCol w:w="8640"/>
      </w:tblGrid>
      <w:tr>
        <w:tc>
          <w:tcPr>
            <w:tcW w:type="dxa" w:w="8640"/>
          </w:tcPr>
          <w:p>
            <w:r>
              <w:t>Supplier response</w:t>
            </w:r>
          </w:p>
        </w:tc>
      </w:tr>
      <w:tr>
        <w:tc>
          <w:tcPr>
            <w:tcW w:type="dxa" w:w="8640"/>
          </w:tcPr>
          <w:p>
            <w:r>
              <w:t>Northern Fells Community Health NHS Trust has its own obligations under DCB0160, and we organise our clinical safety activities so that the Trust can meet them efficiently. Ahead of deployment the Trust's Clinical Safety Officer receives our manufacturer safety case report and the Northlight Connect hazard log as inputs to the deployment safety case.</w:t>
            </w:r>
          </w:p>
          <w:p>
            <w:r>
              <w:t>We run joint hazard workshops covering local configuration, integration and workflow, and we provide a written deployment hazard assessment for each. In live service every release note carries a clinical safety impact statement signed by our Clinical Safety Officer, giving the Trust the information it needs to update its own hazard log.</w:t>
            </w:r>
          </w:p>
        </w:tc>
      </w:tr>
    </w:tbl>
    <w:p/>
    <w:p>
      <w:pPr>
        <w:pStyle w:val="Heading1"/>
      </w:pPr>
      <w:r>
        <w:t>Section 2: Information governance</w:t>
      </w:r>
    </w:p>
    <w:p>
      <w:r>
        <w:rPr>
          <w:b/>
        </w:rPr>
        <w:t>Question 2.1</w:t>
      </w:r>
    </w:p>
    <w:p>
      <w:r>
        <w:t>What is your Data Security and Protection Toolkit status, and how do you maintain it year on year?</w:t>
      </w:r>
    </w:p>
    <w:p>
      <w:r>
        <w:rPr>
          <w:i/>
        </w:rPr>
        <w:t>Word limit: 300 words</w:t>
      </w:r>
    </w:p>
    <w:tbl>
      <w:tblPr>
        <w:tblStyle w:val="TableGrid"/>
        <w:tblW w:type="auto" w:w="0"/>
        <w:tblLook w:firstColumn="1" w:firstRow="1" w:lastColumn="0" w:lastRow="0" w:noHBand="0" w:noVBand="1" w:val="04A0"/>
      </w:tblPr>
      <w:tblGrid>
        <w:gridCol w:w="8640"/>
      </w:tblGrid>
      <w:tr>
        <w:tc>
          <w:tcPr>
            <w:tcW w:type="dxa" w:w="8640"/>
          </w:tcPr>
          <w:p>
            <w:r>
              <w:t>Supplier response</w:t>
            </w:r>
          </w:p>
        </w:tc>
      </w:tr>
      <w:tr>
        <w:tc>
          <w:tcPr>
            <w:tcW w:type="dxa" w:w="8640"/>
          </w:tcPr>
          <w:p>
            <w:r>
              <w:t>Northlight Health Informatics Ltd completed the 2024/25 Data Security and Protection Toolkit assessment with an outcome of Standards Met, published on 27 June 2025 under ODS code 8JX45. Every assessment we have submitted since registering has achieved Standards Met.</w:t>
            </w:r>
          </w:p>
          <w:p>
            <w:r>
              <w:t>Our Data Protection Officer runs an annual cycle to keep the assessment current: evidence is refreshed quarterly, the ten data security standards are mapped to our ISO 27001 controls, and the board signs off the submission before it is published. Data security awareness training is completed by all staff in their first month and every year after that, with completion above ninety-five per cent.</w:t>
            </w:r>
          </w:p>
        </w:tc>
      </w:tr>
    </w:tbl>
    <w:p/>
    <w:p>
      <w:r>
        <w:rPr>
          <w:b/>
        </w:rPr>
        <w:t>Question 2.2</w:t>
      </w:r>
    </w:p>
    <w:p>
      <w:r>
        <w:t>Provide details of your Data Protection Officer and describe your information governance arrangements.</w:t>
      </w:r>
    </w:p>
    <w:p>
      <w:r>
        <w:rPr>
          <w:i/>
        </w:rPr>
        <w:t>Word limit: 400 words</w:t>
      </w:r>
    </w:p>
    <w:tbl>
      <w:tblPr>
        <w:tblStyle w:val="TableGrid"/>
        <w:tblW w:type="auto" w:w="0"/>
        <w:tblLook w:firstColumn="1" w:firstRow="1" w:lastColumn="0" w:lastRow="0" w:noHBand="0" w:noVBand="1" w:val="04A0"/>
      </w:tblPr>
      <w:tblGrid>
        <w:gridCol w:w="8640"/>
      </w:tblGrid>
      <w:tr>
        <w:tc>
          <w:tcPr>
            <w:tcW w:type="dxa" w:w="8640"/>
          </w:tcPr>
          <w:p>
            <w:r>
              <w:t>Supplier response</w:t>
            </w:r>
          </w:p>
        </w:tc>
      </w:tr>
      <w:tr>
        <w:tc>
          <w:tcPr>
            <w:tcW w:type="dxa" w:w="8640"/>
          </w:tcPr>
          <w:p>
            <w:r>
              <w:t>Our Data Protection Officer is Marcus Whitfield, who can be contacted at dpo@northlight-health.example. Northlight Health Informatics Ltd is registered with the Information Commissioner's Office under registration number ZB482913. Marcus Whitfield reports to the board, is independent of product delivery and has been in post since 2016.</w:t>
            </w:r>
          </w:p>
          <w:p>
            <w:r>
              <w:t>Information governance is overseen by a steering group chaired by the Data Protection Officer that meets monthly and reviews incidents, subject access requests, policy changes and audit findings. We maintain policies for data protection, records management, acceptable use, confidentiality and breach management, each reviewed every year. A personal data breach is assessed within twenty-four hours and notified to the controller, and to the Information Commissioner's Office where required, inside seventy-two hours.</w:t>
            </w:r>
          </w:p>
        </w:tc>
      </w:tr>
    </w:tbl>
    <w:p/>
    <w:p>
      <w:r>
        <w:rPr>
          <w:b/>
        </w:rPr>
        <w:t>Question 2.3</w:t>
      </w:r>
    </w:p>
    <w:p>
      <w:r>
        <w:t>Describe your data retention and deletion arrangements, including what happens to Trust data at the end of the contract.</w:t>
      </w:r>
    </w:p>
    <w:p>
      <w:r>
        <w:rPr>
          <w:i/>
        </w:rPr>
        <w:t>Word limit: 300 words</w:t>
      </w:r>
    </w:p>
    <w:tbl>
      <w:tblPr>
        <w:tblStyle w:val="TableGrid"/>
        <w:tblW w:type="auto" w:w="0"/>
        <w:tblLook w:firstColumn="1" w:firstRow="1" w:lastColumn="0" w:lastRow="0" w:noHBand="0" w:noVBand="1" w:val="04A0"/>
      </w:tblPr>
      <w:tblGrid>
        <w:gridCol w:w="8640"/>
      </w:tblGrid>
      <w:tr>
        <w:tc>
          <w:tcPr>
            <w:tcW w:type="dxa" w:w="8640"/>
          </w:tcPr>
          <w:p>
            <w:r>
              <w:t>Supplier response</w:t>
            </w:r>
          </w:p>
        </w:tc>
      </w:tr>
      <w:tr>
        <w:tc>
          <w:tcPr>
            <w:tcW w:type="dxa" w:w="8640"/>
          </w:tcPr>
          <w:p>
            <w:r>
              <w:t>Retention periods are set by Northern Fells Community Health NHS Trust as controller and configured per record type in Northlight Connect, with defaults drawn from the Records Management Code of Practice for Health and Social Care. When a record reaches the end of its retention period it is flagged for review and removed only once the Trust's records manager has confirmed.</w:t>
            </w:r>
          </w:p>
          <w:p>
            <w:r>
              <w:t>At the end of the contract we provide a full export of the Trust's data in open formats within thirty days of the termination date, and we delete all copies, including backups, within ninety days, issuing a signed certificate of deletion.</w:t>
            </w:r>
          </w:p>
        </w:tc>
      </w:tr>
    </w:tbl>
    <w:p/>
    <w:p>
      <w:pPr>
        <w:pStyle w:val="Heading1"/>
      </w:pPr>
      <w:r>
        <w:t>Section 3: Information security</w:t>
      </w:r>
    </w:p>
    <w:p>
      <w:r>
        <w:rPr>
          <w:b/>
        </w:rPr>
        <w:t>Question 3.1</w:t>
      </w:r>
    </w:p>
    <w:p>
      <w:r>
        <w:t>Please provide details of your ISO/IEC 27001 certification, including number, scope and issue date.</w:t>
      </w:r>
    </w:p>
    <w:p>
      <w:r>
        <w:rPr>
          <w:i/>
        </w:rPr>
        <w:t>Word limit: 300 words</w:t>
      </w:r>
    </w:p>
    <w:tbl>
      <w:tblPr>
        <w:tblStyle w:val="TableGrid"/>
        <w:tblW w:type="auto" w:w="0"/>
        <w:tblLook w:firstColumn="1" w:firstRow="1" w:lastColumn="0" w:lastRow="0" w:noHBand="0" w:noVBand="1" w:val="04A0"/>
      </w:tblPr>
      <w:tblGrid>
        <w:gridCol w:w="8640"/>
      </w:tblGrid>
      <w:tr>
        <w:tc>
          <w:tcPr>
            <w:tcW w:type="dxa" w:w="8640"/>
          </w:tcPr>
          <w:p>
            <w:r>
              <w:t>Supplier response</w:t>
            </w:r>
          </w:p>
        </w:tc>
      </w:tr>
      <w:tr>
        <w:tc>
          <w:tcPr>
            <w:tcW w:type="dxa" w:w="8640"/>
          </w:tcPr>
          <w:p>
            <w:r>
              <w:t>Northlight Health Informatics Ltd holds ISO/IEC 27001:2022 certification for its information security management system. Our ISO/IEC 27001 certificate, number NHI-27001-0582, was issued on 9 March 2025 by Albion Certification Services Ltd and is valid until 11 March 2027. Certification scope includes the design, development, hosting and support of Northlight Connect together with every corporate system that handles customer data.</w:t>
            </w:r>
          </w:p>
          <w:p>
            <w:r>
              <w:t>Surveillance audits take place annually and the most recent audit raised no major non-conformities. We can supply a copy of the certificate on request.</w:t>
            </w:r>
          </w:p>
        </w:tc>
      </w:tr>
    </w:tbl>
    <w:p/>
    <w:p>
      <w:r>
        <w:rPr>
          <w:b/>
        </w:rPr>
        <w:t>Question 3.2</w:t>
      </w:r>
    </w:p>
    <w:p>
      <w:r>
        <w:t>Confirm whether you hold Cyber Essentials Plus certification and provide the certificate number and expiry date.</w:t>
      </w:r>
    </w:p>
    <w:p>
      <w:r>
        <w:rPr>
          <w:i/>
        </w:rPr>
        <w:t>Word limit: 200 words</w:t>
      </w:r>
    </w:p>
    <w:tbl>
      <w:tblPr>
        <w:tblStyle w:val="TableGrid"/>
        <w:tblW w:type="auto" w:w="0"/>
        <w:tblLook w:firstColumn="1" w:firstRow="1" w:lastColumn="0" w:lastRow="0" w:noHBand="0" w:noVBand="1" w:val="04A0"/>
      </w:tblPr>
      <w:tblGrid>
        <w:gridCol w:w="8640"/>
      </w:tblGrid>
      <w:tr>
        <w:tc>
          <w:tcPr>
            <w:tcW w:type="dxa" w:w="8640"/>
          </w:tcPr>
          <w:p>
            <w:r>
              <w:t>Supplier response</w:t>
            </w:r>
          </w:p>
        </w:tc>
      </w:tr>
      <w:tr>
        <w:tc>
          <w:tcPr>
            <w:tcW w:type="dxa" w:w="8640"/>
          </w:tcPr>
          <w:p>
            <w:r>
              <w:t>Northlight Health Informatics Ltd holds Cyber Essentials Plus certification covering the whole organisation. Our Cyber Essentials Plus certificate, number CEP-1147-2025, was issued on 29 April 2025 by Greyfriars Cyber Assurance Ltd and expires on 28 April 2026.</w:t>
            </w:r>
          </w:p>
          <w:p>
            <w:r>
              <w:t>The Plus assessment includes an independent technical audit of a sample of our devices and of every internet-facing system, in addition to the self-assessment questionnaire. We renew the certification annually and the renewal assessment is scheduled six weeks before expiry so that there is no gap in coverage.</w:t>
            </w:r>
          </w:p>
        </w:tc>
      </w:tr>
    </w:tbl>
    <w:p/>
    <w:p>
      <w:r>
        <w:rPr>
          <w:b/>
        </w:rPr>
        <w:t>Question 3.3</w:t>
      </w:r>
    </w:p>
    <w:p>
      <w:r>
        <w:t>Describe how user access to the solution is controlled, including authentication, role-based access and audit of access to patient records.</w:t>
      </w:r>
    </w:p>
    <w:p>
      <w:r>
        <w:rPr>
          <w:i/>
        </w:rPr>
        <w:t>Word limit: 500 words</w:t>
      </w:r>
    </w:p>
    <w:tbl>
      <w:tblPr>
        <w:tblStyle w:val="TableGrid"/>
        <w:tblW w:type="auto" w:w="0"/>
        <w:tblLook w:firstColumn="1" w:firstRow="1" w:lastColumn="0" w:lastRow="0" w:noHBand="0" w:noVBand="1" w:val="04A0"/>
      </w:tblPr>
      <w:tblGrid>
        <w:gridCol w:w="8640"/>
      </w:tblGrid>
      <w:tr>
        <w:tc>
          <w:tcPr>
            <w:tcW w:type="dxa" w:w="8640"/>
          </w:tcPr>
          <w:p>
            <w:r>
              <w:t>Supplier response</w:t>
            </w:r>
          </w:p>
        </w:tc>
      </w:tr>
      <w:tr>
        <w:tc>
          <w:tcPr>
            <w:tcW w:type="dxa" w:w="8640"/>
          </w:tcPr>
          <w:p>
            <w:r>
              <w:t>Northlight Connect authenticates users through the Trust's identity provider using SAML 2.0 or OpenID Connect, so that Trust joiners, movers and leavers processes apply automatically. Local accounts, where they cannot be avoided, require multi-factor authentication and follow National Cyber Security Centre password guidance.</w:t>
            </w:r>
          </w:p>
          <w:p>
            <w:r>
              <w:t>Access is role-based: the Trust's administrators define roles that map to job functions, and each role grants the minimum permissions needed. Every view of, and change to, a patient record is written to an immutable audit log that records the user, time, record and action, and the log can be exported to the Trust's audit tooling. The Trust's privacy officer receives alerts whenever a user accesses records outside their normal team or location.</w:t>
            </w:r>
          </w:p>
        </w:tc>
      </w:tr>
    </w:tbl>
    <w:p/>
    <w:p>
      <w:pPr>
        <w:pStyle w:val="Heading1"/>
      </w:pPr>
      <w:r>
        <w:t>Section 4: Interoperability</w:t>
      </w:r>
    </w:p>
    <w:p>
      <w:r>
        <w:rPr>
          <w:b/>
        </w:rPr>
        <w:t>Question 4.1</w:t>
      </w:r>
    </w:p>
    <w:p>
      <w:r>
        <w:t>Describe how the solution will integrate with the Trust's electronic patient record and patient administration system, including your approach to integration testing.</w:t>
      </w:r>
    </w:p>
    <w:p>
      <w:r>
        <w:rPr>
          <w:i/>
        </w:rPr>
        <w:t>Word limit: 500 words</w:t>
      </w:r>
    </w:p>
    <w:tbl>
      <w:tblPr>
        <w:tblStyle w:val="TableGrid"/>
        <w:tblW w:type="auto" w:w="0"/>
        <w:tblLook w:firstColumn="1" w:firstRow="1" w:lastColumn="0" w:lastRow="0" w:noHBand="0" w:noVBand="1" w:val="04A0"/>
      </w:tblPr>
      <w:tblGrid>
        <w:gridCol w:w="8640"/>
      </w:tblGrid>
      <w:tr>
        <w:tc>
          <w:tcPr>
            <w:tcW w:type="dxa" w:w="8640"/>
          </w:tcPr>
          <w:p>
            <w:r>
              <w:t>Supplier response</w:t>
            </w:r>
          </w:p>
        </w:tc>
      </w:tr>
      <w:tr>
        <w:tc>
          <w:tcPr>
            <w:tcW w:type="dxa" w:w="8640"/>
          </w:tcPr>
          <w:p>
            <w:r>
              <w:t>Our integration layer connects Northlight Connect to the Trust's electronic patient record and patient administration system, receiving admission, discharge and transfer messages and returning tasks, notes and referral outcomes to the record. Northlight Connect launches in patient context from the electronic patient record, which removes the need to select the patient a second time.</w:t>
            </w:r>
          </w:p>
          <w:p>
            <w:r>
              <w:t>Integration testing takes place in a dedicated test environment connected to the Trust's test instances, using an agreed message catalogue and test patients. We reconcile message counts daily during the first month of live service and report any discrepancy to the Trust's integration team the same day.</w:t>
            </w:r>
          </w:p>
        </w:tc>
      </w:tr>
    </w:tbl>
    <w:p/>
    <w:p>
      <w:pPr>
        <w:pStyle w:val="Heading1"/>
      </w:pPr>
      <w:r>
        <w:t>Section 5: Implementation and onboarding</w:t>
      </w:r>
    </w:p>
    <w:p>
      <w:r>
        <w:rPr>
          <w:b/>
        </w:rPr>
        <w:t>Question 5.1</w:t>
      </w:r>
    </w:p>
    <w:p>
      <w:r>
        <w:t>Set out your implementation plan from award to live operation, with phases and indicative durations.</w:t>
      </w:r>
    </w:p>
    <w:p>
      <w:r>
        <w:rPr>
          <w:i/>
        </w:rPr>
        <w:t>Word limit: 600 words</w:t>
      </w:r>
    </w:p>
    <w:tbl>
      <w:tblPr>
        <w:tblStyle w:val="TableGrid"/>
        <w:tblW w:type="auto" w:w="0"/>
        <w:tblLook w:firstColumn="1" w:firstRow="1" w:lastColumn="0" w:lastRow="0" w:noHBand="0" w:noVBand="1" w:val="04A0"/>
      </w:tblPr>
      <w:tblGrid>
        <w:gridCol w:w="8640"/>
      </w:tblGrid>
      <w:tr>
        <w:tc>
          <w:tcPr>
            <w:tcW w:type="dxa" w:w="8640"/>
          </w:tcPr>
          <w:p>
            <w:r>
              <w:t>Supplier response</w:t>
            </w:r>
          </w:p>
        </w:tc>
      </w:tr>
      <w:tr>
        <w:tc>
          <w:tcPr>
            <w:tcW w:type="dxa" w:w="8640"/>
          </w:tcPr>
          <w:p>
            <w:r>
              <w:t>We propose a twelve-week implementation from contract award to first go-live, led by a named project manager and following our established delivery method. The first two weeks are mobilisation, during which governance is agreed, the joint project team is stood up and the integration and information governance workstreams begin.</w:t>
            </w:r>
          </w:p>
          <w:p>
            <w:r>
              <w:t>Discovery and design occupy weeks three to five: current workflows are mapped with clinical leads and the configuration of teams, task types and referral pathways is agreed. Weeks six to nine are build, integration and testing, including user acceptance testing led by the Trust with our support. Training runs in weeks nine and ten, with a pilot go-live on two wards in week eleven and Trust-wide roll-out from week twelve.</w:t>
            </w:r>
          </w:p>
          <w:p>
            <w:r>
              <w:t>Progress is reported weekly against the plan and a formal go-live readiness review, including clinical safety sign-off, precedes each go-live.</w:t>
            </w:r>
          </w:p>
        </w:tc>
      </w:tr>
    </w:tbl>
    <w:p/>
    <w:p>
      <w:pPr>
        <w:pStyle w:val="Heading1"/>
      </w:pPr>
      <w:r>
        <w:t>Section 6: Training and support</w:t>
      </w:r>
    </w:p>
    <w:p>
      <w:r>
        <w:rPr>
          <w:b/>
        </w:rPr>
        <w:t>Question 6.1</w:t>
      </w:r>
    </w:p>
    <w:p>
      <w:r>
        <w:t>Describe your support arrangements and service levels, including service desk hours, incident priority definitions and response and resolution targets.</w:t>
      </w:r>
    </w:p>
    <w:p>
      <w:r>
        <w:rPr>
          <w:i/>
        </w:rPr>
        <w:t>Word limit: 500 words</w:t>
      </w:r>
    </w:p>
    <w:tbl>
      <w:tblPr>
        <w:tblStyle w:val="TableGrid"/>
        <w:tblW w:type="auto" w:w="0"/>
        <w:tblLook w:firstColumn="1" w:firstRow="1" w:lastColumn="0" w:lastRow="0" w:noHBand="0" w:noVBand="1" w:val="04A0"/>
      </w:tblPr>
      <w:tblGrid>
        <w:gridCol w:w="8640"/>
      </w:tblGrid>
      <w:tr>
        <w:tc>
          <w:tcPr>
            <w:tcW w:type="dxa" w:w="8640"/>
          </w:tcPr>
          <w:p>
            <w:r>
              <w:t>Supplier response</w:t>
            </w:r>
          </w:p>
        </w:tc>
      </w:tr>
      <w:tr>
        <w:tc>
          <w:tcPr>
            <w:tcW w:type="dxa" w:w="8640"/>
          </w:tcPr>
          <w:p>
            <w:r>
              <w:t>Our service desk is available twenty-four hours a day, every day, by telephone, email and the customer portal. Incidents are assigned one of four priorities: priority one is a total loss of service or a clinical safety risk, priority two a major degradation, priority three a fault affecting a small number of users and priority four a cosmetic issue or service request.</w:t>
            </w:r>
          </w:p>
          <w:p>
            <w:r>
              <w:t>Priority one incidents receive a response within thirty minutes and a resolution or workaround within four hours. Priority two incidents are responded to within one hour and resolved within one working day; priority three within four hours and five working days; priority four within one working day and by the next scheduled release. The service availability target is 99.9 per cent, measured monthly and excluding agreed maintenance windows, and service credits apply when it is missed.</w:t>
            </w:r>
          </w:p>
          <w:p>
            <w:r>
              <w:t>Each month the Trust receives a service report on availability, incident volumes against target and open problems, and we review it together at the quarterly service review.</w:t>
            </w:r>
          </w:p>
        </w:tc>
      </w:tr>
    </w:tbl>
    <w:p/>
    <w:p>
      <w:pPr>
        <w:pStyle w:val="Heading1"/>
      </w:pPr>
      <w:r>
        <w:t>Section 7: Company and experience</w:t>
      </w:r>
    </w:p>
    <w:p>
      <w:r>
        <w:rPr>
          <w:b/>
        </w:rPr>
        <w:t>Question 7.1</w:t>
      </w:r>
    </w:p>
    <w:p>
      <w:r>
        <w:t>Give a brief profile of your company, including registration details, number of staff and relevant NHS experience.</w:t>
      </w:r>
    </w:p>
    <w:p>
      <w:r>
        <w:rPr>
          <w:i/>
        </w:rPr>
        <w:t>Word limit: 400 words</w:t>
      </w:r>
    </w:p>
    <w:tbl>
      <w:tblPr>
        <w:tblStyle w:val="TableGrid"/>
        <w:tblW w:type="auto" w:w="0"/>
        <w:tblLook w:firstColumn="1" w:firstRow="1" w:lastColumn="0" w:lastRow="0" w:noHBand="0" w:noVBand="1" w:val="04A0"/>
      </w:tblPr>
      <w:tblGrid>
        <w:gridCol w:w="8640"/>
      </w:tblGrid>
      <w:tr>
        <w:tc>
          <w:tcPr>
            <w:tcW w:type="dxa" w:w="8640"/>
          </w:tcPr>
          <w:p>
            <w:r>
              <w:t>Supplier response</w:t>
            </w:r>
          </w:p>
        </w:tc>
      </w:tr>
      <w:tr>
        <w:tc>
          <w:tcPr>
            <w:tcW w:type="dxa" w:w="8640"/>
          </w:tcPr>
          <w:p>
            <w:r>
              <w:t>Northlight Health Informatics Ltd is a private limited company registered in England and Wales under company number 11482930, founded in 2016 and based at Riverside Business Park, Sheffield. We employ 94 staff, of whom more than half work in product engineering and clinical safety. Our sole product is Northlight Connect, a cloud-hosted clinical communication, task management and referral platform, which is in live use across eleven NHS trusts and integrated care systems.</w:t>
            </w:r>
          </w:p>
          <w:p>
            <w:r>
              <w:t>Recent deployments include a community trust where referral turnaround fell by a third within six months, and an acute trust where handover incidents reported to the safety team halved in the first year. We hold public liability insurance of £10 million, professional indemnity insurance of £5 million, employer's liability insurance of £10 million and cyber insurance of £5 million.</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