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Response to Invitation to Tender: Digital Clinical Communication Platform</w:t>
      </w:r>
    </w:p>
    <w:p>
      <w:r>
        <w:t>Buyer: NHS Westmoor Integrated Care Board</w:t>
      </w:r>
    </w:p>
    <w:p>
      <w:r>
        <w:t>Tender reference: WICB-2024-117</w:t>
      </w:r>
    </w:p>
    <w:p>
      <w:r>
        <w:t>Submitted by Northlight Health Informatics Ltd on 14 June 2024.</w:t>
      </w:r>
    </w:p>
    <w:p>
      <w:r>
        <w:t>This document is Northlight Health Informatics Ltd's response to the invitation to tender issued by NHS Westmoor Integrated Care Board for the Digital Clinical Communication Platform. It answers every question in the buyer's response schedule in the order and structure the buyer set out. Pricing is provided separately in the commercial schedule and does not appear in this document.</w:t>
      </w:r>
    </w:p>
    <w:p>
      <w:pPr>
        <w:pStyle w:val="Heading1"/>
      </w:pPr>
      <w:r>
        <w:t>Section 1: Clinical safety</w:t>
      </w:r>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Supplier response</w:t>
            </w:r>
          </w:p>
        </w:tc>
      </w:tr>
      <w:tr>
        <w:tc>
          <w:tcPr>
            <w:tcW w:type="dxa" w:w="4320"/>
          </w:tcPr>
          <w:p>
            <w:r>
              <w:t>1.1 Describe how your organisation complies with DCB0129 and how the clinical safety case for the proposed solution is maintained.</w:t>
            </w:r>
          </w:p>
        </w:tc>
        <w:tc>
          <w:tcPr>
            <w:tcW w:type="dxa" w:w="4320"/>
          </w:tcPr>
          <w:p>
            <w:r>
              <w:t>Northlight manages clinical risk for Northlight Connect under a clinical risk management system built to DCB0129, the standard that applies to manufacturers of health IT systems. Ownership sits with our Clinical Safety Officer, and the board reviews the system every six months. No release of Northlight Connect is approved for deployment until hazard identification, risk assessment and risk control have been completed for it.</w:t>
            </w:r>
          </w:p>
          <w:p>
            <w:r>
              <w:t>The clinical safety case report for Northlight Connect is at version 2.6 and was approved by our Clinical Safety Officer on 19 November 2023. The report draws on a hazard log of forty-two identified hazards, each with its initial and residual risk rating and the controls that reduce it. We review the safety case at every major release and at least annually, and we will share the current report with NHS Westmoor Integrated Care Board under a confidentiality agreement.</w:t>
            </w:r>
          </w:p>
          <w:p>
            <w:r>
              <w:t>When a customer reports a clinical safety incident it is triaged within one working day, recorded against the hazard log where a hazard is new or changed, and closed only with the Clinical Safety Officer's sign-off.</w:t>
            </w:r>
          </w:p>
        </w:tc>
      </w:tr>
      <w:tr>
        <w:tc>
          <w:tcPr>
            <w:tcW w:type="dxa" w:w="4320"/>
          </w:tcPr>
          <w:p>
            <w:r>
              <w:t>1.2 Provide the name and qualifications of your Clinical Safety Officer and describe their role in the delivery of this contract.</w:t>
            </w:r>
          </w:p>
        </w:tc>
        <w:tc>
          <w:tcPr>
            <w:tcW w:type="dxa" w:w="4320"/>
          </w:tcPr>
          <w:p>
            <w:r>
              <w:t>Our Clinical Safety Officer is Dr Helen Okafor, a registered general nurse with fourteen years of acute clinical experience. Dr Helen Okafor holds current professional registration and has completed accredited training in DCB0129 and DCB0160 clinical risk management. She reports to the Chief Medical Officer and has authority to halt a release on clinical safety grounds.</w:t>
            </w:r>
          </w:p>
          <w:p>
            <w:r>
              <w:t>For this contract Dr Helen Okafor will join the NHS Westmoor Integrated Care Board Clinical Safety Officer in the deployment hazard workshops, maintain our side of the deployment hazard log and sign the clinical safety closure statement ahead of go-live. Once the service is live she reviews each clinical safety incident and chairs a quarterly clinical safety review open to all customers.</w:t>
            </w:r>
          </w:p>
        </w:tc>
      </w:tr>
    </w:tbl>
    <w:p/>
    <w:p>
      <w:pPr>
        <w:pStyle w:val="Heading1"/>
      </w:pPr>
      <w:r>
        <w:t>Section 2: Information governance</w:t>
      </w:r>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Supplier response</w:t>
            </w:r>
          </w:p>
        </w:tc>
      </w:tr>
      <w:tr>
        <w:tc>
          <w:tcPr>
            <w:tcW w:type="dxa" w:w="4320"/>
          </w:tcPr>
          <w:p>
            <w:r>
              <w:t>2.1 Confirm your organisation's current Data Security and Protection Toolkit status and describe how compliance is maintained.</w:t>
            </w:r>
          </w:p>
        </w:tc>
        <w:tc>
          <w:tcPr>
            <w:tcW w:type="dxa" w:w="4320"/>
          </w:tcPr>
          <w:p>
            <w:r>
              <w:t>Northlight Health Informatics Ltd completed the 2023/24 Data Security and Protection Toolkit assessment with an outcome of Standards Met, published on 24 June 2024 under ODS code 8JX45. We have achieved Standards Met in every assessment year since we first registered.</w:t>
            </w:r>
          </w:p>
          <w:p>
            <w:r>
              <w:t>Compliance is maintained through an annual cycle owned by our Data Protection Officer: evidence is refreshed each quarter, the ten data security standards are mapped to our ISO 27001 controls, and the board approves the submission before publication. Data security awareness training is completed by all staff in their first month and every year after that, with completion above ninety-five per cent.</w:t>
            </w:r>
          </w:p>
        </w:tc>
      </w:tr>
      <w:tr>
        <w:tc>
          <w:tcPr>
            <w:tcW w:type="dxa" w:w="4320"/>
          </w:tcPr>
          <w:p>
            <w:r>
              <w:t>2.2 Provide details of your Data Protection Officer and describe your information governance arrangements.</w:t>
            </w:r>
          </w:p>
        </w:tc>
        <w:tc>
          <w:tcPr>
            <w:tcW w:type="dxa" w:w="4320"/>
          </w:tcPr>
          <w:p>
            <w:r>
              <w:t>Our Data Protection Officer is Marcus Whitfield, who can be contacted at dpo@northlight-health.example. Northlight Health Informatics Ltd is registered with the Information Commissioner's Office under registration number ZB482913. Marcus Whitfield reports to the board, is independent of product delivery and has been in post since 2016.</w:t>
            </w:r>
          </w:p>
          <w:p>
            <w:r>
              <w:t>A monthly information governance steering group, chaired by the Data Protection Officer, reviews incidents, subject access requests, policy changes and audit findings. Our policy set covers data protection, records management, acceptable use, confidentiality and breach management, and each policy is reviewed annually. A personal data breach is assessed within twenty-four hours and notified to the controller, and to the Information Commissioner's Office where required, inside seventy-two hours.</w:t>
            </w:r>
          </w:p>
        </w:tc>
      </w:tr>
    </w:tbl>
    <w:p/>
    <w:p>
      <w:pPr>
        <w:pStyle w:val="Heading1"/>
      </w:pPr>
      <w:r>
        <w:t>Section 3: Information security</w:t>
      </w:r>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Supplier response</w:t>
            </w:r>
          </w:p>
        </w:tc>
      </w:tr>
      <w:tr>
        <w:tc>
          <w:tcPr>
            <w:tcW w:type="dxa" w:w="4320"/>
          </w:tcPr>
          <w:p>
            <w:r>
              <w:t>3.1 Confirm whether your organisation holds ISO/IEC 27001 certification and provide the certificate number, scope and date of issue.</w:t>
            </w:r>
          </w:p>
        </w:tc>
        <w:tc>
          <w:tcPr>
            <w:tcW w:type="dxa" w:w="4320"/>
          </w:tcPr>
          <w:p>
            <w:r>
              <w:t>Northlight Health Informatics Ltd holds ISO/IEC 27001:2022 certification for its information security management system. Our ISO/IEC 27001 certificate, number NHI-27001-0417, was issued on 12 March 2024 by Albion Certification Services Ltd and is valid until 11 March 2027. The scope covers the design, development, hosting and support of Northlight Connect and all corporate systems that process customer data.</w:t>
            </w:r>
          </w:p>
          <w:p>
            <w:r>
              <w:t>The certification body audits us every year, and no major non-conformities were raised at the latest audit. We can supply a copy of the certificate on request.</w:t>
            </w:r>
          </w:p>
        </w:tc>
      </w:tr>
      <w:tr>
        <w:tc>
          <w:tcPr>
            <w:tcW w:type="dxa" w:w="4320"/>
          </w:tcPr>
          <w:p>
            <w:r>
              <w:t>3.2 Confirm whether you hold Cyber Essentials Plus certification and provide the certificate number and expiry date.</w:t>
            </w:r>
          </w:p>
        </w:tc>
        <w:tc>
          <w:tcPr>
            <w:tcW w:type="dxa" w:w="4320"/>
          </w:tcPr>
          <w:p>
            <w:r>
              <w:t>Northlight Health Informatics Ltd holds Cyber Essentials Plus certification covering the whole organisation. Our Cyber Essentials Plus certificate, number CEP-0931-2024, was issued on 3 May 2024 by Greyfriars Cyber Assurance Ltd and expires on 2 May 2025.</w:t>
            </w:r>
          </w:p>
          <w:p>
            <w:r>
              <w:t>Beyond the self-assessment questionnaire, the Plus assessment adds an independent technical audit of sampled devices and of all internet-facing systems. Certification is renewed every year, with the renewal assessment booked six weeks ahead of expiry to avoid any lapse.</w:t>
            </w:r>
          </w:p>
        </w:tc>
      </w:tr>
      <w:tr>
        <w:tc>
          <w:tcPr>
            <w:tcW w:type="dxa" w:w="4320"/>
          </w:tcPr>
          <w:p>
            <w:r>
              <w:t>3.3 Describe how user access to the solution is controlled, including authentication, role-based access and audit of access to patient records.</w:t>
            </w:r>
          </w:p>
        </w:tc>
        <w:tc>
          <w:tcPr>
            <w:tcW w:type="dxa" w:w="4320"/>
          </w:tcPr>
          <w:p>
            <w:r>
              <w:t>Users sign in to Northlight Connect through the Trust's own identity provider over SAML 2.0 or OpenID Connect, which means the Trust's joiners, movers and leavers processes take effect without any action on our side. Local accounts, where they cannot be avoided, require multi-factor authentication and follow National Cyber Security Centre password guidance.</w:t>
            </w:r>
          </w:p>
          <w:p>
            <w:r>
              <w:t>Role-based access lets the Trust's administrators define roles that correspond to job functions, each granting only the permissions required. Every view of, and change to, a patient record is written to an immutable audit log that records the user, time, record and action, and the log can be exported to the Trust's audit tooling. The Trust's privacy officer receives alerts whenever a user accesses records outside their normal team or location.</w:t>
            </w:r>
          </w:p>
        </w:tc>
      </w:tr>
    </w:tbl>
    <w:p/>
    <w:p>
      <w:pPr>
        <w:pStyle w:val="Heading1"/>
      </w:pPr>
      <w:r>
        <w:t>Section 4: Interoperability</w:t>
      </w:r>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Supplier response</w:t>
            </w:r>
          </w:p>
        </w:tc>
      </w:tr>
      <w:tr>
        <w:tc>
          <w:tcPr>
            <w:tcW w:type="dxa" w:w="4320"/>
          </w:tcPr>
          <w:p>
            <w:r>
              <w:t>4.1 Describe the interoperability standards the solution supports and its integration with NHS national services.</w:t>
            </w:r>
          </w:p>
        </w:tc>
        <w:tc>
          <w:tcPr>
            <w:tcW w:type="dxa" w:w="4320"/>
          </w:tcPr>
          <w:p>
            <w:r>
              <w:t>Northlight Connect consumes and publishes HL7 FHIR R4 resources conforming to UK Core, and it supports HL7 version 2 messaging where an older patient administration system requires it. Every application programming interface is documented in OpenAPI and is open to the Trust and its other suppliers at no extra licence cost.</w:t>
            </w:r>
          </w:p>
          <w:p>
            <w:r>
              <w:t>National integrations include the Personal Demographics Service for NHS number and demographic verification, MESH for secure messaging to primary care, and NHS login for direct patient access. The Spine connection is assured and already live with our current customers.</w:t>
            </w:r>
          </w:p>
        </w:tc>
      </w:tr>
      <w:tr>
        <w:tc>
          <w:tcPr>
            <w:tcW w:type="dxa" w:w="4320"/>
          </w:tcPr>
          <w:p>
            <w:r>
              <w:t>4.2 Describe how the solution will integrate with the Trust's electronic patient record and patient administration system, including your approach to integration testing.</w:t>
            </w:r>
          </w:p>
        </w:tc>
        <w:tc>
          <w:tcPr>
            <w:tcW w:type="dxa" w:w="4320"/>
          </w:tcPr>
          <w:p>
            <w:r>
              <w:t>Our integration layer connects Northlight Connect to the Trust's electronic patient record and patient administration system, receiving admission, discharge and transfer messages and returning tasks, notes and referral outcomes to the record. Clinicians launch Northlight Connect in patient context from the electronic patient record so that no patient is selected twice.</w:t>
            </w:r>
          </w:p>
          <w:p>
            <w:r>
              <w:t>Integration testing takes place in a dedicated test environment connected to the Trust's test instances, using an agreed message catalogue and test patients. For the first month after go-live message counts are reconciled daily, and any discrepancy is reported to the Trust's integration team that day.</w:t>
            </w:r>
          </w:p>
        </w:tc>
      </w:tr>
    </w:tbl>
    <w:p/>
    <w:p>
      <w:pPr>
        <w:pStyle w:val="Heading1"/>
      </w:pPr>
      <w:r>
        <w:t>Section 5: Implementation and onboarding</w:t>
      </w:r>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Supplier response</w:t>
            </w:r>
          </w:p>
        </w:tc>
      </w:tr>
      <w:tr>
        <w:tc>
          <w:tcPr>
            <w:tcW w:type="dxa" w:w="4320"/>
          </w:tcPr>
          <w:p>
            <w:r>
              <w:t>5.1 Provide an outline implementation plan showing the key phases, milestones and timescales from contract award to go-live.</w:t>
            </w:r>
          </w:p>
        </w:tc>
        <w:tc>
          <w:tcPr>
            <w:tcW w:type="dxa" w:w="4320"/>
          </w:tcPr>
          <w:p>
            <w:r>
              <w:t>We propose a twelve-week implementation from contract award to first go-live, led by a named project manager and following our established delivery method. The first two weeks are mobilisation, during which governance is agreed, the joint project team is stood up and the integration and information governance workstreams begin.</w:t>
            </w:r>
          </w:p>
          <w:p>
            <w:r>
              <w:t>Discovery and design occupy weeks three to five: current workflows are mapped with clinical leads and the configuration of teams, task types and referral pathways is agreed. Build, integration and testing run from week six to week nine and include Trust-led user acceptance testing with our support. Training is delivered in weeks nine and ten, a two-ward pilot goes live in week eleven and the Trust-wide roll-out starts in week twelve.</w:t>
            </w:r>
          </w:p>
          <w:p>
            <w:r>
              <w:t>Progress is reported weekly against the plan and a formal go-live readiness review, including clinical safety sign-off, precedes each go-live.</w:t>
            </w:r>
          </w:p>
        </w:tc>
      </w:tr>
    </w:tbl>
    <w:p/>
    <w:p>
      <w:pPr>
        <w:pStyle w:val="Heading1"/>
      </w:pPr>
      <w:r>
        <w:t>Section 6: Training and support</w:t>
      </w:r>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Supplier response</w:t>
            </w:r>
          </w:p>
        </w:tc>
      </w:tr>
      <w:tr>
        <w:tc>
          <w:tcPr>
            <w:tcW w:type="dxa" w:w="4320"/>
          </w:tcPr>
          <w:p>
            <w:r>
              <w:t>6.1 Describe your support arrangements and service levels, including service desk hours, incident priority definitions and response and resolution targets.</w:t>
            </w:r>
          </w:p>
        </w:tc>
        <w:tc>
          <w:tcPr>
            <w:tcW w:type="dxa" w:w="4320"/>
          </w:tcPr>
          <w:p>
            <w:r>
              <w:t>Our service desk is available twenty-four hours a day, every day, by telephone, email and the customer portal. We use four incident priorities: priority one for total loss of service or a clinical safety risk, priority two for major degradation, priority three for faults affecting few users and priority four for cosmetic issues and service requests.</w:t>
            </w:r>
          </w:p>
          <w:p>
            <w:r>
              <w:t>Priority one incidents receive a response within thirty minutes and a resolution or workaround within four hours. Priority two incidents are responded to within one hour and resolved within one working day; priority three within four hours and five working days; priority four within one working day and by the next scheduled release. The service availability target is 99.9 per cent, measured monthly and excluding agreed maintenance windows, and service credits apply when it is missed.</w:t>
            </w:r>
          </w:p>
          <w:p>
            <w:r>
              <w:t>A monthly service report covers availability, incident volumes against target and the status of open problems, and is reviewed at the quarterly service review with the Trust.</w:t>
            </w:r>
          </w:p>
        </w:tc>
      </w:tr>
    </w:tbl>
    <w:p/>
    <w:p>
      <w:pPr>
        <w:pStyle w:val="Heading1"/>
      </w:pPr>
      <w:r>
        <w:t>Section 7: Commercial</w:t>
      </w:r>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Supplier response</w:t>
            </w:r>
          </w:p>
        </w:tc>
      </w:tr>
      <w:tr>
        <w:tc>
          <w:tcPr>
            <w:tcW w:type="dxa" w:w="4320"/>
          </w:tcPr>
          <w:p>
            <w:r>
              <w:t>7.1 Describe your commercial model, including how charges are structured, the proposed contract term and any dependencies on user or bed numbers. Do not include prices in this response.</w:t>
            </w:r>
          </w:p>
        </w:tc>
        <w:tc>
          <w:tcPr>
            <w:tcW w:type="dxa" w:w="4320"/>
          </w:tcPr>
          <w:p>
            <w:r>
              <w:t>Our commercial model is an annual subscription set by bed band, so the charge is predictable and does not rise as more staff use the service. There are no per-user fees, no charges for application programming interface access and no charge for the training environment. A one-off implementation charge covers project management, configuration, integration and training, and is invoiced against milestones.</w:t>
            </w:r>
          </w:p>
          <w:p>
            <w:r>
              <w:t>We propose a three-year initial term with two optional one-year extensions at the Trust's discretion, and subscription charges are fixed for the initial term. Invoicing is quarterly in arrears with thirty-day payment terms, and the charges themselves appear only in the pricing schedule.</w:t>
            </w:r>
          </w:p>
        </w:tc>
      </w:tr>
    </w:tbl>
    <w:p/>
    <w:p>
      <w:pPr>
        <w:pStyle w:val="Heading1"/>
      </w:pPr>
      <w:r>
        <w:t>Section 8: Social value</w:t>
      </w:r>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Supplier response</w:t>
            </w:r>
          </w:p>
        </w:tc>
      </w:tr>
      <w:tr>
        <w:tc>
          <w:tcPr>
            <w:tcW w:type="dxa" w:w="4320"/>
          </w:tcPr>
          <w:p>
            <w:r>
              <w:t>8.1 Describe your commitment to achieving net zero and provide details of your Carbon Reduction Plan.</w:t>
            </w:r>
          </w:p>
        </w:tc>
        <w:tc>
          <w:tcPr>
            <w:tcW w:type="dxa" w:w="4320"/>
          </w:tcPr>
          <w:p>
            <w:r>
              <w:t>Northlight Health Informatics Ltd has published a Carbon Reduction Plan in the format required by Procurement Policy Note 06/21 and has committed to net zero across scope one, scope two and the required scope three categories by 2040. It is board-signed, reviewed each year and published on our website.</w:t>
            </w:r>
          </w:p>
          <w:p>
            <w:r>
              <w:t>Our hosting runs in regions powered by renewable energy, our offices use renewable electricity tariffs and we operate a remote-first working policy that has reduced commuting emissions by more than half since our baseline year. A rail-first travel policy applies to all business travel, and we report our emissions to customers each year at the service review.</w:t>
            </w:r>
          </w:p>
        </w:tc>
      </w:tr>
    </w:tbl>
    <w:p/>
    <w:p>
      <w:pPr>
        <w:pStyle w:val="Heading1"/>
      </w:pPr>
      <w:r>
        <w:t>Section 9: Company and experience</w:t>
      </w:r>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Supplier response</w:t>
            </w:r>
          </w:p>
        </w:tc>
      </w:tr>
      <w:tr>
        <w:tc>
          <w:tcPr>
            <w:tcW w:type="dxa" w:w="4320"/>
          </w:tcPr>
          <w:p>
            <w:r>
              <w:t>9.1 Provide an overview of your organisation, including its legal status, size and relevant experience of delivering similar solutions to NHS organisations.</w:t>
            </w:r>
          </w:p>
        </w:tc>
        <w:tc>
          <w:tcPr>
            <w:tcW w:type="dxa" w:w="4320"/>
          </w:tcPr>
          <w:p>
            <w:r>
              <w:t>Northlight Health Informatics Ltd is a private limited company registered in England and Wales under company number 11482930, founded in 2016 and based at Riverside Business Park, Sheffield. We employ 86 staff, of whom more than half work in product engineering and clinical safety. Northlight Connect, a cloud-hosted clinical communication, task management and referral platform, is our only product and is live in eleven NHS trusts and integrated care systems.</w:t>
            </w:r>
          </w:p>
          <w:p>
            <w:r>
              <w:t>In a recent community trust deployment referral turnaround fell by a third inside six months, and in an acute trust handover incidents reported to the safety team halved in the first year. We hold public liability insurance of £10 million, professional indemnity insurance of £5 million, employer's liability insurance of £10 million and cyber insurance of £5 million.</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