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90"/>
        <w:ind w:left="0" w:right="0"/>
      </w:pPr>
    </w:p>
    <w:p>
      <w:pPr>
        <w:autoSpaceDN w:val="0"/>
        <w:autoSpaceDE w:val="0"/>
        <w:widowControl/>
        <w:spacing w:line="412" w:lineRule="exact" w:before="0" w:after="0"/>
        <w:ind w:left="0" w:right="0" w:firstLine="0"/>
        <w:jc w:val="center"/>
      </w:pPr>
      <w:r>
        <w:rPr>
          <w:rFonts w:ascii="Helvetica" w:hAnsi="Helvetica" w:eastAsia="Helvetica"/>
          <w:b/>
          <w:i w:val="0"/>
          <w:color w:val="000000"/>
          <w:sz w:val="30"/>
        </w:rPr>
        <w:t>Path Safety Assessment Tool (PSAT)</w:t>
      </w:r>
    </w:p>
    <w:p>
      <w:pPr>
        <w:autoSpaceDN w:val="0"/>
        <w:autoSpaceDE w:val="0"/>
        <w:widowControl/>
        <w:spacing w:line="298" w:lineRule="exact" w:before="216" w:after="0"/>
        <w:ind w:left="0" w:right="0" w:firstLine="0"/>
        <w:jc w:val="center"/>
      </w:pPr>
      <w:r>
        <w:rPr>
          <w:rFonts w:ascii="Helvetica" w:hAnsi="Helvetica" w:eastAsia="Helvetica"/>
          <w:b w:val="0"/>
          <w:i/>
          <w:color w:val="000000"/>
          <w:sz w:val="22"/>
        </w:rPr>
        <w:t>User Guide</w:t>
      </w:r>
    </w:p>
    <w:p>
      <w:pPr>
        <w:autoSpaceDN w:val="0"/>
        <w:autoSpaceDE w:val="0"/>
        <w:widowControl/>
        <w:spacing w:line="340" w:lineRule="exact" w:before="684" w:after="322"/>
        <w:ind w:left="56" w:right="0" w:firstLine="0"/>
        <w:jc w:val="left"/>
      </w:pPr>
      <w:r>
        <w:rPr>
          <w:rFonts w:ascii="Helvetica" w:hAnsi="Helvetica" w:eastAsia="Helvetica"/>
          <w:b w:val="0"/>
          <w:i w:val="0"/>
          <w:color w:val="000000"/>
          <w:sz w:val="22"/>
        </w:rPr>
        <w:t xml:space="preserve">Welcome to the Path Safety Assessment Tool (PSAT). This tool allows you to evaluate active mobility paths </w:t>
      </w:r>
      <w:r>
        <w:rPr>
          <w:rFonts w:ascii="Helvetica" w:hAnsi="Helvetica" w:eastAsia="Helvetica"/>
          <w:b w:val="0"/>
          <w:i w:val="0"/>
          <w:color w:val="000000"/>
          <w:sz w:val="22"/>
        </w:rPr>
        <w:t>using the CycleRAP model.</w:t>
      </w:r>
    </w:p>
    <w:tbl>
      <w:tblPr>
        <w:tblW w:type="auto" w:w="0"/>
        <w:tblLayout w:type="fixed"/>
        <w:tblLook w:firstColumn="1" w:firstRow="1" w:lastColumn="0" w:lastRow="0" w:noHBand="0" w:noVBand="1" w:val="04A0"/>
        <w:tblInd w:w="0.0" w:type="dxa"/>
      </w:tblPr>
      <w:tblGrid>
        <w:gridCol w:w="10790"/>
      </w:tblGrid>
      <w:tr>
        <w:trPr>
          <w:trHeight w:hRule="exact" w:val="454"/>
        </w:trPr>
        <w:tc>
          <w:tcPr>
            <w:tcW w:type="dxa" w:w="10770"/>
            <w:tcBorders/>
            <w:shd w:fill="c7dcff"/>
            <w:tcMar>
              <w:start w:w="0" w:type="dxa"/>
              <w:end w:w="0" w:type="dxa"/>
            </w:tcMar>
          </w:tcPr>
          <w:p>
            <w:pPr>
              <w:autoSpaceDN w:val="0"/>
              <w:autoSpaceDE w:val="0"/>
              <w:widowControl/>
              <w:spacing w:line="330" w:lineRule="exact" w:before="42" w:after="0"/>
              <w:ind w:left="56" w:right="0" w:firstLine="0"/>
              <w:jc w:val="left"/>
            </w:pPr>
            <w:r>
              <w:rPr>
                <w:rFonts w:ascii="Helvetica" w:hAnsi="Helvetica" w:eastAsia="Helvetica"/>
                <w:b/>
                <w:i w:val="0"/>
                <w:color w:val="000000"/>
                <w:sz w:val="24"/>
              </w:rPr>
              <w:t>1. Getting Started</w:t>
            </w:r>
          </w:p>
        </w:tc>
      </w:tr>
    </w:tbl>
    <w:p>
      <w:pPr>
        <w:autoSpaceDN w:val="0"/>
        <w:tabs>
          <w:tab w:pos="2098" w:val="left"/>
        </w:tabs>
        <w:autoSpaceDE w:val="0"/>
        <w:widowControl/>
        <w:spacing w:line="338" w:lineRule="exact" w:before="192" w:after="0"/>
        <w:ind w:left="340" w:right="0" w:firstLine="0"/>
        <w:jc w:val="left"/>
      </w:pPr>
      <w:r>
        <w:rPr>
          <w:rFonts w:ascii="Helvetica" w:hAnsi="Helvetica" w:eastAsia="Helvetica"/>
          <w:b/>
          <w:i w:val="0"/>
          <w:color w:val="000000"/>
          <w:sz w:val="22"/>
        </w:rPr>
        <w:t>• Start a Project:</w:t>
      </w:r>
      <w:r>
        <w:rPr>
          <w:rFonts w:ascii="Helvetica" w:hAnsi="Helvetica" w:eastAsia="Helvetica"/>
          <w:b w:val="0"/>
          <w:i w:val="0"/>
          <w:color w:val="000000"/>
          <w:sz w:val="22"/>
        </w:rPr>
        <w:t xml:space="preserve"> From the Home page, click "New Project" to import your shapefiles, mapping data, and </w:t>
      </w:r>
      <w:r>
        <w:tab/>
      </w:r>
      <w:r>
        <w:rPr>
          <w:rFonts w:ascii="Helvetica" w:hAnsi="Helvetica" w:eastAsia="Helvetica"/>
          <w:b w:val="0"/>
          <w:i w:val="0"/>
          <w:color w:val="000000"/>
          <w:sz w:val="22"/>
        </w:rPr>
        <w:t>street-level imagery.</w:t>
      </w:r>
    </w:p>
    <w:p>
      <w:pPr>
        <w:autoSpaceDN w:val="0"/>
        <w:tabs>
          <w:tab w:pos="2282" w:val="left"/>
        </w:tabs>
        <w:autoSpaceDE w:val="0"/>
        <w:widowControl/>
        <w:spacing w:line="338" w:lineRule="exact" w:before="118" w:after="434"/>
        <w:ind w:left="340" w:right="0" w:firstLine="0"/>
        <w:jc w:val="left"/>
      </w:pPr>
      <w:r>
        <w:rPr>
          <w:rFonts w:ascii="Helvetica" w:hAnsi="Helvetica" w:eastAsia="Helvetica"/>
          <w:b/>
          <w:i w:val="0"/>
          <w:color w:val="000000"/>
          <w:sz w:val="22"/>
        </w:rPr>
        <w:t>• Project Settings:</w:t>
      </w:r>
      <w:r>
        <w:rPr>
          <w:rFonts w:ascii="Helvetica" w:hAnsi="Helvetica" w:eastAsia="Helvetica"/>
          <w:b w:val="0"/>
          <w:i w:val="0"/>
          <w:color w:val="000000"/>
          <w:sz w:val="22"/>
        </w:rPr>
        <w:t xml:space="preserve"> Ensure your project name is correctly set. You can manage multiple projects </w:t>
      </w:r>
      <w:r>
        <w:tab/>
      </w:r>
      <w:r>
        <w:rPr>
          <w:rFonts w:ascii="Helvetica" w:hAnsi="Helvetica" w:eastAsia="Helvetica"/>
          <w:b w:val="0"/>
          <w:i w:val="0"/>
          <w:color w:val="000000"/>
          <w:sz w:val="22"/>
        </w:rPr>
        <w:t>simultaneously from the Projects listing.</w:t>
      </w:r>
    </w:p>
    <w:tbl>
      <w:tblPr>
        <w:tblW w:type="auto" w:w="0"/>
        <w:tblLayout w:type="fixed"/>
        <w:tblLook w:firstColumn="1" w:firstRow="1" w:lastColumn="0" w:lastRow="0" w:noHBand="0" w:noVBand="1" w:val="04A0"/>
        <w:tblInd w:w="0.0" w:type="dxa"/>
      </w:tblPr>
      <w:tblGrid>
        <w:gridCol w:w="10790"/>
      </w:tblGrid>
      <w:tr>
        <w:trPr>
          <w:trHeight w:hRule="exact" w:val="454"/>
        </w:trPr>
        <w:tc>
          <w:tcPr>
            <w:tcW w:type="dxa" w:w="10770"/>
            <w:tcBorders/>
            <w:shd w:fill="c7dcff"/>
            <w:tcMar>
              <w:start w:w="0" w:type="dxa"/>
              <w:end w:w="0" w:type="dxa"/>
            </w:tcMar>
          </w:tcPr>
          <w:p>
            <w:pPr>
              <w:autoSpaceDN w:val="0"/>
              <w:autoSpaceDE w:val="0"/>
              <w:widowControl/>
              <w:spacing w:line="332" w:lineRule="exact" w:before="42" w:after="0"/>
              <w:ind w:left="56" w:right="0" w:firstLine="0"/>
              <w:jc w:val="left"/>
            </w:pPr>
            <w:r>
              <w:rPr>
                <w:rFonts w:ascii="Helvetica" w:hAnsi="Helvetica" w:eastAsia="Helvetica"/>
                <w:b/>
                <w:i w:val="0"/>
                <w:color w:val="000000"/>
                <w:sz w:val="24"/>
              </w:rPr>
              <w:t>2. Coding Page</w:t>
            </w:r>
          </w:p>
        </w:tc>
      </w:tr>
    </w:tbl>
    <w:p>
      <w:pPr>
        <w:autoSpaceDN w:val="0"/>
        <w:tabs>
          <w:tab w:pos="1902" w:val="left"/>
        </w:tabs>
        <w:autoSpaceDE w:val="0"/>
        <w:widowControl/>
        <w:spacing w:line="338" w:lineRule="exact" w:before="192" w:after="0"/>
        <w:ind w:left="340" w:right="0" w:firstLine="0"/>
        <w:jc w:val="left"/>
      </w:pPr>
      <w:r>
        <w:rPr>
          <w:rFonts w:ascii="Helvetica" w:hAnsi="Helvetica" w:eastAsia="Helvetica"/>
          <w:b/>
          <w:i w:val="0"/>
          <w:color w:val="000000"/>
          <w:sz w:val="22"/>
        </w:rPr>
        <w:t>• Auto-coding:</w:t>
      </w:r>
      <w:r>
        <w:rPr>
          <w:rFonts w:ascii="Helvetica" w:hAnsi="Helvetica" w:eastAsia="Helvetica"/>
          <w:b w:val="0"/>
          <w:i w:val="0"/>
          <w:color w:val="000000"/>
          <w:sz w:val="22"/>
        </w:rPr>
        <w:t xml:space="preserve"> Use the "Auto-code image" button to leverage AI models that automatically identify risk </w:t>
      </w:r>
      <w:r>
        <w:tab/>
      </w:r>
      <w:r>
        <w:rPr>
          <w:rFonts w:ascii="Helvetica" w:hAnsi="Helvetica" w:eastAsia="Helvetica"/>
          <w:b w:val="0"/>
          <w:i w:val="0"/>
          <w:color w:val="000000"/>
          <w:sz w:val="22"/>
        </w:rPr>
        <w:t>factors from the image.</w:t>
      </w:r>
    </w:p>
    <w:p>
      <w:pPr>
        <w:autoSpaceDN w:val="0"/>
        <w:tabs>
          <w:tab w:pos="1806" w:val="left"/>
        </w:tabs>
        <w:autoSpaceDE w:val="0"/>
        <w:widowControl/>
        <w:spacing w:line="338" w:lineRule="exact" w:before="118" w:after="0"/>
        <w:ind w:left="340" w:right="0" w:firstLine="0"/>
        <w:jc w:val="left"/>
      </w:pPr>
      <w:r>
        <w:rPr>
          <w:rFonts w:ascii="Helvetica" w:hAnsi="Helvetica" w:eastAsia="Helvetica"/>
          <w:b/>
          <w:i w:val="0"/>
          <w:color w:val="000000"/>
          <w:sz w:val="22"/>
        </w:rPr>
        <w:t>• GIS Coding:</w:t>
      </w:r>
      <w:r>
        <w:rPr>
          <w:rFonts w:ascii="Helvetica" w:hAnsi="Helvetica" w:eastAsia="Helvetica"/>
          <w:b w:val="0"/>
          <w:i w:val="0"/>
          <w:color w:val="000000"/>
          <w:sz w:val="22"/>
        </w:rPr>
        <w:t xml:space="preserve"> Our GIS backend automatically evaluates contextual data such as proximity to MRT exits, </w:t>
      </w:r>
      <w:r>
        <w:tab/>
      </w:r>
      <w:r>
        <w:rPr>
          <w:rFonts w:ascii="Helvetica" w:hAnsi="Helvetica" w:eastAsia="Helvetica"/>
          <w:b w:val="0"/>
          <w:i w:val="0"/>
          <w:color w:val="000000"/>
          <w:sz w:val="22"/>
        </w:rPr>
        <w:t>bus stops, and road intersections.</w:t>
      </w:r>
    </w:p>
    <w:p>
      <w:pPr>
        <w:autoSpaceDN w:val="0"/>
        <w:tabs>
          <w:tab w:pos="2184" w:val="left"/>
        </w:tabs>
        <w:autoSpaceDE w:val="0"/>
        <w:widowControl/>
        <w:spacing w:line="338" w:lineRule="exact" w:before="118" w:after="436"/>
        <w:ind w:left="340" w:right="0" w:firstLine="0"/>
        <w:jc w:val="left"/>
      </w:pPr>
      <w:r>
        <w:rPr>
          <w:rFonts w:ascii="Helvetica" w:hAnsi="Helvetica" w:eastAsia="Helvetica"/>
          <w:b/>
          <w:i w:val="0"/>
          <w:color w:val="000000"/>
          <w:sz w:val="22"/>
        </w:rPr>
        <w:t>• Manual Review:</w:t>
      </w:r>
      <w:r>
        <w:rPr>
          <w:rFonts w:ascii="Helvetica" w:hAnsi="Helvetica" w:eastAsia="Helvetica"/>
          <w:b w:val="0"/>
          <w:i w:val="0"/>
          <w:color w:val="000000"/>
          <w:sz w:val="22"/>
        </w:rPr>
        <w:t xml:space="preserve"> You can meticulously review and override the attributes predicted by the AI directly on </w:t>
      </w:r>
      <w:r>
        <w:rPr>
          <w:rFonts w:ascii="Helvetica" w:hAnsi="Helvetica" w:eastAsia="Helvetica"/>
          <w:b w:val="0"/>
          <w:i w:val="0"/>
          <w:color w:val="000000"/>
          <w:sz w:val="22"/>
        </w:rPr>
        <w:t>the panel.</w:t>
      </w:r>
    </w:p>
    <w:tbl>
      <w:tblPr>
        <w:tblW w:type="auto" w:w="0"/>
        <w:tblLayout w:type="fixed"/>
        <w:tblLook w:firstColumn="1" w:firstRow="1" w:lastColumn="0" w:lastRow="0" w:noHBand="0" w:noVBand="1" w:val="04A0"/>
        <w:tblInd w:w="0.0" w:type="dxa"/>
      </w:tblPr>
      <w:tblGrid>
        <w:gridCol w:w="10790"/>
      </w:tblGrid>
      <w:tr>
        <w:trPr>
          <w:trHeight w:hRule="exact" w:val="454"/>
        </w:trPr>
        <w:tc>
          <w:tcPr>
            <w:tcW w:type="dxa" w:w="10770"/>
            <w:tcBorders/>
            <w:shd w:fill="c7dcff"/>
            <w:tcMar>
              <w:start w:w="0" w:type="dxa"/>
              <w:end w:w="0" w:type="dxa"/>
            </w:tcMar>
          </w:tcPr>
          <w:p>
            <w:pPr>
              <w:autoSpaceDN w:val="0"/>
              <w:autoSpaceDE w:val="0"/>
              <w:widowControl/>
              <w:spacing w:line="330" w:lineRule="exact" w:before="42" w:after="0"/>
              <w:ind w:left="56" w:right="0" w:firstLine="0"/>
              <w:jc w:val="left"/>
            </w:pPr>
            <w:r>
              <w:rPr>
                <w:rFonts w:ascii="Helvetica" w:hAnsi="Helvetica" w:eastAsia="Helvetica"/>
                <w:b/>
                <w:i w:val="0"/>
                <w:color w:val="000000"/>
                <w:sz w:val="24"/>
              </w:rPr>
              <w:t>3. Map View &amp; Analysis</w:t>
            </w:r>
          </w:p>
        </w:tc>
      </w:tr>
    </w:tbl>
    <w:p>
      <w:pPr>
        <w:autoSpaceDN w:val="0"/>
        <w:autoSpaceDE w:val="0"/>
        <w:widowControl/>
        <w:spacing w:line="304" w:lineRule="exact" w:before="226" w:after="0"/>
        <w:ind w:left="340" w:right="0" w:firstLine="0"/>
        <w:jc w:val="left"/>
      </w:pPr>
      <w:r>
        <w:rPr>
          <w:rFonts w:ascii="Helvetica" w:hAnsi="Helvetica" w:eastAsia="Helvetica"/>
          <w:b/>
          <w:i w:val="0"/>
          <w:color w:val="000000"/>
          <w:sz w:val="22"/>
        </w:rPr>
        <w:t>• GIS Layers:</w:t>
      </w:r>
      <w:r>
        <w:rPr>
          <w:rFonts w:ascii="Helvetica" w:hAnsi="Helvetica" w:eastAsia="Helvetica"/>
          <w:b w:val="0"/>
          <w:i w:val="0"/>
          <w:color w:val="000000"/>
          <w:sz w:val="22"/>
        </w:rPr>
        <w:t xml:space="preserve"> Toggle the map layers to visualize Footpaths, Cycling Paths, and Road Crossings.</w:t>
      </w:r>
    </w:p>
    <w:p>
      <w:pPr>
        <w:autoSpaceDN w:val="0"/>
        <w:autoSpaceDE w:val="0"/>
        <w:widowControl/>
        <w:spacing w:line="304" w:lineRule="exact" w:before="150" w:after="0"/>
        <w:ind w:left="340" w:right="0" w:firstLine="0"/>
        <w:jc w:val="left"/>
      </w:pPr>
      <w:r>
        <w:rPr>
          <w:rFonts w:ascii="Helvetica" w:hAnsi="Helvetica" w:eastAsia="Helvetica"/>
          <w:b/>
          <w:i w:val="0"/>
          <w:color w:val="000000"/>
          <w:sz w:val="22"/>
        </w:rPr>
        <w:t>• Risk Bands:</w:t>
      </w:r>
      <w:r>
        <w:rPr>
          <w:rFonts w:ascii="Helvetica" w:hAnsi="Helvetica" w:eastAsia="Helvetica"/>
          <w:b w:val="0"/>
          <w:i w:val="0"/>
          <w:color w:val="000000"/>
          <w:sz w:val="22"/>
        </w:rPr>
        <w:t xml:space="preserve"> Segments are color-coded based on overall risk logic.</w:t>
      </w:r>
    </w:p>
    <w:p>
      <w:pPr>
        <w:autoSpaceDN w:val="0"/>
        <w:autoSpaceDE w:val="0"/>
        <w:widowControl/>
        <w:spacing w:line="304" w:lineRule="exact" w:before="148" w:after="0"/>
        <w:ind w:left="340" w:right="0" w:firstLine="0"/>
        <w:jc w:val="left"/>
      </w:pPr>
      <w:r>
        <w:rPr>
          <w:rFonts w:ascii="Helvetica" w:hAnsi="Helvetica" w:eastAsia="Helvetica"/>
          <w:b/>
          <w:i w:val="0"/>
          <w:color w:val="000000"/>
          <w:sz w:val="22"/>
        </w:rPr>
        <w:t>• Editing:</w:t>
      </w:r>
      <w:r>
        <w:rPr>
          <w:rFonts w:ascii="Helvetica" w:hAnsi="Helvetica" w:eastAsia="Helvetica"/>
          <w:b w:val="0"/>
          <w:i w:val="0"/>
          <w:color w:val="000000"/>
          <w:sz w:val="22"/>
        </w:rPr>
        <w:t xml:space="preserve"> You can add or delete segment points directly on the Map preview using the cursor tools.</w:t>
      </w:r>
    </w:p>
    <w:p>
      <w:pPr>
        <w:autoSpaceDN w:val="0"/>
        <w:autoSpaceDE w:val="0"/>
        <w:widowControl/>
        <w:spacing w:line="216" w:lineRule="exact" w:before="5130" w:after="0"/>
        <w:ind w:left="0" w:right="0" w:firstLine="0"/>
        <w:jc w:val="center"/>
      </w:pPr>
      <w:r>
        <w:rPr>
          <w:rFonts w:ascii="Helvetica" w:hAnsi="Helvetica" w:eastAsia="Helvetica"/>
          <w:b w:val="0"/>
          <w:i/>
          <w:color w:val="000000"/>
          <w:sz w:val="16"/>
        </w:rPr>
        <w:t>Page 1</w:t>
      </w:r>
    </w:p>
    <w:p>
      <w:pPr>
        <w:pStyle w:val="Heading1"/>
      </w:pPr>
      <w:r>
        <w:t>Path Analysis</w:t>
      </w:r>
    </w:p>
    <w:p>
      <w:r>
        <w:t>How it Works: The Path Analysis module processes the coded attributes of your path segments (such as line of sight, path width, and surface condition) and uses the CycleRAP scoring model to assess the safety and risk levels of different crash types (e.g., Bicycle-Bicycle, Bicycle-Pedestrian, Single Bicycle, and Vehicle-Bicycle crashes).</w:t>
      </w:r>
    </w:p>
    <w:p>
      <w:pPr>
        <w:pStyle w:val="Heading2"/>
      </w:pPr>
      <w:r>
        <w:t>What You Can Do</w:t>
      </w:r>
    </w:p>
    <w:p>
      <w:pPr>
        <w:pStyle w:val="ListBullet"/>
      </w:pPr>
      <w:r>
        <w:rPr>
          <w:b/>
        </w:rPr>
        <w:t xml:space="preserve">View Real-Time Scoring: </w:t>
      </w:r>
      <w:r>
        <w:t>As you update segment attributes, the analysis engine instantly recalculates the risk scores.</w:t>
      </w:r>
    </w:p>
    <w:p>
      <w:pPr>
        <w:pStyle w:val="ListBullet"/>
      </w:pPr>
      <w:r>
        <w:rPr>
          <w:b/>
        </w:rPr>
        <w:t xml:space="preserve">Identify High-Risk Segments: </w:t>
      </w:r>
      <w:r>
        <w:t>Use the map and data tables to pinpoint paths that have high risk scores (e.g., due to inadequate line of sight or lack of separation from traffic).</w:t>
      </w:r>
    </w:p>
    <w:p>
      <w:pPr>
        <w:pStyle w:val="ListBullet"/>
      </w:pPr>
      <w:r>
        <w:rPr>
          <w:b/>
        </w:rPr>
        <w:t xml:space="preserve">Review Contributing Factors: </w:t>
      </w:r>
      <w:r>
        <w:t>Understand which specific attributes (e.g., poor lighting or narrow paths) are driving the risk scores up.</w:t>
      </w:r>
    </w:p>
    <w:p>
      <w:pPr>
        <w:pStyle w:val="Heading1"/>
      </w:pPr>
      <w:r>
        <w:t>Treatment Application</w:t>
      </w:r>
    </w:p>
    <w:p>
      <w:r>
        <w:t>How it Works: The Treatment Application acts as a scenario-testing tool to see how safety interventions can reduce the baseline risk. It applies predefined risk multipliers and condition penalties for specific treatments to the chosen segments, recalculating the safety score to show potential improvements.</w:t>
      </w:r>
    </w:p>
    <w:p>
      <w:pPr>
        <w:pStyle w:val="Heading2"/>
      </w:pPr>
      <w:r>
        <w:t>Available Functions and Use Cases</w:t>
      </w:r>
    </w:p>
    <w:p>
      <w:pPr>
        <w:pStyle w:val="ListBullet"/>
      </w:pPr>
      <w:r>
        <w:rPr>
          <w:b/>
        </w:rPr>
        <w:t xml:space="preserve">Apply Standard Treatments: </w:t>
      </w:r>
      <w:r>
        <w:t>Select from a library of interventions, such as 'Widen Path', 'Improve Lighting', or 'Provide Physical Separation'.</w:t>
      </w:r>
    </w:p>
    <w:p>
      <w:pPr>
        <w:pStyle w:val="ListBullet"/>
      </w:pPr>
      <w:r>
        <w:rPr>
          <w:b/>
        </w:rPr>
        <w:t xml:space="preserve">Compare Before and After: </w:t>
      </w:r>
      <w:r>
        <w:t>View side-by-side risk score reductions (e.g., seeing a Bicycle-Pedestrian crash type score drop after applying a segregated path treatment).</w:t>
      </w:r>
    </w:p>
    <w:p>
      <w:pPr>
        <w:pStyle w:val="ListBullet"/>
      </w:pPr>
      <w:r>
        <w:rPr>
          <w:b/>
        </w:rPr>
        <w:t xml:space="preserve">Batch Treatment Application: </w:t>
      </w:r>
      <w:r>
        <w:t>Apply a selected treatment across multiple segments simultaneously to evaluate corridor-wide safety improvements.</w:t>
      </w:r>
    </w:p>
    <w:p>
      <w:pPr>
        <w:pStyle w:val="ListBullet"/>
      </w:pPr>
      <w:r>
        <w:rPr>
          <w:b/>
        </w:rPr>
        <w:t xml:space="preserve">Export Interventions: </w:t>
      </w:r>
      <w:r>
        <w:t>Generate a report of the applied treatments and the estimated safety benefits to present to stakeholders and decision-makers.</w:t>
      </w:r>
    </w:p>
    <w:sectPr w:rsidR="00FC693F" w:rsidRPr="0006063C" w:rsidSect="00034616">
      <w:pgSz w:w="11906" w:h="16838"/>
      <w:pgMar w:top="310" w:right="548" w:bottom="236" w:left="568"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