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8"/>
        </w:rPr>
        <w:t>Why Project Phoenix Must Be Built In-House</w:t>
      </w:r>
    </w:p>
    <w:p>
      <w:pPr>
        <w:spacing w:after="280"/>
      </w:pPr>
      <w:r>
        <w:rPr>
          <w:i/>
          <w:color w:val="595959"/>
          <w:sz w:val="26"/>
        </w:rPr>
        <w:t>Platform Justification — Telehealth Platform Rebuild</w:t>
      </w:r>
    </w:p>
    <w:p>
      <w:pPr>
        <w:spacing w:after="40"/>
      </w:pPr>
      <w:r>
        <w:rPr>
          <w:b/>
          <w:color w:val="B45042"/>
          <w:sz w:val="20"/>
        </w:rPr>
        <w:t>DRAFT — FOR INTERNAL REVIEW</w:t>
      </w:r>
    </w:p>
    <w:p>
      <w:pPr>
        <w:spacing w:after="40"/>
      </w:pPr>
      <w:r>
        <w:rPr>
          <w:color w:val="595959"/>
          <w:sz w:val="20"/>
        </w:rPr>
        <w:t>Prepared for: Gabe Gaviola (EVP/CMO) — for review with the CEO</w:t>
      </w:r>
    </w:p>
    <w:p>
      <w:pPr>
        <w:spacing w:after="40"/>
      </w:pPr>
      <w:r>
        <w:rPr>
          <w:color w:val="595959"/>
          <w:sz w:val="20"/>
        </w:rPr>
        <w:t>Prepared by: Justin Woller (Director, Telehealth Ops)</w:t>
      </w:r>
    </w:p>
    <w:p>
      <w:pPr>
        <w:spacing w:after="40"/>
      </w:pPr>
      <w:r>
        <w:rPr>
          <w:color w:val="595959"/>
          <w:sz w:val="20"/>
        </w:rPr>
        <w:t>Date: July 20, 2026</w:t>
      </w:r>
    </w:p>
    <w:p>
      <w:pPr>
        <w:spacing w:after="80"/>
        <w:pBdr>
          <w:bottom w:val="single" w:sz="6" w:space="1" w:color="CADCFC"/>
        </w:pBdr>
      </w:pPr>
    </w:p>
    <w:p>
      <w:pPr>
        <w:spacing w:after="320"/>
      </w:pPr>
      <w:r>
        <w:rPr>
          <w:b w:val="0"/>
          <w:i/>
          <w:color w:val="595959"/>
          <w:sz w:val="21"/>
        </w:rPr>
        <w:t>Purpose: this document lays out the case for continuing the in-house Project Phoenix build rather than adopting a generalist telehealth vendor platform (e.g., MDLive, Teladoc) or a headless/off-the-shelf EHR platform (e.g., Medplum, Canvas Medical). It is organized around the two comparisons Justin and Gabe asked for. This is a working draft for today's review — bullet points are meant to be tightened, cut, or reordered before this goes to the CEO.</w:t>
      </w:r>
    </w:p>
    <w:p>
      <w:pPr>
        <w:spacing w:before="360" w:after="160"/>
      </w:pPr>
      <w:r>
        <w:rPr>
          <w:b/>
          <w:color w:val="1E2761"/>
          <w:sz w:val="30"/>
        </w:rPr>
        <w:t>1. Why Everlywell's Telehealth Workflow Is Structurally Different From MDLive and Teladoc</w:t>
      </w:r>
    </w:p>
    <w:p>
      <w:pPr>
        <w:spacing w:after="200"/>
      </w:pPr>
      <w:r>
        <w:rPr>
          <w:b w:val="0"/>
          <w:i w:val="0"/>
          <w:color w:val="222222"/>
          <w:sz w:val="22"/>
        </w:rPr>
        <w:t>MDLive and Teladoc are built around a small number of repeatable, generalist encounter types (urgent care, virtual primary care, behavioral health, dermatology) delivered by one or two provider archetypes to a direct consumer or health-plan member. Everlywell's requirements base (1,373 active requirements across 14 modules) reflects a fundamentally different shape of business:</w:t>
      </w:r>
    </w:p>
    <w:p>
      <w:pPr>
        <w:pStyle w:val="ListBullet"/>
        <w:spacing w:after="140"/>
        <w:ind w:left="360"/>
      </w:pPr>
      <w:r>
        <w:rPr>
          <w:b/>
          <w:color w:val="222222"/>
          <w:sz w:val="21"/>
        </w:rPr>
        <w:t xml:space="preserve">Diversity of clinical use case: </w:t>
      </w:r>
      <w:r>
        <w:rPr>
          <w:color w:val="222222"/>
          <w:sz w:val="21"/>
        </w:rPr>
        <w:t xml:space="preserve"> MDLive/Teladoc route a single visit type through intake → schedule/queue → one synchronous or async encounter → prescription or referral, repeated at scale. Everlywell runs genetic counseling (multi-stage pre-test/post-test disclosure), specialty subscription care (testosterone, weight management), state-reportable diagnostic testing, and abnormal/critical lab escalation side by side in the same platform — no single generalist telehealth vendor is built to carry all of these clinical use cases at once.</w:t>
      </w:r>
    </w:p>
    <w:p>
      <w:pPr>
        <w:pStyle w:val="ListBullet"/>
        <w:spacing w:after="140"/>
        <w:ind w:left="360"/>
      </w:pPr>
      <w:r>
        <w:rPr>
          <w:b/>
          <w:color w:val="222222"/>
          <w:sz w:val="21"/>
        </w:rPr>
        <w:t xml:space="preserve">Episode vs. Subscription care, not single-visit care: </w:t>
      </w:r>
      <w:r>
        <w:rPr>
          <w:color w:val="222222"/>
          <w:sz w:val="21"/>
        </w:rPr>
        <w:t xml:space="preserve"> the platform's Care Relationship Model (M04-CARE-REL-001) treats every care product as either an Episode (a finite, sequential journey — e.g., genetics pre-test/post-test) or a Subscription (recurring, interval-driven refills — e.g., Testosterone Care), joined by a shared Episode Reference ID for chart grouping, patient-facing journey view, billing reconciliation, and completion reporting. MDLive and Teladoc's care model is built around a single, self-contained encounter — they have no comparable need to track a diagnostic result that hands off into months of longitudinal, subscription-based care under one continuous record.</w:t>
      </w:r>
    </w:p>
    <w:p>
      <w:pPr>
        <w:pStyle w:val="ListBullet"/>
        <w:spacing w:after="140"/>
        <w:ind w:left="360"/>
      </w:pPr>
      <w:r>
        <w:rPr>
          <w:b/>
          <w:color w:val="222222"/>
          <w:sz w:val="21"/>
        </w:rPr>
        <w:t xml:space="preserve">Multi-entity CPOM structure baked into workflow: </w:t>
      </w:r>
      <w:r>
        <w:rPr>
          <w:color w:val="222222"/>
          <w:sz w:val="21"/>
        </w:rPr>
        <w:t xml:space="preserve"> Everlywell operates under a PC/MSO structure with separate physician-owned entities per state (plus a distinct PWN Health entity with its own physician oversight). Licensure, routing, and documentation logic differ by legal entity and by state — this shows up as workflow logic in the platform (M01-CPOM-001; 56+ requirements reference provider licensure gating), not just a backend configuration flag. A generalist consumer telehealth brand answers to one corporate structure; Everlywell's platform has to enforce several, in real time, per encounter.</w:t>
      </w:r>
    </w:p>
    <w:p>
      <w:pPr>
        <w:pStyle w:val="ListBullet"/>
        <w:spacing w:after="140"/>
        <w:ind w:left="360"/>
      </w:pPr>
      <w:r>
        <w:rPr>
          <w:b/>
          <w:color w:val="222222"/>
          <w:sz w:val="21"/>
        </w:rPr>
        <w:t xml:space="preserve">State Department of Health reporting is a first-class workflow: </w:t>
      </w:r>
      <w:r>
        <w:rPr>
          <w:color w:val="222222"/>
          <w:sz w:val="21"/>
        </w:rPr>
        <w:t xml:space="preserve"> 35+ requirements (module M16) implement automatic trigger detection on lab results against a configurable, state-by-state reportable-conditions table, a dedicated DOH Coordinator role, and submission tracking to state health departments. This is a direct consequence of Everlywell's diagnostic-testing business — MDLive and Teladoc's urgent-care/primary-care model does not carry the same public-health reporting obligation inside the clinical workflow.</w:t>
      </w:r>
    </w:p>
    <w:p>
      <w:pPr>
        <w:pStyle w:val="ListBullet"/>
        <w:spacing w:after="140"/>
        <w:ind w:left="360"/>
      </w:pPr>
      <w:r>
        <w:rPr>
          <w:b/>
          <w:color w:val="222222"/>
          <w:sz w:val="21"/>
        </w:rPr>
        <w:t xml:space="preserve">Built-in clinical quality assurance: </w:t>
      </w:r>
      <w:r>
        <w:rPr>
          <w:color w:val="222222"/>
          <w:sz w:val="21"/>
        </w:rPr>
        <w:t xml:space="preserve"> a dedicated Peer Review module (M17) restricts chart audits to MD/DO reviewers, assigns audit queues, and tracks audit percentage per provider — a clinical-quality-assurance layer tied to Everlywell's diagnostic and specialty-care liability profile that a consumer urgent-care app has little reason to expose.</w:t>
      </w:r>
    </w:p>
    <w:p>
      <w:pPr>
        <w:pStyle w:val="ListBullet"/>
        <w:spacing w:after="140"/>
        <w:ind w:left="360"/>
      </w:pPr>
      <w:r>
        <w:rPr>
          <w:b/>
          <w:color w:val="222222"/>
          <w:sz w:val="21"/>
        </w:rPr>
        <w:t xml:space="preserve">Per-client, per-care-product SLA matrix: </w:t>
      </w:r>
      <w:r>
        <w:rPr>
          <w:color w:val="222222"/>
          <w:sz w:val="21"/>
        </w:rPr>
        <w:t xml:space="preserve"> 172 requirements reference SLA logic because turnaround and response commitments vary by care product, client, and consult type — Everlywell serves multiple B2B2C partners (Humana, Elevance Health, Accolade) each with different contractual SLAs layered on the same underlying workflow. MDLive/Teladoc largely sell one consumer-facing SLA experience per product line, not a matrix of per-partner commitments.</w:t>
      </w:r>
    </w:p>
    <w:p>
      <w:pPr>
        <w:pStyle w:val="ListBullet"/>
        <w:spacing w:after="140"/>
        <w:ind w:left="360"/>
      </w:pPr>
      <w:r>
        <w:rPr>
          <w:b/>
          <w:color w:val="222222"/>
          <w:sz w:val="21"/>
        </w:rPr>
        <w:t xml:space="preserve">Provider-role diversity: </w:t>
      </w:r>
      <w:r>
        <w:rPr>
          <w:color w:val="222222"/>
          <w:sz w:val="21"/>
        </w:rPr>
        <w:t xml:space="preserve"> the platform supports MD, NP, GC, GCA, RN, MA, PSR, Care Team/DXS specialists, QA/peer reviewers, and DOH Coordinators, each with distinct queues, permissions, and chart views. Generalist telehealth platforms are built around one or two provider archetypes (physician, therapist) — not a full care-team operating model.</w:t>
      </w:r>
    </w:p>
    <w:p>
      <w:pPr>
        <w:spacing w:before="360" w:after="160"/>
      </w:pPr>
      <w:r>
        <w:rPr>
          <w:b/>
          <w:color w:val="1E2761"/>
          <w:sz w:val="30"/>
        </w:rPr>
        <w:t>2. Why an Off-the-Shelf or Headless EHR Platform (Medplum, Canvas Medical) Would Not Work</w:t>
      </w:r>
    </w:p>
    <w:p>
      <w:pPr>
        <w:spacing w:after="200"/>
      </w:pPr>
      <w:r>
        <w:rPr>
          <w:b w:val="0"/>
          <w:i w:val="0"/>
          <w:color w:val="222222"/>
          <w:sz w:val="22"/>
        </w:rPr>
        <w:t>Medplum and Canvas Medical are credible, well-regarded FHIR-native platforms, and both are explicitly positioned as flexible starting points for teams whose workflows fit a fairly standard clinical encounter model. That positioning is itself the problem for Everlywell:</w:t>
      </w:r>
    </w:p>
    <w:p>
      <w:pPr>
        <w:pStyle w:val="ListBullet"/>
        <w:spacing w:after="140"/>
        <w:ind w:left="360"/>
      </w:pPr>
      <w:r>
        <w:rPr>
          <w:b/>
          <w:color w:val="222222"/>
          <w:sz w:val="21"/>
        </w:rPr>
        <w:t xml:space="preserve">Vendor positioning itself concedes the gap: </w:t>
      </w:r>
      <w:r>
        <w:rPr>
          <w:color w:val="222222"/>
          <w:sz w:val="21"/>
        </w:rPr>
        <w:t xml:space="preserve"> both vendors' own documentation acknowledges that highly specialized workflows or tight alignment with existing systems require custom development on top of their platform. Choosing either one does not remove Everlywell's build — it relocates the same engineering effort under a third party's data model, release cadence, and licensing terms.</w:t>
      </w:r>
    </w:p>
    <w:p>
      <w:pPr>
        <w:pStyle w:val="ListBullet"/>
        <w:spacing w:after="140"/>
        <w:ind w:left="360"/>
      </w:pPr>
      <w:r>
        <w:rPr>
          <w:b/>
          <w:color w:val="222222"/>
          <w:sz w:val="21"/>
        </w:rPr>
        <w:t xml:space="preserve">Core differentiator has no off-the-shelf equivalent: </w:t>
      </w:r>
      <w:r>
        <w:rPr>
          <w:color w:val="222222"/>
          <w:sz w:val="21"/>
        </w:rPr>
        <w:t xml:space="preserve"> the Episode/Subscription model with a shared reference ID for chart grouping, billing reconciliation, and completion reporting has no out-of-the-box analog in either platform's FHIR resource model. Building it would require the same schema and workflow engineering Everlywell would do in-house anyway, now constrained by someone else's resource model and versioning schedule.</w:t>
      </w:r>
    </w:p>
    <w:p>
      <w:pPr>
        <w:pStyle w:val="ListBullet"/>
        <w:spacing w:after="140"/>
        <w:ind w:left="360"/>
      </w:pPr>
      <w:r>
        <w:rPr>
          <w:b/>
          <w:color w:val="222222"/>
          <w:sz w:val="21"/>
        </w:rPr>
        <w:t xml:space="preserve">Regulatory/legal logic is not a generic EHR feature: </w:t>
      </w:r>
      <w:r>
        <w:rPr>
          <w:color w:val="222222"/>
          <w:sz w:val="21"/>
        </w:rPr>
        <w:t xml:space="preserve"> multi-entity CPOM routing, per-state licensure gating, and automated DOH reportable-condition detection are regulatory and legal workflow logic specific to Everlywell's state-by-state and client-by-client structure — not generic clinical data model features any general-purpose EHR platform ships with.</w:t>
      </w:r>
    </w:p>
    <w:p>
      <w:pPr>
        <w:pStyle w:val="ListBullet"/>
        <w:spacing w:after="140"/>
        <w:ind w:left="360"/>
      </w:pPr>
      <w:r>
        <w:rPr>
          <w:b/>
          <w:color w:val="222222"/>
          <w:sz w:val="21"/>
        </w:rPr>
        <w:t xml:space="preserve">Everlywell-specific modules would still be custom-built on top: </w:t>
      </w:r>
      <w:r>
        <w:rPr>
          <w:color w:val="222222"/>
          <w:sz w:val="21"/>
        </w:rPr>
        <w:t xml:space="preserve"> the Peer Review queue, the per-client/per-care-product SLA engine, and the single unified queue spanning MD/NP/GC/GCA/RN/MA/PSR/DXS roles are all bespoke to how Everlywell actually operates. Each would still need to be built as a custom module on top of the vendor platform — with the added cost of platform licensing and vendor roadmap dependency layered on top of the build effort, not instead of it.</w:t>
      </w:r>
    </w:p>
    <w:p>
      <w:pPr>
        <w:pStyle w:val="ListBullet"/>
        <w:spacing w:after="140"/>
        <w:ind w:left="360"/>
      </w:pPr>
      <w:r>
        <w:rPr>
          <w:b/>
          <w:color w:val="222222"/>
          <w:sz w:val="21"/>
        </w:rPr>
        <w:t xml:space="preserve">Adds a second integration dependency, not one: </w:t>
      </w:r>
      <w:r>
        <w:rPr>
          <w:color w:val="222222"/>
          <w:sz w:val="21"/>
        </w:rPr>
        <w:t xml:space="preserve"> Everlywell's core clinical record already runs through a direct Athena API integration (Healthie was evaluated and ruled out). Inserting a second, headless EHR layer between Athena and the provider/patient experience adds a second vendor dependency and a second point of API and data-model drift to manage — for capability the requirements base shows Everlywell needs to own regardless.</w:t>
      </w:r>
    </w:p>
    <w:p>
      <w:pPr>
        <w:pStyle w:val="ListBullet"/>
        <w:spacing w:after="140"/>
        <w:ind w:left="360"/>
      </w:pPr>
      <w:r>
        <w:rPr>
          <w:b/>
          <w:color w:val="222222"/>
          <w:sz w:val="21"/>
        </w:rPr>
        <w:t xml:space="preserve">The requirements work doesn't go away with a vendor platform: </w:t>
      </w:r>
      <w:r>
        <w:rPr>
          <w:color w:val="222222"/>
          <w:sz w:val="21"/>
        </w:rPr>
        <w:t xml:space="preserve"> the requirements base already documents Everlywell-specific business logic across 14 modules (e.g., M04-CARE-REL-001 Care Relationship Model, M01-CPOM-001 entity routing, M16 DOH Reporting, M17 Peer Review) that would need to be re-derived and re-validated against a third-party resource model regardless of which platform sits underneath. The requirements and workflow design are the hard, differentiating work — the hosting substrate is not.</w:t>
      </w:r>
    </w:p>
    <w:p>
      <w:pPr>
        <w:spacing w:after="320"/>
      </w:pPr>
      <w:r>
        <w:rPr>
          <w:b w:val="0"/>
          <w:i/>
          <w:color w:val="595959"/>
          <w:sz w:val="19"/>
        </w:rPr>
        <w:t>Note: the cost/licensing points above are directional, not a formal total-cost-of-ownership analysis — Finance should validate build-vs-buy economics before this goes to the CEO, and Legal/Compliance (Jessica Wheeler, Alison Mancusi) should confirm the CPOM and DOH framing above before it's presented externally.</w:t>
      </w:r>
    </w:p>
    <w:p>
      <w:pPr>
        <w:spacing w:before="360" w:after="160"/>
      </w:pPr>
      <w:r>
        <w:rPr>
          <w:b/>
          <w:color w:val="1E2761"/>
          <w:sz w:val="30"/>
        </w:rPr>
        <w:t>Suggested Next Steps</w:t>
      </w:r>
    </w:p>
    <w:p>
      <w:pPr>
        <w:pStyle w:val="ListBullet"/>
        <w:spacing w:after="140"/>
        <w:ind w:left="360"/>
      </w:pPr>
      <w:r>
        <w:rPr>
          <w:color w:val="222222"/>
          <w:sz w:val="21"/>
        </w:rPr>
        <w:t>Justin and Gabe review and edit this draft together (today).</w:t>
      </w:r>
    </w:p>
    <w:p>
      <w:pPr>
        <w:pStyle w:val="ListBullet"/>
        <w:spacing w:after="140"/>
        <w:ind w:left="360"/>
      </w:pPr>
      <w:r>
        <w:rPr>
          <w:color w:val="222222"/>
          <w:sz w:val="21"/>
        </w:rPr>
        <w:t>Legal/Compliance sign-off on the CPOM and DOH characterizations before external use.</w:t>
      </w:r>
    </w:p>
    <w:p>
      <w:pPr>
        <w:pStyle w:val="ListBullet"/>
        <w:spacing w:after="140"/>
        <w:ind w:left="360"/>
      </w:pPr>
      <w:r>
        <w:rPr>
          <w:color w:val="222222"/>
          <w:sz w:val="21"/>
        </w:rPr>
        <w:t>Add a one-page visual summary (comparison table or diagram) for the CEO-facing version.</w:t>
      </w:r>
    </w:p>
    <w:p>
      <w:pPr>
        <w:pStyle w:val="ListBullet"/>
        <w:spacing w:after="140"/>
        <w:ind w:left="360"/>
      </w:pPr>
      <w:r>
        <w:rPr>
          <w:color w:val="222222"/>
          <w:sz w:val="21"/>
        </w:rPr>
        <w:t>Gabe presents to the CEO with this as supporting detail, not the primary leave-behind.</w:t>
      </w:r>
    </w:p>
    <w:p>
      <w:pPr>
        <w:spacing w:after="80"/>
        <w:pBdr>
          <w:bottom w:val="single" w:sz="6" w:space="1" w:color="CADCFC"/>
        </w:pBdr>
      </w:pPr>
    </w:p>
    <w:p>
      <w:pPr>
        <w:spacing w:after="0"/>
      </w:pPr>
      <w:r>
        <w:rPr>
          <w:b w:val="0"/>
          <w:i/>
          <w:color w:val="595959"/>
          <w:sz w:val="17"/>
        </w:rPr>
        <w:t>Source note: telehealth workflow claims about MDLive/Teladoc and platform claims about Medplum/Canvas Medical are based on public vendor documentation and third-party coverage as of July 2026 (see chat for links). Everlywell figures are pulled directly from project_phoenix.db as of 2026-07-19 (1,373 active requirements).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