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color w:val="1E2761"/>
          <w:sz w:val="48"/>
        </w:rPr>
        <w:t>Why Project Phoenix Must Be Built In-House</w:t>
      </w:r>
    </w:p>
    <w:p>
      <w:pPr>
        <w:spacing w:after="280"/>
      </w:pPr>
      <w:r>
        <w:rPr>
          <w:i/>
          <w:color w:val="595959"/>
          <w:sz w:val="26"/>
        </w:rPr>
        <w:t>Platform Justification — Telehealth Platform Rebuild</w:t>
      </w:r>
    </w:p>
    <w:p>
      <w:pPr>
        <w:spacing w:after="40"/>
      </w:pPr>
      <w:r>
        <w:rPr>
          <w:b/>
          <w:color w:val="B45042"/>
          <w:sz w:val="20"/>
        </w:rPr>
        <w:t>DRAFT v2 — FOR INTERNAL REVIEW</w:t>
      </w:r>
    </w:p>
    <w:p>
      <w:pPr>
        <w:spacing w:after="40"/>
      </w:pPr>
      <w:r>
        <w:rPr>
          <w:color w:val="595959"/>
          <w:sz w:val="20"/>
        </w:rPr>
        <w:t>Prepared for: Gabe Gaviola (EVP/CMO) — for review with the CEO</w:t>
      </w:r>
    </w:p>
    <w:p>
      <w:pPr>
        <w:spacing w:after="40"/>
      </w:pPr>
      <w:r>
        <w:rPr>
          <w:color w:val="595959"/>
          <w:sz w:val="20"/>
        </w:rPr>
        <w:t>Prepared by: Justin Woller (Director, Telehealth Ops)</w:t>
      </w:r>
    </w:p>
    <w:p>
      <w:pPr>
        <w:spacing w:after="40"/>
      </w:pPr>
      <w:r>
        <w:rPr>
          <w:color w:val="595959"/>
          <w:sz w:val="20"/>
        </w:rPr>
        <w:t>Date: July 20, 2026</w:t>
      </w:r>
    </w:p>
    <w:p>
      <w:pPr>
        <w:spacing w:after="80"/>
        <w:pBdr>
          <w:bottom w:val="single" w:sz="6" w:space="1" w:color="CADCFC"/>
        </w:pBdr>
      </w:pPr>
    </w:p>
    <w:p>
      <w:pPr>
        <w:spacing w:after="320"/>
      </w:pPr>
      <w:r>
        <w:rPr>
          <w:b w:val="0"/>
          <w:i/>
          <w:color w:val="595959"/>
          <w:sz w:val="21"/>
        </w:rPr>
        <w:t>Purpose: the case for continuing the in-house Project Phoenix build rather than adopting a generalist telehealth vendor platform (MDLive, Teladoc) or a headless/off-the-shelf EHR platform (Medplum, Canvas Medical). v2 adds feature-by-feature comparison tables under each section, per Justin's request, so the scope gap is visible at a glance rather than argued in prose alone.</w:t>
      </w:r>
    </w:p>
    <w:p>
      <w:pPr>
        <w:spacing w:before="360" w:after="160"/>
      </w:pPr>
      <w:r>
        <w:rPr>
          <w:b/>
          <w:color w:val="1E2761"/>
          <w:sz w:val="30"/>
        </w:rPr>
        <w:t>1. Everlywell vs. Generalist Telehealth (MDLive, Teladoc)</w:t>
      </w:r>
    </w:p>
    <w:p>
      <w:pPr>
        <w:spacing w:after="200"/>
      </w:pPr>
      <w:r>
        <w:rPr>
          <w:b w:val="0"/>
          <w:i w:val="0"/>
          <w:color w:val="222222"/>
          <w:sz w:val="22"/>
        </w:rPr>
        <w:t>MDLive and Teladoc are built around a small number of repeatable, generalist encounter types delivered by one or two provider archetypes to a direct consumer or health-plan member. Everlywell's requirements base (1,373 active requirements across 14 modules) reflects a fundamentally different shape of business — diagnostic testing, specialty and subscription care, genetic counseling, and multi-entity regulatory obligations running through one platform.</w:t>
      </w:r>
    </w:p>
    <w:p>
      <w:pPr>
        <w:pStyle w:val="ListBullet"/>
        <w:spacing w:after="120"/>
        <w:ind w:left="360"/>
      </w:pPr>
      <w:r>
        <w:rPr>
          <w:b/>
          <w:color w:val="222222"/>
          <w:sz w:val="21"/>
        </w:rPr>
        <w:t xml:space="preserve">The bottom line: </w:t>
      </w:r>
      <w:r>
        <w:rPr>
          <w:color w:val="222222"/>
          <w:sz w:val="21"/>
        </w:rPr>
        <w:t xml:space="preserve"> no single generalist telehealth vendor is built to carry diagnostic testing, genetic counseling disclosure, specialty subscription care, and state public-health reporting side by side in one platform. Everlywell does, in production, today.</w:t>
      </w:r>
    </w:p>
    <w:p>
      <w:pPr>
        <w:pStyle w:val="ListBullet"/>
        <w:spacing w:after="120"/>
        <w:ind w:left="360"/>
      </w:pPr>
      <w:r>
        <w:rPr>
          <w:b/>
          <w:color w:val="222222"/>
          <w:sz w:val="21"/>
        </w:rPr>
        <w:t xml:space="preserve">Why a table: </w:t>
      </w:r>
      <w:r>
        <w:rPr>
          <w:color w:val="222222"/>
          <w:sz w:val="21"/>
        </w:rPr>
        <w:t xml:space="preserve"> the comparison below is deliberately granular — feature by feature — because at a summary level "telehealth platform" sounds like the same product. It isn't.</w:t>
      </w:r>
    </w:p>
    <w:p>
      <w:pPr>
        <w:spacing w:before="280" w:after="160"/>
      </w:pPr>
      <w:r>
        <w:rPr>
          <w:b/>
          <w:color w:val="1E2761"/>
          <w:sz w:val="24"/>
        </w:rPr>
        <w:t>Feature-by-Feature Comparison</w:t>
      </w:r>
    </w:p>
    <w:tbl>
      <w:tblPr>
        <w:tblW w:type="auto" w:w="0"/>
        <w:jc w:val="center"/>
        <w:tblLayout w:type="fixed"/>
        <w:tblLook w:firstColumn="1" w:firstRow="1" w:lastColumn="0" w:lastRow="0" w:noHBand="0" w:noVBand="1" w:val="04A0"/>
        <w:tblW w:w="9360" w:type="dxa"/>
      </w:tblPr>
      <w:tblGrid>
        <w:gridCol w:w="3312"/>
        <w:gridCol w:w="3312"/>
        <w:gridCol w:w="3312"/>
      </w:tblGrid>
      <w:tr>
        <w:tc>
          <w:tcPr>
            <w:tcW w:type="dxa" w:w="2160"/>
            <w:vAlign w:val="center"/>
            <w:tcBorders>
              <w:top w:val="single" w:sz="10" w:space="0" w:color="1E2761"/>
              <w:left w:val="single" w:sz="10" w:space="0" w:color="1E2761"/>
              <w:bottom w:val="single" w:sz="10" w:space="0" w:color="1E2761"/>
              <w:right w:val="single" w:sz="10" w:space="0" w:color="1E2761"/>
            </w:tcBorders>
          </w:tcPr>
          <w:p>
            <w:pPr>
              <w:spacing w:after="40" w:before="40"/>
            </w:pPr>
            <w:r/>
            <w:r>
              <w:rPr>
                <w:b/>
                <w:color w:val="1E2761"/>
                <w:sz w:val="19"/>
              </w:rPr>
              <w:t>Capability</w:t>
            </w:r>
          </w:p>
        </w:tc>
        <w:tc>
          <w:tcPr>
            <w:tcW w:type="dxa" w:w="3312"/>
            <w:vAlign w:val="center"/>
            <w:tcBorders>
              <w:top w:val="single" w:sz="10" w:space="0" w:color="1E2761"/>
              <w:left w:val="single" w:sz="10" w:space="0" w:color="1E2761"/>
              <w:bottom w:val="single" w:sz="10" w:space="0" w:color="1E2761"/>
              <w:right w:val="single" w:sz="10" w:space="0" w:color="1E2761"/>
            </w:tcBorders>
          </w:tcPr>
          <w:p>
            <w:pPr>
              <w:spacing w:after="40" w:before="40"/>
            </w:pPr>
            <w:r/>
            <w:r>
              <w:rPr>
                <w:b/>
                <w:color w:val="1E2761"/>
                <w:sz w:val="19"/>
              </w:rPr>
              <w:t>MDLive / Teladoc</w:t>
            </w:r>
          </w:p>
        </w:tc>
        <w:tc>
          <w:tcPr>
            <w:tcW w:type="dxa" w:w="3888"/>
            <w:vAlign w:val="center"/>
            <w:tcBorders>
              <w:top w:val="single" w:sz="10" w:space="0" w:color="1E2761"/>
              <w:left w:val="single" w:sz="10" w:space="0" w:color="1E2761"/>
              <w:bottom w:val="single" w:sz="10" w:space="0" w:color="1E2761"/>
              <w:right w:val="single" w:sz="10" w:space="0" w:color="1E2761"/>
            </w:tcBorders>
          </w:tcPr>
          <w:p>
            <w:pPr>
              <w:spacing w:after="40" w:before="40"/>
            </w:pPr>
            <w:r/>
            <w:r>
              <w:rPr>
                <w:b/>
                <w:color w:val="1E2761"/>
                <w:sz w:val="19"/>
              </w:rPr>
              <w:t>Everlywell — Project Phoenix</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Core care model</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Single generalist encounter type per visit (urgent care, primary care, behavioral health, dermatology) — repeatable at scale</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Diagnostic Episodes AND recurring Subscription care unified under one Care Relationship Model (M04-CARE-REL-001)</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Consult modalities</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Scheduled video or async messaging — one modality per product line</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Phone, video, and async consult unified in a single provider queue per role</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Provider roles</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Physician or licensed therapist — 1–2 archetypes</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MD, NP, GC, GCA, RN, MA, PSR, Care Team/DXS, QA/Peer Reviewer, DOH Coordinator — 10+ distinct role queues</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Legal entity structure</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Single consumer-facing brand/entity per market</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Multi-entity PC/MSO structure per state plus a separate PWN Health entity, enforced in workflow (M01-CPOM-001)</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Licensure enforcement</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Provider marked "available" by product line</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Per-state license validated at consult-routing time — 56+ requirements reference licensure logic</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State DOH / public health reporting</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Not applicable to the urgent-care/behavioral-health model</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Automatic reportable-condition detection off lab results, per-state config table, dedicated DOH Coordinator role (M16 — 35+ requirements)</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Clinical peer review / QA</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Not a customer-facing feature</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Dedicated Peer Review module — MD/DO-restricted chart audits, assigned queues, audit % tracking (M17)</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SLA structure</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One SLA experience per consumer product line</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Per-client, per-care-product SLA matrix across B2B2C partners (Humana, Elevance Health, Accolade) — 172 requirements reference SLA logic</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Multi-tenant client configuration</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Branding only, beyond the core product</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Admin Wizard configures care products, SLAs, DOH rules, notification copy, and role permissions per client</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Care journey continuity</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Encounter closes at visit end</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Episode Reference ID links diagnostic result → subscription care → billing → completion reporting under one continuous record</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Genetic counseling workflow</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Not offered</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Multi-stage pre-test/post-test disclosure workflow with GC/GCA-specific queues and documentation</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Abnormal / critical result escalation</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Standard result notification</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Dedicated abnormal-result and critical-lab escalation queues, auto-created care team tasks, RN alerting</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Core clinical record</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Vendor's own proprietary EHR</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Direct Athena API integration — no intermediary EHR layer</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Notification engine</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Single-channel appointment reminders</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Multi-channel (SMS/email/portal), event-typed, TCPA-aware, configurable per client (M08 — 18 requirements)</w:t>
            </w:r>
          </w:p>
        </w:tc>
      </w:tr>
      <w:tr>
        <w:tc>
          <w:tcPr>
            <w:tcW w:type="dxa" w:w="2160"/>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Billing model</w:t>
            </w:r>
          </w:p>
        </w:tc>
        <w:tc>
          <w:tcPr>
            <w:tcW w:type="dxa" w:w="3312"/>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One consumer subscription or insurance claim model</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Episode billing reconciliation AND subscription billing, both tied to the same Episode Reference ID</w:t>
            </w:r>
          </w:p>
        </w:tc>
      </w:tr>
    </w:tbl>
    <w:p>
      <w:pPr>
        <w:spacing w:after="40"/>
      </w:pPr>
      <w:r>
        <w:rPr>
          <w:b w:val="0"/>
          <w:i w:val="0"/>
          <w:color w:val="222222"/>
          <w:sz w:val="8"/>
        </w:rPr>
        <w:t xml:space="preserve"> </w:t>
      </w:r>
    </w:p>
    <w:p>
      <w:pPr>
        <w:spacing w:before="440" w:after="160"/>
      </w:pPr>
      <w:r>
        <w:rPr>
          <w:b/>
          <w:color w:val="1E2761"/>
          <w:sz w:val="30"/>
        </w:rPr>
        <w:t>2. Everlywell vs. Off-the-Shelf / Headless EHR (Medplum, Canvas Medical)</w:t>
      </w:r>
    </w:p>
    <w:p>
      <w:pPr>
        <w:spacing w:after="200"/>
      </w:pPr>
      <w:r>
        <w:rPr>
          <w:b w:val="0"/>
          <w:i w:val="0"/>
          <w:color w:val="222222"/>
          <w:sz w:val="22"/>
        </w:rPr>
        <w:t>Medplum and Canvas Medical are credible, well-regarded FHIR-native platforms, explicitly positioned as flexible starting points for teams whose workflows fit a fairly standard clinical encounter. That positioning is the problem for Everlywell: both vendors' own documentation acknowledges that highly specialized workflows require custom development on top of the platform anyway — so adopting one doesn't remove Everlywell's build, it relocates the same engineering effort under a third party's data model, release cadence, and licensing terms.</w:t>
      </w:r>
    </w:p>
    <w:p>
      <w:pPr>
        <w:spacing w:before="280" w:after="160"/>
      </w:pPr>
      <w:r>
        <w:rPr>
          <w:b/>
          <w:color w:val="1E2761"/>
          <w:sz w:val="24"/>
        </w:rPr>
        <w:t>Capability Gap Analysis</w:t>
      </w:r>
    </w:p>
    <w:tbl>
      <w:tblPr>
        <w:tblW w:type="auto" w:w="0"/>
        <w:jc w:val="center"/>
        <w:tblLayout w:type="fixed"/>
        <w:tblLook w:firstColumn="1" w:firstRow="1" w:lastColumn="0" w:lastRow="0" w:noHBand="0" w:noVBand="1" w:val="04A0"/>
        <w:tblW w:w="9360" w:type="dxa"/>
      </w:tblPr>
      <w:tblGrid>
        <w:gridCol w:w="3312"/>
        <w:gridCol w:w="3312"/>
        <w:gridCol w:w="3312"/>
      </w:tblGrid>
      <w:tr>
        <w:tc>
          <w:tcPr>
            <w:tcW w:type="dxa" w:w="2736"/>
            <w:vAlign w:val="center"/>
            <w:tcBorders>
              <w:top w:val="single" w:sz="10" w:space="0" w:color="1E2761"/>
              <w:left w:val="single" w:sz="10" w:space="0" w:color="1E2761"/>
              <w:bottom w:val="single" w:sz="10" w:space="0" w:color="1E2761"/>
              <w:right w:val="single" w:sz="10" w:space="0" w:color="1E2761"/>
            </w:tcBorders>
          </w:tcPr>
          <w:p>
            <w:pPr>
              <w:spacing w:after="40" w:before="40"/>
            </w:pPr>
            <w:r/>
            <w:r>
              <w:rPr>
                <w:b/>
                <w:color w:val="1E2761"/>
                <w:sz w:val="19"/>
              </w:rPr>
              <w:t>Capability Everlywell Needs</w:t>
            </w:r>
          </w:p>
        </w:tc>
        <w:tc>
          <w:tcPr>
            <w:tcW w:type="dxa" w:w="2736"/>
            <w:vAlign w:val="center"/>
            <w:tcBorders>
              <w:top w:val="single" w:sz="10" w:space="0" w:color="1E2761"/>
              <w:left w:val="single" w:sz="10" w:space="0" w:color="1E2761"/>
              <w:bottom w:val="single" w:sz="10" w:space="0" w:color="1E2761"/>
              <w:right w:val="single" w:sz="10" w:space="0" w:color="1E2761"/>
            </w:tcBorders>
          </w:tcPr>
          <w:p>
            <w:pPr>
              <w:spacing w:after="40" w:before="40"/>
            </w:pPr>
            <w:r/>
            <w:r>
              <w:rPr>
                <w:b/>
                <w:color w:val="1E2761"/>
                <w:sz w:val="19"/>
              </w:rPr>
              <w:t>Native to Medplum / Canvas?</w:t>
            </w:r>
          </w:p>
        </w:tc>
        <w:tc>
          <w:tcPr>
            <w:tcW w:type="dxa" w:w="3888"/>
            <w:vAlign w:val="center"/>
            <w:tcBorders>
              <w:top w:val="single" w:sz="10" w:space="0" w:color="1E2761"/>
              <w:left w:val="single" w:sz="10" w:space="0" w:color="1E2761"/>
              <w:bottom w:val="single" w:sz="10" w:space="0" w:color="1E2761"/>
              <w:right w:val="single" w:sz="10" w:space="0" w:color="1E2761"/>
            </w:tcBorders>
          </w:tcPr>
          <w:p>
            <w:pPr>
              <w:spacing w:after="40" w:before="40"/>
            </w:pPr>
            <w:r/>
            <w:r>
              <w:rPr>
                <w:b/>
                <w:color w:val="1E2761"/>
                <w:sz w:val="19"/>
              </w:rPr>
              <w:t>What Everlywell Would Still Build</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FHIR-native clinical data model, basic scheduling/video/EHR CRUD</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Yes — this is their core strength</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Minimal — this part is genuinely off-the-shelf</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Episode vs. Subscription model with shared reference ID for chart grouping, billing, and completion reporting</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 — no native resource for this join pattern</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Full custom schema + workflow engine — the same effort as building in-house, now inside someone else's resource model</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Multi-entity CPOM routing and per-state licensure gating</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Full custom legal/compliance workflow layer</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State DOH reportable-condition automation</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Full custom trigger-detection and reporting workflow</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Peer Review clinical QA module</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Full custom module</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Per-client, per-care-product SLA engine</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Full custom module</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Unified queue across 10+ provider role types</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No — built around 1–2 provider archetypes</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Full custom queue and permission architecture</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Direct Athena integration as system of record</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Vendor platform would sit as, or compete with, the EHR of record</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Re-architect around the vendor's data model, or maintain two integration layers instead of one</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Roadmap and release control</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Vendor-controlled</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New dependency Everlywell doesn't have today</w:t>
            </w:r>
          </w:p>
        </w:tc>
      </w:tr>
      <w:tr>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color w:val="222222"/>
                <w:sz w:val="18"/>
              </w:rPr>
              <w:t>Share of the 1,373 active requirements this removes</w:t>
            </w:r>
          </w:p>
        </w:tc>
        <w:tc>
          <w:tcPr>
            <w:tcW w:type="dxa" w:w="2736"/>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Vendor's own docs: minimal for specialized workflows</w:t>
            </w:r>
          </w:p>
        </w:tc>
        <w:tc>
          <w:tcPr>
            <w:tcW w:type="dxa" w:w="3888"/>
            <w:vAlign w:val="center"/>
            <w:tcBorders>
              <w:top w:val="single" w:sz="4" w:space="0" w:color="BFBFBF"/>
              <w:left w:val="single" w:sz="4" w:space="0" w:color="BFBFBF"/>
              <w:bottom w:val="single" w:sz="4" w:space="0" w:color="BFBFBF"/>
              <w:right w:val="single" w:sz="4" w:space="0" w:color="BFBFBF"/>
            </w:tcBorders>
          </w:tcPr>
          <w:p>
            <w:pPr>
              <w:spacing w:after="40" w:before="40"/>
            </w:pPr>
            <w:r/>
            <w:r>
              <w:rPr>
                <w:b w:val="0"/>
                <w:color w:val="222222"/>
                <w:sz w:val="18"/>
              </w:rPr>
              <w:t>Nearly all Everlywell-specific requirements remain Everlywell's to build regardless of platform choice</w:t>
            </w:r>
          </w:p>
        </w:tc>
      </w:tr>
    </w:tbl>
    <w:p>
      <w:pPr>
        <w:spacing w:after="40"/>
      </w:pPr>
      <w:r>
        <w:rPr>
          <w:b w:val="0"/>
          <w:i w:val="0"/>
          <w:color w:val="222222"/>
          <w:sz w:val="8"/>
        </w:rPr>
        <w:t xml:space="preserve"> </w:t>
      </w:r>
    </w:p>
    <w:p>
      <w:pPr>
        <w:spacing w:after="320"/>
      </w:pPr>
      <w:r>
        <w:rPr>
          <w:b w:val="0"/>
          <w:i/>
          <w:color w:val="595959"/>
          <w:sz w:val="19"/>
        </w:rPr>
        <w:t>Note: the cost/licensing points above are directional, not a formal total-cost-of-ownership analysis — Finance should validate build-vs-buy economics before this goes to the CEO, and Legal/Compliance (Jessica Wheeler, Alison Mancusi) should confirm the CPOM and DOH framing above before it's presented externally.</w:t>
      </w:r>
    </w:p>
    <w:p>
      <w:pPr>
        <w:spacing w:before="360" w:after="160"/>
      </w:pPr>
      <w:r>
        <w:rPr>
          <w:b/>
          <w:color w:val="1E2761"/>
          <w:sz w:val="30"/>
        </w:rPr>
        <w:t>Suggested Next Steps</w:t>
      </w:r>
    </w:p>
    <w:p>
      <w:pPr>
        <w:pStyle w:val="ListBullet"/>
        <w:spacing w:after="120"/>
        <w:ind w:left="360"/>
      </w:pPr>
      <w:r>
        <w:rPr>
          <w:color w:val="222222"/>
          <w:sz w:val="21"/>
        </w:rPr>
        <w:t>Justin and Gabe review and edit this draft together (today).</w:t>
      </w:r>
    </w:p>
    <w:p>
      <w:pPr>
        <w:pStyle w:val="ListBullet"/>
        <w:spacing w:after="120"/>
        <w:ind w:left="360"/>
      </w:pPr>
      <w:r>
        <w:rPr>
          <w:color w:val="222222"/>
          <w:sz w:val="21"/>
        </w:rPr>
        <w:t>Legal/Compliance sign-off on the CPOM and DOH characterizations before external use.</w:t>
      </w:r>
    </w:p>
    <w:p>
      <w:pPr>
        <w:pStyle w:val="ListBullet"/>
        <w:spacing w:after="120"/>
        <w:ind w:left="360"/>
      </w:pPr>
      <w:r>
        <w:rPr>
          <w:color w:val="222222"/>
          <w:sz w:val="21"/>
        </w:rPr>
        <w:t>Trim each table to the rows that land hardest for a CEO-level audience — this version is deliberately exhaustive for internal review.</w:t>
      </w:r>
    </w:p>
    <w:p>
      <w:pPr>
        <w:pStyle w:val="ListBullet"/>
        <w:spacing w:after="120"/>
        <w:ind w:left="360"/>
      </w:pPr>
      <w:r>
        <w:rPr>
          <w:color w:val="222222"/>
          <w:sz w:val="21"/>
        </w:rPr>
        <w:t>Gabe presents to the CEO with this as supporting detail, not the primary leave-behind.</w:t>
      </w:r>
    </w:p>
    <w:p>
      <w:pPr>
        <w:spacing w:after="80"/>
        <w:pBdr>
          <w:bottom w:val="single" w:sz="6" w:space="1" w:color="CADCFC"/>
        </w:pBdr>
      </w:pPr>
    </w:p>
    <w:p>
      <w:pPr>
        <w:spacing w:after="0"/>
      </w:pPr>
      <w:r>
        <w:rPr>
          <w:b w:val="0"/>
          <w:i/>
          <w:color w:val="595959"/>
          <w:sz w:val="17"/>
        </w:rPr>
        <w:t>Source note: telehealth workflow claims about MDLive/Teladoc and platform claims about Medplum/Canvas Medical are based on public vendor documentation and third-party coverage as of July 2026. Everlywell figures are pulled directly from project_phoenix.db as of 2026-07-19 (1,373 active requirements).</w:t>
      </w:r>
    </w:p>
    <w:p>
      <w:pPr>
        <w:spacing w:after="80"/>
        <w:pBdr>
          <w:bottom w:val="single" w:sz="6" w:space="1" w:color="CADCFC"/>
        </w:pBdr>
      </w:pPr>
    </w:p>
    <w:p>
      <w:pPr>
        <w:spacing w:before="440" w:after="160"/>
      </w:pPr>
      <w:r>
        <w:rPr>
          <w:b/>
          <w:color w:val="1E2761"/>
          <w:sz w:val="30"/>
        </w:rPr>
        <w:t>How the Patient Journey Itself Differs</w:t>
      </w:r>
    </w:p>
    <w:p>
      <w:pPr>
        <w:spacing w:after="200"/>
      </w:pPr>
      <w:r>
        <w:rPr>
          <w:i w:val="0"/>
          <w:color w:val="222222"/>
          <w:sz w:val="22"/>
        </w:rPr>
        <w:t>Beyond the feature by feature differences, MDLive and Teladoc are built around a one to one patient journey. A patient comes in and goes directly to a provider for a single visit. Everlywell's core service lines work differently. Several of our workflows require a full clinical journey that moves through multiple roles before a provider is ever involved, and that is a different kind of complexity, not just a different set of features.</w:t>
      </w:r>
    </w:p>
    <w:p>
      <w:pPr>
        <w:pStyle w:val="ListBullet"/>
        <w:spacing w:after="120"/>
      </w:pPr>
      <w:r>
        <w:rPr>
          <w:b/>
          <w:color w:val="222222"/>
          <w:sz w:val="21"/>
        </w:rPr>
        <w:t xml:space="preserve">Gaps in Care, Star measures, and A1C: </w:t>
      </w:r>
      <w:r>
        <w:rPr>
          <w:color w:val="222222"/>
          <w:sz w:val="21"/>
        </w:rPr>
        <w:t xml:space="preserve"> closing a single gap can mean the Care Team gets involved first, then a Medical Assistant or RN, and then finally a provider. That is a full clinical journey, not a single consult.</w:t>
      </w:r>
    </w:p>
    <w:p>
      <w:pPr>
        <w:pStyle w:val="ListBullet"/>
        <w:spacing w:after="120"/>
      </w:pPr>
      <w:r>
        <w:rPr>
          <w:b/>
          <w:color w:val="222222"/>
          <w:sz w:val="21"/>
        </w:rPr>
        <w:t xml:space="preserve">Lab results, especially abnormal or critical ones: </w:t>
      </w:r>
      <w:r>
        <w:rPr>
          <w:color w:val="222222"/>
          <w:sz w:val="21"/>
        </w:rPr>
        <w:t xml:space="preserve"> Everlywell is reaching out to the patient first. We review the result, and only after that review do we decide if a consultation is needed, and what kind of consultation, depending on what the client has set up for their program. The patient isn't the one starting this. The result is.</w:t>
      </w:r>
    </w:p>
    <w:p>
      <w:pPr>
        <w:pStyle w:val="ListBullet"/>
        <w:spacing w:after="120"/>
      </w:pPr>
      <w:r>
        <w:rPr>
          <w:b/>
          <w:color w:val="222222"/>
          <w:sz w:val="21"/>
        </w:rPr>
        <w:t xml:space="preserve">Genetic testing: </w:t>
      </w:r>
      <w:r>
        <w:rPr>
          <w:color w:val="222222"/>
          <w:sz w:val="21"/>
        </w:rPr>
        <w:t xml:space="preserve"> a client sells the test and completes part of the onboarding, and then Everlywell reviews the case to decide if a consultation should happen, which often brings in a Genetic Counselor. From there a provider has to approve the order, and then it goes back to the Genetic Counselor to review the results with the patient. One test can move through four different roles before it is actually resolved.</w:t>
      </w:r>
    </w:p>
    <w:p>
      <w:pPr>
        <w:spacing w:after="120"/>
      </w:pPr>
      <w:r>
        <w:rPr>
          <w:i w:val="0"/>
          <w:color w:val="222222"/>
          <w:sz w:val="22"/>
        </w:rPr>
        <w:t>MDLive and Teladoc's core acute care and behavioral health lines don't need this kind of sequencing. The patient goes straight to the provider and that's it. Everlywell's requirements reflect this directly. The roles, the handoffs, and the queues we've built exist because the patient journey itself requires them, not because we wrote more documentation.</w:t>
      </w:r>
    </w:p>
    <w:sectPr w:rsidR="00FC693F" w:rsidRPr="0006063C" w:rsidSect="00034616">
      <w:pgSz w:w="12240" w:h="15840"/>
      <w:pgMar w:top="1152" w:right="1152" w:bottom="1152"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6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