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1D4ED8"/>
          <w:sz w:val="44"/>
        </w:rPr>
        <w:t>PROJECT PHOENIX</w:t>
      </w:r>
    </w:p>
    <w:p>
      <w:r>
        <w:rPr>
          <w:rFonts w:ascii="Calibri" w:hAnsi="Calibri"/>
          <w:b/>
          <w:color w:val="111827"/>
          <w:sz w:val="30"/>
        </w:rPr>
        <w:t>Care Team &amp; GCA Operations — Requirements Gap Analysis</w:t>
      </w:r>
    </w:p>
    <w:p>
      <w:r>
        <w:rPr>
          <w:rFonts w:ascii="Calibri" w:hAnsi="Calibri"/>
          <w:b w:val="0"/>
          <w:color w:val="6B7280"/>
          <w:sz w:val="20"/>
        </w:rPr>
        <w:t>Source: Care Team Training &amp; Onboarding Guide  ·  Care Team PCC SOP Summary  ·  GCA Operations Work Instruction</w:t>
      </w:r>
    </w:p>
    <w:p>
      <w:r>
        <w:rPr>
          <w:rFonts w:ascii="Calibri" w:hAnsi="Calibri"/>
          <w:b/>
          <w:color w:val="374151"/>
          <w:sz w:val="20"/>
        </w:rPr>
        <w:t>Date: June 29, 2026   ·   Status: Draft — Pending Justin Woller Review   ·   Total Gaps: 49   ·   DB Baseline: 1,198 Active</w:t>
      </w:r>
    </w:p>
    <w:p>
      <w:pPr>
        <w:pBdr>
          <w:bottom w:val="single" w:sz="12" w:space="1" w:color="1D4ED8"/>
        </w:pBdr>
      </w:pPr>
    </w:p>
    <w:p/>
    <w:p>
      <w:r>
        <w:rPr>
          <w:rFonts w:ascii="Calibri" w:hAnsi="Calibri"/>
          <w:b/>
          <w:color w:val="111827"/>
          <w:sz w:val="24"/>
        </w:rPr>
        <w:t>Purpose</w:t>
      </w:r>
    </w:p>
    <w:p>
      <w:pPr>
        <w:spacing w:after="80"/>
      </w:pPr>
      <w:r>
        <w:rPr>
          <w:rFonts w:ascii="Calibri" w:hAnsi="Calibri"/>
          <w:b w:val="0"/>
          <w:color w:val="374151"/>
          <w:sz w:val="21"/>
        </w:rPr>
        <w:t>This document presents all platform requirements gaps identified by cross-referencing three Care Team and GCA work instruction documents against the current Project Phoenix requirements database (1,198 Active requirements as of June 29, 2026). For each gap, this document describes: (1) what the current platform is missing and why it matters, and (2) precisely how the new Phoenix platform will address it — including which queues are created or affected and how tasks are routed. Gaps marked v2.0 are captured for roadmap planning but not scheduled for Phase 1 build.</w:t>
      </w:r>
    </w:p>
    <w:p/>
    <w:p>
      <w:pPr>
        <w:spacing w:after="80"/>
      </w:pPr>
      <w:r>
        <w:rPr>
          <w:rFonts w:ascii="Calibri" w:hAnsi="Calibri"/>
          <w:b/>
          <w:color w:val="111827"/>
          <w:sz w:val="24"/>
        </w:rPr>
        <w:t>Gap Summary by Functional Area</w:t>
      </w:r>
    </w:p>
    <w:tbl>
      <w:tblPr>
        <w:tblW w:type="auto" w:w="0"/>
        <w:tblLook w:firstColumn="1" w:firstRow="1" w:lastColumn="0" w:lastRow="0" w:noHBand="0" w:noVBand="1" w:val="04A0"/>
        <w:tblW w:type="dxa" w:w="8640"/>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3120"/>
        <w:gridCol w:w="3120"/>
        <w:gridCol w:w="3120"/>
      </w:tblGrid>
      <w:tr>
        <w:tc>
          <w:tcPr>
            <w:tcW w:type="dxa" w:w="3120"/>
            <w:shd w:val="clear" w:color="auto" w:fill="1D4ED8"/>
            <w:tcW w:type="dxa" w:w="6200"/>
          </w:tcPr>
          <w:p>
            <w:pPr>
              <w:spacing w:before="60" w:after="60"/>
            </w:pPr>
            <w:r>
              <w:rPr>
                <w:rFonts w:ascii="Calibri" w:hAnsi="Calibri"/>
                <w:b/>
                <w:color w:val="FFFFFF"/>
                <w:sz w:val="19"/>
              </w:rPr>
              <w:t>Functional Area</w:t>
            </w:r>
          </w:p>
        </w:tc>
        <w:tc>
          <w:tcPr>
            <w:tcW w:type="dxa" w:w="3120"/>
            <w:shd w:val="clear" w:color="auto" w:fill="1D4ED8"/>
            <w:tcW w:type="dxa" w:w="800"/>
          </w:tcPr>
          <w:p>
            <w:pPr>
              <w:spacing w:before="60" w:after="60"/>
            </w:pPr>
            <w:r>
              <w:rPr>
                <w:rFonts w:ascii="Calibri" w:hAnsi="Calibri"/>
                <w:b/>
                <w:color w:val="FFFFFF"/>
                <w:sz w:val="19"/>
              </w:rPr>
              <w:t>Gaps</w:t>
            </w:r>
          </w:p>
        </w:tc>
        <w:tc>
          <w:tcPr>
            <w:tcW w:type="dxa" w:w="3120"/>
            <w:shd w:val="clear" w:color="auto" w:fill="1D4ED8"/>
            <w:tcW w:type="dxa" w:w="1640"/>
          </w:tcPr>
          <w:p>
            <w:pPr>
              <w:spacing w:before="60" w:after="60"/>
            </w:pPr>
            <w:r>
              <w:rPr>
                <w:rFonts w:ascii="Calibri" w:hAnsi="Calibri"/>
                <w:b/>
                <w:color w:val="FFFFFF"/>
                <w:sz w:val="19"/>
              </w:rPr>
              <w:t>Priority</w:t>
            </w:r>
          </w:p>
        </w:tc>
      </w:tr>
      <w:tr>
        <w:tc>
          <w:tcPr>
            <w:tcW w:type="dxa" w:w="3120"/>
            <w:shd w:val="clear" w:color="auto" w:fill="FFFFFF"/>
            <w:tcW w:type="dxa" w:w="6200"/>
          </w:tcPr>
          <w:p>
            <w:pPr>
              <w:spacing w:before="60" w:after="60"/>
            </w:pPr>
            <w:r>
              <w:rPr>
                <w:rFonts w:ascii="Calibri" w:hAnsi="Calibri"/>
                <w:b w:val="0"/>
                <w:color w:val="374151"/>
                <w:sz w:val="19"/>
              </w:rPr>
              <w:t>1. Outbound Call Queue &amp; Routing</w:t>
            </w:r>
          </w:p>
        </w:tc>
        <w:tc>
          <w:tcPr>
            <w:tcW w:type="dxa" w:w="3120"/>
            <w:shd w:val="clear" w:color="auto" w:fill="FFFFFF"/>
            <w:tcW w:type="dxa" w:w="800"/>
          </w:tcPr>
          <w:p>
            <w:pPr>
              <w:spacing w:before="60" w:after="60"/>
            </w:pPr>
            <w:r>
              <w:rPr>
                <w:rFonts w:ascii="Calibri" w:hAnsi="Calibri"/>
                <w:b w:val="0"/>
                <w:color w:val="374151"/>
                <w:sz w:val="19"/>
              </w:rPr>
              <w:t>2</w:t>
            </w:r>
          </w:p>
        </w:tc>
        <w:tc>
          <w:tcPr>
            <w:tcW w:type="dxa" w:w="3120"/>
            <w:shd w:val="clear" w:color="auto" w:fill="FFFFFF"/>
            <w:tcW w:type="dxa" w:w="1640"/>
          </w:tcPr>
          <w:p>
            <w:pPr>
              <w:spacing w:before="60" w:after="60"/>
            </w:pPr>
            <w:r>
              <w:rPr>
                <w:rFonts w:ascii="Calibri" w:hAnsi="Calibri"/>
                <w:b w:val="0"/>
                <w:color w:val="374151"/>
                <w:sz w:val="19"/>
              </w:rPr>
              <w:t>v1.0</w:t>
            </w:r>
          </w:p>
        </w:tc>
      </w:tr>
      <w:tr>
        <w:tc>
          <w:tcPr>
            <w:tcW w:type="dxa" w:w="3120"/>
            <w:shd w:val="clear" w:color="auto" w:fill="F9FAFB"/>
            <w:tcW w:type="dxa" w:w="6200"/>
          </w:tcPr>
          <w:p>
            <w:pPr>
              <w:spacing w:before="60" w:after="60"/>
            </w:pPr>
            <w:r>
              <w:rPr>
                <w:rFonts w:ascii="Calibri" w:hAnsi="Calibri"/>
                <w:b w:val="0"/>
                <w:color w:val="374151"/>
                <w:sz w:val="19"/>
              </w:rPr>
              <w:t>2. HIPAA Verification &amp; Consent Management</w:t>
            </w:r>
          </w:p>
        </w:tc>
        <w:tc>
          <w:tcPr>
            <w:tcW w:type="dxa" w:w="3120"/>
            <w:shd w:val="clear" w:color="auto" w:fill="F9FAFB"/>
            <w:tcW w:type="dxa" w:w="800"/>
          </w:tcPr>
          <w:p>
            <w:pPr>
              <w:spacing w:before="60" w:after="60"/>
            </w:pPr>
            <w:r>
              <w:rPr>
                <w:rFonts w:ascii="Calibri" w:hAnsi="Calibri"/>
                <w:b w:val="0"/>
                <w:color w:val="374151"/>
                <w:sz w:val="19"/>
              </w:rPr>
              <w:t>3</w:t>
            </w:r>
          </w:p>
        </w:tc>
        <w:tc>
          <w:tcPr>
            <w:tcW w:type="dxa" w:w="3120"/>
            <w:shd w:val="clear" w:color="auto" w:fill="F9FAFB"/>
            <w:tcW w:type="dxa" w:w="1640"/>
          </w:tcPr>
          <w:p>
            <w:pPr>
              <w:spacing w:before="60" w:after="60"/>
            </w:pPr>
            <w:r>
              <w:rPr>
                <w:rFonts w:ascii="Calibri" w:hAnsi="Calibri"/>
                <w:b w:val="0"/>
                <w:color w:val="374151"/>
                <w:sz w:val="19"/>
              </w:rPr>
              <w:t>v1.0</w:t>
            </w:r>
          </w:p>
        </w:tc>
      </w:tr>
      <w:tr>
        <w:tc>
          <w:tcPr>
            <w:tcW w:type="dxa" w:w="3120"/>
            <w:shd w:val="clear" w:color="auto" w:fill="FFFFFF"/>
            <w:tcW w:type="dxa" w:w="6200"/>
          </w:tcPr>
          <w:p>
            <w:pPr>
              <w:spacing w:before="60" w:after="60"/>
            </w:pPr>
            <w:r>
              <w:rPr>
                <w:rFonts w:ascii="Calibri" w:hAnsi="Calibri"/>
                <w:b w:val="0"/>
                <w:color w:val="374151"/>
                <w:sz w:val="19"/>
              </w:rPr>
              <w:t>3. Consult Eligibility &amp; Clinical Routing</w:t>
            </w:r>
          </w:p>
        </w:tc>
        <w:tc>
          <w:tcPr>
            <w:tcW w:type="dxa" w:w="3120"/>
            <w:shd w:val="clear" w:color="auto" w:fill="FFFFFF"/>
            <w:tcW w:type="dxa" w:w="800"/>
          </w:tcPr>
          <w:p>
            <w:pPr>
              <w:spacing w:before="60" w:after="60"/>
            </w:pPr>
            <w:r>
              <w:rPr>
                <w:rFonts w:ascii="Calibri" w:hAnsi="Calibri"/>
                <w:b w:val="0"/>
                <w:color w:val="374151"/>
                <w:sz w:val="19"/>
              </w:rPr>
              <w:t>6</w:t>
            </w:r>
          </w:p>
        </w:tc>
        <w:tc>
          <w:tcPr>
            <w:tcW w:type="dxa" w:w="3120"/>
            <w:shd w:val="clear" w:color="auto" w:fill="FFFFFF"/>
            <w:tcW w:type="dxa" w:w="1640"/>
          </w:tcPr>
          <w:p>
            <w:pPr>
              <w:spacing w:before="60" w:after="60"/>
            </w:pPr>
            <w:r>
              <w:rPr>
                <w:rFonts w:ascii="Calibri" w:hAnsi="Calibri"/>
                <w:b w:val="0"/>
                <w:color w:val="374151"/>
                <w:sz w:val="19"/>
              </w:rPr>
              <w:t>v1.0</w:t>
            </w:r>
          </w:p>
        </w:tc>
      </w:tr>
      <w:tr>
        <w:tc>
          <w:tcPr>
            <w:tcW w:type="dxa" w:w="3120"/>
            <w:shd w:val="clear" w:color="auto" w:fill="F9FAFB"/>
            <w:tcW w:type="dxa" w:w="6200"/>
          </w:tcPr>
          <w:p>
            <w:pPr>
              <w:spacing w:before="60" w:after="60"/>
            </w:pPr>
            <w:r>
              <w:rPr>
                <w:rFonts w:ascii="Calibri" w:hAnsi="Calibri"/>
                <w:b w:val="0"/>
                <w:color w:val="374151"/>
                <w:sz w:val="19"/>
              </w:rPr>
              <w:t>4. PSR Call Management Interface</w:t>
            </w:r>
          </w:p>
        </w:tc>
        <w:tc>
          <w:tcPr>
            <w:tcW w:type="dxa" w:w="3120"/>
            <w:shd w:val="clear" w:color="auto" w:fill="F9FAFB"/>
            <w:tcW w:type="dxa" w:w="800"/>
          </w:tcPr>
          <w:p>
            <w:pPr>
              <w:spacing w:before="60" w:after="60"/>
            </w:pPr>
            <w:r>
              <w:rPr>
                <w:rFonts w:ascii="Calibri" w:hAnsi="Calibri"/>
                <w:b w:val="0"/>
                <w:color w:val="374151"/>
                <w:sz w:val="19"/>
              </w:rPr>
              <w:t>2</w:t>
            </w:r>
          </w:p>
        </w:tc>
        <w:tc>
          <w:tcPr>
            <w:tcW w:type="dxa" w:w="3120"/>
            <w:shd w:val="clear" w:color="auto" w:fill="F9FAFB"/>
            <w:tcW w:type="dxa" w:w="1640"/>
          </w:tcPr>
          <w:p>
            <w:pPr>
              <w:spacing w:before="60" w:after="60"/>
            </w:pPr>
            <w:r>
              <w:rPr>
                <w:rFonts w:ascii="Calibri" w:hAnsi="Calibri"/>
                <w:b w:val="0"/>
                <w:color w:val="374151"/>
                <w:sz w:val="19"/>
              </w:rPr>
              <w:t>v1.0</w:t>
            </w:r>
          </w:p>
        </w:tc>
      </w:tr>
      <w:tr>
        <w:tc>
          <w:tcPr>
            <w:tcW w:type="dxa" w:w="3120"/>
            <w:shd w:val="clear" w:color="auto" w:fill="FFFFFF"/>
            <w:tcW w:type="dxa" w:w="6200"/>
          </w:tcPr>
          <w:p>
            <w:pPr>
              <w:spacing w:before="60" w:after="60"/>
            </w:pPr>
            <w:r>
              <w:rPr>
                <w:rFonts w:ascii="Calibri" w:hAnsi="Calibri"/>
                <w:b w:val="0"/>
                <w:color w:val="374151"/>
                <w:sz w:val="19"/>
              </w:rPr>
              <w:t>5. PCC Referral Workflow &amp; Queue Management</w:t>
            </w:r>
          </w:p>
        </w:tc>
        <w:tc>
          <w:tcPr>
            <w:tcW w:type="dxa" w:w="3120"/>
            <w:shd w:val="clear" w:color="auto" w:fill="FFFFFF"/>
            <w:tcW w:type="dxa" w:w="800"/>
          </w:tcPr>
          <w:p>
            <w:pPr>
              <w:spacing w:before="60" w:after="60"/>
            </w:pPr>
            <w:r>
              <w:rPr>
                <w:rFonts w:ascii="Calibri" w:hAnsi="Calibri"/>
                <w:b w:val="0"/>
                <w:color w:val="374151"/>
                <w:sz w:val="19"/>
              </w:rPr>
              <w:t>6</w:t>
            </w:r>
          </w:p>
        </w:tc>
        <w:tc>
          <w:tcPr>
            <w:tcW w:type="dxa" w:w="3120"/>
            <w:shd w:val="clear" w:color="auto" w:fill="FFFFFF"/>
            <w:tcW w:type="dxa" w:w="1640"/>
          </w:tcPr>
          <w:p>
            <w:pPr>
              <w:spacing w:before="60" w:after="60"/>
            </w:pPr>
            <w:r>
              <w:rPr>
                <w:rFonts w:ascii="Calibri" w:hAnsi="Calibri"/>
                <w:b w:val="0"/>
                <w:color w:val="374151"/>
                <w:sz w:val="19"/>
              </w:rPr>
              <w:t>v1.0</w:t>
            </w:r>
          </w:p>
        </w:tc>
      </w:tr>
      <w:tr>
        <w:tc>
          <w:tcPr>
            <w:tcW w:type="dxa" w:w="3120"/>
            <w:shd w:val="clear" w:color="auto" w:fill="F9FAFB"/>
            <w:tcW w:type="dxa" w:w="6200"/>
          </w:tcPr>
          <w:p>
            <w:pPr>
              <w:spacing w:before="60" w:after="60"/>
            </w:pPr>
            <w:r>
              <w:rPr>
                <w:rFonts w:ascii="Calibri" w:hAnsi="Calibri"/>
                <w:b w:val="0"/>
                <w:color w:val="374151"/>
                <w:sz w:val="19"/>
              </w:rPr>
              <w:t>6. Physician Monitoring &amp; QA</w:t>
            </w:r>
          </w:p>
        </w:tc>
        <w:tc>
          <w:tcPr>
            <w:tcW w:type="dxa" w:w="3120"/>
            <w:shd w:val="clear" w:color="auto" w:fill="F9FAFB"/>
            <w:tcW w:type="dxa" w:w="800"/>
          </w:tcPr>
          <w:p>
            <w:pPr>
              <w:spacing w:before="60" w:after="60"/>
            </w:pPr>
            <w:r>
              <w:rPr>
                <w:rFonts w:ascii="Calibri" w:hAnsi="Calibri"/>
                <w:b w:val="0"/>
                <w:color w:val="374151"/>
                <w:sz w:val="19"/>
              </w:rPr>
              <w:t>2</w:t>
            </w:r>
          </w:p>
        </w:tc>
        <w:tc>
          <w:tcPr>
            <w:tcW w:type="dxa" w:w="3120"/>
            <w:shd w:val="clear" w:color="auto" w:fill="F9FAFB"/>
            <w:tcW w:type="dxa" w:w="1640"/>
          </w:tcPr>
          <w:p>
            <w:pPr>
              <w:spacing w:before="60" w:after="60"/>
            </w:pPr>
            <w:r>
              <w:rPr>
                <w:rFonts w:ascii="Calibri" w:hAnsi="Calibri"/>
                <w:b w:val="0"/>
                <w:color w:val="374151"/>
                <w:sz w:val="19"/>
              </w:rPr>
              <w:t>v1.0</w:t>
            </w:r>
          </w:p>
        </w:tc>
      </w:tr>
      <w:tr>
        <w:tc>
          <w:tcPr>
            <w:tcW w:type="dxa" w:w="3120"/>
            <w:shd w:val="clear" w:color="auto" w:fill="FFFFFF"/>
            <w:tcW w:type="dxa" w:w="6200"/>
          </w:tcPr>
          <w:p>
            <w:pPr>
              <w:spacing w:before="60" w:after="60"/>
            </w:pPr>
            <w:r>
              <w:rPr>
                <w:rFonts w:ascii="Calibri" w:hAnsi="Calibri"/>
                <w:b w:val="0"/>
                <w:color w:val="374151"/>
                <w:sz w:val="19"/>
              </w:rPr>
              <w:t>7. Automated Detection &amp; Escalation</w:t>
            </w:r>
          </w:p>
        </w:tc>
        <w:tc>
          <w:tcPr>
            <w:tcW w:type="dxa" w:w="3120"/>
            <w:shd w:val="clear" w:color="auto" w:fill="FFFFFF"/>
            <w:tcW w:type="dxa" w:w="800"/>
          </w:tcPr>
          <w:p>
            <w:pPr>
              <w:spacing w:before="60" w:after="60"/>
            </w:pPr>
            <w:r>
              <w:rPr>
                <w:rFonts w:ascii="Calibri" w:hAnsi="Calibri"/>
                <w:b w:val="0"/>
                <w:color w:val="374151"/>
                <w:sz w:val="19"/>
              </w:rPr>
              <w:t>5</w:t>
            </w:r>
          </w:p>
        </w:tc>
        <w:tc>
          <w:tcPr>
            <w:tcW w:type="dxa" w:w="3120"/>
            <w:shd w:val="clear" w:color="auto" w:fill="FFFFFF"/>
            <w:tcW w:type="dxa" w:w="1640"/>
          </w:tcPr>
          <w:p>
            <w:pPr>
              <w:spacing w:before="60" w:after="60"/>
            </w:pPr>
            <w:r>
              <w:rPr>
                <w:rFonts w:ascii="Calibri" w:hAnsi="Calibri"/>
                <w:b w:val="0"/>
                <w:color w:val="374151"/>
                <w:sz w:val="19"/>
              </w:rPr>
              <w:t>v1.0</w:t>
            </w:r>
          </w:p>
        </w:tc>
      </w:tr>
      <w:tr>
        <w:tc>
          <w:tcPr>
            <w:tcW w:type="dxa" w:w="3120"/>
            <w:shd w:val="clear" w:color="auto" w:fill="F9FAFB"/>
            <w:tcW w:type="dxa" w:w="6200"/>
          </w:tcPr>
          <w:p>
            <w:pPr>
              <w:spacing w:before="60" w:after="60"/>
            </w:pPr>
            <w:r>
              <w:rPr>
                <w:rFonts w:ascii="Calibri" w:hAnsi="Calibri"/>
                <w:b w:val="0"/>
                <w:color w:val="374151"/>
                <w:sz w:val="19"/>
              </w:rPr>
              <w:t>8. Thyroid Program Extensions</w:t>
            </w:r>
          </w:p>
        </w:tc>
        <w:tc>
          <w:tcPr>
            <w:tcW w:type="dxa" w:w="3120"/>
            <w:shd w:val="clear" w:color="auto" w:fill="F9FAFB"/>
            <w:tcW w:type="dxa" w:w="800"/>
          </w:tcPr>
          <w:p>
            <w:pPr>
              <w:spacing w:before="60" w:after="60"/>
            </w:pPr>
            <w:r>
              <w:rPr>
                <w:rFonts w:ascii="Calibri" w:hAnsi="Calibri"/>
                <w:b w:val="0"/>
                <w:color w:val="374151"/>
                <w:sz w:val="19"/>
              </w:rPr>
              <w:t>2</w:t>
            </w:r>
          </w:p>
        </w:tc>
        <w:tc>
          <w:tcPr>
            <w:tcW w:type="dxa" w:w="3120"/>
            <w:shd w:val="clear" w:color="auto" w:fill="F9FAFB"/>
            <w:tcW w:type="dxa" w:w="1640"/>
          </w:tcPr>
          <w:p>
            <w:pPr>
              <w:spacing w:before="60" w:after="60"/>
            </w:pPr>
            <w:r>
              <w:rPr>
                <w:rFonts w:ascii="Calibri" w:hAnsi="Calibri"/>
                <w:b w:val="0"/>
                <w:color w:val="374151"/>
                <w:sz w:val="19"/>
              </w:rPr>
              <w:t>v1.0</w:t>
            </w:r>
          </w:p>
        </w:tc>
      </w:tr>
      <w:tr>
        <w:tc>
          <w:tcPr>
            <w:tcW w:type="dxa" w:w="3120"/>
            <w:shd w:val="clear" w:color="auto" w:fill="FFFFFF"/>
            <w:tcW w:type="dxa" w:w="6200"/>
          </w:tcPr>
          <w:p>
            <w:pPr>
              <w:spacing w:before="60" w:after="60"/>
            </w:pPr>
            <w:r>
              <w:rPr>
                <w:rFonts w:ascii="Calibri" w:hAnsi="Calibri"/>
                <w:b w:val="0"/>
                <w:color w:val="374151"/>
                <w:sz w:val="19"/>
              </w:rPr>
              <w:t>9. GCA — On-Hold, Order Release &amp; Consent</w:t>
            </w:r>
          </w:p>
        </w:tc>
        <w:tc>
          <w:tcPr>
            <w:tcW w:type="dxa" w:w="3120"/>
            <w:shd w:val="clear" w:color="auto" w:fill="FFFFFF"/>
            <w:tcW w:type="dxa" w:w="800"/>
          </w:tcPr>
          <w:p>
            <w:pPr>
              <w:spacing w:before="60" w:after="60"/>
            </w:pPr>
            <w:r>
              <w:rPr>
                <w:rFonts w:ascii="Calibri" w:hAnsi="Calibri"/>
                <w:b w:val="0"/>
                <w:color w:val="374151"/>
                <w:sz w:val="19"/>
              </w:rPr>
              <w:t>3</w:t>
            </w:r>
          </w:p>
        </w:tc>
        <w:tc>
          <w:tcPr>
            <w:tcW w:type="dxa" w:w="3120"/>
            <w:shd w:val="clear" w:color="auto" w:fill="FFFFFF"/>
            <w:tcW w:type="dxa" w:w="1640"/>
          </w:tcPr>
          <w:p>
            <w:pPr>
              <w:spacing w:before="60" w:after="60"/>
            </w:pPr>
            <w:r>
              <w:rPr>
                <w:rFonts w:ascii="Calibri" w:hAnsi="Calibri"/>
                <w:b w:val="0"/>
                <w:color w:val="374151"/>
                <w:sz w:val="19"/>
              </w:rPr>
              <w:t>v1.0</w:t>
            </w:r>
          </w:p>
        </w:tc>
      </w:tr>
      <w:tr>
        <w:tc>
          <w:tcPr>
            <w:tcW w:type="dxa" w:w="3120"/>
            <w:shd w:val="clear" w:color="auto" w:fill="F9FAFB"/>
            <w:tcW w:type="dxa" w:w="6200"/>
          </w:tcPr>
          <w:p>
            <w:pPr>
              <w:spacing w:before="60" w:after="60"/>
            </w:pPr>
            <w:r>
              <w:rPr>
                <w:rFonts w:ascii="Calibri" w:hAnsi="Calibri"/>
                <w:b w:val="0"/>
                <w:color w:val="374151"/>
                <w:sz w:val="19"/>
              </w:rPr>
              <w:t>10. GCA — Order Management &amp; Vendor Coordination</w:t>
            </w:r>
          </w:p>
        </w:tc>
        <w:tc>
          <w:tcPr>
            <w:tcW w:type="dxa" w:w="3120"/>
            <w:shd w:val="clear" w:color="auto" w:fill="F9FAFB"/>
            <w:tcW w:type="dxa" w:w="800"/>
          </w:tcPr>
          <w:p>
            <w:pPr>
              <w:spacing w:before="60" w:after="60"/>
            </w:pPr>
            <w:r>
              <w:rPr>
                <w:rFonts w:ascii="Calibri" w:hAnsi="Calibri"/>
                <w:b w:val="0"/>
                <w:color w:val="374151"/>
                <w:sz w:val="19"/>
              </w:rPr>
              <w:t>4</w:t>
            </w:r>
          </w:p>
        </w:tc>
        <w:tc>
          <w:tcPr>
            <w:tcW w:type="dxa" w:w="3120"/>
            <w:shd w:val="clear" w:color="auto" w:fill="F9FAFB"/>
            <w:tcW w:type="dxa" w:w="1640"/>
          </w:tcPr>
          <w:p>
            <w:pPr>
              <w:spacing w:before="60" w:after="60"/>
            </w:pPr>
            <w:r>
              <w:rPr>
                <w:rFonts w:ascii="Calibri" w:hAnsi="Calibri"/>
                <w:b w:val="0"/>
                <w:color w:val="374151"/>
                <w:sz w:val="19"/>
              </w:rPr>
              <w:t>Mixed</w:t>
            </w:r>
          </w:p>
        </w:tc>
      </w:tr>
      <w:tr>
        <w:tc>
          <w:tcPr>
            <w:tcW w:type="dxa" w:w="3120"/>
            <w:shd w:val="clear" w:color="auto" w:fill="FFFFFF"/>
            <w:tcW w:type="dxa" w:w="6200"/>
          </w:tcPr>
          <w:p>
            <w:pPr>
              <w:spacing w:before="60" w:after="60"/>
            </w:pPr>
            <w:r>
              <w:rPr>
                <w:rFonts w:ascii="Calibri" w:hAnsi="Calibri"/>
                <w:b w:val="0"/>
                <w:color w:val="374151"/>
                <w:sz w:val="19"/>
              </w:rPr>
              <w:t>11. GCA — Patient Communications &amp; Results Delivery</w:t>
            </w:r>
          </w:p>
        </w:tc>
        <w:tc>
          <w:tcPr>
            <w:tcW w:type="dxa" w:w="3120"/>
            <w:shd w:val="clear" w:color="auto" w:fill="FFFFFF"/>
            <w:tcW w:type="dxa" w:w="800"/>
          </w:tcPr>
          <w:p>
            <w:pPr>
              <w:spacing w:before="60" w:after="60"/>
            </w:pPr>
            <w:r>
              <w:rPr>
                <w:rFonts w:ascii="Calibri" w:hAnsi="Calibri"/>
                <w:b w:val="0"/>
                <w:color w:val="374151"/>
                <w:sz w:val="19"/>
              </w:rPr>
              <w:t>3</w:t>
            </w:r>
          </w:p>
        </w:tc>
        <w:tc>
          <w:tcPr>
            <w:tcW w:type="dxa" w:w="3120"/>
            <w:shd w:val="clear" w:color="auto" w:fill="FFFFFF"/>
            <w:tcW w:type="dxa" w:w="1640"/>
          </w:tcPr>
          <w:p>
            <w:pPr>
              <w:spacing w:before="60" w:after="60"/>
            </w:pPr>
            <w:r>
              <w:rPr>
                <w:rFonts w:ascii="Calibri" w:hAnsi="Calibri"/>
                <w:b w:val="0"/>
                <w:color w:val="374151"/>
                <w:sz w:val="19"/>
              </w:rPr>
              <w:t>Mixed</w:t>
            </w:r>
          </w:p>
        </w:tc>
      </w:tr>
      <w:tr>
        <w:tc>
          <w:tcPr>
            <w:tcW w:type="dxa" w:w="3120"/>
            <w:shd w:val="clear" w:color="auto" w:fill="F9FAFB"/>
            <w:tcW w:type="dxa" w:w="6200"/>
          </w:tcPr>
          <w:p>
            <w:pPr>
              <w:spacing w:before="60" w:after="60"/>
            </w:pPr>
            <w:r>
              <w:rPr>
                <w:rFonts w:ascii="Calibri" w:hAnsi="Calibri"/>
                <w:b w:val="0"/>
                <w:color w:val="374151"/>
                <w:sz w:val="19"/>
              </w:rPr>
              <w:t>12. GCA — Consult Management &amp; Scheduling</w:t>
            </w:r>
          </w:p>
        </w:tc>
        <w:tc>
          <w:tcPr>
            <w:tcW w:type="dxa" w:w="3120"/>
            <w:shd w:val="clear" w:color="auto" w:fill="F9FAFB"/>
            <w:tcW w:type="dxa" w:w="800"/>
          </w:tcPr>
          <w:p>
            <w:pPr>
              <w:spacing w:before="60" w:after="60"/>
            </w:pPr>
            <w:r>
              <w:rPr>
                <w:rFonts w:ascii="Calibri" w:hAnsi="Calibri"/>
                <w:b w:val="0"/>
                <w:color w:val="374151"/>
                <w:sz w:val="19"/>
              </w:rPr>
              <w:t>3</w:t>
            </w:r>
          </w:p>
        </w:tc>
        <w:tc>
          <w:tcPr>
            <w:tcW w:type="dxa" w:w="3120"/>
            <w:shd w:val="clear" w:color="auto" w:fill="F9FAFB"/>
            <w:tcW w:type="dxa" w:w="1640"/>
          </w:tcPr>
          <w:p>
            <w:pPr>
              <w:spacing w:before="60" w:after="60"/>
            </w:pPr>
            <w:r>
              <w:rPr>
                <w:rFonts w:ascii="Calibri" w:hAnsi="Calibri"/>
                <w:b w:val="0"/>
                <w:color w:val="374151"/>
                <w:sz w:val="19"/>
              </w:rPr>
              <w:t>v1.0</w:t>
            </w:r>
          </w:p>
        </w:tc>
      </w:tr>
      <w:tr>
        <w:tc>
          <w:tcPr>
            <w:tcW w:type="dxa" w:w="3120"/>
            <w:shd w:val="clear" w:color="auto" w:fill="FFFFFF"/>
            <w:tcW w:type="dxa" w:w="6200"/>
          </w:tcPr>
          <w:p>
            <w:pPr>
              <w:spacing w:before="60" w:after="60"/>
            </w:pPr>
            <w:r>
              <w:rPr>
                <w:rFonts w:ascii="Calibri" w:hAnsi="Calibri"/>
                <w:b w:val="0"/>
                <w:color w:val="374151"/>
                <w:sz w:val="19"/>
              </w:rPr>
              <w:t>13. GCA — QA, Billing &amp; Performance Monitoring</w:t>
            </w:r>
          </w:p>
        </w:tc>
        <w:tc>
          <w:tcPr>
            <w:tcW w:type="dxa" w:w="3120"/>
            <w:shd w:val="clear" w:color="auto" w:fill="FFFFFF"/>
            <w:tcW w:type="dxa" w:w="800"/>
          </w:tcPr>
          <w:p>
            <w:pPr>
              <w:spacing w:before="60" w:after="60"/>
            </w:pPr>
            <w:r>
              <w:rPr>
                <w:rFonts w:ascii="Calibri" w:hAnsi="Calibri"/>
                <w:b w:val="0"/>
                <w:color w:val="374151"/>
                <w:sz w:val="19"/>
              </w:rPr>
              <w:t>5</w:t>
            </w:r>
          </w:p>
        </w:tc>
        <w:tc>
          <w:tcPr>
            <w:tcW w:type="dxa" w:w="3120"/>
            <w:shd w:val="clear" w:color="auto" w:fill="FFFFFF"/>
            <w:tcW w:type="dxa" w:w="1640"/>
          </w:tcPr>
          <w:p>
            <w:pPr>
              <w:spacing w:before="60" w:after="60"/>
            </w:pPr>
            <w:r>
              <w:rPr>
                <w:rFonts w:ascii="Calibri" w:hAnsi="Calibri"/>
                <w:b w:val="0"/>
                <w:color w:val="374151"/>
                <w:sz w:val="19"/>
              </w:rPr>
              <w:t>Mixed</w:t>
            </w:r>
          </w:p>
        </w:tc>
      </w:tr>
      <w:tr>
        <w:tc>
          <w:tcPr>
            <w:tcW w:type="dxa" w:w="3120"/>
            <w:shd w:val="clear" w:color="auto" w:fill="F9FAFB"/>
            <w:tcW w:type="dxa" w:w="6200"/>
          </w:tcPr>
          <w:p>
            <w:pPr>
              <w:spacing w:before="60" w:after="60"/>
            </w:pPr>
            <w:r>
              <w:rPr>
                <w:rFonts w:ascii="Calibri" w:hAnsi="Calibri"/>
                <w:b w:val="0"/>
                <w:color w:val="374151"/>
                <w:sz w:val="19"/>
              </w:rPr>
              <w:t>14. Platform Administration — GC, Auth &amp; Call-In Rx</w:t>
            </w:r>
          </w:p>
        </w:tc>
        <w:tc>
          <w:tcPr>
            <w:tcW w:type="dxa" w:w="3120"/>
            <w:shd w:val="clear" w:color="auto" w:fill="F9FAFB"/>
            <w:tcW w:type="dxa" w:w="800"/>
          </w:tcPr>
          <w:p>
            <w:pPr>
              <w:spacing w:before="60" w:after="60"/>
            </w:pPr>
            <w:r>
              <w:rPr>
                <w:rFonts w:ascii="Calibri" w:hAnsi="Calibri"/>
                <w:b w:val="0"/>
                <w:color w:val="374151"/>
                <w:sz w:val="19"/>
              </w:rPr>
              <w:t>3</w:t>
            </w:r>
          </w:p>
        </w:tc>
        <w:tc>
          <w:tcPr>
            <w:tcW w:type="dxa" w:w="3120"/>
            <w:shd w:val="clear" w:color="auto" w:fill="F9FAFB"/>
            <w:tcW w:type="dxa" w:w="1640"/>
          </w:tcPr>
          <w:p>
            <w:pPr>
              <w:spacing w:before="60" w:after="60"/>
            </w:pPr>
            <w:r>
              <w:rPr>
                <w:rFonts w:ascii="Calibri" w:hAnsi="Calibri"/>
                <w:b w:val="0"/>
                <w:color w:val="374151"/>
                <w:sz w:val="19"/>
              </w:rPr>
              <w:t>v1.0</w:t>
            </w:r>
          </w:p>
        </w:tc>
      </w:tr>
      <w:tr>
        <w:tc>
          <w:tcPr>
            <w:tcW w:type="dxa" w:w="3120"/>
            <w:shd w:val="clear" w:color="auto" w:fill="EFF6FF"/>
            <w:tcW w:type="dxa" w:w="6200"/>
          </w:tcPr>
          <w:p>
            <w:pPr>
              <w:spacing w:before="60" w:after="60"/>
            </w:pPr>
            <w:r>
              <w:rPr>
                <w:rFonts w:ascii="Calibri" w:hAnsi="Calibri"/>
                <w:b/>
                <w:color w:val="1D4ED8"/>
                <w:sz w:val="19"/>
              </w:rPr>
              <w:t>TOTAL</w:t>
            </w:r>
          </w:p>
        </w:tc>
        <w:tc>
          <w:tcPr>
            <w:tcW w:type="dxa" w:w="3120"/>
            <w:shd w:val="clear" w:color="auto" w:fill="EFF6FF"/>
            <w:tcW w:type="dxa" w:w="800"/>
          </w:tcPr>
          <w:p>
            <w:pPr>
              <w:spacing w:before="60" w:after="60"/>
            </w:pPr>
            <w:r>
              <w:rPr>
                <w:rFonts w:ascii="Calibri" w:hAnsi="Calibri"/>
                <w:b/>
                <w:color w:val="1D4ED8"/>
                <w:sz w:val="19"/>
              </w:rPr>
              <w:t>49</w:t>
            </w:r>
          </w:p>
        </w:tc>
        <w:tc>
          <w:tcPr>
            <w:tcW w:type="dxa" w:w="3120"/>
            <w:shd w:val="clear" w:color="auto" w:fill="EFF6FF"/>
            <w:tcW w:type="dxa" w:w="1640"/>
          </w:tcPr>
          <w:p>
            <w:pPr>
              <w:spacing w:before="60" w:after="60"/>
            </w:pPr>
            <w:r>
              <w:rPr>
                <w:rFonts w:ascii="Calibri" w:hAnsi="Calibri"/>
                <w:b/>
                <w:color w:val="1D4ED8"/>
                <w:sz w:val="19"/>
              </w:rPr>
              <w:t>—</w:t>
            </w:r>
          </w:p>
        </w:tc>
      </w:tr>
    </w:tbl>
    <w:p/>
    <w:p>
      <w:pPr>
        <w:spacing w:before="280" w:after="120"/>
        <w:pBdr>
          <w:bottom w:val="single" w:sz="6" w:space="1" w:color="1D4ED8"/>
        </w:pBdr>
      </w:pPr>
      <w:r>
        <w:rPr>
          <w:rFonts w:ascii="Calibri" w:hAnsi="Calibri"/>
          <w:b/>
          <w:color w:val="1D4ED8"/>
          <w:sz w:val="26"/>
        </w:rPr>
        <w:t>1. Outbound Call Queue &amp; Routing</w:t>
      </w:r>
    </w:p>
    <w:tbl>
      <w:tblPr>
        <w:tblW w:type="auto" w:w="0"/>
        <w:tblLook w:firstColumn="1" w:firstRow="1" w:lastColumn="0" w:lastRow="0" w:noHBand="0" w:noVBand="1" w:val="04A0"/>
        <w:tblW w:type="dxa" w:w="8640"/>
        <w:tblBorders>
          <w:top w:val="single" w:sz="6" w:space="0" w:color="1D4ED8"/>
          <w:left w:val="single" w:sz="6" w:space="0" w:color="1D4ED8"/>
          <w:bottom w:val="single" w:sz="6" w:space="0" w:color="1D4ED8"/>
          <w:right w:val="single" w:sz="6" w:space="0" w:color="1D4ED8"/>
          <w:insideH w:val="single" w:sz="6" w:space="0" w:color="1D4ED8"/>
          <w:insideV w:val="single" w:sz="6" w:space="0" w:color="1D4ED8"/>
        </w:tblBorders>
      </w:tblPr>
      <w:tblGrid>
        <w:gridCol w:w="4680"/>
        <w:gridCol w:w="4680"/>
      </w:tblGrid>
      <w:tr>
        <w:tc>
          <w:tcPr>
            <w:tcW w:type="dxa" w:w="9360"/>
            <w:gridSpan w:val="2"/>
            <w:shd w:val="clear" w:color="auto" w:fill="1D4ED8"/>
          </w:tcPr>
          <w:p>
            <w:pPr>
              <w:spacing w:before="80" w:after="80"/>
            </w:pPr>
            <w:r>
              <w:rPr>
                <w:rFonts w:ascii="Calibri" w:hAnsi="Calibri"/>
                <w:b/>
                <w:color w:val="FFFFFF"/>
                <w:sz w:val="17"/>
              </w:rPr>
              <w:t xml:space="preserve">CT-GAP-01  </w:t>
            </w:r>
            <w:r>
              <w:rPr>
                <w:rFonts w:ascii="Calibri" w:hAnsi="Calibri"/>
                <w:b/>
                <w:color w:val="FFFFFF"/>
                <w:sz w:val="21"/>
              </w:rPr>
              <w:t>PSR Outbound Call Queue — Client/Program-Scoped Routing</w:t>
            </w:r>
            <w:r>
              <w:rPr>
                <w:rFonts w:ascii="Calibri" w:hAnsi="Calibri"/>
                <w:b w:val="0"/>
                <w:color w:val="D1FAE5"/>
                <w:sz w:val="17"/>
              </w:rPr>
              <w:t xml:space="preserve">    [M02]  |  Care Team Portal  |  v1.0</w:t>
            </w:r>
          </w:p>
        </w:tc>
      </w:tr>
      <w:tr>
        <w:tc>
          <w:tcPr>
            <w:tcW w:type="dxa" w:w="4680"/>
            <w:shd w:val="clear" w:color="auto" w:fill="F1F5F9"/>
            <w:tcW w:type="dxa" w:w="4320"/>
          </w:tcPr>
          <w:p>
            <w:pPr>
              <w:spacing w:before="60" w:after="60"/>
            </w:pPr>
            <w:r>
              <w:rPr>
                <w:rFonts w:ascii="Calibri" w:hAnsi="Calibri"/>
                <w:b/>
                <w:color w:val="374151"/>
                <w:sz w:val="18"/>
              </w:rPr>
              <w:t>What Is the Gap (Current State)</w:t>
            </w:r>
          </w:p>
        </w:tc>
        <w:tc>
          <w:tcPr>
            <w:tcW w:type="dxa" w:w="4680"/>
            <w:shd w:val="clear" w:color="auto" w:fill="F1F5F9"/>
            <w:tcW w:type="dxa" w:w="4320"/>
          </w:tcPr>
          <w:p>
            <w:pPr>
              <w:spacing w:before="60" w:after="60"/>
            </w:pPr>
            <w:r>
              <w:rPr>
                <w:rFonts w:ascii="Calibri" w:hAnsi="Calibri"/>
                <w:b/>
                <w:color w:val="374151"/>
                <w:sz w:val="18"/>
              </w:rPr>
              <w:t>How Phoenix Fixes It</w:t>
            </w:r>
          </w:p>
        </w:tc>
      </w:tr>
      <w:tr>
        <w:tc>
          <w:tcPr>
            <w:tcW w:type="dxa" w:w="4680"/>
            <w:shd w:val="clear" w:color="auto" w:fill="FFFFFF"/>
            <w:tcW w:type="dxa" w:w="4320"/>
            <w:tcMar>
              <w:top w:w="80" w:type="dxa"/>
              <w:bottom w:w="80" w:type="dxa"/>
              <w:left w:w="120" w:type="dxa"/>
              <w:right w:w="120" w:type="dxa"/>
            </w:tcMar>
          </w:tcPr>
          <w:p>
            <w:pPr>
              <w:spacing w:before="40" w:after="40"/>
            </w:pPr>
            <w:r>
              <w:rPr>
                <w:rFonts w:ascii="Calibri" w:hAnsi="Calibri"/>
                <w:b w:val="0"/>
                <w:color w:val="374151"/>
                <w:sz w:val="19"/>
              </w:rPr>
              <w:t>No PSR-specific outbound call queue exists. PSRs currently work from Zendesk views filtered by client and program. The platform has no queue that surfaces patients requiring outreach scoped to the PSR's assigned client programs, showing patient initials, analyte(s), call attempt count (max 3 over 3 days), and preferred time zone.</w:t>
            </w:r>
          </w:p>
        </w:tc>
        <w:tc>
          <w:tcPr>
            <w:tcW w:type="dxa" w:w="4680"/>
            <w:shd w:val="clear" w:color="auto" w:fill="FFFFFF"/>
            <w:tcW w:type="dxa" w:w="4320"/>
            <w:tcMar>
              <w:top w:w="80" w:type="dxa"/>
              <w:bottom w:w="80" w:type="dxa"/>
              <w:left w:w="120" w:type="dxa"/>
              <w:right w:w="120" w:type="dxa"/>
            </w:tcMar>
          </w:tcPr>
          <w:p>
            <w:pPr>
              <w:spacing w:before="40" w:after="40"/>
            </w:pPr>
            <w:r>
              <w:rPr>
                <w:rFonts w:ascii="Calibri" w:hAnsi="Calibri"/>
                <w:b w:val="0"/>
                <w:color w:val="374151"/>
                <w:sz w:val="19"/>
              </w:rPr>
              <w:t>Build a PSR Outbound Call Queue in the Care Team Portal. Each row: patient initials/age/sex, care product, result type, client, state, HIPAA status, attempt count (1–3), Log Call action. Filtered to the PSR's assigned client programs. Priority: critical/abnormal first, then attempt age. Pull model — PSR takes the next available case. Equivalent of the MA and RN queues.</w:t>
            </w:r>
          </w:p>
        </w:tc>
      </w:tr>
      <w:tr>
        <w:tc>
          <w:tcPr>
            <w:tcW w:type="dxa" w:w="9360"/>
            <w:gridSpan w:val="2"/>
            <w:shd w:val="clear" w:color="auto" w:fill="F8FAFC"/>
          </w:tcPr>
          <w:p>
            <w:pPr>
              <w:spacing w:before="60" w:after="60"/>
            </w:pPr>
            <w:r>
              <w:rPr>
                <w:rFonts w:ascii="Calibri" w:hAnsi="Calibri"/>
                <w:b/>
                <w:color w:val="1D4ED8"/>
                <w:sz w:val="18"/>
              </w:rPr>
              <w:t xml:space="preserve">Queue / Routing:  </w:t>
            </w:r>
            <w:r>
              <w:rPr>
                <w:rFonts w:ascii="Calibri" w:hAnsi="Calibri"/>
                <w:b w:val="0"/>
                <w:color w:val="374151"/>
                <w:sz w:val="18"/>
              </w:rPr>
              <w:t>Care Team Outbound Queue → PSR role. Pull model (unassigned visible to all eligible PSRs). Assignment locks to claiming PSR.</w:t>
            </w:r>
          </w:p>
        </w:tc>
      </w:tr>
    </w:tbl>
    <w:p>
      <w:pPr>
        <w:spacing w:after="80"/>
      </w:pPr>
    </w:p>
    <w:tbl>
      <w:tblPr>
        <w:tblW w:type="auto" w:w="0"/>
        <w:tblLook w:firstColumn="1" w:firstRow="1" w:lastColumn="0" w:lastRow="0" w:noHBand="0" w:noVBand="1" w:val="04A0"/>
        <w:tblW w:type="dxa" w:w="8640"/>
        <w:tblBorders>
          <w:top w:val="single" w:sz="6" w:space="0" w:color="1D4ED8"/>
          <w:left w:val="single" w:sz="6" w:space="0" w:color="1D4ED8"/>
          <w:bottom w:val="single" w:sz="6" w:space="0" w:color="1D4ED8"/>
          <w:right w:val="single" w:sz="6" w:space="0" w:color="1D4ED8"/>
          <w:insideH w:val="single" w:sz="6" w:space="0" w:color="1D4ED8"/>
          <w:insideV w:val="single" w:sz="6" w:space="0" w:color="1D4ED8"/>
        </w:tblBorders>
      </w:tblPr>
      <w:tblGrid>
        <w:gridCol w:w="4680"/>
        <w:gridCol w:w="4680"/>
      </w:tblGrid>
      <w:tr>
        <w:tc>
          <w:tcPr>
            <w:tcW w:type="dxa" w:w="9360"/>
            <w:gridSpan w:val="2"/>
            <w:shd w:val="clear" w:color="auto" w:fill="1D4ED8"/>
          </w:tcPr>
          <w:p>
            <w:pPr>
              <w:spacing w:before="80" w:after="80"/>
            </w:pPr>
            <w:r>
              <w:rPr>
                <w:rFonts w:ascii="Calibri" w:hAnsi="Calibri"/>
                <w:b/>
                <w:color w:val="FFFFFF"/>
                <w:sz w:val="17"/>
              </w:rPr>
              <w:t xml:space="preserve">CT-GAP-02  </w:t>
            </w:r>
            <w:r>
              <w:rPr>
                <w:rFonts w:ascii="Calibri" w:hAnsi="Calibri"/>
                <w:b/>
                <w:color w:val="FFFFFF"/>
                <w:sz w:val="21"/>
              </w:rPr>
              <w:t>Call Attempt Auto-Progression — 3-Day/3-Call Protocol + Certified Letter Trigger</w:t>
            </w:r>
            <w:r>
              <w:rPr>
                <w:rFonts w:ascii="Calibri" w:hAnsi="Calibri"/>
                <w:b w:val="0"/>
                <w:color w:val="D1FAE5"/>
                <w:sz w:val="17"/>
              </w:rPr>
              <w:t xml:space="preserve">    [M08]  |  Care Team Portal  |  v1.0</w:t>
            </w:r>
          </w:p>
        </w:tc>
      </w:tr>
      <w:tr>
        <w:tc>
          <w:tcPr>
            <w:tcW w:type="dxa" w:w="4680"/>
            <w:shd w:val="clear" w:color="auto" w:fill="F1F5F9"/>
            <w:tcW w:type="dxa" w:w="4320"/>
          </w:tcPr>
          <w:p>
            <w:pPr>
              <w:spacing w:before="60" w:after="60"/>
            </w:pPr>
            <w:r>
              <w:rPr>
                <w:rFonts w:ascii="Calibri" w:hAnsi="Calibri"/>
                <w:b/>
                <w:color w:val="374151"/>
                <w:sz w:val="18"/>
              </w:rPr>
              <w:t>What Is the Gap (Current State)</w:t>
            </w:r>
          </w:p>
        </w:tc>
        <w:tc>
          <w:tcPr>
            <w:tcW w:type="dxa" w:w="4680"/>
            <w:shd w:val="clear" w:color="auto" w:fill="F1F5F9"/>
            <w:tcW w:type="dxa" w:w="4320"/>
          </w:tcPr>
          <w:p>
            <w:pPr>
              <w:spacing w:before="60" w:after="60"/>
            </w:pPr>
            <w:r>
              <w:rPr>
                <w:rFonts w:ascii="Calibri" w:hAnsi="Calibri"/>
                <w:b/>
                <w:color w:val="374151"/>
                <w:sz w:val="18"/>
              </w:rPr>
              <w:t>How Phoenix Fixes It</w:t>
            </w:r>
          </w:p>
        </w:tc>
      </w:tr>
      <w:tr>
        <w:tc>
          <w:tcPr>
            <w:tcW w:type="dxa" w:w="4680"/>
            <w:shd w:val="clear" w:color="auto" w:fill="FFFFFF"/>
            <w:tcW w:type="dxa" w:w="4320"/>
            <w:tcMar>
              <w:top w:w="80" w:type="dxa"/>
              <w:bottom w:w="80" w:type="dxa"/>
              <w:left w:w="120" w:type="dxa"/>
              <w:right w:w="120" w:type="dxa"/>
            </w:tcMar>
          </w:tcPr>
          <w:p>
            <w:pPr>
              <w:spacing w:before="40" w:after="40"/>
            </w:pPr>
            <w:r>
              <w:rPr>
                <w:rFonts w:ascii="Calibri" w:hAnsi="Calibri"/>
                <w:b w:val="0"/>
                <w:color w:val="374151"/>
                <w:sz w:val="19"/>
              </w:rPr>
              <w:t>No requirement defines the 3-consecutive-day, 1-call-per-day outreach protocol for care team alert calls. On day 3 with no contact, certain test types (e.g., colorectal) require an automatic certified letter trigger. The platform has no auto-close or letter-trigger logic for care team outreach.</w:t>
            </w:r>
          </w:p>
        </w:tc>
        <w:tc>
          <w:tcPr>
            <w:tcW w:type="dxa" w:w="4680"/>
            <w:shd w:val="clear" w:color="auto" w:fill="FFFFFF"/>
            <w:tcW w:type="dxa" w:w="4320"/>
            <w:tcMar>
              <w:top w:w="80" w:type="dxa"/>
              <w:bottom w:w="80" w:type="dxa"/>
              <w:left w:w="120" w:type="dxa"/>
              <w:right w:w="120" w:type="dxa"/>
            </w:tcMar>
          </w:tcPr>
          <w:p>
            <w:pPr>
              <w:spacing w:before="40" w:after="40"/>
            </w:pPr>
            <w:r>
              <w:rPr>
                <w:rFonts w:ascii="Calibri" w:hAnsi="Calibri"/>
                <w:b w:val="0"/>
                <w:color w:val="374151"/>
                <w:sz w:val="19"/>
              </w:rPr>
              <w:t>After each failed attempt, system records date and increments count. Day 3 no contact: (1) mark outreach task Exhausted; (2) for applicable test types (configurable per care product), auto-queue a certified letter task to Admin/Ops queue; (3) notify team lead. The 3-day cadence and letter eligibility are configurable per care product in Admin Portal.</w:t>
            </w:r>
          </w:p>
        </w:tc>
      </w:tr>
      <w:tr>
        <w:tc>
          <w:tcPr>
            <w:tcW w:type="dxa" w:w="9360"/>
            <w:gridSpan w:val="2"/>
            <w:shd w:val="clear" w:color="auto" w:fill="F8FAFC"/>
          </w:tcPr>
          <w:p>
            <w:pPr>
              <w:spacing w:before="60" w:after="60"/>
            </w:pPr>
            <w:r>
              <w:rPr>
                <w:rFonts w:ascii="Calibri" w:hAnsi="Calibri"/>
                <w:b/>
                <w:color w:val="1D4ED8"/>
                <w:sz w:val="18"/>
              </w:rPr>
              <w:t xml:space="preserve">Queue / Routing:  </w:t>
            </w:r>
            <w:r>
              <w:rPr>
                <w:rFonts w:ascii="Calibri" w:hAnsi="Calibri"/>
                <w:b w:val="0"/>
                <w:color w:val="374151"/>
                <w:sz w:val="18"/>
              </w:rPr>
              <w:t>Outbound call queue → Exhausted state. Certified letter task → Admin/Ops queue. Team lead notification via M08 engine.</w:t>
            </w:r>
          </w:p>
        </w:tc>
      </w:tr>
    </w:tbl>
    <w:p>
      <w:pPr>
        <w:spacing w:after="80"/>
      </w:pPr>
    </w:p>
    <w:p>
      <w:pPr>
        <w:spacing w:before="280" w:after="120"/>
        <w:pBdr>
          <w:bottom w:val="single" w:sz="6" w:space="1" w:color="7C3AED"/>
        </w:pBdr>
      </w:pPr>
      <w:r>
        <w:rPr>
          <w:rFonts w:ascii="Calibri" w:hAnsi="Calibri"/>
          <w:b/>
          <w:color w:val="7C3AED"/>
          <w:sz w:val="26"/>
        </w:rPr>
        <w:t>2. HIPAA Verification &amp; Consent Management</w:t>
      </w:r>
    </w:p>
    <w:tbl>
      <w:tblPr>
        <w:tblW w:type="auto" w:w="0"/>
        <w:tblLook w:firstColumn="1" w:firstRow="1" w:lastColumn="0" w:lastRow="0" w:noHBand="0" w:noVBand="1" w:val="04A0"/>
        <w:tblW w:type="dxa" w:w="8640"/>
        <w:tblBorders>
          <w:top w:val="single" w:sz="6" w:space="0" w:color="7C3AED"/>
          <w:left w:val="single" w:sz="6" w:space="0" w:color="7C3AED"/>
          <w:bottom w:val="single" w:sz="6" w:space="0" w:color="7C3AED"/>
          <w:right w:val="single" w:sz="6" w:space="0" w:color="7C3AED"/>
          <w:insideH w:val="single" w:sz="6" w:space="0" w:color="7C3AED"/>
          <w:insideV w:val="single" w:sz="6" w:space="0" w:color="7C3AED"/>
        </w:tblBorders>
      </w:tblPr>
      <w:tblGrid>
        <w:gridCol w:w="4680"/>
        <w:gridCol w:w="4680"/>
      </w:tblGrid>
      <w:tr>
        <w:tc>
          <w:tcPr>
            <w:tcW w:type="dxa" w:w="9360"/>
            <w:gridSpan w:val="2"/>
            <w:shd w:val="clear" w:color="auto" w:fill="7C3AED"/>
          </w:tcPr>
          <w:p>
            <w:pPr>
              <w:spacing w:before="80" w:after="80"/>
            </w:pPr>
            <w:r>
              <w:rPr>
                <w:rFonts w:ascii="Calibri" w:hAnsi="Calibri"/>
                <w:b/>
                <w:color w:val="FFFFFF"/>
                <w:sz w:val="17"/>
              </w:rPr>
              <w:t xml:space="preserve">CT-GAP-03  </w:t>
            </w:r>
            <w:r>
              <w:rPr>
                <w:rFonts w:ascii="Calibri" w:hAnsi="Calibri"/>
                <w:b/>
                <w:color w:val="FFFFFF"/>
                <w:sz w:val="21"/>
              </w:rPr>
              <w:t>HIPAA Three-Factor Enforcement at Point of Verbal Result Delivery</w:t>
            </w:r>
            <w:r>
              <w:rPr>
                <w:rFonts w:ascii="Calibri" w:hAnsi="Calibri"/>
                <w:b w:val="0"/>
                <w:color w:val="D1FAE5"/>
                <w:sz w:val="17"/>
              </w:rPr>
              <w:t xml:space="preserve">    [M01]  |  Care Team Portal  |  v1.0</w:t>
            </w:r>
          </w:p>
        </w:tc>
      </w:tr>
      <w:tr>
        <w:tc>
          <w:tcPr>
            <w:tcW w:type="dxa" w:w="4680"/>
            <w:shd w:val="clear" w:color="auto" w:fill="F1F5F9"/>
            <w:tcW w:type="dxa" w:w="4320"/>
          </w:tcPr>
          <w:p>
            <w:pPr>
              <w:spacing w:before="60" w:after="60"/>
            </w:pPr>
            <w:r>
              <w:rPr>
                <w:rFonts w:ascii="Calibri" w:hAnsi="Calibri"/>
                <w:b/>
                <w:color w:val="374151"/>
                <w:sz w:val="18"/>
              </w:rPr>
              <w:t>What Is the Gap (Current State)</w:t>
            </w:r>
          </w:p>
        </w:tc>
        <w:tc>
          <w:tcPr>
            <w:tcW w:type="dxa" w:w="4680"/>
            <w:shd w:val="clear" w:color="auto" w:fill="F1F5F9"/>
            <w:tcW w:type="dxa" w:w="4320"/>
          </w:tcPr>
          <w:p>
            <w:pPr>
              <w:spacing w:before="60" w:after="60"/>
            </w:pPr>
            <w:r>
              <w:rPr>
                <w:rFonts w:ascii="Calibri" w:hAnsi="Calibri"/>
                <w:b/>
                <w:color w:val="374151"/>
                <w:sz w:val="18"/>
              </w:rPr>
              <w:t>How Phoenix Fixes It</w:t>
            </w:r>
          </w:p>
        </w:tc>
      </w:tr>
      <w:tr>
        <w:tc>
          <w:tcPr>
            <w:tcW w:type="dxa" w:w="4680"/>
            <w:shd w:val="clear" w:color="auto" w:fill="FFFFFF"/>
            <w:tcW w:type="dxa" w:w="4320"/>
            <w:tcMar>
              <w:top w:w="80" w:type="dxa"/>
              <w:bottom w:w="80" w:type="dxa"/>
              <w:left w:w="120" w:type="dxa"/>
              <w:right w:w="120" w:type="dxa"/>
            </w:tcMar>
          </w:tcPr>
          <w:p>
            <w:pPr>
              <w:spacing w:before="40" w:after="40"/>
            </w:pPr>
            <w:r>
              <w:rPr>
                <w:rFonts w:ascii="Calibri" w:hAnsi="Calibri"/>
                <w:b w:val="0"/>
                <w:color w:val="374151"/>
                <w:sz w:val="19"/>
              </w:rPr>
              <w:t>M01-IDV-001 covers general identity verification but does not enforce the 3-factor rule specifically at verbal result delivery during outbound calls. PSRs must collect name + 2 additional identifiers (DOB, zip, member ID) before disclosing results. No platform gate prevents proceeding to result disclosure with fewer than 3 confirmed.</w:t>
            </w:r>
          </w:p>
        </w:tc>
        <w:tc>
          <w:tcPr>
            <w:tcW w:type="dxa" w:w="4680"/>
            <w:shd w:val="clear" w:color="auto" w:fill="FFFFFF"/>
            <w:tcW w:type="dxa" w:w="4320"/>
            <w:tcMar>
              <w:top w:w="80" w:type="dxa"/>
              <w:bottom w:w="80" w:type="dxa"/>
              <w:left w:w="120" w:type="dxa"/>
              <w:right w:w="120" w:type="dxa"/>
            </w:tcMar>
          </w:tcPr>
          <w:p>
            <w:pPr>
              <w:spacing w:before="40" w:after="40"/>
            </w:pPr>
            <w:r>
              <w:rPr>
                <w:rFonts w:ascii="Calibri" w:hAnsi="Calibri"/>
                <w:b w:val="0"/>
                <w:color w:val="374151"/>
                <w:sz w:val="19"/>
              </w:rPr>
              <w:t>In the Log Call outreach workflow, add a HIPAA verification step before the result disclosure screen is accessible. Agent checks off 3 of the available identifier types. 'Proceed to results' is disabled until 3 are checked. Failure routes to Cannot Verify disposition (CT-GAP-05). HIPAA check outcome is logged with timestamp.</w:t>
            </w:r>
          </w:p>
        </w:tc>
      </w:tr>
      <w:tr>
        <w:tc>
          <w:tcPr>
            <w:tcW w:type="dxa" w:w="9360"/>
            <w:gridSpan w:val="2"/>
            <w:shd w:val="clear" w:color="auto" w:fill="F8FAFC"/>
          </w:tcPr>
          <w:p>
            <w:pPr>
              <w:spacing w:before="60" w:after="60"/>
            </w:pPr>
            <w:r>
              <w:rPr>
                <w:rFonts w:ascii="Calibri" w:hAnsi="Calibri"/>
                <w:b/>
                <w:color w:val="7C3AED"/>
                <w:sz w:val="18"/>
              </w:rPr>
              <w:t xml:space="preserve">Queue / Routing:  </w:t>
            </w:r>
            <w:r>
              <w:rPr>
                <w:rFonts w:ascii="Calibri" w:hAnsi="Calibri"/>
                <w:b w:val="0"/>
                <w:color w:val="374151"/>
                <w:sz w:val="18"/>
              </w:rPr>
              <w:t>Outbound call flow gate. HIPAA failure → Cannot Verify disposition path. All outcomes logged to contact/audit log.</w:t>
            </w:r>
          </w:p>
        </w:tc>
      </w:tr>
    </w:tbl>
    <w:p>
      <w:pPr>
        <w:spacing w:after="80"/>
      </w:pPr>
    </w:p>
    <w:tbl>
      <w:tblPr>
        <w:tblW w:type="auto" w:w="0"/>
        <w:tblLook w:firstColumn="1" w:firstRow="1" w:lastColumn="0" w:lastRow="0" w:noHBand="0" w:noVBand="1" w:val="04A0"/>
        <w:tblW w:type="dxa" w:w="8640"/>
        <w:tblBorders>
          <w:top w:val="single" w:sz="6" w:space="0" w:color="7C3AED"/>
          <w:left w:val="single" w:sz="6" w:space="0" w:color="7C3AED"/>
          <w:bottom w:val="single" w:sz="6" w:space="0" w:color="7C3AED"/>
          <w:right w:val="single" w:sz="6" w:space="0" w:color="7C3AED"/>
          <w:insideH w:val="single" w:sz="6" w:space="0" w:color="7C3AED"/>
          <w:insideV w:val="single" w:sz="6" w:space="0" w:color="7C3AED"/>
        </w:tblBorders>
      </w:tblPr>
      <w:tblGrid>
        <w:gridCol w:w="4680"/>
        <w:gridCol w:w="4680"/>
      </w:tblGrid>
      <w:tr>
        <w:tc>
          <w:tcPr>
            <w:tcW w:type="dxa" w:w="9360"/>
            <w:gridSpan w:val="2"/>
            <w:shd w:val="clear" w:color="auto" w:fill="7C3AED"/>
          </w:tcPr>
          <w:p>
            <w:pPr>
              <w:spacing w:before="80" w:after="80"/>
            </w:pPr>
            <w:r>
              <w:rPr>
                <w:rFonts w:ascii="Calibri" w:hAnsi="Calibri"/>
                <w:b/>
                <w:color w:val="FFFFFF"/>
                <w:sz w:val="17"/>
              </w:rPr>
              <w:t xml:space="preserve">CT-GAP-04  </w:t>
            </w:r>
            <w:r>
              <w:rPr>
                <w:rFonts w:ascii="Calibri" w:hAnsi="Calibri"/>
                <w:b/>
                <w:color w:val="FFFFFF"/>
                <w:sz w:val="21"/>
              </w:rPr>
              <w:t>Caretaker / Authorized Representative Consent at Call Time (Real-Time Verbal)</w:t>
            </w:r>
            <w:r>
              <w:rPr>
                <w:rFonts w:ascii="Calibri" w:hAnsi="Calibri"/>
                <w:b w:val="0"/>
                <w:color w:val="D1FAE5"/>
                <w:sz w:val="17"/>
              </w:rPr>
              <w:t xml:space="preserve">    [M01]  |  Care Team Portal  |  v1.0</w:t>
            </w:r>
          </w:p>
        </w:tc>
      </w:tr>
      <w:tr>
        <w:tc>
          <w:tcPr>
            <w:tcW w:type="dxa" w:w="4680"/>
            <w:shd w:val="clear" w:color="auto" w:fill="F1F5F9"/>
            <w:tcW w:type="dxa" w:w="4320"/>
          </w:tcPr>
          <w:p>
            <w:pPr>
              <w:spacing w:before="60" w:after="60"/>
            </w:pPr>
            <w:r>
              <w:rPr>
                <w:rFonts w:ascii="Calibri" w:hAnsi="Calibri"/>
                <w:b/>
                <w:color w:val="374151"/>
                <w:sz w:val="18"/>
              </w:rPr>
              <w:t>What Is the Gap (Current State)</w:t>
            </w:r>
          </w:p>
        </w:tc>
        <w:tc>
          <w:tcPr>
            <w:tcW w:type="dxa" w:w="4680"/>
            <w:shd w:val="clear" w:color="auto" w:fill="F1F5F9"/>
            <w:tcW w:type="dxa" w:w="4320"/>
          </w:tcPr>
          <w:p>
            <w:pPr>
              <w:spacing w:before="60" w:after="60"/>
            </w:pPr>
            <w:r>
              <w:rPr>
                <w:rFonts w:ascii="Calibri" w:hAnsi="Calibri"/>
                <w:b/>
                <w:color w:val="374151"/>
                <w:sz w:val="18"/>
              </w:rPr>
              <w:t>How Phoenix Fixes It</w:t>
            </w:r>
          </w:p>
        </w:tc>
      </w:tr>
      <w:tr>
        <w:tc>
          <w:tcPr>
            <w:tcW w:type="dxa" w:w="4680"/>
            <w:shd w:val="clear" w:color="auto" w:fill="FFFFFF"/>
            <w:tcW w:type="dxa" w:w="4320"/>
            <w:tcMar>
              <w:top w:w="80" w:type="dxa"/>
              <w:bottom w:w="80" w:type="dxa"/>
              <w:left w:w="120" w:type="dxa"/>
              <w:right w:w="120" w:type="dxa"/>
            </w:tcMar>
          </w:tcPr>
          <w:p>
            <w:pPr>
              <w:spacing w:before="40" w:after="40"/>
            </w:pPr>
            <w:r>
              <w:rPr>
                <w:rFonts w:ascii="Calibri" w:hAnsi="Calibri"/>
                <w:b w:val="0"/>
                <w:color w:val="374151"/>
                <w:sz w:val="19"/>
              </w:rPr>
              <w:t>When a third party answers an outbound call, the agent needs a structured real-time workflow: attempt to reach patient for consent, log third party's name if consent granted, or record POA required and schedule callback. Distinct from written POA requirement (M01-REP-001). No requirement defines this live-call consent workflow.</w:t>
            </w:r>
          </w:p>
        </w:tc>
        <w:tc>
          <w:tcPr>
            <w:tcW w:type="dxa" w:w="4680"/>
            <w:shd w:val="clear" w:color="auto" w:fill="FFFFFF"/>
            <w:tcW w:type="dxa" w:w="4320"/>
            <w:tcMar>
              <w:top w:w="80" w:type="dxa"/>
              <w:bottom w:w="80" w:type="dxa"/>
              <w:left w:w="120" w:type="dxa"/>
              <w:right w:w="120" w:type="dxa"/>
            </w:tcMar>
          </w:tcPr>
          <w:p>
            <w:pPr>
              <w:spacing w:before="40" w:after="40"/>
            </w:pPr>
            <w:r>
              <w:rPr>
                <w:rFonts w:ascii="Calibri" w:hAnsi="Calibri"/>
                <w:b w:val="0"/>
                <w:color w:val="374151"/>
                <w:sz w:val="19"/>
              </w:rPr>
              <w:t>Add 'Third Party Answered' as a disposition option in the outbound call flow. Paths: (1) Patient granted verbal consent — agent enters third party name, consent logged, call continues; (2) Patient unavailable for consent — POA required flag set on case, callback task generated, routed to PCC callback queue with GCA/PCC POA documentation task.</w:t>
            </w:r>
          </w:p>
        </w:tc>
      </w:tr>
      <w:tr>
        <w:tc>
          <w:tcPr>
            <w:tcW w:type="dxa" w:w="9360"/>
            <w:gridSpan w:val="2"/>
            <w:shd w:val="clear" w:color="auto" w:fill="F8FAFC"/>
          </w:tcPr>
          <w:p>
            <w:pPr>
              <w:spacing w:before="60" w:after="60"/>
            </w:pPr>
            <w:r>
              <w:rPr>
                <w:rFonts w:ascii="Calibri" w:hAnsi="Calibri"/>
                <w:b/>
                <w:color w:val="7C3AED"/>
                <w:sz w:val="18"/>
              </w:rPr>
              <w:t xml:space="preserve">Queue / Routing:  </w:t>
            </w:r>
            <w:r>
              <w:rPr>
                <w:rFonts w:ascii="Calibri" w:hAnsi="Calibri"/>
                <w:b w:val="0"/>
                <w:color w:val="374151"/>
                <w:sz w:val="18"/>
              </w:rPr>
              <w:t>Outbound call disposition → Third Party path. POA required flag → GCA queue (document request). Callback task → PCC callback queue.</w:t>
            </w:r>
          </w:p>
        </w:tc>
      </w:tr>
    </w:tbl>
    <w:p>
      <w:pPr>
        <w:spacing w:after="80"/>
      </w:pPr>
    </w:p>
    <w:tbl>
      <w:tblPr>
        <w:tblW w:type="auto" w:w="0"/>
        <w:tblLook w:firstColumn="1" w:firstRow="1" w:lastColumn="0" w:lastRow="0" w:noHBand="0" w:noVBand="1" w:val="04A0"/>
        <w:tblW w:type="dxa" w:w="8640"/>
        <w:tblBorders>
          <w:top w:val="single" w:sz="6" w:space="0" w:color="7C3AED"/>
          <w:left w:val="single" w:sz="6" w:space="0" w:color="7C3AED"/>
          <w:bottom w:val="single" w:sz="6" w:space="0" w:color="7C3AED"/>
          <w:right w:val="single" w:sz="6" w:space="0" w:color="7C3AED"/>
          <w:insideH w:val="single" w:sz="6" w:space="0" w:color="7C3AED"/>
          <w:insideV w:val="single" w:sz="6" w:space="0" w:color="7C3AED"/>
        </w:tblBorders>
      </w:tblPr>
      <w:tblGrid>
        <w:gridCol w:w="4680"/>
        <w:gridCol w:w="4680"/>
      </w:tblGrid>
      <w:tr>
        <w:tc>
          <w:tcPr>
            <w:tcW w:type="dxa" w:w="9360"/>
            <w:gridSpan w:val="2"/>
            <w:shd w:val="clear" w:color="auto" w:fill="7C3AED"/>
          </w:tcPr>
          <w:p>
            <w:pPr>
              <w:spacing w:before="80" w:after="80"/>
            </w:pPr>
            <w:r>
              <w:rPr>
                <w:rFonts w:ascii="Calibri" w:hAnsi="Calibri"/>
                <w:b/>
                <w:color w:val="FFFFFF"/>
                <w:sz w:val="17"/>
              </w:rPr>
              <w:t xml:space="preserve">CT-GAP-05  </w:t>
            </w:r>
            <w:r>
              <w:rPr>
                <w:rFonts w:ascii="Calibri" w:hAnsi="Calibri"/>
                <w:b/>
                <w:color w:val="FFFFFF"/>
                <w:sz w:val="21"/>
              </w:rPr>
              <w:t>Cannot Verify HIPAA — Disposition Lock and Patient Redirect Script</w:t>
            </w:r>
            <w:r>
              <w:rPr>
                <w:rFonts w:ascii="Calibri" w:hAnsi="Calibri"/>
                <w:b w:val="0"/>
                <w:color w:val="D1FAE5"/>
                <w:sz w:val="17"/>
              </w:rPr>
              <w:t xml:space="preserve">    [M02]  |  Care Team Portal  |  v1.0</w:t>
            </w:r>
          </w:p>
        </w:tc>
      </w:tr>
      <w:tr>
        <w:tc>
          <w:tcPr>
            <w:tcW w:type="dxa" w:w="4680"/>
            <w:shd w:val="clear" w:color="auto" w:fill="F1F5F9"/>
            <w:tcW w:type="dxa" w:w="4320"/>
          </w:tcPr>
          <w:p>
            <w:pPr>
              <w:spacing w:before="60" w:after="60"/>
            </w:pPr>
            <w:r>
              <w:rPr>
                <w:rFonts w:ascii="Calibri" w:hAnsi="Calibri"/>
                <w:b/>
                <w:color w:val="374151"/>
                <w:sz w:val="18"/>
              </w:rPr>
              <w:t>What Is the Gap (Current State)</w:t>
            </w:r>
          </w:p>
        </w:tc>
        <w:tc>
          <w:tcPr>
            <w:tcW w:type="dxa" w:w="4680"/>
            <w:shd w:val="clear" w:color="auto" w:fill="F1F5F9"/>
            <w:tcW w:type="dxa" w:w="4320"/>
          </w:tcPr>
          <w:p>
            <w:pPr>
              <w:spacing w:before="60" w:after="60"/>
            </w:pPr>
            <w:r>
              <w:rPr>
                <w:rFonts w:ascii="Calibri" w:hAnsi="Calibri"/>
                <w:b/>
                <w:color w:val="374151"/>
                <w:sz w:val="18"/>
              </w:rPr>
              <w:t>How Phoenix Fixes It</w:t>
            </w:r>
          </w:p>
        </w:tc>
      </w:tr>
      <w:tr>
        <w:tc>
          <w:tcPr>
            <w:tcW w:type="dxa" w:w="4680"/>
            <w:shd w:val="clear" w:color="auto" w:fill="FFFFFF"/>
            <w:tcW w:type="dxa" w:w="4320"/>
            <w:tcMar>
              <w:top w:w="80" w:type="dxa"/>
              <w:bottom w:w="80" w:type="dxa"/>
              <w:left w:w="120" w:type="dxa"/>
              <w:right w:w="120" w:type="dxa"/>
            </w:tcMar>
          </w:tcPr>
          <w:p>
            <w:pPr>
              <w:spacing w:before="40" w:after="40"/>
            </w:pPr>
            <w:r>
              <w:rPr>
                <w:rFonts w:ascii="Calibri" w:hAnsi="Calibri"/>
                <w:b w:val="0"/>
                <w:color w:val="374151"/>
                <w:sz w:val="19"/>
              </w:rPr>
              <w:t>When a patient cannot verify 3 HIPAA identifiers, no platform behavior is defined. Agents rely on tribal knowledge. The platform must lock result disclosure and force the 'Cannot Verify HIPAA' disposition with a scripted redirect to the ordering client.</w:t>
            </w:r>
          </w:p>
        </w:tc>
        <w:tc>
          <w:tcPr>
            <w:tcW w:type="dxa" w:w="4680"/>
            <w:shd w:val="clear" w:color="auto" w:fill="FFFFFF"/>
            <w:tcW w:type="dxa" w:w="4320"/>
            <w:tcMar>
              <w:top w:w="80" w:type="dxa"/>
              <w:bottom w:w="80" w:type="dxa"/>
              <w:left w:w="120" w:type="dxa"/>
              <w:right w:w="120" w:type="dxa"/>
            </w:tcMar>
          </w:tcPr>
          <w:p>
            <w:pPr>
              <w:spacing w:before="40" w:after="40"/>
            </w:pPr>
            <w:r>
              <w:rPr>
                <w:rFonts w:ascii="Calibri" w:hAnsi="Calibri"/>
                <w:b w:val="0"/>
                <w:color w:val="374151"/>
                <w:sz w:val="19"/>
              </w:rPr>
              <w:t>After HIPAA verification gate failure (CT-GAP-03): (1) 'Cannot Verify HIPAA' pre-selected as call disposition — cannot be changed to Call Complete or Left VM; (2) standard redirect script displayed (contact [client] directly); (3) attempt logged with HIPAA failure flag. Ordering client name pulled from patient's test record. 3 failed HIPAA attempts across all calls → team lead escalation.</w:t>
            </w:r>
          </w:p>
        </w:tc>
      </w:tr>
      <w:tr>
        <w:tc>
          <w:tcPr>
            <w:tcW w:type="dxa" w:w="9360"/>
            <w:gridSpan w:val="2"/>
            <w:shd w:val="clear" w:color="auto" w:fill="F8FAFC"/>
          </w:tcPr>
          <w:p>
            <w:pPr>
              <w:spacing w:before="60" w:after="60"/>
            </w:pPr>
            <w:r>
              <w:rPr>
                <w:rFonts w:ascii="Calibri" w:hAnsi="Calibri"/>
                <w:b/>
                <w:color w:val="7C3AED"/>
                <w:sz w:val="18"/>
              </w:rPr>
              <w:t xml:space="preserve">Queue / Routing:  </w:t>
            </w:r>
            <w:r>
              <w:rPr>
                <w:rFonts w:ascii="Calibri" w:hAnsi="Calibri"/>
                <w:b w:val="0"/>
                <w:color w:val="374151"/>
                <w:sz w:val="18"/>
              </w:rPr>
              <w:t>Call disposition locked to 'Cannot Verify HIPAA.' No result disclosure permitted. 3-strike threshold → team lead escalation. All attempts logged.</w:t>
            </w:r>
          </w:p>
        </w:tc>
      </w:tr>
    </w:tbl>
    <w:p>
      <w:pPr>
        <w:spacing w:after="80"/>
      </w:pPr>
    </w:p>
    <w:p>
      <w:pPr>
        <w:spacing w:before="280" w:after="120"/>
        <w:pBdr>
          <w:bottom w:val="single" w:sz="6" w:space="1" w:color="065F46"/>
        </w:pBdr>
      </w:pPr>
      <w:r>
        <w:rPr>
          <w:rFonts w:ascii="Calibri" w:hAnsi="Calibri"/>
          <w:b/>
          <w:color w:val="065F46"/>
          <w:sz w:val="26"/>
        </w:rPr>
        <w:t>3. Consult Eligibility &amp; Clinical Routing</w:t>
      </w:r>
    </w:p>
    <w:tbl>
      <w:tblPr>
        <w:tblW w:type="auto" w:w="0"/>
        <w:tblLook w:firstColumn="1" w:firstRow="1" w:lastColumn="0" w:lastRow="0" w:noHBand="0" w:noVBand="1" w:val="04A0"/>
        <w:tblW w:type="dxa" w:w="8640"/>
        <w:tblBorders>
          <w:top w:val="single" w:sz="6" w:space="0" w:color="065F46"/>
          <w:left w:val="single" w:sz="6" w:space="0" w:color="065F46"/>
          <w:bottom w:val="single" w:sz="6" w:space="0" w:color="065F46"/>
          <w:right w:val="single" w:sz="6" w:space="0" w:color="065F46"/>
          <w:insideH w:val="single" w:sz="6" w:space="0" w:color="065F46"/>
          <w:insideV w:val="single" w:sz="6" w:space="0" w:color="065F46"/>
        </w:tblBorders>
      </w:tblPr>
      <w:tblGrid>
        <w:gridCol w:w="4680"/>
        <w:gridCol w:w="4680"/>
      </w:tblGrid>
      <w:tr>
        <w:tc>
          <w:tcPr>
            <w:tcW w:type="dxa" w:w="9360"/>
            <w:gridSpan w:val="2"/>
            <w:shd w:val="clear" w:color="auto" w:fill="065F46"/>
          </w:tcPr>
          <w:p>
            <w:pPr>
              <w:spacing w:before="80" w:after="80"/>
            </w:pPr>
            <w:r>
              <w:rPr>
                <w:rFonts w:ascii="Calibri" w:hAnsi="Calibri"/>
                <w:b/>
                <w:color w:val="FFFFFF"/>
                <w:sz w:val="17"/>
              </w:rPr>
              <w:t xml:space="preserve">CT-GAP-06  </w:t>
            </w:r>
            <w:r>
              <w:rPr>
                <w:rFonts w:ascii="Calibri" w:hAnsi="Calibri"/>
                <w:b/>
                <w:color w:val="FFFFFF"/>
                <w:sz w:val="21"/>
              </w:rPr>
              <w:t>LabCorp Non-Treatment Consult Override — Client-Level Treatment Restriction</w:t>
            </w:r>
            <w:r>
              <w:rPr>
                <w:rFonts w:ascii="Calibri" w:hAnsi="Calibri"/>
                <w:b w:val="0"/>
                <w:color w:val="D1FAE5"/>
                <w:sz w:val="17"/>
              </w:rPr>
              <w:t xml:space="preserve">    [M05]  |  Admin / Care Team Portal  |  v1.0</w:t>
            </w:r>
          </w:p>
        </w:tc>
      </w:tr>
      <w:tr>
        <w:tc>
          <w:tcPr>
            <w:tcW w:type="dxa" w:w="4680"/>
            <w:shd w:val="clear" w:color="auto" w:fill="F1F5F9"/>
            <w:tcW w:type="dxa" w:w="4320"/>
          </w:tcPr>
          <w:p>
            <w:pPr>
              <w:spacing w:before="60" w:after="60"/>
            </w:pPr>
            <w:r>
              <w:rPr>
                <w:rFonts w:ascii="Calibri" w:hAnsi="Calibri"/>
                <w:b/>
                <w:color w:val="374151"/>
                <w:sz w:val="18"/>
              </w:rPr>
              <w:t>What Is the Gap (Current State)</w:t>
            </w:r>
          </w:p>
        </w:tc>
        <w:tc>
          <w:tcPr>
            <w:tcW w:type="dxa" w:w="4680"/>
            <w:shd w:val="clear" w:color="auto" w:fill="F1F5F9"/>
            <w:tcW w:type="dxa" w:w="4320"/>
          </w:tcPr>
          <w:p>
            <w:pPr>
              <w:spacing w:before="60" w:after="60"/>
            </w:pPr>
            <w:r>
              <w:rPr>
                <w:rFonts w:ascii="Calibri" w:hAnsi="Calibri"/>
                <w:b/>
                <w:color w:val="374151"/>
                <w:sz w:val="18"/>
              </w:rPr>
              <w:t>How Phoenix Fixes It</w:t>
            </w:r>
          </w:p>
        </w:tc>
      </w:tr>
      <w:tr>
        <w:tc>
          <w:tcPr>
            <w:tcW w:type="dxa" w:w="4680"/>
            <w:shd w:val="clear" w:color="auto" w:fill="FFFFFF"/>
            <w:tcW w:type="dxa" w:w="4320"/>
            <w:tcMar>
              <w:top w:w="80" w:type="dxa"/>
              <w:bottom w:w="80" w:type="dxa"/>
              <w:left w:w="120" w:type="dxa"/>
              <w:right w:w="120" w:type="dxa"/>
            </w:tcMar>
          </w:tcPr>
          <w:p>
            <w:pPr>
              <w:spacing w:before="40" w:after="40"/>
            </w:pPr>
            <w:r>
              <w:rPr>
                <w:rFonts w:ascii="Calibri" w:hAnsi="Calibri"/>
                <w:b w:val="0"/>
                <w:color w:val="374151"/>
                <w:sz w:val="19"/>
              </w:rPr>
              <w:t>For STD results from LabCorp specifically, all consults must be Non-Treatment regardless of result type — including Chlamydia, Gonorrhea, and Trichomoniasis which would qualify for treatment from other labs. No requirement captures client-level treatment eligibility override by lab source.</w:t>
            </w:r>
          </w:p>
        </w:tc>
        <w:tc>
          <w:tcPr>
            <w:tcW w:type="dxa" w:w="4680"/>
            <w:shd w:val="clear" w:color="auto" w:fill="FFFFFF"/>
            <w:tcW w:type="dxa" w:w="4320"/>
            <w:tcMar>
              <w:top w:w="80" w:type="dxa"/>
              <w:bottom w:w="80" w:type="dxa"/>
              <w:left w:w="120" w:type="dxa"/>
              <w:right w:w="120" w:type="dxa"/>
            </w:tcMar>
          </w:tcPr>
          <w:p>
            <w:pPr>
              <w:spacing w:before="40" w:after="40"/>
            </w:pPr>
            <w:r>
              <w:rPr>
                <w:rFonts w:ascii="Calibri" w:hAnsi="Calibri"/>
                <w:b w:val="0"/>
                <w:color w:val="374151"/>
                <w:sz w:val="19"/>
              </w:rPr>
              <w:t>In the Admin Portal Care Product Wizard, add a 'Lab Source Treatment Override' config field. When set to 'Non-Treatment Only for LabCorp,' the consult type is locked to Non-Treatment in the PSR offer workflow for any patient whose order originated from LabCorp. Treatment-eligible results auto-downgraded before surfacing in queue.</w:t>
            </w:r>
          </w:p>
        </w:tc>
      </w:tr>
      <w:tr>
        <w:tc>
          <w:tcPr>
            <w:tcW w:type="dxa" w:w="9360"/>
            <w:gridSpan w:val="2"/>
            <w:shd w:val="clear" w:color="auto" w:fill="F8FAFC"/>
          </w:tcPr>
          <w:p>
            <w:pPr>
              <w:spacing w:before="60" w:after="60"/>
            </w:pPr>
            <w:r>
              <w:rPr>
                <w:rFonts w:ascii="Calibri" w:hAnsi="Calibri"/>
                <w:b/>
                <w:color w:val="065F46"/>
                <w:sz w:val="18"/>
              </w:rPr>
              <w:t xml:space="preserve">Queue / Routing:  </w:t>
            </w:r>
            <w:r>
              <w:rPr>
                <w:rFonts w:ascii="Calibri" w:hAnsi="Calibri"/>
                <w:b w:val="0"/>
                <w:color w:val="374151"/>
                <w:sz w:val="18"/>
              </w:rPr>
              <w:t>Consult offer flow in outbound call queue. Admin configuration drives behavior — no per-call agent decision needed.</w:t>
            </w:r>
          </w:p>
        </w:tc>
      </w:tr>
    </w:tbl>
    <w:p>
      <w:pPr>
        <w:spacing w:after="80"/>
      </w:pPr>
    </w:p>
    <w:tbl>
      <w:tblPr>
        <w:tblW w:type="auto" w:w="0"/>
        <w:tblLook w:firstColumn="1" w:firstRow="1" w:lastColumn="0" w:lastRow="0" w:noHBand="0" w:noVBand="1" w:val="04A0"/>
        <w:tblW w:type="dxa" w:w="8640"/>
        <w:tblBorders>
          <w:top w:val="single" w:sz="6" w:space="0" w:color="065F46"/>
          <w:left w:val="single" w:sz="6" w:space="0" w:color="065F46"/>
          <w:bottom w:val="single" w:sz="6" w:space="0" w:color="065F46"/>
          <w:right w:val="single" w:sz="6" w:space="0" w:color="065F46"/>
          <w:insideH w:val="single" w:sz="6" w:space="0" w:color="065F46"/>
          <w:insideV w:val="single" w:sz="6" w:space="0" w:color="065F46"/>
        </w:tblBorders>
      </w:tblPr>
      <w:tblGrid>
        <w:gridCol w:w="4680"/>
        <w:gridCol w:w="4680"/>
      </w:tblGrid>
      <w:tr>
        <w:tc>
          <w:tcPr>
            <w:tcW w:type="dxa" w:w="9360"/>
            <w:gridSpan w:val="2"/>
            <w:shd w:val="clear" w:color="auto" w:fill="065F46"/>
          </w:tcPr>
          <w:p>
            <w:pPr>
              <w:spacing w:before="80" w:after="80"/>
            </w:pPr>
            <w:r>
              <w:rPr>
                <w:rFonts w:ascii="Calibri" w:hAnsi="Calibri"/>
                <w:b/>
                <w:color w:val="FFFFFF"/>
                <w:sz w:val="17"/>
              </w:rPr>
              <w:t xml:space="preserve">CT-GAP-07  </w:t>
            </w:r>
            <w:r>
              <w:rPr>
                <w:rFonts w:ascii="Calibri" w:hAnsi="Calibri"/>
                <w:b/>
                <w:color w:val="FFFFFF"/>
                <w:sz w:val="21"/>
              </w:rPr>
              <w:t>STD Consult Eligibility Override — Pregnancy, HIV-Positive, Immunocompromised</w:t>
            </w:r>
            <w:r>
              <w:rPr>
                <w:rFonts w:ascii="Calibri" w:hAnsi="Calibri"/>
                <w:b w:val="0"/>
                <w:color w:val="D1FAE5"/>
                <w:sz w:val="17"/>
              </w:rPr>
              <w:t xml:space="preserve">    [M05]  |  Care Team / Admin Portal  |  v1.0</w:t>
            </w:r>
          </w:p>
        </w:tc>
      </w:tr>
      <w:tr>
        <w:tc>
          <w:tcPr>
            <w:tcW w:type="dxa" w:w="4680"/>
            <w:shd w:val="clear" w:color="auto" w:fill="F1F5F9"/>
            <w:tcW w:type="dxa" w:w="4320"/>
          </w:tcPr>
          <w:p>
            <w:pPr>
              <w:spacing w:before="60" w:after="60"/>
            </w:pPr>
            <w:r>
              <w:rPr>
                <w:rFonts w:ascii="Calibri" w:hAnsi="Calibri"/>
                <w:b/>
                <w:color w:val="374151"/>
                <w:sz w:val="18"/>
              </w:rPr>
              <w:t>What Is the Gap (Current State)</w:t>
            </w:r>
          </w:p>
        </w:tc>
        <w:tc>
          <w:tcPr>
            <w:tcW w:type="dxa" w:w="4680"/>
            <w:shd w:val="clear" w:color="auto" w:fill="F1F5F9"/>
            <w:tcW w:type="dxa" w:w="4320"/>
          </w:tcPr>
          <w:p>
            <w:pPr>
              <w:spacing w:before="60" w:after="60"/>
            </w:pPr>
            <w:r>
              <w:rPr>
                <w:rFonts w:ascii="Calibri" w:hAnsi="Calibri"/>
                <w:b/>
                <w:color w:val="374151"/>
                <w:sz w:val="18"/>
              </w:rPr>
              <w:t>How Phoenix Fixes It</w:t>
            </w:r>
          </w:p>
        </w:tc>
      </w:tr>
      <w:tr>
        <w:tc>
          <w:tcPr>
            <w:tcW w:type="dxa" w:w="4680"/>
            <w:shd w:val="clear" w:color="auto" w:fill="FFFFFF"/>
            <w:tcW w:type="dxa" w:w="4320"/>
            <w:tcMar>
              <w:top w:w="80" w:type="dxa"/>
              <w:bottom w:w="80" w:type="dxa"/>
              <w:left w:w="120" w:type="dxa"/>
              <w:right w:w="120" w:type="dxa"/>
            </w:tcMar>
          </w:tcPr>
          <w:p>
            <w:pPr>
              <w:spacing w:before="40" w:after="40"/>
            </w:pPr>
            <w:r>
              <w:rPr>
                <w:rFonts w:ascii="Calibri" w:hAnsi="Calibri"/>
                <w:b w:val="0"/>
                <w:color w:val="374151"/>
                <w:sz w:val="19"/>
              </w:rPr>
              <w:t>When a patient's health profile indicates pregnancy, HIV-positive status, or immunosuppression, STD results that would normally qualify for treatment must be auto-downgraded to Non-Treatment. Multi-positive result exception (treatable + non-treatable analytes) must be honored unless patient is pregnant or HIV+. No requirement captures this conditional routing logic.</w:t>
            </w:r>
          </w:p>
        </w:tc>
        <w:tc>
          <w:tcPr>
            <w:tcW w:type="dxa" w:w="4680"/>
            <w:shd w:val="clear" w:color="auto" w:fill="FFFFFF"/>
            <w:tcW w:type="dxa" w:w="4320"/>
            <w:tcMar>
              <w:top w:w="80" w:type="dxa"/>
              <w:bottom w:w="80" w:type="dxa"/>
              <w:left w:w="120" w:type="dxa"/>
              <w:right w:w="120" w:type="dxa"/>
            </w:tcMar>
          </w:tcPr>
          <w:p>
            <w:pPr>
              <w:spacing w:before="40" w:after="40"/>
            </w:pPr>
            <w:r>
              <w:rPr>
                <w:rFonts w:ascii="Calibri" w:hAnsi="Calibri"/>
                <w:b w:val="0"/>
                <w:color w:val="374151"/>
                <w:sz w:val="19"/>
              </w:rPr>
              <w:t>During consult eligibility determination, platform checks patient health profile for pregnancy, HIV, and immunosuppression flags. If any flag set: Treatment option hidden, Non-Treatment pre-selected, banner shown to agent. Multi-positive exception: if treatable + non-treatable AND not pregnant/HIV+, treatment offered for treatable analyte only. Health profile flags configurable per care product in Admin Portal.</w:t>
            </w:r>
          </w:p>
        </w:tc>
      </w:tr>
      <w:tr>
        <w:tc>
          <w:tcPr>
            <w:tcW w:type="dxa" w:w="9360"/>
            <w:gridSpan w:val="2"/>
            <w:shd w:val="clear" w:color="auto" w:fill="F8FAFC"/>
          </w:tcPr>
          <w:p>
            <w:pPr>
              <w:spacing w:before="60" w:after="60"/>
            </w:pPr>
            <w:r>
              <w:rPr>
                <w:rFonts w:ascii="Calibri" w:hAnsi="Calibri"/>
                <w:b/>
                <w:color w:val="065F46"/>
                <w:sz w:val="18"/>
              </w:rPr>
              <w:t xml:space="preserve">Queue / Routing:  </w:t>
            </w:r>
            <w:r>
              <w:rPr>
                <w:rFonts w:ascii="Calibri" w:hAnsi="Calibri"/>
                <w:b w:val="0"/>
                <w:color w:val="374151"/>
                <w:sz w:val="18"/>
              </w:rPr>
              <w:t>Consult offer flow in outbound queue. Admin-configured eligibility rules applied at queue display time. Agent cannot override without supervisor escalation.</w:t>
            </w:r>
          </w:p>
        </w:tc>
      </w:tr>
    </w:tbl>
    <w:p>
      <w:pPr>
        <w:spacing w:after="80"/>
      </w:pPr>
    </w:p>
    <w:tbl>
      <w:tblPr>
        <w:tblW w:type="auto" w:w="0"/>
        <w:tblLook w:firstColumn="1" w:firstRow="1" w:lastColumn="0" w:lastRow="0" w:noHBand="0" w:noVBand="1" w:val="04A0"/>
        <w:tblW w:type="dxa" w:w="8640"/>
        <w:tblBorders>
          <w:top w:val="single" w:sz="6" w:space="0" w:color="065F46"/>
          <w:left w:val="single" w:sz="6" w:space="0" w:color="065F46"/>
          <w:bottom w:val="single" w:sz="6" w:space="0" w:color="065F46"/>
          <w:right w:val="single" w:sz="6" w:space="0" w:color="065F46"/>
          <w:insideH w:val="single" w:sz="6" w:space="0" w:color="065F46"/>
          <w:insideV w:val="single" w:sz="6" w:space="0" w:color="065F46"/>
        </w:tblBorders>
      </w:tblPr>
      <w:tblGrid>
        <w:gridCol w:w="4680"/>
        <w:gridCol w:w="4680"/>
      </w:tblGrid>
      <w:tr>
        <w:tc>
          <w:tcPr>
            <w:tcW w:type="dxa" w:w="9360"/>
            <w:gridSpan w:val="2"/>
            <w:shd w:val="clear" w:color="auto" w:fill="065F46"/>
          </w:tcPr>
          <w:p>
            <w:pPr>
              <w:spacing w:before="80" w:after="80"/>
            </w:pPr>
            <w:r>
              <w:rPr>
                <w:rFonts w:ascii="Calibri" w:hAnsi="Calibri"/>
                <w:b/>
                <w:color w:val="FFFFFF"/>
                <w:sz w:val="17"/>
              </w:rPr>
              <w:t xml:space="preserve">CT-GAP-08  </w:t>
            </w:r>
            <w:r>
              <w:rPr>
                <w:rFonts w:ascii="Calibri" w:hAnsi="Calibri"/>
                <w:b/>
                <w:color w:val="FFFFFF"/>
                <w:sz w:val="21"/>
              </w:rPr>
              <w:t>Comprehensive Health Profile (CHP) Consult Eligibility Indicator</w:t>
            </w:r>
            <w:r>
              <w:rPr>
                <w:rFonts w:ascii="Calibri" w:hAnsi="Calibri"/>
                <w:b w:val="0"/>
                <w:color w:val="D1FAE5"/>
                <w:sz w:val="17"/>
              </w:rPr>
              <w:t xml:space="preserve">    [M05]  |  Care Team Portal  |  v1.0</w:t>
            </w:r>
          </w:p>
        </w:tc>
      </w:tr>
      <w:tr>
        <w:tc>
          <w:tcPr>
            <w:tcW w:type="dxa" w:w="4680"/>
            <w:shd w:val="clear" w:color="auto" w:fill="F1F5F9"/>
            <w:tcW w:type="dxa" w:w="4320"/>
          </w:tcPr>
          <w:p>
            <w:pPr>
              <w:spacing w:before="60" w:after="60"/>
            </w:pPr>
            <w:r>
              <w:rPr>
                <w:rFonts w:ascii="Calibri" w:hAnsi="Calibri"/>
                <w:b/>
                <w:color w:val="374151"/>
                <w:sz w:val="18"/>
              </w:rPr>
              <w:t>What Is the Gap (Current State)</w:t>
            </w:r>
          </w:p>
        </w:tc>
        <w:tc>
          <w:tcPr>
            <w:tcW w:type="dxa" w:w="4680"/>
            <w:shd w:val="clear" w:color="auto" w:fill="F1F5F9"/>
            <w:tcW w:type="dxa" w:w="4320"/>
          </w:tcPr>
          <w:p>
            <w:pPr>
              <w:spacing w:before="60" w:after="60"/>
            </w:pPr>
            <w:r>
              <w:rPr>
                <w:rFonts w:ascii="Calibri" w:hAnsi="Calibri"/>
                <w:b/>
                <w:color w:val="374151"/>
                <w:sz w:val="18"/>
              </w:rPr>
              <w:t>How Phoenix Fixes It</w:t>
            </w:r>
          </w:p>
        </w:tc>
      </w:tr>
      <w:tr>
        <w:tc>
          <w:tcPr>
            <w:tcW w:type="dxa" w:w="4680"/>
            <w:shd w:val="clear" w:color="auto" w:fill="FFFFFF"/>
            <w:tcW w:type="dxa" w:w="4320"/>
            <w:tcMar>
              <w:top w:w="80" w:type="dxa"/>
              <w:bottom w:w="80" w:type="dxa"/>
              <w:left w:w="120" w:type="dxa"/>
              <w:right w:w="120" w:type="dxa"/>
            </w:tcMar>
          </w:tcPr>
          <w:p>
            <w:pPr>
              <w:spacing w:before="40" w:after="40"/>
            </w:pPr>
            <w:r>
              <w:rPr>
                <w:rFonts w:ascii="Calibri" w:hAnsi="Calibri"/>
                <w:b w:val="0"/>
                <w:color w:val="374151"/>
                <w:sz w:val="19"/>
              </w:rPr>
              <w:t>When a patient's order includes a Comprehensive Health Profile, Men's/Women's CHP, or Fitness Profile (Elite or Nutrition), the outbound call queue must surface a consult eligibility indicator to prompt the PSR to offer a CHP consult. This product-type-driven offer trigger is not defined.</w:t>
            </w:r>
          </w:p>
        </w:tc>
        <w:tc>
          <w:tcPr>
            <w:tcW w:type="dxa" w:w="4680"/>
            <w:shd w:val="clear" w:color="auto" w:fill="FFFFFF"/>
            <w:tcW w:type="dxa" w:w="4320"/>
            <w:tcMar>
              <w:top w:w="80" w:type="dxa"/>
              <w:bottom w:w="80" w:type="dxa"/>
              <w:left w:w="120" w:type="dxa"/>
              <w:right w:w="120" w:type="dxa"/>
            </w:tcMar>
          </w:tcPr>
          <w:p>
            <w:pPr>
              <w:spacing w:before="40" w:after="40"/>
            </w:pPr>
            <w:r>
              <w:rPr>
                <w:rFonts w:ascii="Calibri" w:hAnsi="Calibri"/>
                <w:b w:val="0"/>
                <w:color w:val="374151"/>
                <w:sz w:val="19"/>
              </w:rPr>
              <w:t>In the outbound call queue, CHP-type orders display a 'CHP Consult Eligible' badge. When agent opens the call workflow, the CHP consult offer is pre-populated as the recommended action. Qualifying test types are configurable per client in Admin Portal proactive consult offer settings (M04-PCO-001 extension).</w:t>
            </w:r>
          </w:p>
        </w:tc>
      </w:tr>
      <w:tr>
        <w:tc>
          <w:tcPr>
            <w:tcW w:type="dxa" w:w="9360"/>
            <w:gridSpan w:val="2"/>
            <w:shd w:val="clear" w:color="auto" w:fill="F8FAFC"/>
          </w:tcPr>
          <w:p>
            <w:pPr>
              <w:spacing w:before="60" w:after="60"/>
            </w:pPr>
            <w:r>
              <w:rPr>
                <w:rFonts w:ascii="Calibri" w:hAnsi="Calibri"/>
                <w:b/>
                <w:color w:val="065F46"/>
                <w:sz w:val="18"/>
              </w:rPr>
              <w:t xml:space="preserve">Queue / Routing:  </w:t>
            </w:r>
            <w:r>
              <w:rPr>
                <w:rFonts w:ascii="Calibri" w:hAnsi="Calibri"/>
                <w:b w:val="0"/>
                <w:color w:val="374151"/>
                <w:sz w:val="18"/>
              </w:rPr>
              <w:t>Outbound call queue — consult offer step. CHP badge visible at queue row level; offer details inside call workflow.</w:t>
            </w:r>
          </w:p>
        </w:tc>
      </w:tr>
    </w:tbl>
    <w:p>
      <w:pPr>
        <w:spacing w:after="80"/>
      </w:pPr>
    </w:p>
    <w:tbl>
      <w:tblPr>
        <w:tblW w:type="auto" w:w="0"/>
        <w:tblLook w:firstColumn="1" w:firstRow="1" w:lastColumn="0" w:lastRow="0" w:noHBand="0" w:noVBand="1" w:val="04A0"/>
        <w:tblW w:type="dxa" w:w="8640"/>
        <w:tblBorders>
          <w:top w:val="single" w:sz="6" w:space="0" w:color="065F46"/>
          <w:left w:val="single" w:sz="6" w:space="0" w:color="065F46"/>
          <w:bottom w:val="single" w:sz="6" w:space="0" w:color="065F46"/>
          <w:right w:val="single" w:sz="6" w:space="0" w:color="065F46"/>
          <w:insideH w:val="single" w:sz="6" w:space="0" w:color="065F46"/>
          <w:insideV w:val="single" w:sz="6" w:space="0" w:color="065F46"/>
        </w:tblBorders>
      </w:tblPr>
      <w:tblGrid>
        <w:gridCol w:w="4680"/>
        <w:gridCol w:w="4680"/>
      </w:tblGrid>
      <w:tr>
        <w:tc>
          <w:tcPr>
            <w:tcW w:type="dxa" w:w="9360"/>
            <w:gridSpan w:val="2"/>
            <w:shd w:val="clear" w:color="auto" w:fill="065F46"/>
          </w:tcPr>
          <w:p>
            <w:pPr>
              <w:spacing w:before="80" w:after="80"/>
            </w:pPr>
            <w:r>
              <w:rPr>
                <w:rFonts w:ascii="Calibri" w:hAnsi="Calibri"/>
                <w:b/>
                <w:color w:val="FFFFFF"/>
                <w:sz w:val="17"/>
              </w:rPr>
              <w:t xml:space="preserve">CT-GAP-09  </w:t>
            </w:r>
            <w:r>
              <w:rPr>
                <w:rFonts w:ascii="Calibri" w:hAnsi="Calibri"/>
                <w:b/>
                <w:color w:val="FFFFFF"/>
                <w:sz w:val="21"/>
              </w:rPr>
              <w:t>UTI Consult Eligibility Rules at PSR Consult-Offer Point (Quest Direct)</w:t>
            </w:r>
            <w:r>
              <w:rPr>
                <w:rFonts w:ascii="Calibri" w:hAnsi="Calibri"/>
                <w:b w:val="0"/>
                <w:color w:val="D1FAE5"/>
                <w:sz w:val="17"/>
              </w:rPr>
              <w:t xml:space="preserve">    [M05]  |  Care Team Portal  |  v1.0</w:t>
            </w:r>
          </w:p>
        </w:tc>
      </w:tr>
      <w:tr>
        <w:tc>
          <w:tcPr>
            <w:tcW w:type="dxa" w:w="4680"/>
            <w:shd w:val="clear" w:color="auto" w:fill="F1F5F9"/>
            <w:tcW w:type="dxa" w:w="4320"/>
          </w:tcPr>
          <w:p>
            <w:pPr>
              <w:spacing w:before="60" w:after="60"/>
            </w:pPr>
            <w:r>
              <w:rPr>
                <w:rFonts w:ascii="Calibri" w:hAnsi="Calibri"/>
                <w:b/>
                <w:color w:val="374151"/>
                <w:sz w:val="18"/>
              </w:rPr>
              <w:t>What Is the Gap (Current State)</w:t>
            </w:r>
          </w:p>
        </w:tc>
        <w:tc>
          <w:tcPr>
            <w:tcW w:type="dxa" w:w="4680"/>
            <w:shd w:val="clear" w:color="auto" w:fill="F1F5F9"/>
            <w:tcW w:type="dxa" w:w="4320"/>
          </w:tcPr>
          <w:p>
            <w:pPr>
              <w:spacing w:before="60" w:after="60"/>
            </w:pPr>
            <w:r>
              <w:rPr>
                <w:rFonts w:ascii="Calibri" w:hAnsi="Calibri"/>
                <w:b/>
                <w:color w:val="374151"/>
                <w:sz w:val="18"/>
              </w:rPr>
              <w:t>How Phoenix Fixes It</w:t>
            </w:r>
          </w:p>
        </w:tc>
      </w:tr>
      <w:tr>
        <w:tc>
          <w:tcPr>
            <w:tcW w:type="dxa" w:w="4680"/>
            <w:shd w:val="clear" w:color="auto" w:fill="FFFFFF"/>
            <w:tcW w:type="dxa" w:w="4320"/>
            <w:tcMar>
              <w:top w:w="80" w:type="dxa"/>
              <w:bottom w:w="80" w:type="dxa"/>
              <w:left w:w="120" w:type="dxa"/>
              <w:right w:w="120" w:type="dxa"/>
            </w:tcMar>
          </w:tcPr>
          <w:p>
            <w:pPr>
              <w:spacing w:before="40" w:after="40"/>
            </w:pPr>
            <w:r>
              <w:rPr>
                <w:rFonts w:ascii="Calibri" w:hAnsi="Calibri"/>
                <w:b w:val="0"/>
                <w:color w:val="374151"/>
                <w:sz w:val="19"/>
              </w:rPr>
              <w:t>For UTI consults, specific eligibility rules apply when the PSR makes a consult offer: non-pregnant women aged 18–65 with UTI symptoms within the past 7–10 days qualify for treatment; males and pregnant women get Educational session only. This PSR-level eligibility determination is not defined (only the PCC-level contraindication closure is covered).</w:t>
            </w:r>
          </w:p>
        </w:tc>
        <w:tc>
          <w:tcPr>
            <w:tcW w:type="dxa" w:w="4680"/>
            <w:shd w:val="clear" w:color="auto" w:fill="FFFFFF"/>
            <w:tcW w:type="dxa" w:w="4320"/>
            <w:tcMar>
              <w:top w:w="80" w:type="dxa"/>
              <w:bottom w:w="80" w:type="dxa"/>
              <w:left w:w="120" w:type="dxa"/>
              <w:right w:w="120" w:type="dxa"/>
            </w:tcMar>
          </w:tcPr>
          <w:p>
            <w:pPr>
              <w:spacing w:before="40" w:after="40"/>
            </w:pPr>
            <w:r>
              <w:rPr>
                <w:rFonts w:ascii="Calibri" w:hAnsi="Calibri"/>
                <w:b w:val="0"/>
                <w:color w:val="374151"/>
                <w:sz w:val="19"/>
              </w:rPr>
              <w:t>In the UTI consult offer step of the PSR outbound call workflow, add an eligibility screening form: patient sex (male → Educational only, locked), pregnant? (yes → Educational only, locked), age (outside 18–65 → flagged, supervisor override required), symptom onset within 7–10 days (no → advisory shown). Eligibility check outcome logged on the case.</w:t>
            </w:r>
          </w:p>
        </w:tc>
      </w:tr>
      <w:tr>
        <w:tc>
          <w:tcPr>
            <w:tcW w:type="dxa" w:w="9360"/>
            <w:gridSpan w:val="2"/>
            <w:shd w:val="clear" w:color="auto" w:fill="F8FAFC"/>
          </w:tcPr>
          <w:p>
            <w:pPr>
              <w:spacing w:before="60" w:after="60"/>
            </w:pPr>
            <w:r>
              <w:rPr>
                <w:rFonts w:ascii="Calibri" w:hAnsi="Calibri"/>
                <w:b/>
                <w:color w:val="065F46"/>
                <w:sz w:val="18"/>
              </w:rPr>
              <w:t xml:space="preserve">Queue / Routing:  </w:t>
            </w:r>
            <w:r>
              <w:rPr>
                <w:rFonts w:ascii="Calibri" w:hAnsi="Calibri"/>
                <w:b w:val="0"/>
                <w:color w:val="374151"/>
                <w:sz w:val="18"/>
              </w:rPr>
              <w:t>UTI consult offer step inside PSR outbound call workflow. Ineligible → Educational offer only. Eligible → Treatment offer. Supervisor override queue for age-boundary cases.</w:t>
            </w:r>
          </w:p>
        </w:tc>
      </w:tr>
    </w:tbl>
    <w:p>
      <w:pPr>
        <w:spacing w:after="80"/>
      </w:pPr>
    </w:p>
    <w:tbl>
      <w:tblPr>
        <w:tblW w:type="auto" w:w="0"/>
        <w:tblLook w:firstColumn="1" w:firstRow="1" w:lastColumn="0" w:lastRow="0" w:noHBand="0" w:noVBand="1" w:val="04A0"/>
        <w:tblW w:type="dxa" w:w="8640"/>
        <w:tblBorders>
          <w:top w:val="single" w:sz="6" w:space="0" w:color="065F46"/>
          <w:left w:val="single" w:sz="6" w:space="0" w:color="065F46"/>
          <w:bottom w:val="single" w:sz="6" w:space="0" w:color="065F46"/>
          <w:right w:val="single" w:sz="6" w:space="0" w:color="065F46"/>
          <w:insideH w:val="single" w:sz="6" w:space="0" w:color="065F46"/>
          <w:insideV w:val="single" w:sz="6" w:space="0" w:color="065F46"/>
        </w:tblBorders>
      </w:tblPr>
      <w:tblGrid>
        <w:gridCol w:w="4680"/>
        <w:gridCol w:w="4680"/>
      </w:tblGrid>
      <w:tr>
        <w:tc>
          <w:tcPr>
            <w:tcW w:type="dxa" w:w="9360"/>
            <w:gridSpan w:val="2"/>
            <w:shd w:val="clear" w:color="auto" w:fill="065F46"/>
          </w:tcPr>
          <w:p>
            <w:pPr>
              <w:spacing w:before="80" w:after="80"/>
            </w:pPr>
            <w:r>
              <w:rPr>
                <w:rFonts w:ascii="Calibri" w:hAnsi="Calibri"/>
                <w:b/>
                <w:color w:val="FFFFFF"/>
                <w:sz w:val="17"/>
              </w:rPr>
              <w:t xml:space="preserve">CT-GAP-10  </w:t>
            </w:r>
            <w:r>
              <w:rPr>
                <w:rFonts w:ascii="Calibri" w:hAnsi="Calibri"/>
                <w:b/>
                <w:color w:val="FFFFFF"/>
                <w:sz w:val="21"/>
              </w:rPr>
              <w:t>Thyroid Consult Offer — Client-Specific TSH Threshold Rules</w:t>
            </w:r>
            <w:r>
              <w:rPr>
                <w:rFonts w:ascii="Calibri" w:hAnsi="Calibri"/>
                <w:b w:val="0"/>
                <w:color w:val="D1FAE5"/>
                <w:sz w:val="17"/>
              </w:rPr>
              <w:t xml:space="preserve">    [M05]  |  Care Team Portal  |  v1.0</w:t>
            </w:r>
          </w:p>
        </w:tc>
      </w:tr>
      <w:tr>
        <w:tc>
          <w:tcPr>
            <w:tcW w:type="dxa" w:w="4680"/>
            <w:shd w:val="clear" w:color="auto" w:fill="F1F5F9"/>
            <w:tcW w:type="dxa" w:w="4320"/>
          </w:tcPr>
          <w:p>
            <w:pPr>
              <w:spacing w:before="60" w:after="60"/>
            </w:pPr>
            <w:r>
              <w:rPr>
                <w:rFonts w:ascii="Calibri" w:hAnsi="Calibri"/>
                <w:b/>
                <w:color w:val="374151"/>
                <w:sz w:val="18"/>
              </w:rPr>
              <w:t>What Is the Gap (Current State)</w:t>
            </w:r>
          </w:p>
        </w:tc>
        <w:tc>
          <w:tcPr>
            <w:tcW w:type="dxa" w:w="4680"/>
            <w:shd w:val="clear" w:color="auto" w:fill="F1F5F9"/>
            <w:tcW w:type="dxa" w:w="4320"/>
          </w:tcPr>
          <w:p>
            <w:pPr>
              <w:spacing w:before="60" w:after="60"/>
            </w:pPr>
            <w:r>
              <w:rPr>
                <w:rFonts w:ascii="Calibri" w:hAnsi="Calibri"/>
                <w:b/>
                <w:color w:val="374151"/>
                <w:sz w:val="18"/>
              </w:rPr>
              <w:t>How Phoenix Fixes It</w:t>
            </w:r>
          </w:p>
        </w:tc>
      </w:tr>
      <w:tr>
        <w:tc>
          <w:tcPr>
            <w:tcW w:type="dxa" w:w="4680"/>
            <w:shd w:val="clear" w:color="auto" w:fill="FFFFFF"/>
            <w:tcW w:type="dxa" w:w="4320"/>
            <w:tcMar>
              <w:top w:w="80" w:type="dxa"/>
              <w:bottom w:w="80" w:type="dxa"/>
              <w:left w:w="120" w:type="dxa"/>
              <w:right w:w="120" w:type="dxa"/>
            </w:tcMar>
          </w:tcPr>
          <w:p>
            <w:pPr>
              <w:spacing w:before="40" w:after="40"/>
            </w:pPr>
            <w:r>
              <w:rPr>
                <w:rFonts w:ascii="Calibri" w:hAnsi="Calibri"/>
                <w:b w:val="0"/>
                <w:color w:val="374151"/>
                <w:sz w:val="19"/>
              </w:rPr>
              <w:t>M04-PCO-001 general Thyroid consult offer toggle does not capture client-specific numeric TSH thresholds. Quest CIT: TSH &lt; 0.4 or &gt; 4.5 AND any TSH / TSH w/ reflex to free T4. Everlywell: TSH &lt; 0.05 or &gt; 10 AND thyroid panel. Consult offer should only surface when these specific client + value criteria are met.</w:t>
            </w:r>
          </w:p>
        </w:tc>
        <w:tc>
          <w:tcPr>
            <w:tcW w:type="dxa" w:w="4680"/>
            <w:shd w:val="clear" w:color="auto" w:fill="FFFFFF"/>
            <w:tcW w:type="dxa" w:w="4320"/>
            <w:tcMar>
              <w:top w:w="80" w:type="dxa"/>
              <w:bottom w:w="80" w:type="dxa"/>
              <w:left w:w="120" w:type="dxa"/>
              <w:right w:w="120" w:type="dxa"/>
            </w:tcMar>
          </w:tcPr>
          <w:p>
            <w:pPr>
              <w:spacing w:before="40" w:after="40"/>
            </w:pPr>
            <w:r>
              <w:rPr>
                <w:rFonts w:ascii="Calibri" w:hAnsi="Calibri"/>
                <w:b w:val="0"/>
                <w:color w:val="374151"/>
                <w:sz w:val="19"/>
              </w:rPr>
              <w:t>In Admin Portal care product configuration, add a 'Result Threshold Rules' section per thyroid care product. Each client defines: low threshold, high threshold, qualifying test codes. Outbound call queue evaluates patient result value against configured thresholds before surfacing the consult offer. Offer does not appear if thresholds not met.</w:t>
            </w:r>
          </w:p>
        </w:tc>
      </w:tr>
      <w:tr>
        <w:tc>
          <w:tcPr>
            <w:tcW w:type="dxa" w:w="9360"/>
            <w:gridSpan w:val="2"/>
            <w:shd w:val="clear" w:color="auto" w:fill="F8FAFC"/>
          </w:tcPr>
          <w:p>
            <w:pPr>
              <w:spacing w:before="60" w:after="60"/>
            </w:pPr>
            <w:r>
              <w:rPr>
                <w:rFonts w:ascii="Calibri" w:hAnsi="Calibri"/>
                <w:b/>
                <w:color w:val="065F46"/>
                <w:sz w:val="18"/>
              </w:rPr>
              <w:t xml:space="preserve">Queue / Routing:  </w:t>
            </w:r>
            <w:r>
              <w:rPr>
                <w:rFonts w:ascii="Calibri" w:hAnsi="Calibri"/>
                <w:b w:val="0"/>
                <w:color w:val="374151"/>
                <w:sz w:val="18"/>
              </w:rPr>
              <w:t>Outbound queue — consult offer visibility controlled by threshold evaluation. Admin configures thresholds per client/care product. No agent decision required.</w:t>
            </w:r>
          </w:p>
        </w:tc>
      </w:tr>
    </w:tbl>
    <w:p>
      <w:pPr>
        <w:spacing w:after="80"/>
      </w:pPr>
    </w:p>
    <w:tbl>
      <w:tblPr>
        <w:tblW w:type="auto" w:w="0"/>
        <w:tblLook w:firstColumn="1" w:firstRow="1" w:lastColumn="0" w:lastRow="0" w:noHBand="0" w:noVBand="1" w:val="04A0"/>
        <w:tblW w:type="dxa" w:w="8640"/>
        <w:tblBorders>
          <w:top w:val="single" w:sz="6" w:space="0" w:color="065F46"/>
          <w:left w:val="single" w:sz="6" w:space="0" w:color="065F46"/>
          <w:bottom w:val="single" w:sz="6" w:space="0" w:color="065F46"/>
          <w:right w:val="single" w:sz="6" w:space="0" w:color="065F46"/>
          <w:insideH w:val="single" w:sz="6" w:space="0" w:color="065F46"/>
          <w:insideV w:val="single" w:sz="6" w:space="0" w:color="065F46"/>
        </w:tblBorders>
      </w:tblPr>
      <w:tblGrid>
        <w:gridCol w:w="4680"/>
        <w:gridCol w:w="4680"/>
      </w:tblGrid>
      <w:tr>
        <w:tc>
          <w:tcPr>
            <w:tcW w:type="dxa" w:w="9360"/>
            <w:gridSpan w:val="2"/>
            <w:shd w:val="clear" w:color="auto" w:fill="065F46"/>
          </w:tcPr>
          <w:p>
            <w:pPr>
              <w:spacing w:before="80" w:after="80"/>
            </w:pPr>
            <w:r>
              <w:rPr>
                <w:rFonts w:ascii="Calibri" w:hAnsi="Calibri"/>
                <w:b/>
                <w:color w:val="FFFFFF"/>
                <w:sz w:val="17"/>
              </w:rPr>
              <w:t xml:space="preserve">CT-GAP-11  </w:t>
            </w:r>
            <w:r>
              <w:rPr>
                <w:rFonts w:ascii="Calibri" w:hAnsi="Calibri"/>
                <w:b/>
                <w:color w:val="FFFFFF"/>
                <w:sz w:val="21"/>
              </w:rPr>
              <w:t>Lyme Consult — Manual Referral Creation (No Scheduling Link Path)</w:t>
            </w:r>
            <w:r>
              <w:rPr>
                <w:rFonts w:ascii="Calibri" w:hAnsi="Calibri"/>
                <w:b w:val="0"/>
                <w:color w:val="D1FAE5"/>
                <w:sz w:val="17"/>
              </w:rPr>
              <w:t xml:space="preserve">    [M05]  |  Care Team Portal  |  v1.0</w:t>
            </w:r>
          </w:p>
        </w:tc>
      </w:tr>
      <w:tr>
        <w:tc>
          <w:tcPr>
            <w:tcW w:type="dxa" w:w="4680"/>
            <w:shd w:val="clear" w:color="auto" w:fill="F1F5F9"/>
            <w:tcW w:type="dxa" w:w="4320"/>
          </w:tcPr>
          <w:p>
            <w:pPr>
              <w:spacing w:before="60" w:after="60"/>
            </w:pPr>
            <w:r>
              <w:rPr>
                <w:rFonts w:ascii="Calibri" w:hAnsi="Calibri"/>
                <w:b/>
                <w:color w:val="374151"/>
                <w:sz w:val="18"/>
              </w:rPr>
              <w:t>What Is the Gap (Current State)</w:t>
            </w:r>
          </w:p>
        </w:tc>
        <w:tc>
          <w:tcPr>
            <w:tcW w:type="dxa" w:w="4680"/>
            <w:shd w:val="clear" w:color="auto" w:fill="F1F5F9"/>
            <w:tcW w:type="dxa" w:w="4320"/>
          </w:tcPr>
          <w:p>
            <w:pPr>
              <w:spacing w:before="60" w:after="60"/>
            </w:pPr>
            <w:r>
              <w:rPr>
                <w:rFonts w:ascii="Calibri" w:hAnsi="Calibri"/>
                <w:b/>
                <w:color w:val="374151"/>
                <w:sz w:val="18"/>
              </w:rPr>
              <w:t>How Phoenix Fixes It</w:t>
            </w:r>
          </w:p>
        </w:tc>
      </w:tr>
      <w:tr>
        <w:tc>
          <w:tcPr>
            <w:tcW w:type="dxa" w:w="4680"/>
            <w:shd w:val="clear" w:color="auto" w:fill="FFFFFF"/>
            <w:tcW w:type="dxa" w:w="4320"/>
            <w:tcMar>
              <w:top w:w="80" w:type="dxa"/>
              <w:bottom w:w="80" w:type="dxa"/>
              <w:left w:w="120" w:type="dxa"/>
              <w:right w:w="120" w:type="dxa"/>
            </w:tcMar>
          </w:tcPr>
          <w:p>
            <w:pPr>
              <w:spacing w:before="40" w:after="40"/>
            </w:pPr>
            <w:r>
              <w:rPr>
                <w:rFonts w:ascii="Calibri" w:hAnsi="Calibri"/>
                <w:b w:val="0"/>
                <w:color w:val="374151"/>
                <w:sz w:val="19"/>
              </w:rPr>
              <w:t>Lyme consults require a manual referral creation workflow — no scheduling link is sent. The referral must capture: demographics, service type (Lyme), intake form PDF, test results, pharmacy info (treatment), medication/allergy data. No requirement defines this Lyme-specific manual referral path, distinct from the standard scheduling-link consult flow.</w:t>
            </w:r>
          </w:p>
        </w:tc>
        <w:tc>
          <w:tcPr>
            <w:tcW w:type="dxa" w:w="4680"/>
            <w:shd w:val="clear" w:color="auto" w:fill="FFFFFF"/>
            <w:tcW w:type="dxa" w:w="4320"/>
            <w:tcMar>
              <w:top w:w="80" w:type="dxa"/>
              <w:bottom w:w="80" w:type="dxa"/>
              <w:left w:w="120" w:type="dxa"/>
              <w:right w:w="120" w:type="dxa"/>
            </w:tcMar>
          </w:tcPr>
          <w:p>
            <w:pPr>
              <w:spacing w:before="40" w:after="40"/>
            </w:pPr>
            <w:r>
              <w:rPr>
                <w:rFonts w:ascii="Calibri" w:hAnsi="Calibri"/>
                <w:b w:val="0"/>
                <w:color w:val="374151"/>
                <w:sz w:val="19"/>
              </w:rPr>
              <w:t>Add a 'Manual Referral' consult offer path in the outbound call workflow, configurable per care product. For Lyme-eligible patients, PSR selects 'Create Manual Referral' → structured referral form opens with: demographics (pre-filled from order), service type, intake form upload, pharmacy info, medication/allergy fields. On submit: referral routed directly to PCC queue for provider assignment. No scheduling link generated.</w:t>
            </w:r>
          </w:p>
        </w:tc>
      </w:tr>
      <w:tr>
        <w:tc>
          <w:tcPr>
            <w:tcW w:type="dxa" w:w="9360"/>
            <w:gridSpan w:val="2"/>
            <w:shd w:val="clear" w:color="auto" w:fill="F8FAFC"/>
          </w:tcPr>
          <w:p>
            <w:pPr>
              <w:spacing w:before="60" w:after="60"/>
            </w:pPr>
            <w:r>
              <w:rPr>
                <w:rFonts w:ascii="Calibri" w:hAnsi="Calibri"/>
                <w:b/>
                <w:color w:val="065F46"/>
                <w:sz w:val="18"/>
              </w:rPr>
              <w:t xml:space="preserve">Queue / Routing:  </w:t>
            </w:r>
            <w:r>
              <w:rPr>
                <w:rFonts w:ascii="Calibri" w:hAnsi="Calibri"/>
                <w:b w:val="0"/>
                <w:color w:val="374151"/>
                <w:sz w:val="18"/>
              </w:rPr>
              <w:t>Manual referral creation → PCC referral assignment queue. No scheduling link sent to patient. Provider assignment follows standard PCC workflow.</w:t>
            </w:r>
          </w:p>
        </w:tc>
      </w:tr>
    </w:tbl>
    <w:p>
      <w:pPr>
        <w:spacing w:after="80"/>
      </w:pPr>
    </w:p>
    <w:p>
      <w:pPr>
        <w:spacing w:before="280" w:after="120"/>
        <w:pBdr>
          <w:bottom w:val="single" w:sz="6" w:space="1" w:color="B45309"/>
        </w:pBdr>
      </w:pPr>
      <w:r>
        <w:rPr>
          <w:rFonts w:ascii="Calibri" w:hAnsi="Calibri"/>
          <w:b/>
          <w:color w:val="B45309"/>
          <w:sz w:val="26"/>
        </w:rPr>
        <w:t>4. PSR Call Management Interface</w:t>
      </w:r>
    </w:p>
    <w:tbl>
      <w:tblPr>
        <w:tblW w:type="auto" w:w="0"/>
        <w:tblLook w:firstColumn="1" w:firstRow="1" w:lastColumn="0" w:lastRow="0" w:noHBand="0" w:noVBand="1" w:val="04A0"/>
        <w:tblW w:type="dxa" w:w="8640"/>
        <w:tblBorders>
          <w:top w:val="single" w:sz="6" w:space="0" w:color="B45309"/>
          <w:left w:val="single" w:sz="6" w:space="0" w:color="B45309"/>
          <w:bottom w:val="single" w:sz="6" w:space="0" w:color="B45309"/>
          <w:right w:val="single" w:sz="6" w:space="0" w:color="B45309"/>
          <w:insideH w:val="single" w:sz="6" w:space="0" w:color="B45309"/>
          <w:insideV w:val="single" w:sz="6" w:space="0" w:color="B45309"/>
        </w:tblBorders>
      </w:tblPr>
      <w:tblGrid>
        <w:gridCol w:w="4680"/>
        <w:gridCol w:w="4680"/>
      </w:tblGrid>
      <w:tr>
        <w:tc>
          <w:tcPr>
            <w:tcW w:type="dxa" w:w="9360"/>
            <w:gridSpan w:val="2"/>
            <w:shd w:val="clear" w:color="auto" w:fill="B45309"/>
          </w:tcPr>
          <w:p>
            <w:pPr>
              <w:spacing w:before="80" w:after="80"/>
            </w:pPr>
            <w:r>
              <w:rPr>
                <w:rFonts w:ascii="Calibri" w:hAnsi="Calibri"/>
                <w:b/>
                <w:color w:val="FFFFFF"/>
                <w:sz w:val="17"/>
              </w:rPr>
              <w:t xml:space="preserve">CT-GAP-12  </w:t>
            </w:r>
            <w:r>
              <w:rPr>
                <w:rFonts w:ascii="Calibri" w:hAnsi="Calibri"/>
                <w:b/>
                <w:color w:val="FFFFFF"/>
                <w:sz w:val="21"/>
              </w:rPr>
              <w:t>PSR Call Status Indicators + 30-Second After-Call Work (ACW) Limit</w:t>
            </w:r>
            <w:r>
              <w:rPr>
                <w:rFonts w:ascii="Calibri" w:hAnsi="Calibri"/>
                <w:b w:val="0"/>
                <w:color w:val="D1FAE5"/>
                <w:sz w:val="17"/>
              </w:rPr>
              <w:t xml:space="preserve">    [M02]  |  Care Team Portal  |  v1.0</w:t>
            </w:r>
          </w:p>
        </w:tc>
      </w:tr>
      <w:tr>
        <w:tc>
          <w:tcPr>
            <w:tcW w:type="dxa" w:w="4680"/>
            <w:shd w:val="clear" w:color="auto" w:fill="F1F5F9"/>
            <w:tcW w:type="dxa" w:w="4320"/>
          </w:tcPr>
          <w:p>
            <w:pPr>
              <w:spacing w:before="60" w:after="60"/>
            </w:pPr>
            <w:r>
              <w:rPr>
                <w:rFonts w:ascii="Calibri" w:hAnsi="Calibri"/>
                <w:b/>
                <w:color w:val="374151"/>
                <w:sz w:val="18"/>
              </w:rPr>
              <w:t>What Is the Gap (Current State)</w:t>
            </w:r>
          </w:p>
        </w:tc>
        <w:tc>
          <w:tcPr>
            <w:tcW w:type="dxa" w:w="4680"/>
            <w:shd w:val="clear" w:color="auto" w:fill="F1F5F9"/>
            <w:tcW w:type="dxa" w:w="4320"/>
          </w:tcPr>
          <w:p>
            <w:pPr>
              <w:spacing w:before="60" w:after="60"/>
            </w:pPr>
            <w:r>
              <w:rPr>
                <w:rFonts w:ascii="Calibri" w:hAnsi="Calibri"/>
                <w:b/>
                <w:color w:val="374151"/>
                <w:sz w:val="18"/>
              </w:rPr>
              <w:t>How Phoenix Fixes It</w:t>
            </w:r>
          </w:p>
        </w:tc>
      </w:tr>
      <w:tr>
        <w:tc>
          <w:tcPr>
            <w:tcW w:type="dxa" w:w="4680"/>
            <w:shd w:val="clear" w:color="auto" w:fill="FFFFFF"/>
            <w:tcW w:type="dxa" w:w="4320"/>
            <w:tcMar>
              <w:top w:w="80" w:type="dxa"/>
              <w:bottom w:w="80" w:type="dxa"/>
              <w:left w:w="120" w:type="dxa"/>
              <w:right w:w="120" w:type="dxa"/>
            </w:tcMar>
          </w:tcPr>
          <w:p>
            <w:pPr>
              <w:spacing w:before="40" w:after="40"/>
            </w:pPr>
            <w:r>
              <w:rPr>
                <w:rFonts w:ascii="Calibri" w:hAnsi="Calibri"/>
                <w:b w:val="0"/>
                <w:color w:val="374151"/>
                <w:sz w:val="19"/>
              </w:rPr>
              <w:t>The PSR outbound call queue must surface the agent's Omnichannel/call status (Available for Voice, Outbound, Blended, Break, Lunch, System Issues, Training) with the ability to change status from within the queue. A 30-second ACW time limit per call must be configurable and tracked. Neither the status indicator nor ACW limit enforcement is defined.</w:t>
            </w:r>
          </w:p>
        </w:tc>
        <w:tc>
          <w:tcPr>
            <w:tcW w:type="dxa" w:w="4680"/>
            <w:shd w:val="clear" w:color="auto" w:fill="FFFFFF"/>
            <w:tcW w:type="dxa" w:w="4320"/>
            <w:tcMar>
              <w:top w:w="80" w:type="dxa"/>
              <w:bottom w:w="80" w:type="dxa"/>
              <w:left w:w="120" w:type="dxa"/>
              <w:right w:w="120" w:type="dxa"/>
            </w:tcMar>
          </w:tcPr>
          <w:p>
            <w:pPr>
              <w:spacing w:before="40" w:after="40"/>
            </w:pPr>
            <w:r>
              <w:rPr>
                <w:rFonts w:ascii="Calibri" w:hAnsi="Calibri"/>
                <w:b w:val="0"/>
                <w:color w:val="374151"/>
                <w:sz w:val="19"/>
              </w:rPr>
              <w:t>Add a call status selector to the PSR queue header, synced with AWS Connect soft phone integration (M10-AWS-001). After each call, a 30-second ACW countdown timer appears; if disposition is not completed in 30 seconds, system auto-returns agent to Available and flags the call for supervisor review. ACW limit configurable per role in Admin Portal.</w:t>
            </w:r>
          </w:p>
        </w:tc>
      </w:tr>
      <w:tr>
        <w:tc>
          <w:tcPr>
            <w:tcW w:type="dxa" w:w="9360"/>
            <w:gridSpan w:val="2"/>
            <w:shd w:val="clear" w:color="auto" w:fill="F8FAFC"/>
          </w:tcPr>
          <w:p>
            <w:pPr>
              <w:spacing w:before="60" w:after="60"/>
            </w:pPr>
            <w:r>
              <w:rPr>
                <w:rFonts w:ascii="Calibri" w:hAnsi="Calibri"/>
                <w:b/>
                <w:color w:val="B45309"/>
                <w:sz w:val="18"/>
              </w:rPr>
              <w:t xml:space="preserve">Queue / Routing:  </w:t>
            </w:r>
            <w:r>
              <w:rPr>
                <w:rFonts w:ascii="Calibri" w:hAnsi="Calibri"/>
                <w:b w:val="0"/>
                <w:color w:val="374151"/>
                <w:sz w:val="18"/>
              </w:rPr>
              <w:t>PSR outbound queue header. AWS Connect status sync. ACW timer → auto-available transition. Supervisor alert on ACW timeout.</w:t>
            </w:r>
          </w:p>
        </w:tc>
      </w:tr>
    </w:tbl>
    <w:p>
      <w:pPr>
        <w:spacing w:after="80"/>
      </w:pPr>
    </w:p>
    <w:tbl>
      <w:tblPr>
        <w:tblW w:type="auto" w:w="0"/>
        <w:tblLook w:firstColumn="1" w:firstRow="1" w:lastColumn="0" w:lastRow="0" w:noHBand="0" w:noVBand="1" w:val="04A0"/>
        <w:tblW w:type="dxa" w:w="8640"/>
        <w:tblBorders>
          <w:top w:val="single" w:sz="6" w:space="0" w:color="B45309"/>
          <w:left w:val="single" w:sz="6" w:space="0" w:color="B45309"/>
          <w:bottom w:val="single" w:sz="6" w:space="0" w:color="B45309"/>
          <w:right w:val="single" w:sz="6" w:space="0" w:color="B45309"/>
          <w:insideH w:val="single" w:sz="6" w:space="0" w:color="B45309"/>
          <w:insideV w:val="single" w:sz="6" w:space="0" w:color="B45309"/>
        </w:tblBorders>
      </w:tblPr>
      <w:tblGrid>
        <w:gridCol w:w="4680"/>
        <w:gridCol w:w="4680"/>
      </w:tblGrid>
      <w:tr>
        <w:tc>
          <w:tcPr>
            <w:tcW w:type="dxa" w:w="9360"/>
            <w:gridSpan w:val="2"/>
            <w:shd w:val="clear" w:color="auto" w:fill="B45309"/>
          </w:tcPr>
          <w:p>
            <w:pPr>
              <w:spacing w:before="80" w:after="80"/>
            </w:pPr>
            <w:r>
              <w:rPr>
                <w:rFonts w:ascii="Calibri" w:hAnsi="Calibri"/>
                <w:b/>
                <w:color w:val="FFFFFF"/>
                <w:sz w:val="17"/>
              </w:rPr>
              <w:t xml:space="preserve">CT-GAP-13  </w:t>
            </w:r>
            <w:r>
              <w:rPr>
                <w:rFonts w:ascii="Calibri" w:hAnsi="Calibri"/>
                <w:b/>
                <w:color w:val="FFFFFF"/>
                <w:sz w:val="21"/>
              </w:rPr>
              <w:t>PSR Inbound Call — Patient Search Workflow with Escalation Path</w:t>
            </w:r>
            <w:r>
              <w:rPr>
                <w:rFonts w:ascii="Calibri" w:hAnsi="Calibri"/>
                <w:b w:val="0"/>
                <w:color w:val="D1FAE5"/>
                <w:sz w:val="17"/>
              </w:rPr>
              <w:t xml:space="preserve">    [M02]  |  Care Team Portal  |  v1.0</w:t>
            </w:r>
          </w:p>
        </w:tc>
      </w:tr>
      <w:tr>
        <w:tc>
          <w:tcPr>
            <w:tcW w:type="dxa" w:w="4680"/>
            <w:shd w:val="clear" w:color="auto" w:fill="F1F5F9"/>
            <w:tcW w:type="dxa" w:w="4320"/>
          </w:tcPr>
          <w:p>
            <w:pPr>
              <w:spacing w:before="60" w:after="60"/>
            </w:pPr>
            <w:r>
              <w:rPr>
                <w:rFonts w:ascii="Calibri" w:hAnsi="Calibri"/>
                <w:b/>
                <w:color w:val="374151"/>
                <w:sz w:val="18"/>
              </w:rPr>
              <w:t>What Is the Gap (Current State)</w:t>
            </w:r>
          </w:p>
        </w:tc>
        <w:tc>
          <w:tcPr>
            <w:tcW w:type="dxa" w:w="4680"/>
            <w:shd w:val="clear" w:color="auto" w:fill="F1F5F9"/>
            <w:tcW w:type="dxa" w:w="4320"/>
          </w:tcPr>
          <w:p>
            <w:pPr>
              <w:spacing w:before="60" w:after="60"/>
            </w:pPr>
            <w:r>
              <w:rPr>
                <w:rFonts w:ascii="Calibri" w:hAnsi="Calibri"/>
                <w:b/>
                <w:color w:val="374151"/>
                <w:sz w:val="18"/>
              </w:rPr>
              <w:t>How Phoenix Fixes It</w:t>
            </w:r>
          </w:p>
        </w:tc>
      </w:tr>
      <w:tr>
        <w:tc>
          <w:tcPr>
            <w:tcW w:type="dxa" w:w="4680"/>
            <w:shd w:val="clear" w:color="auto" w:fill="FFFFFF"/>
            <w:tcW w:type="dxa" w:w="4320"/>
            <w:tcMar>
              <w:top w:w="80" w:type="dxa"/>
              <w:bottom w:w="80" w:type="dxa"/>
              <w:left w:w="120" w:type="dxa"/>
              <w:right w:w="120" w:type="dxa"/>
            </w:tcMar>
          </w:tcPr>
          <w:p>
            <w:pPr>
              <w:spacing w:before="40" w:after="40"/>
            </w:pPr>
            <w:r>
              <w:rPr>
                <w:rFonts w:ascii="Calibri" w:hAnsi="Calibri"/>
                <w:b w:val="0"/>
                <w:color w:val="374151"/>
                <w:sz w:val="19"/>
              </w:rPr>
              <w:t>For inbound calls, the platform needs patient lookup by full name, phone number, or Labs Module requisition ID. If not found, agent must be able to create a new ticket (name, DOB, zip, test client) routed to supervisor queue. M02-NAV-001 covers search modes but not the inbound call triage workflow with no-match escalation.</w:t>
            </w:r>
          </w:p>
        </w:tc>
        <w:tc>
          <w:tcPr>
            <w:tcW w:type="dxa" w:w="4680"/>
            <w:shd w:val="clear" w:color="auto" w:fill="FFFFFF"/>
            <w:tcW w:type="dxa" w:w="4320"/>
            <w:tcMar>
              <w:top w:w="80" w:type="dxa"/>
              <w:bottom w:w="80" w:type="dxa"/>
              <w:left w:w="120" w:type="dxa"/>
              <w:right w:w="120" w:type="dxa"/>
            </w:tcMar>
          </w:tcPr>
          <w:p>
            <w:pPr>
              <w:spacing w:before="40" w:after="40"/>
            </w:pPr>
            <w:r>
              <w:rPr>
                <w:rFonts w:ascii="Calibri" w:hAnsi="Calibri"/>
                <w:b w:val="0"/>
                <w:color w:val="374151"/>
                <w:sz w:val="19"/>
              </w:rPr>
              <w:t>Add an 'Inbound Call' entry point in the PSR Care Team Portal. Search accepts: full name, phone number, or requisition ID. Results from platform + Labs Module lookup link. If no match: 'Create Inbound Ticket' form (name, DOB, zip, client) creates a case routed to supervisor review queue flagged as 'Unmatched Patient.' Supervisor links to existing record or escalates to data team.</w:t>
            </w:r>
          </w:p>
        </w:tc>
      </w:tr>
      <w:tr>
        <w:tc>
          <w:tcPr>
            <w:tcW w:type="dxa" w:w="9360"/>
            <w:gridSpan w:val="2"/>
            <w:shd w:val="clear" w:color="auto" w:fill="F8FAFC"/>
          </w:tcPr>
          <w:p>
            <w:pPr>
              <w:spacing w:before="60" w:after="60"/>
            </w:pPr>
            <w:r>
              <w:rPr>
                <w:rFonts w:ascii="Calibri" w:hAnsi="Calibri"/>
                <w:b/>
                <w:color w:val="B45309"/>
                <w:sz w:val="18"/>
              </w:rPr>
              <w:t xml:space="preserve">Queue / Routing:  </w:t>
            </w:r>
            <w:r>
              <w:rPr>
                <w:rFonts w:ascii="Calibri" w:hAnsi="Calibri"/>
                <w:b w:val="0"/>
                <w:color w:val="374151"/>
                <w:sz w:val="18"/>
              </w:rPr>
              <w:t>Inbound call search → matched patient record. No match → Supervisor review queue ('Unmatched Patient'). Supervisor resolves or escalates.</w:t>
            </w:r>
          </w:p>
        </w:tc>
      </w:tr>
    </w:tbl>
    <w:p>
      <w:pPr>
        <w:spacing w:after="80"/>
      </w:pPr>
    </w:p>
    <w:p>
      <w:pPr>
        <w:spacing w:before="280" w:after="120"/>
        <w:pBdr>
          <w:bottom w:val="single" w:sz="6" w:space="1" w:color="DC2626"/>
        </w:pBdr>
      </w:pPr>
      <w:r>
        <w:rPr>
          <w:rFonts w:ascii="Calibri" w:hAnsi="Calibri"/>
          <w:b/>
          <w:color w:val="DC2626"/>
          <w:sz w:val="26"/>
        </w:rPr>
        <w:t>5. PCC Referral Workflow &amp; Queue Management</w:t>
      </w:r>
    </w:p>
    <w:tbl>
      <w:tblPr>
        <w:tblW w:type="auto" w:w="0"/>
        <w:tblLook w:firstColumn="1" w:firstRow="1" w:lastColumn="0" w:lastRow="0" w:noHBand="0" w:noVBand="1" w:val="04A0"/>
        <w:tblW w:type="dxa" w:w="8640"/>
        <w:tblBorders>
          <w:top w:val="single" w:sz="6" w:space="0" w:color="DC2626"/>
          <w:left w:val="single" w:sz="6" w:space="0" w:color="DC2626"/>
          <w:bottom w:val="single" w:sz="6" w:space="0" w:color="DC2626"/>
          <w:right w:val="single" w:sz="6" w:space="0" w:color="DC2626"/>
          <w:insideH w:val="single" w:sz="6" w:space="0" w:color="DC2626"/>
          <w:insideV w:val="single" w:sz="6" w:space="0" w:color="DC2626"/>
        </w:tblBorders>
      </w:tblPr>
      <w:tblGrid>
        <w:gridCol w:w="4680"/>
        <w:gridCol w:w="4680"/>
      </w:tblGrid>
      <w:tr>
        <w:tc>
          <w:tcPr>
            <w:tcW w:type="dxa" w:w="9360"/>
            <w:gridSpan w:val="2"/>
            <w:shd w:val="clear" w:color="auto" w:fill="DC2626"/>
          </w:tcPr>
          <w:p>
            <w:pPr>
              <w:spacing w:before="80" w:after="80"/>
            </w:pPr>
            <w:r>
              <w:rPr>
                <w:rFonts w:ascii="Calibri" w:hAnsi="Calibri"/>
                <w:b/>
                <w:color w:val="FFFFFF"/>
                <w:sz w:val="17"/>
              </w:rPr>
              <w:t xml:space="preserve">CT-GAP-14  </w:t>
            </w:r>
            <w:r>
              <w:rPr>
                <w:rFonts w:ascii="Calibri" w:hAnsi="Calibri"/>
                <w:b/>
                <w:color w:val="FFFFFF"/>
                <w:sz w:val="21"/>
              </w:rPr>
              <w:t>Referral Review — 15-Minute Assignment SLA with Auto-Escalation</w:t>
            </w:r>
            <w:r>
              <w:rPr>
                <w:rFonts w:ascii="Calibri" w:hAnsi="Calibri"/>
                <w:b w:val="0"/>
                <w:color w:val="D1FAE5"/>
                <w:sz w:val="17"/>
              </w:rPr>
              <w:t xml:space="preserve">    [M06]  |  Care Team Portal  |  v1.0</w:t>
            </w:r>
          </w:p>
        </w:tc>
      </w:tr>
      <w:tr>
        <w:tc>
          <w:tcPr>
            <w:tcW w:type="dxa" w:w="4680"/>
            <w:shd w:val="clear" w:color="auto" w:fill="F1F5F9"/>
            <w:tcW w:type="dxa" w:w="4320"/>
          </w:tcPr>
          <w:p>
            <w:pPr>
              <w:spacing w:before="60" w:after="60"/>
            </w:pPr>
            <w:r>
              <w:rPr>
                <w:rFonts w:ascii="Calibri" w:hAnsi="Calibri"/>
                <w:b/>
                <w:color w:val="374151"/>
                <w:sz w:val="18"/>
              </w:rPr>
              <w:t>What Is the Gap (Current State)</w:t>
            </w:r>
          </w:p>
        </w:tc>
        <w:tc>
          <w:tcPr>
            <w:tcW w:type="dxa" w:w="4680"/>
            <w:shd w:val="clear" w:color="auto" w:fill="F1F5F9"/>
            <w:tcW w:type="dxa" w:w="4320"/>
          </w:tcPr>
          <w:p>
            <w:pPr>
              <w:spacing w:before="60" w:after="60"/>
            </w:pPr>
            <w:r>
              <w:rPr>
                <w:rFonts w:ascii="Calibri" w:hAnsi="Calibri"/>
                <w:b/>
                <w:color w:val="374151"/>
                <w:sz w:val="18"/>
              </w:rPr>
              <w:t>How Phoenix Fixes It</w:t>
            </w:r>
          </w:p>
        </w:tc>
      </w:tr>
      <w:tr>
        <w:tc>
          <w:tcPr>
            <w:tcW w:type="dxa" w:w="4680"/>
            <w:shd w:val="clear" w:color="auto" w:fill="FFFFFF"/>
            <w:tcW w:type="dxa" w:w="4320"/>
            <w:tcMar>
              <w:top w:w="80" w:type="dxa"/>
              <w:bottom w:w="80" w:type="dxa"/>
              <w:left w:w="120" w:type="dxa"/>
              <w:right w:w="120" w:type="dxa"/>
            </w:tcMar>
          </w:tcPr>
          <w:p>
            <w:pPr>
              <w:spacing w:before="40" w:after="40"/>
            </w:pPr>
            <w:r>
              <w:rPr>
                <w:rFonts w:ascii="Calibri" w:hAnsi="Calibri"/>
                <w:b w:val="0"/>
                <w:color w:val="374151"/>
                <w:sz w:val="19"/>
              </w:rPr>
              <w:t>M06-SLA-010 covers configurable SLA per stage but the specific 15-minute referral-review SLA for the PCC role — with a 10-minute amber warning and 15-minute breach alert with auto-escalation — is not captured as a discrete requirement.</w:t>
            </w:r>
          </w:p>
        </w:tc>
        <w:tc>
          <w:tcPr>
            <w:tcW w:type="dxa" w:w="4680"/>
            <w:shd w:val="clear" w:color="auto" w:fill="FFFFFF"/>
            <w:tcW w:type="dxa" w:w="4320"/>
            <w:tcMar>
              <w:top w:w="80" w:type="dxa"/>
              <w:bottom w:w="80" w:type="dxa"/>
              <w:left w:w="120" w:type="dxa"/>
              <w:right w:w="120" w:type="dxa"/>
            </w:tcMar>
          </w:tcPr>
          <w:p>
            <w:pPr>
              <w:spacing w:before="40" w:after="40"/>
            </w:pPr>
            <w:r>
              <w:rPr>
                <w:rFonts w:ascii="Calibri" w:hAnsi="Calibri"/>
                <w:b w:val="0"/>
                <w:color w:val="374151"/>
                <w:sz w:val="19"/>
              </w:rPr>
              <w:t>In the PCC referral queue, each new referral shows a countdown timer from submission. At 10 minutes: amber warning badge. At 15 minutes: red breach badge, team lead notification pushed, referral flagged in SLA breach log. SLA clock pauses for 'On Hold — Awaiting Info' status. 15-minute threshold configurable in M06 SLA Engine settings.</w:t>
            </w:r>
          </w:p>
        </w:tc>
      </w:tr>
      <w:tr>
        <w:tc>
          <w:tcPr>
            <w:tcW w:type="dxa" w:w="9360"/>
            <w:gridSpan w:val="2"/>
            <w:shd w:val="clear" w:color="auto" w:fill="F8FAFC"/>
          </w:tcPr>
          <w:p>
            <w:pPr>
              <w:spacing w:before="60" w:after="60"/>
            </w:pPr>
            <w:r>
              <w:rPr>
                <w:rFonts w:ascii="Calibri" w:hAnsi="Calibri"/>
                <w:b/>
                <w:color w:val="DC2626"/>
                <w:sz w:val="18"/>
              </w:rPr>
              <w:t xml:space="preserve">Queue / Routing:  </w:t>
            </w:r>
            <w:r>
              <w:rPr>
                <w:rFonts w:ascii="Calibri" w:hAnsi="Calibri"/>
                <w:b w:val="0"/>
                <w:color w:val="374151"/>
                <w:sz w:val="18"/>
              </w:rPr>
              <w:t>PCC referral queue — SLA timer per row. 10-min: amber warning. 15-min: red breach + team lead notification + SLA breach log entry.</w:t>
            </w:r>
          </w:p>
        </w:tc>
      </w:tr>
    </w:tbl>
    <w:p>
      <w:pPr>
        <w:spacing w:after="80"/>
      </w:pPr>
    </w:p>
    <w:tbl>
      <w:tblPr>
        <w:tblW w:type="auto" w:w="0"/>
        <w:tblLook w:firstColumn="1" w:firstRow="1" w:lastColumn="0" w:lastRow="0" w:noHBand="0" w:noVBand="1" w:val="04A0"/>
        <w:tblW w:type="dxa" w:w="8640"/>
        <w:tblBorders>
          <w:top w:val="single" w:sz="6" w:space="0" w:color="DC2626"/>
          <w:left w:val="single" w:sz="6" w:space="0" w:color="DC2626"/>
          <w:bottom w:val="single" w:sz="6" w:space="0" w:color="DC2626"/>
          <w:right w:val="single" w:sz="6" w:space="0" w:color="DC2626"/>
          <w:insideH w:val="single" w:sz="6" w:space="0" w:color="DC2626"/>
          <w:insideV w:val="single" w:sz="6" w:space="0" w:color="DC2626"/>
        </w:tblBorders>
      </w:tblPr>
      <w:tblGrid>
        <w:gridCol w:w="4680"/>
        <w:gridCol w:w="4680"/>
      </w:tblGrid>
      <w:tr>
        <w:tc>
          <w:tcPr>
            <w:tcW w:type="dxa" w:w="9360"/>
            <w:gridSpan w:val="2"/>
            <w:shd w:val="clear" w:color="auto" w:fill="DC2626"/>
          </w:tcPr>
          <w:p>
            <w:pPr>
              <w:spacing w:before="80" w:after="80"/>
            </w:pPr>
            <w:r>
              <w:rPr>
                <w:rFonts w:ascii="Calibri" w:hAnsi="Calibri"/>
                <w:b/>
                <w:color w:val="FFFFFF"/>
                <w:sz w:val="17"/>
              </w:rPr>
              <w:t xml:space="preserve">CT-GAP-15  </w:t>
            </w:r>
            <w:r>
              <w:rPr>
                <w:rFonts w:ascii="Calibri" w:hAnsi="Calibri"/>
                <w:b/>
                <w:color w:val="FFFFFF"/>
                <w:sz w:val="21"/>
              </w:rPr>
              <w:t>Video Consult — Doxy.me Patient Pre-Setup Call Gate (Before Open State)</w:t>
            </w:r>
            <w:r>
              <w:rPr>
                <w:rFonts w:ascii="Calibri" w:hAnsi="Calibri"/>
                <w:b w:val="0"/>
                <w:color w:val="D1FAE5"/>
                <w:sz w:val="17"/>
              </w:rPr>
              <w:t xml:space="preserve">    [M05]  |  Care Team Portal  |  v1.0</w:t>
            </w:r>
          </w:p>
        </w:tc>
      </w:tr>
      <w:tr>
        <w:tc>
          <w:tcPr>
            <w:tcW w:type="dxa" w:w="4680"/>
            <w:shd w:val="clear" w:color="auto" w:fill="F1F5F9"/>
            <w:tcW w:type="dxa" w:w="4320"/>
          </w:tcPr>
          <w:p>
            <w:pPr>
              <w:spacing w:before="60" w:after="60"/>
            </w:pPr>
            <w:r>
              <w:rPr>
                <w:rFonts w:ascii="Calibri" w:hAnsi="Calibri"/>
                <w:b/>
                <w:color w:val="374151"/>
                <w:sz w:val="18"/>
              </w:rPr>
              <w:t>What Is the Gap (Current State)</w:t>
            </w:r>
          </w:p>
        </w:tc>
        <w:tc>
          <w:tcPr>
            <w:tcW w:type="dxa" w:w="4680"/>
            <w:shd w:val="clear" w:color="auto" w:fill="F1F5F9"/>
            <w:tcW w:type="dxa" w:w="4320"/>
          </w:tcPr>
          <w:p>
            <w:pPr>
              <w:spacing w:before="60" w:after="60"/>
            </w:pPr>
            <w:r>
              <w:rPr>
                <w:rFonts w:ascii="Calibri" w:hAnsi="Calibri"/>
                <w:b/>
                <w:color w:val="374151"/>
                <w:sz w:val="18"/>
              </w:rPr>
              <w:t>How Phoenix Fixes It</w:t>
            </w:r>
          </w:p>
        </w:tc>
      </w:tr>
      <w:tr>
        <w:tc>
          <w:tcPr>
            <w:tcW w:type="dxa" w:w="4680"/>
            <w:shd w:val="clear" w:color="auto" w:fill="FFFFFF"/>
            <w:tcW w:type="dxa" w:w="4320"/>
            <w:tcMar>
              <w:top w:w="80" w:type="dxa"/>
              <w:bottom w:w="80" w:type="dxa"/>
              <w:left w:w="120" w:type="dxa"/>
              <w:right w:w="120" w:type="dxa"/>
            </w:tcMar>
          </w:tcPr>
          <w:p>
            <w:pPr>
              <w:spacing w:before="40" w:after="40"/>
            </w:pPr>
            <w:r>
              <w:rPr>
                <w:rFonts w:ascii="Calibri" w:hAnsi="Calibri"/>
                <w:b w:val="0"/>
                <w:color w:val="374151"/>
                <w:sz w:val="19"/>
              </w:rPr>
              <w:t>For video consults, PCC must call the patient before marking the referral Open to confirm patient received video instructions. Up to 3 call attempts 30 minutes apart. Only after patient confirms receipt can PCC mark the referral Open (making it visible to providers). CT-008 references tech check but does not define this platform-enforced gate on the Open state transition for video referrals.</w:t>
            </w:r>
          </w:p>
        </w:tc>
        <w:tc>
          <w:tcPr>
            <w:tcW w:type="dxa" w:w="4680"/>
            <w:shd w:val="clear" w:color="auto" w:fill="FFFFFF"/>
            <w:tcW w:type="dxa" w:w="4320"/>
            <w:tcMar>
              <w:top w:w="80" w:type="dxa"/>
              <w:bottom w:w="80" w:type="dxa"/>
              <w:left w:w="120" w:type="dxa"/>
              <w:right w:w="120" w:type="dxa"/>
            </w:tcMar>
          </w:tcPr>
          <w:p>
            <w:pPr>
              <w:spacing w:before="40" w:after="40"/>
            </w:pPr>
            <w:r>
              <w:rPr>
                <w:rFonts w:ascii="Calibri" w:hAnsi="Calibri"/>
                <w:b w:val="0"/>
                <w:color w:val="374151"/>
                <w:sz w:val="19"/>
              </w:rPr>
              <w:t>For referrals with video consult type, the 'Mark as Open' action is locked until PCC completes video setup verification: (1) system logs that video instructions were auto-sent; (2) PCC logs up to 3 call attempts with 30-min timestamps; (3) on patient confirmation, PCC selects 'Video Setup Confirmed' which unlocks 'Mark as Open.' 3 attempts exhausted without confirmation → supervisor override request with escalation note.</w:t>
            </w:r>
          </w:p>
        </w:tc>
      </w:tr>
      <w:tr>
        <w:tc>
          <w:tcPr>
            <w:tcW w:type="dxa" w:w="9360"/>
            <w:gridSpan w:val="2"/>
            <w:shd w:val="clear" w:color="auto" w:fill="F8FAFC"/>
          </w:tcPr>
          <w:p>
            <w:pPr>
              <w:spacing w:before="60" w:after="60"/>
            </w:pPr>
            <w:r>
              <w:rPr>
                <w:rFonts w:ascii="Calibri" w:hAnsi="Calibri"/>
                <w:b/>
                <w:color w:val="DC2626"/>
                <w:sz w:val="18"/>
              </w:rPr>
              <w:t xml:space="preserve">Queue / Routing:  </w:t>
            </w:r>
            <w:r>
              <w:rPr>
                <w:rFonts w:ascii="Calibri" w:hAnsi="Calibri"/>
                <w:b w:val="0"/>
                <w:color w:val="374151"/>
                <w:sz w:val="18"/>
              </w:rPr>
              <w:t>Video referral queue — Open action locked. Video setup confirmation → unlocks Open. Supervisor override → escalation log. Exhausted → escalation queue.</w:t>
            </w:r>
          </w:p>
        </w:tc>
      </w:tr>
    </w:tbl>
    <w:p>
      <w:pPr>
        <w:spacing w:after="80"/>
      </w:pPr>
    </w:p>
    <w:tbl>
      <w:tblPr>
        <w:tblW w:type="auto" w:w="0"/>
        <w:tblLook w:firstColumn="1" w:firstRow="1" w:lastColumn="0" w:lastRow="0" w:noHBand="0" w:noVBand="1" w:val="04A0"/>
        <w:tblW w:type="dxa" w:w="8640"/>
        <w:tblBorders>
          <w:top w:val="single" w:sz="6" w:space="0" w:color="DC2626"/>
          <w:left w:val="single" w:sz="6" w:space="0" w:color="DC2626"/>
          <w:bottom w:val="single" w:sz="6" w:space="0" w:color="DC2626"/>
          <w:right w:val="single" w:sz="6" w:space="0" w:color="DC2626"/>
          <w:insideH w:val="single" w:sz="6" w:space="0" w:color="DC2626"/>
          <w:insideV w:val="single" w:sz="6" w:space="0" w:color="DC2626"/>
        </w:tblBorders>
      </w:tblPr>
      <w:tblGrid>
        <w:gridCol w:w="4680"/>
        <w:gridCol w:w="4680"/>
      </w:tblGrid>
      <w:tr>
        <w:tc>
          <w:tcPr>
            <w:tcW w:type="dxa" w:w="9360"/>
            <w:gridSpan w:val="2"/>
            <w:shd w:val="clear" w:color="auto" w:fill="DC2626"/>
          </w:tcPr>
          <w:p>
            <w:pPr>
              <w:spacing w:before="80" w:after="80"/>
            </w:pPr>
            <w:r>
              <w:rPr>
                <w:rFonts w:ascii="Calibri" w:hAnsi="Calibri"/>
                <w:b/>
                <w:color w:val="FFFFFF"/>
                <w:sz w:val="17"/>
              </w:rPr>
              <w:t xml:space="preserve">CT-GAP-16  </w:t>
            </w:r>
            <w:r>
              <w:rPr>
                <w:rFonts w:ascii="Calibri" w:hAnsi="Calibri"/>
                <w:b/>
                <w:color w:val="FFFFFF"/>
                <w:sz w:val="21"/>
              </w:rPr>
              <w:t>State-Mandated Video Requirement Lock (Blocks Phone Substitution)</w:t>
            </w:r>
            <w:r>
              <w:rPr>
                <w:rFonts w:ascii="Calibri" w:hAnsi="Calibri"/>
                <w:b w:val="0"/>
                <w:color w:val="D1FAE5"/>
                <w:sz w:val="17"/>
              </w:rPr>
              <w:t xml:space="preserve">    [M05]  |  Care Team Portal  |  v1.0</w:t>
            </w:r>
          </w:p>
        </w:tc>
      </w:tr>
      <w:tr>
        <w:tc>
          <w:tcPr>
            <w:tcW w:type="dxa" w:w="4680"/>
            <w:shd w:val="clear" w:color="auto" w:fill="F1F5F9"/>
            <w:tcW w:type="dxa" w:w="4320"/>
          </w:tcPr>
          <w:p>
            <w:pPr>
              <w:spacing w:before="60" w:after="60"/>
            </w:pPr>
            <w:r>
              <w:rPr>
                <w:rFonts w:ascii="Calibri" w:hAnsi="Calibri"/>
                <w:b/>
                <w:color w:val="374151"/>
                <w:sz w:val="18"/>
              </w:rPr>
              <w:t>What Is the Gap (Current State)</w:t>
            </w:r>
          </w:p>
        </w:tc>
        <w:tc>
          <w:tcPr>
            <w:tcW w:type="dxa" w:w="4680"/>
            <w:shd w:val="clear" w:color="auto" w:fill="F1F5F9"/>
            <w:tcW w:type="dxa" w:w="4320"/>
          </w:tcPr>
          <w:p>
            <w:pPr>
              <w:spacing w:before="60" w:after="60"/>
            </w:pPr>
            <w:r>
              <w:rPr>
                <w:rFonts w:ascii="Calibri" w:hAnsi="Calibri"/>
                <w:b/>
                <w:color w:val="374151"/>
                <w:sz w:val="18"/>
              </w:rPr>
              <w:t>How Phoenix Fixes It</w:t>
            </w:r>
          </w:p>
        </w:tc>
      </w:tr>
      <w:tr>
        <w:tc>
          <w:tcPr>
            <w:tcW w:type="dxa" w:w="4680"/>
            <w:shd w:val="clear" w:color="auto" w:fill="FFFFFF"/>
            <w:tcW w:type="dxa" w:w="4320"/>
            <w:tcMar>
              <w:top w:w="80" w:type="dxa"/>
              <w:bottom w:w="80" w:type="dxa"/>
              <w:left w:w="120" w:type="dxa"/>
              <w:right w:w="120" w:type="dxa"/>
            </w:tcMar>
          </w:tcPr>
          <w:p>
            <w:pPr>
              <w:spacing w:before="40" w:after="40"/>
            </w:pPr>
            <w:r>
              <w:rPr>
                <w:rFonts w:ascii="Calibri" w:hAnsi="Calibri"/>
                <w:b w:val="0"/>
                <w:color w:val="374151"/>
                <w:sz w:val="19"/>
              </w:rPr>
              <w:t>For certain states, video consultation is legally required and cannot be downgraded to phone for service types: STD, STD Non-Treatment, Pre/Post Test, PHIS, UTI. When a patient declines or cannot do video in a required-video state, the platform must surface a state-mandated warning and block phone substitution. No requirement captures this enforcement.</w:t>
            </w:r>
          </w:p>
        </w:tc>
        <w:tc>
          <w:tcPr>
            <w:tcW w:type="dxa" w:w="4680"/>
            <w:shd w:val="clear" w:color="auto" w:fill="FFFFFF"/>
            <w:tcW w:type="dxa" w:w="4320"/>
            <w:tcMar>
              <w:top w:w="80" w:type="dxa"/>
              <w:bottom w:w="80" w:type="dxa"/>
              <w:left w:w="120" w:type="dxa"/>
              <w:right w:w="120" w:type="dxa"/>
            </w:tcMar>
          </w:tcPr>
          <w:p>
            <w:pPr>
              <w:spacing w:before="40" w:after="40"/>
            </w:pPr>
            <w:r>
              <w:rPr>
                <w:rFonts w:ascii="Calibri" w:hAnsi="Calibri"/>
                <w:b w:val="0"/>
                <w:color w:val="374151"/>
                <w:sz w:val="19"/>
              </w:rPr>
              <w:t>In referral modality selection, platform evaluates patient state + service type against a configurable state-mandate table in Admin Portal. If combination requires video: phone option is greyed out with 'Video required by state law' tooltip. If patient declines, referral cannot proceed — PCC must close with 'Patient Declined Video — State Mandate' reason code. State-mandate table maintained by Compliance/Admin.</w:t>
            </w:r>
          </w:p>
        </w:tc>
      </w:tr>
      <w:tr>
        <w:tc>
          <w:tcPr>
            <w:tcW w:type="dxa" w:w="9360"/>
            <w:gridSpan w:val="2"/>
            <w:shd w:val="clear" w:color="auto" w:fill="F8FAFC"/>
          </w:tcPr>
          <w:p>
            <w:pPr>
              <w:spacing w:before="60" w:after="60"/>
            </w:pPr>
            <w:r>
              <w:rPr>
                <w:rFonts w:ascii="Calibri" w:hAnsi="Calibri"/>
                <w:b/>
                <w:color w:val="DC2626"/>
                <w:sz w:val="18"/>
              </w:rPr>
              <w:t xml:space="preserve">Queue / Routing:  </w:t>
            </w:r>
            <w:r>
              <w:rPr>
                <w:rFonts w:ascii="Calibri" w:hAnsi="Calibri"/>
                <w:b w:val="0"/>
                <w:color w:val="374151"/>
                <w:sz w:val="18"/>
              </w:rPr>
              <w:t>Referral modality selection. Phone locked by state+service type combination. Patient declines → referral closure with mandatory reason code logged.</w:t>
            </w:r>
          </w:p>
        </w:tc>
      </w:tr>
    </w:tbl>
    <w:p>
      <w:pPr>
        <w:spacing w:after="80"/>
      </w:pPr>
    </w:p>
    <w:tbl>
      <w:tblPr>
        <w:tblW w:type="auto" w:w="0"/>
        <w:tblLook w:firstColumn="1" w:firstRow="1" w:lastColumn="0" w:lastRow="0" w:noHBand="0" w:noVBand="1" w:val="04A0"/>
        <w:tblW w:type="dxa" w:w="8640"/>
        <w:tblBorders>
          <w:top w:val="single" w:sz="6" w:space="0" w:color="DC2626"/>
          <w:left w:val="single" w:sz="6" w:space="0" w:color="DC2626"/>
          <w:bottom w:val="single" w:sz="6" w:space="0" w:color="DC2626"/>
          <w:right w:val="single" w:sz="6" w:space="0" w:color="DC2626"/>
          <w:insideH w:val="single" w:sz="6" w:space="0" w:color="DC2626"/>
          <w:insideV w:val="single" w:sz="6" w:space="0" w:color="DC2626"/>
        </w:tblBorders>
      </w:tblPr>
      <w:tblGrid>
        <w:gridCol w:w="4680"/>
        <w:gridCol w:w="4680"/>
      </w:tblGrid>
      <w:tr>
        <w:tc>
          <w:tcPr>
            <w:tcW w:type="dxa" w:w="9360"/>
            <w:gridSpan w:val="2"/>
            <w:shd w:val="clear" w:color="auto" w:fill="DC2626"/>
          </w:tcPr>
          <w:p>
            <w:pPr>
              <w:spacing w:before="80" w:after="80"/>
            </w:pPr>
            <w:r>
              <w:rPr>
                <w:rFonts w:ascii="Calibri" w:hAnsi="Calibri"/>
                <w:b/>
                <w:color w:val="FFFFFF"/>
                <w:sz w:val="17"/>
              </w:rPr>
              <w:t xml:space="preserve">CT-GAP-17  </w:t>
            </w:r>
            <w:r>
              <w:rPr>
                <w:rFonts w:ascii="Calibri" w:hAnsi="Calibri"/>
                <w:b/>
                <w:color w:val="FFFFFF"/>
                <w:sz w:val="21"/>
              </w:rPr>
              <w:t>Pharmacy Change + Manual Rx Call-In Workflow</w:t>
            </w:r>
            <w:r>
              <w:rPr>
                <w:rFonts w:ascii="Calibri" w:hAnsi="Calibri"/>
                <w:b w:val="0"/>
                <w:color w:val="D1FAE5"/>
                <w:sz w:val="17"/>
              </w:rPr>
              <w:t xml:space="preserve">    [M05]  |  Care Team Portal  |  v1.0</w:t>
            </w:r>
          </w:p>
        </w:tc>
      </w:tr>
      <w:tr>
        <w:tc>
          <w:tcPr>
            <w:tcW w:type="dxa" w:w="4680"/>
            <w:shd w:val="clear" w:color="auto" w:fill="F1F5F9"/>
            <w:tcW w:type="dxa" w:w="4320"/>
          </w:tcPr>
          <w:p>
            <w:pPr>
              <w:spacing w:before="60" w:after="60"/>
            </w:pPr>
            <w:r>
              <w:rPr>
                <w:rFonts w:ascii="Calibri" w:hAnsi="Calibri"/>
                <w:b/>
                <w:color w:val="374151"/>
                <w:sz w:val="18"/>
              </w:rPr>
              <w:t>What Is the Gap (Current State)</w:t>
            </w:r>
          </w:p>
        </w:tc>
        <w:tc>
          <w:tcPr>
            <w:tcW w:type="dxa" w:w="4680"/>
            <w:shd w:val="clear" w:color="auto" w:fill="F1F5F9"/>
            <w:tcW w:type="dxa" w:w="4320"/>
          </w:tcPr>
          <w:p>
            <w:pPr>
              <w:spacing w:before="60" w:after="60"/>
            </w:pPr>
            <w:r>
              <w:rPr>
                <w:rFonts w:ascii="Calibri" w:hAnsi="Calibri"/>
                <w:b/>
                <w:color w:val="374151"/>
                <w:sz w:val="18"/>
              </w:rPr>
              <w:t>How Phoenix Fixes It</w:t>
            </w:r>
          </w:p>
        </w:tc>
      </w:tr>
      <w:tr>
        <w:tc>
          <w:tcPr>
            <w:tcW w:type="dxa" w:w="4680"/>
            <w:shd w:val="clear" w:color="auto" w:fill="FFFFFF"/>
            <w:tcW w:type="dxa" w:w="4320"/>
            <w:tcMar>
              <w:top w:w="80" w:type="dxa"/>
              <w:bottom w:w="80" w:type="dxa"/>
              <w:left w:w="120" w:type="dxa"/>
              <w:right w:w="120" w:type="dxa"/>
            </w:tcMar>
          </w:tcPr>
          <w:p>
            <w:pPr>
              <w:spacing w:before="40" w:after="40"/>
            </w:pPr>
            <w:r>
              <w:rPr>
                <w:rFonts w:ascii="Calibri" w:hAnsi="Calibri"/>
                <w:b w:val="0"/>
                <w:color w:val="374151"/>
                <w:sz w:val="19"/>
              </w:rPr>
              <w:t>When a patient requests a pharmacy change after a prescription has been issued, PCC must: retain old pharmacy in notes, edit to new pharmacy, call old pharmacy to confirm Rx not picked up, call in Rx to new pharmacy, and log all steps. No requirement defines this manual pharmacy-change + call-in protocol as an integrated platform workflow.</w:t>
            </w:r>
          </w:p>
        </w:tc>
        <w:tc>
          <w:tcPr>
            <w:tcW w:type="dxa" w:w="4680"/>
            <w:shd w:val="clear" w:color="auto" w:fill="FFFFFF"/>
            <w:tcW w:type="dxa" w:w="4320"/>
            <w:tcMar>
              <w:top w:w="80" w:type="dxa"/>
              <w:bottom w:w="80" w:type="dxa"/>
              <w:left w:w="120" w:type="dxa"/>
              <w:right w:w="120" w:type="dxa"/>
            </w:tcMar>
          </w:tcPr>
          <w:p>
            <w:pPr>
              <w:spacing w:before="40" w:after="40"/>
            </w:pPr>
            <w:r>
              <w:rPr>
                <w:rFonts w:ascii="Calibri" w:hAnsi="Calibri"/>
                <w:b w:val="0"/>
                <w:color w:val="374151"/>
                <w:sz w:val="19"/>
              </w:rPr>
              <w:t>In the PCC referral view, add a 'Change Pharmacy' action (only available post-Rx-issued). Workflow: (1) system auto-saves current pharmacy to referral notes with timestamp; (2) PCC updates pharmacy field; (3) system prompts 'Did you confirm Rx not picked up from old pharmacy?' (required checkbox); (4) PCC logs call-in to new pharmacy (pharmacy name, phone, Rx details); (5) all steps logged to referral contact timeline.</w:t>
            </w:r>
          </w:p>
        </w:tc>
      </w:tr>
      <w:tr>
        <w:tc>
          <w:tcPr>
            <w:tcW w:type="dxa" w:w="9360"/>
            <w:gridSpan w:val="2"/>
            <w:shd w:val="clear" w:color="auto" w:fill="F8FAFC"/>
          </w:tcPr>
          <w:p>
            <w:pPr>
              <w:spacing w:before="60" w:after="60"/>
            </w:pPr>
            <w:r>
              <w:rPr>
                <w:rFonts w:ascii="Calibri" w:hAnsi="Calibri"/>
                <w:b/>
                <w:color w:val="DC2626"/>
                <w:sz w:val="18"/>
              </w:rPr>
              <w:t xml:space="preserve">Queue / Routing:  </w:t>
            </w:r>
            <w:r>
              <w:rPr>
                <w:rFonts w:ascii="Calibri" w:hAnsi="Calibri"/>
                <w:b w:val="0"/>
                <w:color w:val="374151"/>
                <w:sz w:val="18"/>
              </w:rPr>
              <w:t>Referral view — pharmacy change action. Post-change: contact timeline updated. Old pharmacy confirmation step required before new pharmacy finalized.</w:t>
            </w:r>
          </w:p>
        </w:tc>
      </w:tr>
    </w:tbl>
    <w:p>
      <w:pPr>
        <w:spacing w:after="80"/>
      </w:pPr>
    </w:p>
    <w:tbl>
      <w:tblPr>
        <w:tblW w:type="auto" w:w="0"/>
        <w:tblLook w:firstColumn="1" w:firstRow="1" w:lastColumn="0" w:lastRow="0" w:noHBand="0" w:noVBand="1" w:val="04A0"/>
        <w:tblW w:type="dxa" w:w="8640"/>
        <w:tblBorders>
          <w:top w:val="single" w:sz="6" w:space="0" w:color="DC2626"/>
          <w:left w:val="single" w:sz="6" w:space="0" w:color="DC2626"/>
          <w:bottom w:val="single" w:sz="6" w:space="0" w:color="DC2626"/>
          <w:right w:val="single" w:sz="6" w:space="0" w:color="DC2626"/>
          <w:insideH w:val="single" w:sz="6" w:space="0" w:color="DC2626"/>
          <w:insideV w:val="single" w:sz="6" w:space="0" w:color="DC2626"/>
        </w:tblBorders>
      </w:tblPr>
      <w:tblGrid>
        <w:gridCol w:w="4680"/>
        <w:gridCol w:w="4680"/>
      </w:tblGrid>
      <w:tr>
        <w:tc>
          <w:tcPr>
            <w:tcW w:type="dxa" w:w="9360"/>
            <w:gridSpan w:val="2"/>
            <w:shd w:val="clear" w:color="auto" w:fill="DC2626"/>
          </w:tcPr>
          <w:p>
            <w:pPr>
              <w:spacing w:before="80" w:after="80"/>
            </w:pPr>
            <w:r>
              <w:rPr>
                <w:rFonts w:ascii="Calibri" w:hAnsi="Calibri"/>
                <w:b/>
                <w:color w:val="FFFFFF"/>
                <w:sz w:val="17"/>
              </w:rPr>
              <w:t xml:space="preserve">CT-GAP-18  </w:t>
            </w:r>
            <w:r>
              <w:rPr>
                <w:rFonts w:ascii="Calibri" w:hAnsi="Calibri"/>
                <w:b/>
                <w:color w:val="FFFFFF"/>
                <w:sz w:val="21"/>
              </w:rPr>
              <w:t>UTI Contraindicated — Auto-Email to HealthLabs for Patient Refund</w:t>
            </w:r>
            <w:r>
              <w:rPr>
                <w:rFonts w:ascii="Calibri" w:hAnsi="Calibri"/>
                <w:b w:val="0"/>
                <w:color w:val="D1FAE5"/>
                <w:sz w:val="17"/>
              </w:rPr>
              <w:t xml:space="preserve">    [M05]  |  Care Team Portal  |  v1.0</w:t>
            </w:r>
          </w:p>
        </w:tc>
      </w:tr>
      <w:tr>
        <w:tc>
          <w:tcPr>
            <w:tcW w:type="dxa" w:w="4680"/>
            <w:shd w:val="clear" w:color="auto" w:fill="F1F5F9"/>
            <w:tcW w:type="dxa" w:w="4320"/>
          </w:tcPr>
          <w:p>
            <w:pPr>
              <w:spacing w:before="60" w:after="60"/>
            </w:pPr>
            <w:r>
              <w:rPr>
                <w:rFonts w:ascii="Calibri" w:hAnsi="Calibri"/>
                <w:b/>
                <w:color w:val="374151"/>
                <w:sz w:val="18"/>
              </w:rPr>
              <w:t>What Is the Gap (Current State)</w:t>
            </w:r>
          </w:p>
        </w:tc>
        <w:tc>
          <w:tcPr>
            <w:tcW w:type="dxa" w:w="4680"/>
            <w:shd w:val="clear" w:color="auto" w:fill="F1F5F9"/>
            <w:tcW w:type="dxa" w:w="4320"/>
          </w:tcPr>
          <w:p>
            <w:pPr>
              <w:spacing w:before="60" w:after="60"/>
            </w:pPr>
            <w:r>
              <w:rPr>
                <w:rFonts w:ascii="Calibri" w:hAnsi="Calibri"/>
                <w:b/>
                <w:color w:val="374151"/>
                <w:sz w:val="18"/>
              </w:rPr>
              <w:t>How Phoenix Fixes It</w:t>
            </w:r>
          </w:p>
        </w:tc>
      </w:tr>
      <w:tr>
        <w:tc>
          <w:tcPr>
            <w:tcW w:type="dxa" w:w="4680"/>
            <w:shd w:val="clear" w:color="auto" w:fill="FFFFFF"/>
            <w:tcW w:type="dxa" w:w="4320"/>
            <w:tcMar>
              <w:top w:w="80" w:type="dxa"/>
              <w:bottom w:w="80" w:type="dxa"/>
              <w:left w:w="120" w:type="dxa"/>
              <w:right w:w="120" w:type="dxa"/>
            </w:tcMar>
          </w:tcPr>
          <w:p>
            <w:pPr>
              <w:spacing w:before="40" w:after="40"/>
            </w:pPr>
            <w:r>
              <w:rPr>
                <w:rFonts w:ascii="Calibri" w:hAnsi="Calibri"/>
                <w:b w:val="0"/>
                <w:color w:val="374151"/>
                <w:sz w:val="19"/>
              </w:rPr>
              <w:t>When PCC closes a UTI referral as contraindicated (age &lt;18 or &gt;80, pregnancy, chemotherapy, cancer, recent catheterization, diabetic on insulin, male, immunosuppression, 'Frequent Flyer' — 3 consults in 6 months or 2 in 3 months, inability to urinate &gt;4 hours), the platform must auto-email HealthLabs requesting a patient refund. No requirement covers this UTI-specific auto-email trigger.</w:t>
            </w:r>
          </w:p>
        </w:tc>
        <w:tc>
          <w:tcPr>
            <w:tcW w:type="dxa" w:w="4680"/>
            <w:shd w:val="clear" w:color="auto" w:fill="FFFFFF"/>
            <w:tcW w:type="dxa" w:w="4320"/>
            <w:tcMar>
              <w:top w:w="80" w:type="dxa"/>
              <w:bottom w:w="80" w:type="dxa"/>
              <w:left w:w="120" w:type="dxa"/>
              <w:right w:w="120" w:type="dxa"/>
            </w:tcMar>
          </w:tcPr>
          <w:p>
            <w:pPr>
              <w:spacing w:before="40" w:after="40"/>
            </w:pPr>
            <w:r>
              <w:rPr>
                <w:rFonts w:ascii="Calibri" w:hAnsi="Calibri"/>
                <w:b w:val="0"/>
                <w:color w:val="374151"/>
                <w:sz w:val="19"/>
              </w:rPr>
              <w:t>When PCC selects 'Close as Contraindicated' for a UTI referral: (1) contraindication reason selection required (multi-select from defined list); (2) on confirm, system auto-generates a refund request email to HealthLabs (configurable email + template in Admin Portal) with patient details and contraindication reason; (3) email send logged to referral contact timeline. Automatic — no PCC manual email action required.</w:t>
            </w:r>
          </w:p>
        </w:tc>
      </w:tr>
      <w:tr>
        <w:tc>
          <w:tcPr>
            <w:tcW w:type="dxa" w:w="9360"/>
            <w:gridSpan w:val="2"/>
            <w:shd w:val="clear" w:color="auto" w:fill="F8FAFC"/>
          </w:tcPr>
          <w:p>
            <w:pPr>
              <w:spacing w:before="60" w:after="60"/>
            </w:pPr>
            <w:r>
              <w:rPr>
                <w:rFonts w:ascii="Calibri" w:hAnsi="Calibri"/>
                <w:b/>
                <w:color w:val="DC2626"/>
                <w:sz w:val="18"/>
              </w:rPr>
              <w:t xml:space="preserve">Queue / Routing:  </w:t>
            </w:r>
            <w:r>
              <w:rPr>
                <w:rFonts w:ascii="Calibri" w:hAnsi="Calibri"/>
                <w:b w:val="0"/>
                <w:color w:val="374151"/>
                <w:sz w:val="18"/>
              </w:rPr>
              <w:t>UTI referral closure → contraindicated path → auto-email to HealthLabs. Email logged to referral contact timeline. PCC receives send confirmation.</w:t>
            </w:r>
          </w:p>
        </w:tc>
      </w:tr>
    </w:tbl>
    <w:p>
      <w:pPr>
        <w:spacing w:after="80"/>
      </w:pPr>
    </w:p>
    <w:tbl>
      <w:tblPr>
        <w:tblW w:type="auto" w:w="0"/>
        <w:tblLook w:firstColumn="1" w:firstRow="1" w:lastColumn="0" w:lastRow="0" w:noHBand="0" w:noVBand="1" w:val="04A0"/>
        <w:tblW w:type="dxa" w:w="8640"/>
        <w:tblBorders>
          <w:top w:val="single" w:sz="6" w:space="0" w:color="DC2626"/>
          <w:left w:val="single" w:sz="6" w:space="0" w:color="DC2626"/>
          <w:bottom w:val="single" w:sz="6" w:space="0" w:color="DC2626"/>
          <w:right w:val="single" w:sz="6" w:space="0" w:color="DC2626"/>
          <w:insideH w:val="single" w:sz="6" w:space="0" w:color="DC2626"/>
          <w:insideV w:val="single" w:sz="6" w:space="0" w:color="DC2626"/>
        </w:tblBorders>
      </w:tblPr>
      <w:tblGrid>
        <w:gridCol w:w="4680"/>
        <w:gridCol w:w="4680"/>
      </w:tblGrid>
      <w:tr>
        <w:tc>
          <w:tcPr>
            <w:tcW w:type="dxa" w:w="9360"/>
            <w:gridSpan w:val="2"/>
            <w:shd w:val="clear" w:color="auto" w:fill="DC2626"/>
          </w:tcPr>
          <w:p>
            <w:pPr>
              <w:spacing w:before="80" w:after="80"/>
            </w:pPr>
            <w:r>
              <w:rPr>
                <w:rFonts w:ascii="Calibri" w:hAnsi="Calibri"/>
                <w:b/>
                <w:color w:val="FFFFFF"/>
                <w:sz w:val="17"/>
              </w:rPr>
              <w:t xml:space="preserve">CT-GAP-19  </w:t>
            </w:r>
            <w:r>
              <w:rPr>
                <w:rFonts w:ascii="Calibri" w:hAnsi="Calibri"/>
                <w:b/>
                <w:color w:val="FFFFFF"/>
                <w:sz w:val="21"/>
              </w:rPr>
              <w:t>Rx Consult Untreated — PCC Detection Queue and Escalation Path</w:t>
            </w:r>
            <w:r>
              <w:rPr>
                <w:rFonts w:ascii="Calibri" w:hAnsi="Calibri"/>
                <w:b w:val="0"/>
                <w:color w:val="D1FAE5"/>
                <w:sz w:val="17"/>
              </w:rPr>
              <w:t xml:space="preserve">    [M05]  |  Care Team Portal  |  v1.0</w:t>
            </w:r>
          </w:p>
        </w:tc>
      </w:tr>
      <w:tr>
        <w:tc>
          <w:tcPr>
            <w:tcW w:type="dxa" w:w="4680"/>
            <w:shd w:val="clear" w:color="auto" w:fill="F1F5F9"/>
            <w:tcW w:type="dxa" w:w="4320"/>
          </w:tcPr>
          <w:p>
            <w:pPr>
              <w:spacing w:before="60" w:after="60"/>
            </w:pPr>
            <w:r>
              <w:rPr>
                <w:rFonts w:ascii="Calibri" w:hAnsi="Calibri"/>
                <w:b/>
                <w:color w:val="374151"/>
                <w:sz w:val="18"/>
              </w:rPr>
              <w:t>What Is the Gap (Current State)</w:t>
            </w:r>
          </w:p>
        </w:tc>
        <w:tc>
          <w:tcPr>
            <w:tcW w:type="dxa" w:w="4680"/>
            <w:shd w:val="clear" w:color="auto" w:fill="F1F5F9"/>
            <w:tcW w:type="dxa" w:w="4320"/>
          </w:tcPr>
          <w:p>
            <w:pPr>
              <w:spacing w:before="60" w:after="60"/>
            </w:pPr>
            <w:r>
              <w:rPr>
                <w:rFonts w:ascii="Calibri" w:hAnsi="Calibri"/>
                <w:b/>
                <w:color w:val="374151"/>
                <w:sz w:val="18"/>
              </w:rPr>
              <w:t>How Phoenix Fixes It</w:t>
            </w:r>
          </w:p>
        </w:tc>
      </w:tr>
      <w:tr>
        <w:tc>
          <w:tcPr>
            <w:tcW w:type="dxa" w:w="4680"/>
            <w:shd w:val="clear" w:color="auto" w:fill="FFFFFF"/>
            <w:tcW w:type="dxa" w:w="4320"/>
            <w:tcMar>
              <w:top w:w="80" w:type="dxa"/>
              <w:bottom w:w="80" w:type="dxa"/>
              <w:left w:w="120" w:type="dxa"/>
              <w:right w:w="120" w:type="dxa"/>
            </w:tcMar>
          </w:tcPr>
          <w:p>
            <w:pPr>
              <w:spacing w:before="40" w:after="40"/>
            </w:pPr>
            <w:r>
              <w:rPr>
                <w:rFonts w:ascii="Calibri" w:hAnsi="Calibri"/>
                <w:b w:val="0"/>
                <w:color w:val="374151"/>
                <w:sz w:val="19"/>
              </w:rPr>
              <w:t>The platform must detect Rx consults where physician documented they did not prescribe. PCC reviews report and notes to determine if Rx was actually prescribed. If confirmed untreated, PCC escalates to management who decides: call in prescription manually, or send a new scheduling link. No requirement defines this detection queue or escalation path.</w:t>
            </w:r>
          </w:p>
        </w:tc>
        <w:tc>
          <w:tcPr>
            <w:tcW w:type="dxa" w:w="4680"/>
            <w:shd w:val="clear" w:color="auto" w:fill="FFFFFF"/>
            <w:tcW w:type="dxa" w:w="4320"/>
            <w:tcMar>
              <w:top w:w="80" w:type="dxa"/>
              <w:bottom w:w="80" w:type="dxa"/>
              <w:left w:w="120" w:type="dxa"/>
              <w:right w:w="120" w:type="dxa"/>
            </w:tcMar>
          </w:tcPr>
          <w:p>
            <w:pPr>
              <w:spacing w:before="40" w:after="40"/>
            </w:pPr>
            <w:r>
              <w:rPr>
                <w:rFonts w:ascii="Calibri" w:hAnsi="Calibri"/>
                <w:b w:val="0"/>
                <w:color w:val="374151"/>
                <w:sz w:val="19"/>
              </w:rPr>
              <w:t>Add an 'Rx Untreated' monitoring view in the PCC portal, populated when: consult status = Completed + physician note contains 'did not prescribe' flag OR no Rx recorded in DoseSpot. PCC reviews and selects: (1) Rx was issued — link DoseSpot Rx to close; (2) Confirmed untreated — escalate to management queue with note. Management queue presents: 'Call in Rx manually' (→ CT-GAP-48 workflow) OR 'Send new scheduling link.'</w:t>
            </w:r>
          </w:p>
        </w:tc>
      </w:tr>
      <w:tr>
        <w:tc>
          <w:tcPr>
            <w:tcW w:type="dxa" w:w="9360"/>
            <w:gridSpan w:val="2"/>
            <w:shd w:val="clear" w:color="auto" w:fill="F8FAFC"/>
          </w:tcPr>
          <w:p>
            <w:pPr>
              <w:spacing w:before="60" w:after="60"/>
            </w:pPr>
            <w:r>
              <w:rPr>
                <w:rFonts w:ascii="Calibri" w:hAnsi="Calibri"/>
                <w:b/>
                <w:color w:val="DC2626"/>
                <w:sz w:val="18"/>
              </w:rPr>
              <w:t xml:space="preserve">Queue / Routing:  </w:t>
            </w:r>
            <w:r>
              <w:rPr>
                <w:rFonts w:ascii="Calibri" w:hAnsi="Calibri"/>
                <w:b w:val="0"/>
                <w:color w:val="374151"/>
                <w:sz w:val="18"/>
              </w:rPr>
              <w:t>Rx Untreated monitoring view (PCC). Escalate → Management review queue. Management resolves: manual call-in task OR new scheduling link generation.</w:t>
            </w:r>
          </w:p>
        </w:tc>
      </w:tr>
    </w:tbl>
    <w:p>
      <w:pPr>
        <w:spacing w:after="80"/>
      </w:pPr>
    </w:p>
    <w:p>
      <w:pPr>
        <w:spacing w:before="280" w:after="120"/>
        <w:pBdr>
          <w:bottom w:val="single" w:sz="6" w:space="1" w:color="9D174D"/>
        </w:pBdr>
      </w:pPr>
      <w:r>
        <w:rPr>
          <w:rFonts w:ascii="Calibri" w:hAnsi="Calibri"/>
          <w:b/>
          <w:color w:val="9D174D"/>
          <w:sz w:val="26"/>
        </w:rPr>
        <w:t>6. Physician Monitoring &amp; QA</w:t>
      </w:r>
    </w:p>
    <w:tbl>
      <w:tblPr>
        <w:tblW w:type="auto" w:w="0"/>
        <w:tblLook w:firstColumn="1" w:firstRow="1" w:lastColumn="0" w:lastRow="0" w:noHBand="0" w:noVBand="1" w:val="04A0"/>
        <w:tblW w:type="dxa" w:w="8640"/>
        <w:tblBorders>
          <w:top w:val="single" w:sz="6" w:space="0" w:color="9D174D"/>
          <w:left w:val="single" w:sz="6" w:space="0" w:color="9D174D"/>
          <w:bottom w:val="single" w:sz="6" w:space="0" w:color="9D174D"/>
          <w:right w:val="single" w:sz="6" w:space="0" w:color="9D174D"/>
          <w:insideH w:val="single" w:sz="6" w:space="0" w:color="9D174D"/>
          <w:insideV w:val="single" w:sz="6" w:space="0" w:color="9D174D"/>
        </w:tblBorders>
      </w:tblPr>
      <w:tblGrid>
        <w:gridCol w:w="4680"/>
        <w:gridCol w:w="4680"/>
      </w:tblGrid>
      <w:tr>
        <w:tc>
          <w:tcPr>
            <w:tcW w:type="dxa" w:w="9360"/>
            <w:gridSpan w:val="2"/>
            <w:shd w:val="clear" w:color="auto" w:fill="9D174D"/>
          </w:tcPr>
          <w:p>
            <w:pPr>
              <w:spacing w:before="80" w:after="80"/>
            </w:pPr>
            <w:r>
              <w:rPr>
                <w:rFonts w:ascii="Calibri" w:hAnsi="Calibri"/>
                <w:b/>
                <w:color w:val="FFFFFF"/>
                <w:sz w:val="17"/>
              </w:rPr>
              <w:t xml:space="preserve">CT-GAP-20  </w:t>
            </w:r>
            <w:r>
              <w:rPr>
                <w:rFonts w:ascii="Calibri" w:hAnsi="Calibri"/>
                <w:b/>
                <w:color w:val="FFFFFF"/>
                <w:sz w:val="21"/>
              </w:rPr>
              <w:t>Physician Monitoring — Scenario-Based Alert Templates (5 Scenarios)</w:t>
            </w:r>
            <w:r>
              <w:rPr>
                <w:rFonts w:ascii="Calibri" w:hAnsi="Calibri"/>
                <w:b w:val="0"/>
                <w:color w:val="D1FAE5"/>
                <w:sz w:val="17"/>
              </w:rPr>
              <w:t xml:space="preserve">    [M08]  |  Care Team Portal  |  v1.0</w:t>
            </w:r>
          </w:p>
        </w:tc>
      </w:tr>
      <w:tr>
        <w:tc>
          <w:tcPr>
            <w:tcW w:type="dxa" w:w="4680"/>
            <w:shd w:val="clear" w:color="auto" w:fill="F1F5F9"/>
            <w:tcW w:type="dxa" w:w="4320"/>
          </w:tcPr>
          <w:p>
            <w:pPr>
              <w:spacing w:before="60" w:after="60"/>
            </w:pPr>
            <w:r>
              <w:rPr>
                <w:rFonts w:ascii="Calibri" w:hAnsi="Calibri"/>
                <w:b/>
                <w:color w:val="374151"/>
                <w:sz w:val="18"/>
              </w:rPr>
              <w:t>What Is the Gap (Current State)</w:t>
            </w:r>
          </w:p>
        </w:tc>
        <w:tc>
          <w:tcPr>
            <w:tcW w:type="dxa" w:w="4680"/>
            <w:shd w:val="clear" w:color="auto" w:fill="F1F5F9"/>
            <w:tcW w:type="dxa" w:w="4320"/>
          </w:tcPr>
          <w:p>
            <w:pPr>
              <w:spacing w:before="60" w:after="60"/>
            </w:pPr>
            <w:r>
              <w:rPr>
                <w:rFonts w:ascii="Calibri" w:hAnsi="Calibri"/>
                <w:b/>
                <w:color w:val="374151"/>
                <w:sz w:val="18"/>
              </w:rPr>
              <w:t>How Phoenix Fixes It</w:t>
            </w:r>
          </w:p>
        </w:tc>
      </w:tr>
      <w:tr>
        <w:tc>
          <w:tcPr>
            <w:tcW w:type="dxa" w:w="4680"/>
            <w:shd w:val="clear" w:color="auto" w:fill="FFFFFF"/>
            <w:tcW w:type="dxa" w:w="4320"/>
            <w:tcMar>
              <w:top w:w="80" w:type="dxa"/>
              <w:bottom w:w="80" w:type="dxa"/>
              <w:left w:w="120" w:type="dxa"/>
              <w:right w:w="120" w:type="dxa"/>
            </w:tcMar>
          </w:tcPr>
          <w:p>
            <w:pPr>
              <w:spacing w:before="40" w:after="40"/>
            </w:pPr>
            <w:r>
              <w:rPr>
                <w:rFonts w:ascii="Calibri" w:hAnsi="Calibri"/>
                <w:b w:val="0"/>
                <w:color w:val="374151"/>
                <w:sz w:val="19"/>
              </w:rPr>
              <w:t>M08-CT-001 notes Slack physician monitoring is deprecated, but the replacement platform-native monitoring with pre-filled action templates for 5 specific scenarios is not fully specified: (1) call under 2 min; (2) call over 2 min, still Scheduled; (3) session ended, no report; (4) all calls made, session still open; (5) 3rd call not made within 4 hours.</w:t>
            </w:r>
          </w:p>
        </w:tc>
        <w:tc>
          <w:tcPr>
            <w:tcW w:type="dxa" w:w="4680"/>
            <w:shd w:val="clear" w:color="auto" w:fill="FFFFFF"/>
            <w:tcW w:type="dxa" w:w="4320"/>
            <w:tcMar>
              <w:top w:w="80" w:type="dxa"/>
              <w:bottom w:w="80" w:type="dxa"/>
              <w:left w:w="120" w:type="dxa"/>
              <w:right w:w="120" w:type="dxa"/>
            </w:tcMar>
          </w:tcPr>
          <w:p>
            <w:pPr>
              <w:spacing w:before="40" w:after="40"/>
            </w:pPr>
            <w:r>
              <w:rPr>
                <w:rFonts w:ascii="Calibri" w:hAnsi="Calibri"/>
                <w:b w:val="0"/>
                <w:color w:val="374151"/>
                <w:sz w:val="19"/>
              </w:rPr>
              <w:t>In the PCC monitoring queue, each consult session is evaluated against the 5 scenario rules in real time. When a scenario triggers, the queue surfaces a pre-filled action card with: scenario label, suggested action text (pre-formatted), and one-click 'Send to Physician' that sends the pre-filled notification to the provider via M08 engine. PCC can edit before sending. All events and PCC actions logged to referral contact timeline.</w:t>
            </w:r>
          </w:p>
        </w:tc>
      </w:tr>
      <w:tr>
        <w:tc>
          <w:tcPr>
            <w:tcW w:type="dxa" w:w="9360"/>
            <w:gridSpan w:val="2"/>
            <w:shd w:val="clear" w:color="auto" w:fill="F8FAFC"/>
          </w:tcPr>
          <w:p>
            <w:pPr>
              <w:spacing w:before="60" w:after="60"/>
            </w:pPr>
            <w:r>
              <w:rPr>
                <w:rFonts w:ascii="Calibri" w:hAnsi="Calibri"/>
                <w:b/>
                <w:color w:val="9D174D"/>
                <w:sz w:val="18"/>
              </w:rPr>
              <w:t xml:space="preserve">Queue / Routing:  </w:t>
            </w:r>
            <w:r>
              <w:rPr>
                <w:rFonts w:ascii="Calibri" w:hAnsi="Calibri"/>
                <w:b w:val="0"/>
                <w:color w:val="374151"/>
                <w:sz w:val="18"/>
              </w:rPr>
              <w:t>PCC physician monitoring queue. Scenario triggers → action card in queue. Action sent → provider notification (M08). Logged to referral timeline.</w:t>
            </w:r>
          </w:p>
        </w:tc>
      </w:tr>
    </w:tbl>
    <w:p>
      <w:pPr>
        <w:spacing w:after="80"/>
      </w:pPr>
    </w:p>
    <w:tbl>
      <w:tblPr>
        <w:tblW w:type="auto" w:w="0"/>
        <w:tblLook w:firstColumn="1" w:firstRow="1" w:lastColumn="0" w:lastRow="0" w:noHBand="0" w:noVBand="1" w:val="04A0"/>
        <w:tblW w:type="dxa" w:w="8640"/>
        <w:tblBorders>
          <w:top w:val="single" w:sz="6" w:space="0" w:color="9D174D"/>
          <w:left w:val="single" w:sz="6" w:space="0" w:color="9D174D"/>
          <w:bottom w:val="single" w:sz="6" w:space="0" w:color="9D174D"/>
          <w:right w:val="single" w:sz="6" w:space="0" w:color="9D174D"/>
          <w:insideH w:val="single" w:sz="6" w:space="0" w:color="9D174D"/>
          <w:insideV w:val="single" w:sz="6" w:space="0" w:color="9D174D"/>
        </w:tblBorders>
      </w:tblPr>
      <w:tblGrid>
        <w:gridCol w:w="4680"/>
        <w:gridCol w:w="4680"/>
      </w:tblGrid>
      <w:tr>
        <w:tc>
          <w:tcPr>
            <w:tcW w:type="dxa" w:w="9360"/>
            <w:gridSpan w:val="2"/>
            <w:shd w:val="clear" w:color="auto" w:fill="9D174D"/>
          </w:tcPr>
          <w:p>
            <w:pPr>
              <w:spacing w:before="80" w:after="80"/>
            </w:pPr>
            <w:r>
              <w:rPr>
                <w:rFonts w:ascii="Calibri" w:hAnsi="Calibri"/>
                <w:b/>
                <w:color w:val="FFFFFF"/>
                <w:sz w:val="17"/>
              </w:rPr>
              <w:t xml:space="preserve">CT-GAP-21  </w:t>
            </w:r>
            <w:r>
              <w:rPr>
                <w:rFonts w:ascii="Calibri" w:hAnsi="Calibri"/>
                <w:b/>
                <w:color w:val="FFFFFF"/>
                <w:sz w:val="21"/>
              </w:rPr>
              <w:t>Physician QA Monitoring Dashboard — Structured Issue Logging</w:t>
            </w:r>
            <w:r>
              <w:rPr>
                <w:rFonts w:ascii="Calibri" w:hAnsi="Calibri"/>
                <w:b w:val="0"/>
                <w:color w:val="D1FAE5"/>
                <w:sz w:val="17"/>
              </w:rPr>
              <w:t xml:space="preserve">    [M13]  |  Care Team Portal  |  v1.0</w:t>
            </w:r>
          </w:p>
        </w:tc>
      </w:tr>
      <w:tr>
        <w:tc>
          <w:tcPr>
            <w:tcW w:type="dxa" w:w="4680"/>
            <w:shd w:val="clear" w:color="auto" w:fill="F1F5F9"/>
            <w:tcW w:type="dxa" w:w="4320"/>
          </w:tcPr>
          <w:p>
            <w:pPr>
              <w:spacing w:before="60" w:after="60"/>
            </w:pPr>
            <w:r>
              <w:rPr>
                <w:rFonts w:ascii="Calibri" w:hAnsi="Calibri"/>
                <w:b/>
                <w:color w:val="374151"/>
                <w:sz w:val="18"/>
              </w:rPr>
              <w:t>What Is the Gap (Current State)</w:t>
            </w:r>
          </w:p>
        </w:tc>
        <w:tc>
          <w:tcPr>
            <w:tcW w:type="dxa" w:w="4680"/>
            <w:shd w:val="clear" w:color="auto" w:fill="F1F5F9"/>
            <w:tcW w:type="dxa" w:w="4320"/>
          </w:tcPr>
          <w:p>
            <w:pPr>
              <w:spacing w:before="60" w:after="60"/>
            </w:pPr>
            <w:r>
              <w:rPr>
                <w:rFonts w:ascii="Calibri" w:hAnsi="Calibri"/>
                <w:b/>
                <w:color w:val="374151"/>
                <w:sz w:val="18"/>
              </w:rPr>
              <w:t>How Phoenix Fixes It</w:t>
            </w:r>
          </w:p>
        </w:tc>
      </w:tr>
      <w:tr>
        <w:tc>
          <w:tcPr>
            <w:tcW w:type="dxa" w:w="4680"/>
            <w:shd w:val="clear" w:color="auto" w:fill="FFFFFF"/>
            <w:tcW w:type="dxa" w:w="4320"/>
            <w:tcMar>
              <w:top w:w="80" w:type="dxa"/>
              <w:bottom w:w="80" w:type="dxa"/>
              <w:left w:w="120" w:type="dxa"/>
              <w:right w:w="120" w:type="dxa"/>
            </w:tcMar>
          </w:tcPr>
          <w:p>
            <w:pPr>
              <w:spacing w:before="40" w:after="40"/>
            </w:pPr>
            <w:r>
              <w:rPr>
                <w:rFonts w:ascii="Calibri" w:hAnsi="Calibri"/>
                <w:b w:val="0"/>
                <w:color w:val="374151"/>
                <w:sz w:val="19"/>
              </w:rPr>
              <w:t>A QA monitoring dashboard must allow PCC to log structured physician performance issues: date of alert, session/slug ID, physician name, issue category (Consult Issues), and issue type (4 Hour Consult TAT, Did Not Document In Real Time, Did Not Submit Report, Call Spacing Too Long, Did Not End Session). No requirement captures this PCC-operated physician QA logging workflow.</w:t>
            </w:r>
          </w:p>
        </w:tc>
        <w:tc>
          <w:tcPr>
            <w:tcW w:type="dxa" w:w="4680"/>
            <w:shd w:val="clear" w:color="auto" w:fill="FFFFFF"/>
            <w:tcW w:type="dxa" w:w="4320"/>
            <w:tcMar>
              <w:top w:w="80" w:type="dxa"/>
              <w:bottom w:w="80" w:type="dxa"/>
              <w:left w:w="120" w:type="dxa"/>
              <w:right w:w="120" w:type="dxa"/>
            </w:tcMar>
          </w:tcPr>
          <w:p>
            <w:pPr>
              <w:spacing w:before="40" w:after="40"/>
            </w:pPr>
            <w:r>
              <w:rPr>
                <w:rFonts w:ascii="Calibri" w:hAnsi="Calibri"/>
                <w:b w:val="0"/>
                <w:color w:val="374151"/>
                <w:sz w:val="19"/>
              </w:rPr>
              <w:t>Add a 'Physician QA Log' section in the PCC portal. PCC creates entries with: date, session/slug ID (auto-linked to referral), physician name (dropdown from active provider list), issue category and type (predefined lists). Viewable by team leads and management. Exportable for monthly QA review. Issue type list configurable in Admin Portal. Auto-populated from physician monitoring alerts (CT-GAP-20).</w:t>
            </w:r>
          </w:p>
        </w:tc>
      </w:tr>
      <w:tr>
        <w:tc>
          <w:tcPr>
            <w:tcW w:type="dxa" w:w="9360"/>
            <w:gridSpan w:val="2"/>
            <w:shd w:val="clear" w:color="auto" w:fill="F8FAFC"/>
          </w:tcPr>
          <w:p>
            <w:pPr>
              <w:spacing w:before="60" w:after="60"/>
            </w:pPr>
            <w:r>
              <w:rPr>
                <w:rFonts w:ascii="Calibri" w:hAnsi="Calibri"/>
                <w:b/>
                <w:color w:val="9D174D"/>
                <w:sz w:val="18"/>
              </w:rPr>
              <w:t xml:space="preserve">Queue / Routing:  </w:t>
            </w:r>
            <w:r>
              <w:rPr>
                <w:rFonts w:ascii="Calibri" w:hAnsi="Calibri"/>
                <w:b w:val="0"/>
                <w:color w:val="374151"/>
                <w:sz w:val="18"/>
              </w:rPr>
              <w:t>PCC QA Log entry creation. Viewable by team leads in manager dashboard. Monthly export for QA review.</w:t>
            </w:r>
          </w:p>
        </w:tc>
      </w:tr>
    </w:tbl>
    <w:p>
      <w:pPr>
        <w:spacing w:after="80"/>
      </w:pPr>
    </w:p>
    <w:p>
      <w:pPr>
        <w:spacing w:before="280" w:after="120"/>
        <w:pBdr>
          <w:bottom w:val="single" w:sz="6" w:space="1" w:color="374151"/>
        </w:pBdr>
      </w:pPr>
      <w:r>
        <w:rPr>
          <w:rFonts w:ascii="Calibri" w:hAnsi="Calibri"/>
          <w:b/>
          <w:color w:val="374151"/>
          <w:sz w:val="26"/>
        </w:rPr>
        <w:t>7. Automated Detection &amp; Escalation</w:t>
      </w:r>
    </w:p>
    <w:tbl>
      <w:tblPr>
        <w:tblW w:type="auto" w:w="0"/>
        <w:tblLook w:firstColumn="1" w:firstRow="1" w:lastColumn="0" w:lastRow="0" w:noHBand="0" w:noVBand="1" w:val="04A0"/>
        <w:tblW w:type="dxa" w:w="8640"/>
        <w:tblBorders>
          <w:top w:val="single" w:sz="6" w:space="0" w:color="374151"/>
          <w:left w:val="single" w:sz="6" w:space="0" w:color="374151"/>
          <w:bottom w:val="single" w:sz="6" w:space="0" w:color="374151"/>
          <w:right w:val="single" w:sz="6" w:space="0" w:color="374151"/>
          <w:insideH w:val="single" w:sz="6" w:space="0" w:color="374151"/>
          <w:insideV w:val="single" w:sz="6" w:space="0" w:color="374151"/>
        </w:tblBorders>
      </w:tblPr>
      <w:tblGrid>
        <w:gridCol w:w="4680"/>
        <w:gridCol w:w="4680"/>
      </w:tblGrid>
      <w:tr>
        <w:tc>
          <w:tcPr>
            <w:tcW w:type="dxa" w:w="9360"/>
            <w:gridSpan w:val="2"/>
            <w:shd w:val="clear" w:color="auto" w:fill="374151"/>
          </w:tcPr>
          <w:p>
            <w:pPr>
              <w:spacing w:before="80" w:after="80"/>
            </w:pPr>
            <w:r>
              <w:rPr>
                <w:rFonts w:ascii="Calibri" w:hAnsi="Calibri"/>
                <w:b/>
                <w:color w:val="FFFFFF"/>
                <w:sz w:val="17"/>
              </w:rPr>
              <w:t xml:space="preserve">CT-GAP-22  </w:t>
            </w:r>
            <w:r>
              <w:rPr>
                <w:rFonts w:ascii="Calibri" w:hAnsi="Calibri"/>
                <w:b/>
                <w:color w:val="FFFFFF"/>
                <w:sz w:val="21"/>
              </w:rPr>
              <w:t>Missing Session Report — Auto-Detection and Required PCC Log Action</w:t>
            </w:r>
            <w:r>
              <w:rPr>
                <w:rFonts w:ascii="Calibri" w:hAnsi="Calibri"/>
                <w:b w:val="0"/>
                <w:color w:val="D1FAE5"/>
                <w:sz w:val="17"/>
              </w:rPr>
              <w:t xml:space="preserve">    [M08]  |  Care Team Portal  |  v1.0</w:t>
            </w:r>
          </w:p>
        </w:tc>
      </w:tr>
      <w:tr>
        <w:tc>
          <w:tcPr>
            <w:tcW w:type="dxa" w:w="4680"/>
            <w:shd w:val="clear" w:color="auto" w:fill="F1F5F9"/>
            <w:tcW w:type="dxa" w:w="4320"/>
          </w:tcPr>
          <w:p>
            <w:pPr>
              <w:spacing w:before="60" w:after="60"/>
            </w:pPr>
            <w:r>
              <w:rPr>
                <w:rFonts w:ascii="Calibri" w:hAnsi="Calibri"/>
                <w:b/>
                <w:color w:val="374151"/>
                <w:sz w:val="18"/>
              </w:rPr>
              <w:t>What Is the Gap (Current State)</w:t>
            </w:r>
          </w:p>
        </w:tc>
        <w:tc>
          <w:tcPr>
            <w:tcW w:type="dxa" w:w="4680"/>
            <w:shd w:val="clear" w:color="auto" w:fill="F1F5F9"/>
            <w:tcW w:type="dxa" w:w="4320"/>
          </w:tcPr>
          <w:p>
            <w:pPr>
              <w:spacing w:before="60" w:after="60"/>
            </w:pPr>
            <w:r>
              <w:rPr>
                <w:rFonts w:ascii="Calibri" w:hAnsi="Calibri"/>
                <w:b/>
                <w:color w:val="374151"/>
                <w:sz w:val="18"/>
              </w:rPr>
              <w:t>How Phoenix Fixes It</w:t>
            </w:r>
          </w:p>
        </w:tc>
      </w:tr>
      <w:tr>
        <w:tc>
          <w:tcPr>
            <w:tcW w:type="dxa" w:w="4680"/>
            <w:shd w:val="clear" w:color="auto" w:fill="FFFFFF"/>
            <w:tcW w:type="dxa" w:w="4320"/>
            <w:tcMar>
              <w:top w:w="80" w:type="dxa"/>
              <w:bottom w:w="80" w:type="dxa"/>
              <w:left w:w="120" w:type="dxa"/>
              <w:right w:w="120" w:type="dxa"/>
            </w:tcMar>
          </w:tcPr>
          <w:p>
            <w:pPr>
              <w:spacing w:before="40" w:after="40"/>
            </w:pPr>
            <w:r>
              <w:rPr>
                <w:rFonts w:ascii="Calibri" w:hAnsi="Calibri"/>
                <w:b w:val="0"/>
                <w:color w:val="374151"/>
                <w:sz w:val="19"/>
              </w:rPr>
              <w:t>The platform must detect consults ended (call disconnected &gt;60 minutes ago) with no session report submitted and surface these in the PCC monitoring queue with a required log action. M08-CT-002 covers outreach protocol automation but the specific post-call report absence detection with a required PCC documentation step is not captured.</w:t>
            </w:r>
          </w:p>
        </w:tc>
        <w:tc>
          <w:tcPr>
            <w:tcW w:type="dxa" w:w="4680"/>
            <w:shd w:val="clear" w:color="auto" w:fill="FFFFFF"/>
            <w:tcW w:type="dxa" w:w="4320"/>
            <w:tcMar>
              <w:top w:w="80" w:type="dxa"/>
              <w:bottom w:w="80" w:type="dxa"/>
              <w:left w:w="120" w:type="dxa"/>
              <w:right w:w="120" w:type="dxa"/>
            </w:tcMar>
          </w:tcPr>
          <w:p>
            <w:pPr>
              <w:spacing w:before="40" w:after="40"/>
            </w:pPr>
            <w:r>
              <w:rPr>
                <w:rFonts w:ascii="Calibri" w:hAnsi="Calibri"/>
                <w:b w:val="0"/>
                <w:color w:val="374151"/>
                <w:sz w:val="19"/>
              </w:rPr>
              <w:t>SLA Engine monitors all consults with status Ended. At 60 minutes post-call with no session report: (1) referral surfaces in PCC 'Missing Report' queue; (2) PCC must log an action (select from: 'Contacted physician,' 'Physician notified via platform,' 'Escalated to lead') before alert can be dismissed; (3) alert auto-logged to Physician QA Log (CT-GAP-21) as 'Did Not Submit Report.' Configurable threshold (default 60 min).</w:t>
            </w:r>
          </w:p>
        </w:tc>
      </w:tr>
      <w:tr>
        <w:tc>
          <w:tcPr>
            <w:tcW w:type="dxa" w:w="9360"/>
            <w:gridSpan w:val="2"/>
            <w:shd w:val="clear" w:color="auto" w:fill="F8FAFC"/>
          </w:tcPr>
          <w:p>
            <w:pPr>
              <w:spacing w:before="60" w:after="60"/>
            </w:pPr>
            <w:r>
              <w:rPr>
                <w:rFonts w:ascii="Calibri" w:hAnsi="Calibri"/>
                <w:b/>
                <w:color w:val="374151"/>
                <w:sz w:val="18"/>
              </w:rPr>
              <w:t xml:space="preserve">Queue / Routing:  </w:t>
            </w:r>
            <w:r>
              <w:rPr>
                <w:rFonts w:ascii="Calibri" w:hAnsi="Calibri"/>
                <w:b w:val="0"/>
                <w:color w:val="374151"/>
                <w:sz w:val="18"/>
              </w:rPr>
              <w:t>Missing report monitoring queue (PCC). Required PCC log action before dismissal. Auto-entry to Physician QA Log. Threshold configurable in M06 SLA settings.</w:t>
            </w:r>
          </w:p>
        </w:tc>
      </w:tr>
    </w:tbl>
    <w:p>
      <w:pPr>
        <w:spacing w:after="80"/>
      </w:pPr>
    </w:p>
    <w:tbl>
      <w:tblPr>
        <w:tblW w:type="auto" w:w="0"/>
        <w:tblLook w:firstColumn="1" w:firstRow="1" w:lastColumn="0" w:lastRow="0" w:noHBand="0" w:noVBand="1" w:val="04A0"/>
        <w:tblW w:type="dxa" w:w="8640"/>
        <w:tblBorders>
          <w:top w:val="single" w:sz="6" w:space="0" w:color="374151"/>
          <w:left w:val="single" w:sz="6" w:space="0" w:color="374151"/>
          <w:bottom w:val="single" w:sz="6" w:space="0" w:color="374151"/>
          <w:right w:val="single" w:sz="6" w:space="0" w:color="374151"/>
          <w:insideH w:val="single" w:sz="6" w:space="0" w:color="374151"/>
          <w:insideV w:val="single" w:sz="6" w:space="0" w:color="374151"/>
        </w:tblBorders>
      </w:tblPr>
      <w:tblGrid>
        <w:gridCol w:w="4680"/>
        <w:gridCol w:w="4680"/>
      </w:tblGrid>
      <w:tr>
        <w:tc>
          <w:tcPr>
            <w:tcW w:type="dxa" w:w="9360"/>
            <w:gridSpan w:val="2"/>
            <w:shd w:val="clear" w:color="auto" w:fill="374151"/>
          </w:tcPr>
          <w:p>
            <w:pPr>
              <w:spacing w:before="80" w:after="80"/>
            </w:pPr>
            <w:r>
              <w:rPr>
                <w:rFonts w:ascii="Calibri" w:hAnsi="Calibri"/>
                <w:b/>
                <w:color w:val="FFFFFF"/>
                <w:sz w:val="17"/>
              </w:rPr>
              <w:t xml:space="preserve">CT-GAP-23  </w:t>
            </w:r>
            <w:r>
              <w:rPr>
                <w:rFonts w:ascii="Calibri" w:hAnsi="Calibri"/>
                <w:b/>
                <w:color w:val="FFFFFF"/>
                <w:sz w:val="21"/>
              </w:rPr>
              <w:t>Referral Missing Results — PCC Attachment Correction Queue</w:t>
            </w:r>
            <w:r>
              <w:rPr>
                <w:rFonts w:ascii="Calibri" w:hAnsi="Calibri"/>
                <w:b w:val="0"/>
                <w:color w:val="D1FAE5"/>
                <w:sz w:val="17"/>
              </w:rPr>
              <w:t xml:space="preserve">    [M05]  |  Care Team Portal  |  v1.0</w:t>
            </w:r>
          </w:p>
        </w:tc>
      </w:tr>
      <w:tr>
        <w:tc>
          <w:tcPr>
            <w:tcW w:type="dxa" w:w="4680"/>
            <w:shd w:val="clear" w:color="auto" w:fill="F1F5F9"/>
            <w:tcW w:type="dxa" w:w="4320"/>
          </w:tcPr>
          <w:p>
            <w:pPr>
              <w:spacing w:before="60" w:after="60"/>
            </w:pPr>
            <w:r>
              <w:rPr>
                <w:rFonts w:ascii="Calibri" w:hAnsi="Calibri"/>
                <w:b/>
                <w:color w:val="374151"/>
                <w:sz w:val="18"/>
              </w:rPr>
              <w:t>What Is the Gap (Current State)</w:t>
            </w:r>
          </w:p>
        </w:tc>
        <w:tc>
          <w:tcPr>
            <w:tcW w:type="dxa" w:w="4680"/>
            <w:shd w:val="clear" w:color="auto" w:fill="F1F5F9"/>
            <w:tcW w:type="dxa" w:w="4320"/>
          </w:tcPr>
          <w:p>
            <w:pPr>
              <w:spacing w:before="60" w:after="60"/>
            </w:pPr>
            <w:r>
              <w:rPr>
                <w:rFonts w:ascii="Calibri" w:hAnsi="Calibri"/>
                <w:b/>
                <w:color w:val="374151"/>
                <w:sz w:val="18"/>
              </w:rPr>
              <w:t>How Phoenix Fixes It</w:t>
            </w:r>
          </w:p>
        </w:tc>
      </w:tr>
      <w:tr>
        <w:tc>
          <w:tcPr>
            <w:tcW w:type="dxa" w:w="4680"/>
            <w:shd w:val="clear" w:color="auto" w:fill="FFFFFF"/>
            <w:tcW w:type="dxa" w:w="4320"/>
            <w:tcMar>
              <w:top w:w="80" w:type="dxa"/>
              <w:bottom w:w="80" w:type="dxa"/>
              <w:left w:w="120" w:type="dxa"/>
              <w:right w:w="120" w:type="dxa"/>
            </w:tcMar>
          </w:tcPr>
          <w:p>
            <w:pPr>
              <w:spacing w:before="40" w:after="40"/>
            </w:pPr>
            <w:r>
              <w:rPr>
                <w:rFonts w:ascii="Calibri" w:hAnsi="Calibri"/>
                <w:b w:val="0"/>
                <w:color w:val="374151"/>
                <w:sz w:val="19"/>
              </w:rPr>
              <w:t>The platform must detect Rx/PHIS referrals with no lab results attached, created 30–60 minutes ago, where physician has not initiated outreach. When detected, these route to a PCC action queue for results attachment. No requirement covers this results-attachment correction workflow.</w:t>
            </w:r>
          </w:p>
        </w:tc>
        <w:tc>
          <w:tcPr>
            <w:tcW w:type="dxa" w:w="4680"/>
            <w:shd w:val="clear" w:color="auto" w:fill="FFFFFF"/>
            <w:tcW w:type="dxa" w:w="4320"/>
            <w:tcMar>
              <w:top w:w="80" w:type="dxa"/>
              <w:bottom w:w="80" w:type="dxa"/>
              <w:left w:w="120" w:type="dxa"/>
              <w:right w:w="120" w:type="dxa"/>
            </w:tcMar>
          </w:tcPr>
          <w:p>
            <w:pPr>
              <w:spacing w:before="40" w:after="40"/>
            </w:pPr>
            <w:r>
              <w:rPr>
                <w:rFonts w:ascii="Calibri" w:hAnsi="Calibri"/>
                <w:b w:val="0"/>
                <w:color w:val="374151"/>
                <w:sz w:val="19"/>
              </w:rPr>
              <w:t>The SLA Engine scans Rx and PHIS referrals at 30 and 60 minutes post-creation for: no lab results attached AND no physician outreach logged. If both conditions are true, referral is flagged in PCC 'Results Needed' queue. PCC can open and attach results directly from the queue view. On attachment, referral is removed from the queue and the attachment event is logged. Detection rules configurable per service type.</w:t>
            </w:r>
          </w:p>
        </w:tc>
      </w:tr>
      <w:tr>
        <w:tc>
          <w:tcPr>
            <w:tcW w:type="dxa" w:w="9360"/>
            <w:gridSpan w:val="2"/>
            <w:shd w:val="clear" w:color="auto" w:fill="F8FAFC"/>
          </w:tcPr>
          <w:p>
            <w:pPr>
              <w:spacing w:before="60" w:after="60"/>
            </w:pPr>
            <w:r>
              <w:rPr>
                <w:rFonts w:ascii="Calibri" w:hAnsi="Calibri"/>
                <w:b/>
                <w:color w:val="374151"/>
                <w:sz w:val="18"/>
              </w:rPr>
              <w:t xml:space="preserve">Queue / Routing:  </w:t>
            </w:r>
            <w:r>
              <w:rPr>
                <w:rFonts w:ascii="Calibri" w:hAnsi="Calibri"/>
                <w:b w:val="0"/>
                <w:color w:val="374151"/>
                <w:sz w:val="18"/>
              </w:rPr>
              <w:t>PCC Results Needed queue. Triggered by SLA Engine scan at 30 and 60 min. PCC attaches results → referral removed from queue. All actions logged.</w:t>
            </w:r>
          </w:p>
        </w:tc>
      </w:tr>
    </w:tbl>
    <w:p>
      <w:pPr>
        <w:spacing w:after="80"/>
      </w:pPr>
    </w:p>
    <w:tbl>
      <w:tblPr>
        <w:tblW w:type="auto" w:w="0"/>
        <w:tblLook w:firstColumn="1" w:firstRow="1" w:lastColumn="0" w:lastRow="0" w:noHBand="0" w:noVBand="1" w:val="04A0"/>
        <w:tblW w:type="dxa" w:w="8640"/>
        <w:tblBorders>
          <w:top w:val="single" w:sz="6" w:space="0" w:color="374151"/>
          <w:left w:val="single" w:sz="6" w:space="0" w:color="374151"/>
          <w:bottom w:val="single" w:sz="6" w:space="0" w:color="374151"/>
          <w:right w:val="single" w:sz="6" w:space="0" w:color="374151"/>
          <w:insideH w:val="single" w:sz="6" w:space="0" w:color="374151"/>
          <w:insideV w:val="single" w:sz="6" w:space="0" w:color="374151"/>
        </w:tblBorders>
      </w:tblPr>
      <w:tblGrid>
        <w:gridCol w:w="4680"/>
        <w:gridCol w:w="4680"/>
      </w:tblGrid>
      <w:tr>
        <w:tc>
          <w:tcPr>
            <w:tcW w:type="dxa" w:w="9360"/>
            <w:gridSpan w:val="2"/>
            <w:shd w:val="clear" w:color="auto" w:fill="374151"/>
          </w:tcPr>
          <w:p>
            <w:pPr>
              <w:spacing w:before="80" w:after="80"/>
            </w:pPr>
            <w:r>
              <w:rPr>
                <w:rFonts w:ascii="Calibri" w:hAnsi="Calibri"/>
                <w:b/>
                <w:color w:val="FFFFFF"/>
                <w:sz w:val="17"/>
              </w:rPr>
              <w:t xml:space="preserve">CT-GAP-24  </w:t>
            </w:r>
            <w:r>
              <w:rPr>
                <w:rFonts w:ascii="Calibri" w:hAnsi="Calibri"/>
                <w:b/>
                <w:color w:val="FFFFFF"/>
                <w:sz w:val="21"/>
              </w:rPr>
              <w:t>Notification Delivery Error — PCC Manual Resend from Referral View</w:t>
            </w:r>
            <w:r>
              <w:rPr>
                <w:rFonts w:ascii="Calibri" w:hAnsi="Calibri"/>
                <w:b w:val="0"/>
                <w:color w:val="D1FAE5"/>
                <w:sz w:val="17"/>
              </w:rPr>
              <w:t xml:space="preserve">    [M08]  |  Care Team Portal  |  v1.0</w:t>
            </w:r>
          </w:p>
        </w:tc>
      </w:tr>
      <w:tr>
        <w:tc>
          <w:tcPr>
            <w:tcW w:type="dxa" w:w="4680"/>
            <w:shd w:val="clear" w:color="auto" w:fill="F1F5F9"/>
            <w:tcW w:type="dxa" w:w="4320"/>
          </w:tcPr>
          <w:p>
            <w:pPr>
              <w:spacing w:before="60" w:after="60"/>
            </w:pPr>
            <w:r>
              <w:rPr>
                <w:rFonts w:ascii="Calibri" w:hAnsi="Calibri"/>
                <w:b/>
                <w:color w:val="374151"/>
                <w:sz w:val="18"/>
              </w:rPr>
              <w:t>What Is the Gap (Current State)</w:t>
            </w:r>
          </w:p>
        </w:tc>
        <w:tc>
          <w:tcPr>
            <w:tcW w:type="dxa" w:w="4680"/>
            <w:shd w:val="clear" w:color="auto" w:fill="F1F5F9"/>
            <w:tcW w:type="dxa" w:w="4320"/>
          </w:tcPr>
          <w:p>
            <w:pPr>
              <w:spacing w:before="60" w:after="60"/>
            </w:pPr>
            <w:r>
              <w:rPr>
                <w:rFonts w:ascii="Calibri" w:hAnsi="Calibri"/>
                <w:b/>
                <w:color w:val="374151"/>
                <w:sz w:val="18"/>
              </w:rPr>
              <w:t>How Phoenix Fixes It</w:t>
            </w:r>
          </w:p>
        </w:tc>
      </w:tr>
      <w:tr>
        <w:tc>
          <w:tcPr>
            <w:tcW w:type="dxa" w:w="4680"/>
            <w:shd w:val="clear" w:color="auto" w:fill="FFFFFF"/>
            <w:tcW w:type="dxa" w:w="4320"/>
            <w:tcMar>
              <w:top w:w="80" w:type="dxa"/>
              <w:bottom w:w="80" w:type="dxa"/>
              <w:left w:w="120" w:type="dxa"/>
              <w:right w:w="120" w:type="dxa"/>
            </w:tcMar>
          </w:tcPr>
          <w:p>
            <w:pPr>
              <w:spacing w:before="40" w:after="40"/>
            </w:pPr>
            <w:r>
              <w:rPr>
                <w:rFonts w:ascii="Calibri" w:hAnsi="Calibri"/>
                <w:b w:val="0"/>
                <w:color w:val="374151"/>
                <w:sz w:val="19"/>
              </w:rPr>
              <w:t>When an automated notification (text/email to physician or patient) fails to send, the platform must surface the error in a PCC notification error queue with the original message text and allow PCC to manually resend from within the referral. SMS character limit enforcement must be visible during resend. No requirement covers manual notification resend capability.</w:t>
            </w:r>
          </w:p>
        </w:tc>
        <w:tc>
          <w:tcPr>
            <w:tcW w:type="dxa" w:w="4680"/>
            <w:shd w:val="clear" w:color="auto" w:fill="FFFFFF"/>
            <w:tcW w:type="dxa" w:w="4320"/>
            <w:tcMar>
              <w:top w:w="80" w:type="dxa"/>
              <w:bottom w:w="80" w:type="dxa"/>
              <w:left w:w="120" w:type="dxa"/>
              <w:right w:w="120" w:type="dxa"/>
            </w:tcMar>
          </w:tcPr>
          <w:p>
            <w:pPr>
              <w:spacing w:before="40" w:after="40"/>
            </w:pPr>
            <w:r>
              <w:rPr>
                <w:rFonts w:ascii="Calibri" w:hAnsi="Calibri"/>
                <w:b w:val="0"/>
                <w:color w:val="374151"/>
                <w:sz w:val="19"/>
              </w:rPr>
              <w:t>Add a 'Notification Errors' section within each referral's contact timeline. Failed notifications appear with: original message text, failure reason, and a 'Resend' button. SMS resend: character count shown (160-char limit with overflow warning). On resend, notification re-queued through notification engine with PCC identity logged. A 'Notification Error Queue' in the PCC portal surfaces all unresolved failures across all referrals.</w:t>
            </w:r>
          </w:p>
        </w:tc>
      </w:tr>
      <w:tr>
        <w:tc>
          <w:tcPr>
            <w:tcW w:type="dxa" w:w="9360"/>
            <w:gridSpan w:val="2"/>
            <w:shd w:val="clear" w:color="auto" w:fill="F8FAFC"/>
          </w:tcPr>
          <w:p>
            <w:pPr>
              <w:spacing w:before="60" w:after="60"/>
            </w:pPr>
            <w:r>
              <w:rPr>
                <w:rFonts w:ascii="Calibri" w:hAnsi="Calibri"/>
                <w:b/>
                <w:color w:val="374151"/>
                <w:sz w:val="18"/>
              </w:rPr>
              <w:t xml:space="preserve">Queue / Routing:  </w:t>
            </w:r>
            <w:r>
              <w:rPr>
                <w:rFonts w:ascii="Calibri" w:hAnsi="Calibri"/>
                <w:b w:val="0"/>
                <w:color w:val="374151"/>
                <w:sz w:val="18"/>
              </w:rPr>
              <w:t>Notification Error Queue (PCC — cross-referral view). Referral-level resend action. Resend logged to contact timeline. SMS character limit enforced.</w:t>
            </w:r>
          </w:p>
        </w:tc>
      </w:tr>
    </w:tbl>
    <w:p>
      <w:pPr>
        <w:spacing w:after="80"/>
      </w:pPr>
    </w:p>
    <w:tbl>
      <w:tblPr>
        <w:tblW w:type="auto" w:w="0"/>
        <w:tblLook w:firstColumn="1" w:firstRow="1" w:lastColumn="0" w:lastRow="0" w:noHBand="0" w:noVBand="1" w:val="04A0"/>
        <w:tblW w:type="dxa" w:w="8640"/>
        <w:tblBorders>
          <w:top w:val="single" w:sz="6" w:space="0" w:color="374151"/>
          <w:left w:val="single" w:sz="6" w:space="0" w:color="374151"/>
          <w:bottom w:val="single" w:sz="6" w:space="0" w:color="374151"/>
          <w:right w:val="single" w:sz="6" w:space="0" w:color="374151"/>
          <w:insideH w:val="single" w:sz="6" w:space="0" w:color="374151"/>
          <w:insideV w:val="single" w:sz="6" w:space="0" w:color="374151"/>
        </w:tblBorders>
      </w:tblPr>
      <w:tblGrid>
        <w:gridCol w:w="4680"/>
        <w:gridCol w:w="4680"/>
      </w:tblGrid>
      <w:tr>
        <w:tc>
          <w:tcPr>
            <w:tcW w:type="dxa" w:w="9360"/>
            <w:gridSpan w:val="2"/>
            <w:shd w:val="clear" w:color="auto" w:fill="374151"/>
          </w:tcPr>
          <w:p>
            <w:pPr>
              <w:spacing w:before="80" w:after="80"/>
            </w:pPr>
            <w:r>
              <w:rPr>
                <w:rFonts w:ascii="Calibri" w:hAnsi="Calibri"/>
                <w:b/>
                <w:color w:val="FFFFFF"/>
                <w:sz w:val="17"/>
              </w:rPr>
              <w:t xml:space="preserve">CT-GAP-25  </w:t>
            </w:r>
            <w:r>
              <w:rPr>
                <w:rFonts w:ascii="Calibri" w:hAnsi="Calibri"/>
                <w:b/>
                <w:color w:val="FFFFFF"/>
                <w:sz w:val="21"/>
              </w:rPr>
              <w:t>STD Referral — 2-Week Result Freshness Validation Before Open Allowed</w:t>
            </w:r>
            <w:r>
              <w:rPr>
                <w:rFonts w:ascii="Calibri" w:hAnsi="Calibri"/>
                <w:b w:val="0"/>
                <w:color w:val="D1FAE5"/>
                <w:sz w:val="17"/>
              </w:rPr>
              <w:t xml:space="preserve">    [M05]  |  Care Team Portal  |  v1.0</w:t>
            </w:r>
          </w:p>
        </w:tc>
      </w:tr>
      <w:tr>
        <w:tc>
          <w:tcPr>
            <w:tcW w:type="dxa" w:w="4680"/>
            <w:shd w:val="clear" w:color="auto" w:fill="F1F5F9"/>
            <w:tcW w:type="dxa" w:w="4320"/>
          </w:tcPr>
          <w:p>
            <w:pPr>
              <w:spacing w:before="60" w:after="60"/>
            </w:pPr>
            <w:r>
              <w:rPr>
                <w:rFonts w:ascii="Calibri" w:hAnsi="Calibri"/>
                <w:b/>
                <w:color w:val="374151"/>
                <w:sz w:val="18"/>
              </w:rPr>
              <w:t>What Is the Gap (Current State)</w:t>
            </w:r>
          </w:p>
        </w:tc>
        <w:tc>
          <w:tcPr>
            <w:tcW w:type="dxa" w:w="4680"/>
            <w:shd w:val="clear" w:color="auto" w:fill="F1F5F9"/>
            <w:tcW w:type="dxa" w:w="4320"/>
          </w:tcPr>
          <w:p>
            <w:pPr>
              <w:spacing w:before="60" w:after="60"/>
            </w:pPr>
            <w:r>
              <w:rPr>
                <w:rFonts w:ascii="Calibri" w:hAnsi="Calibri"/>
                <w:b/>
                <w:color w:val="374151"/>
                <w:sz w:val="18"/>
              </w:rPr>
              <w:t>How Phoenix Fixes It</w:t>
            </w:r>
          </w:p>
        </w:tc>
      </w:tr>
      <w:tr>
        <w:tc>
          <w:tcPr>
            <w:tcW w:type="dxa" w:w="4680"/>
            <w:shd w:val="clear" w:color="auto" w:fill="FFFFFF"/>
            <w:tcW w:type="dxa" w:w="4320"/>
            <w:tcMar>
              <w:top w:w="80" w:type="dxa"/>
              <w:bottom w:w="80" w:type="dxa"/>
              <w:left w:w="120" w:type="dxa"/>
              <w:right w:w="120" w:type="dxa"/>
            </w:tcMar>
          </w:tcPr>
          <w:p>
            <w:pPr>
              <w:spacing w:before="40" w:after="40"/>
            </w:pPr>
            <w:r>
              <w:rPr>
                <w:rFonts w:ascii="Calibri" w:hAnsi="Calibri"/>
                <w:b w:val="0"/>
                <w:color w:val="374151"/>
                <w:sz w:val="19"/>
              </w:rPr>
              <w:t>For STD referrals, lab results must be within 2 weeks of the consult date. If results are older than 2 weeks, the referral must be flagged and cannot be marked Open without supervisor override. No requirement captures this STD-specific result freshness validation.</w:t>
            </w:r>
          </w:p>
        </w:tc>
        <w:tc>
          <w:tcPr>
            <w:tcW w:type="dxa" w:w="4680"/>
            <w:shd w:val="clear" w:color="auto" w:fill="FFFFFF"/>
            <w:tcW w:type="dxa" w:w="4320"/>
            <w:tcMar>
              <w:top w:w="80" w:type="dxa"/>
              <w:bottom w:w="80" w:type="dxa"/>
              <w:left w:w="120" w:type="dxa"/>
              <w:right w:w="120" w:type="dxa"/>
            </w:tcMar>
          </w:tcPr>
          <w:p>
            <w:pPr>
              <w:spacing w:before="40" w:after="40"/>
            </w:pPr>
            <w:r>
              <w:rPr>
                <w:rFonts w:ascii="Calibri" w:hAnsi="Calibri"/>
                <w:b w:val="0"/>
                <w:color w:val="374151"/>
                <w:sz w:val="19"/>
              </w:rPr>
              <w:t>On STD referral creation and at each status transition attempt, platform validates result date against consult scheduled date. If result age exceeds 14 days: 'Mark as Open' blocked; referral shows 'Results Too Old — Supervisor Approval Required' badge; PCC requests override from team lead. Team lead approves/rejects in their queue. Override approval + reason logged. Freshness threshold configurable per service type.</w:t>
            </w:r>
          </w:p>
        </w:tc>
      </w:tr>
      <w:tr>
        <w:tc>
          <w:tcPr>
            <w:tcW w:type="dxa" w:w="9360"/>
            <w:gridSpan w:val="2"/>
            <w:shd w:val="clear" w:color="auto" w:fill="F8FAFC"/>
          </w:tcPr>
          <w:p>
            <w:pPr>
              <w:spacing w:before="60" w:after="60"/>
            </w:pPr>
            <w:r>
              <w:rPr>
                <w:rFonts w:ascii="Calibri" w:hAnsi="Calibri"/>
                <w:b/>
                <w:color w:val="374151"/>
                <w:sz w:val="18"/>
              </w:rPr>
              <w:t xml:space="preserve">Queue / Routing:  </w:t>
            </w:r>
            <w:r>
              <w:rPr>
                <w:rFonts w:ascii="Calibri" w:hAnsi="Calibri"/>
                <w:b w:val="0"/>
                <w:color w:val="374151"/>
                <w:sz w:val="18"/>
              </w:rPr>
              <w:t>STD referral queue — Open action blocked on stale results. Override request → team lead approval queue. Approval/rejection logged to referral.</w:t>
            </w:r>
          </w:p>
        </w:tc>
      </w:tr>
    </w:tbl>
    <w:p>
      <w:pPr>
        <w:spacing w:after="80"/>
      </w:pPr>
    </w:p>
    <w:tbl>
      <w:tblPr>
        <w:tblW w:type="auto" w:w="0"/>
        <w:tblLook w:firstColumn="1" w:firstRow="1" w:lastColumn="0" w:lastRow="0" w:noHBand="0" w:noVBand="1" w:val="04A0"/>
        <w:tblW w:type="dxa" w:w="8640"/>
        <w:tblBorders>
          <w:top w:val="single" w:sz="6" w:space="0" w:color="374151"/>
          <w:left w:val="single" w:sz="6" w:space="0" w:color="374151"/>
          <w:bottom w:val="single" w:sz="6" w:space="0" w:color="374151"/>
          <w:right w:val="single" w:sz="6" w:space="0" w:color="374151"/>
          <w:insideH w:val="single" w:sz="6" w:space="0" w:color="374151"/>
          <w:insideV w:val="single" w:sz="6" w:space="0" w:color="374151"/>
        </w:tblBorders>
      </w:tblPr>
      <w:tblGrid>
        <w:gridCol w:w="4680"/>
        <w:gridCol w:w="4680"/>
      </w:tblGrid>
      <w:tr>
        <w:tc>
          <w:tcPr>
            <w:tcW w:type="dxa" w:w="9360"/>
            <w:gridSpan w:val="2"/>
            <w:shd w:val="clear" w:color="auto" w:fill="374151"/>
          </w:tcPr>
          <w:p>
            <w:pPr>
              <w:spacing w:before="80" w:after="80"/>
            </w:pPr>
            <w:r>
              <w:rPr>
                <w:rFonts w:ascii="Calibri" w:hAnsi="Calibri"/>
                <w:b/>
                <w:color w:val="FFFFFF"/>
                <w:sz w:val="17"/>
              </w:rPr>
              <w:t xml:space="preserve">CT-GAP-26  </w:t>
            </w:r>
            <w:r>
              <w:rPr>
                <w:rFonts w:ascii="Calibri" w:hAnsi="Calibri"/>
                <w:b/>
                <w:color w:val="FFFFFF"/>
                <w:sz w:val="21"/>
              </w:rPr>
              <w:t>Auth Monitoring — 15-Minute Recurring Notification + 2-Hour Hard Escalation</w:t>
            </w:r>
            <w:r>
              <w:rPr>
                <w:rFonts w:ascii="Calibri" w:hAnsi="Calibri"/>
                <w:b w:val="0"/>
                <w:color w:val="D1FAE5"/>
                <w:sz w:val="17"/>
              </w:rPr>
              <w:t xml:space="preserve">    [M06]  |  Care Team Portal  |  v1.0</w:t>
            </w:r>
          </w:p>
        </w:tc>
      </w:tr>
      <w:tr>
        <w:tc>
          <w:tcPr>
            <w:tcW w:type="dxa" w:w="4680"/>
            <w:shd w:val="clear" w:color="auto" w:fill="F1F5F9"/>
            <w:tcW w:type="dxa" w:w="4320"/>
          </w:tcPr>
          <w:p>
            <w:pPr>
              <w:spacing w:before="60" w:after="60"/>
            </w:pPr>
            <w:r>
              <w:rPr>
                <w:rFonts w:ascii="Calibri" w:hAnsi="Calibri"/>
                <w:b/>
                <w:color w:val="374151"/>
                <w:sz w:val="18"/>
              </w:rPr>
              <w:t>What Is the Gap (Current State)</w:t>
            </w:r>
          </w:p>
        </w:tc>
        <w:tc>
          <w:tcPr>
            <w:tcW w:type="dxa" w:w="4680"/>
            <w:shd w:val="clear" w:color="auto" w:fill="F1F5F9"/>
            <w:tcW w:type="dxa" w:w="4320"/>
          </w:tcPr>
          <w:p>
            <w:pPr>
              <w:spacing w:before="60" w:after="60"/>
            </w:pPr>
            <w:r>
              <w:rPr>
                <w:rFonts w:ascii="Calibri" w:hAnsi="Calibri"/>
                <w:b/>
                <w:color w:val="374151"/>
                <w:sz w:val="18"/>
              </w:rPr>
              <w:t>How Phoenix Fixes It</w:t>
            </w:r>
          </w:p>
        </w:tc>
      </w:tr>
      <w:tr>
        <w:tc>
          <w:tcPr>
            <w:tcW w:type="dxa" w:w="4680"/>
            <w:shd w:val="clear" w:color="auto" w:fill="FFFFFF"/>
            <w:tcW w:type="dxa" w:w="4320"/>
            <w:tcMar>
              <w:top w:w="80" w:type="dxa"/>
              <w:bottom w:w="80" w:type="dxa"/>
              <w:left w:w="120" w:type="dxa"/>
              <w:right w:w="120" w:type="dxa"/>
            </w:tcMar>
          </w:tcPr>
          <w:p>
            <w:pPr>
              <w:spacing w:before="40" w:after="40"/>
            </w:pPr>
            <w:r>
              <w:rPr>
                <w:rFonts w:ascii="Calibri" w:hAnsi="Calibri"/>
                <w:b w:val="0"/>
                <w:color w:val="374151"/>
                <w:sz w:val="19"/>
              </w:rPr>
              <w:t>Orders in pending-approval state must trigger monitoring notifications every 15 minutes for up to 2 hours, then auto-escalate to a designated supervisor at 2 hours. M06-SLA-001 and M14-LAB-001 cover approval queues but the 15-minute recurring loop with 2-hour hard escalation for auth monitoring context is not captured.</w:t>
            </w:r>
          </w:p>
        </w:tc>
        <w:tc>
          <w:tcPr>
            <w:tcW w:type="dxa" w:w="4680"/>
            <w:shd w:val="clear" w:color="auto" w:fill="FFFFFF"/>
            <w:tcW w:type="dxa" w:w="4320"/>
            <w:tcMar>
              <w:top w:w="80" w:type="dxa"/>
              <w:bottom w:w="80" w:type="dxa"/>
              <w:left w:w="120" w:type="dxa"/>
              <w:right w:w="120" w:type="dxa"/>
            </w:tcMar>
          </w:tcPr>
          <w:p>
            <w:pPr>
              <w:spacing w:before="40" w:after="40"/>
            </w:pPr>
            <w:r>
              <w:rPr>
                <w:rFonts w:ascii="Calibri" w:hAnsi="Calibri"/>
                <w:b w:val="0"/>
                <w:color w:val="374151"/>
                <w:sz w:val="19"/>
              </w:rPr>
              <w:t>In the SLA Engine, configure auth monitoring mode: starting at order submission, fire a pending-approval notification every 15 minutes to the PCC/coordinator. At 2 hours (8 cycles), auto-escalate to the designated supervisor (configurable per client in Admin Portal) and flag the order as 'Auth Critical.' Supervisor receives a distinct escalation notification. All events logged to order contact timeline. Clock stops on approval or rejection.</w:t>
            </w:r>
          </w:p>
        </w:tc>
      </w:tr>
      <w:tr>
        <w:tc>
          <w:tcPr>
            <w:tcW w:type="dxa" w:w="9360"/>
            <w:gridSpan w:val="2"/>
            <w:shd w:val="clear" w:color="auto" w:fill="F8FAFC"/>
          </w:tcPr>
          <w:p>
            <w:pPr>
              <w:spacing w:before="60" w:after="60"/>
            </w:pPr>
            <w:r>
              <w:rPr>
                <w:rFonts w:ascii="Calibri" w:hAnsi="Calibri"/>
                <w:b/>
                <w:color w:val="374151"/>
                <w:sz w:val="18"/>
              </w:rPr>
              <w:t xml:space="preserve">Queue / Routing:  </w:t>
            </w:r>
            <w:r>
              <w:rPr>
                <w:rFonts w:ascii="Calibri" w:hAnsi="Calibri"/>
                <w:b w:val="0"/>
                <w:color w:val="374151"/>
                <w:sz w:val="18"/>
              </w:rPr>
              <w:t>Order pending-approval → 15-min recurring notification to PCC. At 2 hours: supervisor escalation + 'Auth Critical' flag. Clock stops on auth resolution.</w:t>
            </w:r>
          </w:p>
        </w:tc>
      </w:tr>
    </w:tbl>
    <w:p>
      <w:pPr>
        <w:spacing w:after="80"/>
      </w:pPr>
    </w:p>
    <w:p>
      <w:pPr>
        <w:spacing w:before="280" w:after="120"/>
        <w:pBdr>
          <w:bottom w:val="single" w:sz="6" w:space="1" w:color="0369A1"/>
        </w:pBdr>
      </w:pPr>
      <w:r>
        <w:rPr>
          <w:rFonts w:ascii="Calibri" w:hAnsi="Calibri"/>
          <w:b/>
          <w:color w:val="0369A1"/>
          <w:sz w:val="26"/>
        </w:rPr>
        <w:t>8. Thyroid Program Extensions</w:t>
      </w:r>
    </w:p>
    <w:tbl>
      <w:tblPr>
        <w:tblW w:type="auto" w:w="0"/>
        <w:tblLook w:firstColumn="1" w:firstRow="1" w:lastColumn="0" w:lastRow="0" w:noHBand="0" w:noVBand="1" w:val="04A0"/>
        <w:tblW w:type="dxa" w:w="8640"/>
        <w:tblBorders>
          <w:top w:val="single" w:sz="6" w:space="0" w:color="0369A1"/>
          <w:left w:val="single" w:sz="6" w:space="0" w:color="0369A1"/>
          <w:bottom w:val="single" w:sz="6" w:space="0" w:color="0369A1"/>
          <w:right w:val="single" w:sz="6" w:space="0" w:color="0369A1"/>
          <w:insideH w:val="single" w:sz="6" w:space="0" w:color="0369A1"/>
          <w:insideV w:val="single" w:sz="6" w:space="0" w:color="0369A1"/>
        </w:tblBorders>
      </w:tblPr>
      <w:tblGrid>
        <w:gridCol w:w="4680"/>
        <w:gridCol w:w="4680"/>
      </w:tblGrid>
      <w:tr>
        <w:tc>
          <w:tcPr>
            <w:tcW w:type="dxa" w:w="9360"/>
            <w:gridSpan w:val="2"/>
            <w:shd w:val="clear" w:color="auto" w:fill="0369A1"/>
          </w:tcPr>
          <w:p>
            <w:pPr>
              <w:spacing w:before="80" w:after="80"/>
            </w:pPr>
            <w:r>
              <w:rPr>
                <w:rFonts w:ascii="Calibri" w:hAnsi="Calibri"/>
                <w:b/>
                <w:color w:val="FFFFFF"/>
                <w:sz w:val="17"/>
              </w:rPr>
              <w:t xml:space="preserve">CT-GAP-27  </w:t>
            </w:r>
            <w:r>
              <w:rPr>
                <w:rFonts w:ascii="Calibri" w:hAnsi="Calibri"/>
                <w:b/>
                <w:color w:val="FFFFFF"/>
                <w:sz w:val="21"/>
              </w:rPr>
              <w:t>Thyroid — 1-Week/2-Week Check Ticket Type Distinction (Incident vs. Problem)</w:t>
            </w:r>
            <w:r>
              <w:rPr>
                <w:rFonts w:ascii="Calibri" w:hAnsi="Calibri"/>
                <w:b w:val="0"/>
                <w:color w:val="D1FAE5"/>
                <w:sz w:val="17"/>
              </w:rPr>
              <w:t xml:space="preserve">    [M08]  |  Care Team Portal  |  v1.0</w:t>
            </w:r>
          </w:p>
        </w:tc>
      </w:tr>
      <w:tr>
        <w:tc>
          <w:tcPr>
            <w:tcW w:type="dxa" w:w="4680"/>
            <w:shd w:val="clear" w:color="auto" w:fill="F1F5F9"/>
            <w:tcW w:type="dxa" w:w="4320"/>
          </w:tcPr>
          <w:p>
            <w:pPr>
              <w:spacing w:before="60" w:after="60"/>
            </w:pPr>
            <w:r>
              <w:rPr>
                <w:rFonts w:ascii="Calibri" w:hAnsi="Calibri"/>
                <w:b/>
                <w:color w:val="374151"/>
                <w:sz w:val="18"/>
              </w:rPr>
              <w:t>What Is the Gap (Current State)</w:t>
            </w:r>
          </w:p>
        </w:tc>
        <w:tc>
          <w:tcPr>
            <w:tcW w:type="dxa" w:w="4680"/>
            <w:shd w:val="clear" w:color="auto" w:fill="F1F5F9"/>
            <w:tcW w:type="dxa" w:w="4320"/>
          </w:tcPr>
          <w:p>
            <w:pPr>
              <w:spacing w:before="60" w:after="60"/>
            </w:pPr>
            <w:r>
              <w:rPr>
                <w:rFonts w:ascii="Calibri" w:hAnsi="Calibri"/>
                <w:b/>
                <w:color w:val="374151"/>
                <w:sz w:val="18"/>
              </w:rPr>
              <w:t>How Phoenix Fixes It</w:t>
            </w:r>
          </w:p>
        </w:tc>
      </w:tr>
      <w:tr>
        <w:tc>
          <w:tcPr>
            <w:tcW w:type="dxa" w:w="4680"/>
            <w:shd w:val="clear" w:color="auto" w:fill="FFFFFF"/>
            <w:tcW w:type="dxa" w:w="4320"/>
            <w:tcMar>
              <w:top w:w="80" w:type="dxa"/>
              <w:bottom w:w="80" w:type="dxa"/>
              <w:left w:w="120" w:type="dxa"/>
              <w:right w:w="120" w:type="dxa"/>
            </w:tcMar>
          </w:tcPr>
          <w:p>
            <w:pPr>
              <w:spacing w:before="40" w:after="40"/>
            </w:pPr>
            <w:r>
              <w:rPr>
                <w:rFonts w:ascii="Calibri" w:hAnsi="Calibri"/>
                <w:b w:val="0"/>
                <w:color w:val="374151"/>
                <w:sz w:val="19"/>
              </w:rPr>
              <w:t>M08-TH-001 covers Scenario B ticket creation but does not distinguish ticket types by check timing. Same-day checks must use Problem type; 1-week and 2-week checks must use Incident type. The macro applied and PCC outreach obligation (PCC calls only for Problem/same-day tickets) also differ by type. This distinction is not captured.</w:t>
            </w:r>
          </w:p>
        </w:tc>
        <w:tc>
          <w:tcPr>
            <w:tcW w:type="dxa" w:w="4680"/>
            <w:shd w:val="clear" w:color="auto" w:fill="FFFFFF"/>
            <w:tcW w:type="dxa" w:w="4320"/>
            <w:tcMar>
              <w:top w:w="80" w:type="dxa"/>
              <w:bottom w:w="80" w:type="dxa"/>
              <w:left w:w="120" w:type="dxa"/>
              <w:right w:w="120" w:type="dxa"/>
            </w:tcMar>
          </w:tcPr>
          <w:p>
            <w:pPr>
              <w:spacing w:before="40" w:after="40"/>
            </w:pPr>
            <w:r>
              <w:rPr>
                <w:rFonts w:ascii="Calibri" w:hAnsi="Calibri"/>
                <w:b w:val="0"/>
                <w:color w:val="374151"/>
                <w:sz w:val="19"/>
              </w:rPr>
              <w:t>Update M08-TH-001: ticket type is determined by the check interval relative to Next Session Date. Same-day (date = today): Problem type, routed to PCC outreach queue (CT-010). 1-week and 2-week (date is 7 or 14 days out): Incident type, notification email only — no PCC outreach call required. Ticket-type mapping exposed as configurable field in Thyroid program config (M04-TH-001).</w:t>
            </w:r>
          </w:p>
        </w:tc>
      </w:tr>
      <w:tr>
        <w:tc>
          <w:tcPr>
            <w:tcW w:type="dxa" w:w="9360"/>
            <w:gridSpan w:val="2"/>
            <w:shd w:val="clear" w:color="auto" w:fill="F8FAFC"/>
          </w:tcPr>
          <w:p>
            <w:pPr>
              <w:spacing w:before="60" w:after="60"/>
            </w:pPr>
            <w:r>
              <w:rPr>
                <w:rFonts w:ascii="Calibri" w:hAnsi="Calibri"/>
                <w:b/>
                <w:color w:val="0369A1"/>
                <w:sz w:val="18"/>
              </w:rPr>
              <w:t xml:space="preserve">Queue / Routing:  </w:t>
            </w:r>
            <w:r>
              <w:rPr>
                <w:rFonts w:ascii="Calibri" w:hAnsi="Calibri"/>
                <w:b w:val="0"/>
                <w:color w:val="374151"/>
                <w:sz w:val="18"/>
              </w:rPr>
              <w:t>Thyroid queue check interval → Problem tickets route to PCC outreach queue. Incident tickets → notification engine only, no PCC call.</w:t>
            </w:r>
          </w:p>
        </w:tc>
      </w:tr>
    </w:tbl>
    <w:p>
      <w:pPr>
        <w:spacing w:after="80"/>
      </w:pPr>
    </w:p>
    <w:tbl>
      <w:tblPr>
        <w:tblW w:type="auto" w:w="0"/>
        <w:tblLook w:firstColumn="1" w:firstRow="1" w:lastColumn="0" w:lastRow="0" w:noHBand="0" w:noVBand="1" w:val="04A0"/>
        <w:tblW w:type="dxa" w:w="8640"/>
        <w:tblBorders>
          <w:top w:val="single" w:sz="6" w:space="0" w:color="0369A1"/>
          <w:left w:val="single" w:sz="6" w:space="0" w:color="0369A1"/>
          <w:bottom w:val="single" w:sz="6" w:space="0" w:color="0369A1"/>
          <w:right w:val="single" w:sz="6" w:space="0" w:color="0369A1"/>
          <w:insideH w:val="single" w:sz="6" w:space="0" w:color="0369A1"/>
          <w:insideV w:val="single" w:sz="6" w:space="0" w:color="0369A1"/>
        </w:tblBorders>
      </w:tblPr>
      <w:tblGrid>
        <w:gridCol w:w="4680"/>
        <w:gridCol w:w="4680"/>
      </w:tblGrid>
      <w:tr>
        <w:tc>
          <w:tcPr>
            <w:tcW w:type="dxa" w:w="9360"/>
            <w:gridSpan w:val="2"/>
            <w:shd w:val="clear" w:color="auto" w:fill="0369A1"/>
          </w:tcPr>
          <w:p>
            <w:pPr>
              <w:spacing w:before="80" w:after="80"/>
            </w:pPr>
            <w:r>
              <w:rPr>
                <w:rFonts w:ascii="Calibri" w:hAnsi="Calibri"/>
                <w:b/>
                <w:color w:val="FFFFFF"/>
                <w:sz w:val="17"/>
              </w:rPr>
              <w:t xml:space="preserve">CT-GAP-28  </w:t>
            </w:r>
            <w:r>
              <w:rPr>
                <w:rFonts w:ascii="Calibri" w:hAnsi="Calibri"/>
                <w:b/>
                <w:color w:val="FFFFFF"/>
                <w:sz w:val="21"/>
              </w:rPr>
              <w:t>Thyroid Scenario C — Resulted Test + No Active Consult (Distinct from Scenario B)</w:t>
            </w:r>
            <w:r>
              <w:rPr>
                <w:rFonts w:ascii="Calibri" w:hAnsi="Calibri"/>
                <w:b w:val="0"/>
                <w:color w:val="D1FAE5"/>
                <w:sz w:val="17"/>
              </w:rPr>
              <w:t xml:space="preserve">    [M08]  |  Care Team Portal  |  v1.0</w:t>
            </w:r>
          </w:p>
        </w:tc>
      </w:tr>
      <w:tr>
        <w:tc>
          <w:tcPr>
            <w:tcW w:type="dxa" w:w="4680"/>
            <w:shd w:val="clear" w:color="auto" w:fill="F1F5F9"/>
            <w:tcW w:type="dxa" w:w="4320"/>
          </w:tcPr>
          <w:p>
            <w:pPr>
              <w:spacing w:before="60" w:after="60"/>
            </w:pPr>
            <w:r>
              <w:rPr>
                <w:rFonts w:ascii="Calibri" w:hAnsi="Calibri"/>
                <w:b/>
                <w:color w:val="374151"/>
                <w:sz w:val="18"/>
              </w:rPr>
              <w:t>What Is the Gap (Current State)</w:t>
            </w:r>
          </w:p>
        </w:tc>
        <w:tc>
          <w:tcPr>
            <w:tcW w:type="dxa" w:w="4680"/>
            <w:shd w:val="clear" w:color="auto" w:fill="F1F5F9"/>
            <w:tcW w:type="dxa" w:w="4320"/>
          </w:tcPr>
          <w:p>
            <w:pPr>
              <w:spacing w:before="60" w:after="60"/>
            </w:pPr>
            <w:r>
              <w:rPr>
                <w:rFonts w:ascii="Calibri" w:hAnsi="Calibri"/>
                <w:b/>
                <w:color w:val="374151"/>
                <w:sz w:val="18"/>
              </w:rPr>
              <w:t>How Phoenix Fixes It</w:t>
            </w:r>
          </w:p>
        </w:tc>
      </w:tr>
      <w:tr>
        <w:tc>
          <w:tcPr>
            <w:tcW w:type="dxa" w:w="4680"/>
            <w:shd w:val="clear" w:color="auto" w:fill="FFFFFF"/>
            <w:tcW w:type="dxa" w:w="4320"/>
            <w:tcMar>
              <w:top w:w="80" w:type="dxa"/>
              <w:bottom w:w="80" w:type="dxa"/>
              <w:left w:w="120" w:type="dxa"/>
              <w:right w:w="120" w:type="dxa"/>
            </w:tcMar>
          </w:tcPr>
          <w:p>
            <w:pPr>
              <w:spacing w:before="40" w:after="40"/>
            </w:pPr>
            <w:r>
              <w:rPr>
                <w:rFonts w:ascii="Calibri" w:hAnsi="Calibri"/>
                <w:b w:val="0"/>
                <w:color w:val="374151"/>
                <w:sz w:val="19"/>
              </w:rPr>
              <w:t>M08-TH-001 covers Scenario B (no test purchase in 6 weeks) but Scenario C is a distinct trigger: test results finalized AND no active consult. Scenario C requires: auto-generate a Thyroid Initial scheduling link and send via Resulted Thyroid email notification. This separate trigger and its own notification template are not captured.</w:t>
            </w:r>
          </w:p>
        </w:tc>
        <w:tc>
          <w:tcPr>
            <w:tcW w:type="dxa" w:w="4680"/>
            <w:shd w:val="clear" w:color="auto" w:fill="FFFFFF"/>
            <w:tcW w:type="dxa" w:w="4320"/>
            <w:tcMar>
              <w:top w:w="80" w:type="dxa"/>
              <w:bottom w:w="80" w:type="dxa"/>
              <w:left w:w="120" w:type="dxa"/>
              <w:right w:w="120" w:type="dxa"/>
            </w:tcMar>
          </w:tcPr>
          <w:p>
            <w:pPr>
              <w:spacing w:before="40" w:after="40"/>
            </w:pPr>
            <w:r>
              <w:rPr>
                <w:rFonts w:ascii="Calibri" w:hAnsi="Calibri"/>
                <w:b w:val="0"/>
                <w:color w:val="374151"/>
                <w:sz w:val="19"/>
              </w:rPr>
              <w:t>Add Scenario C as a discrete trigger in Thyroid program logic. Detection: result status = Finalized AND no active consult linked. On trigger: (1) platform auto-generates a Thyroid Initial scheduling link; (2) Zendesk Incident ticket created with Resulted Thyroid macro applied; (3) link pasted into ticket body; (4) from-address set to alert@everlyhealth.com; (5) ticket submitted as Solved. Scenario C detection runs as a daily scheduled job.</w:t>
            </w:r>
          </w:p>
        </w:tc>
      </w:tr>
      <w:tr>
        <w:tc>
          <w:tcPr>
            <w:tcW w:type="dxa" w:w="9360"/>
            <w:gridSpan w:val="2"/>
            <w:shd w:val="clear" w:color="auto" w:fill="F8FAFC"/>
          </w:tcPr>
          <w:p>
            <w:pPr>
              <w:spacing w:before="60" w:after="60"/>
            </w:pPr>
            <w:r>
              <w:rPr>
                <w:rFonts w:ascii="Calibri" w:hAnsi="Calibri"/>
                <w:b/>
                <w:color w:val="0369A1"/>
                <w:sz w:val="18"/>
              </w:rPr>
              <w:t xml:space="preserve">Queue / Routing:  </w:t>
            </w:r>
            <w:r>
              <w:rPr>
                <w:rFonts w:ascii="Calibri" w:hAnsi="Calibri"/>
                <w:b w:val="0"/>
                <w:color w:val="374151"/>
                <w:sz w:val="18"/>
              </w:rPr>
              <w:t>Thyroid program daily scan → Scenario C detection. Auto-generates scheduling link → Zendesk Incident ticket (Resulted Thyroid macro). No PCC outreach call required.</w:t>
            </w:r>
          </w:p>
        </w:tc>
      </w:tr>
    </w:tbl>
    <w:p>
      <w:pPr>
        <w:spacing w:after="80"/>
      </w:pPr>
    </w:p>
    <w:p>
      <w:pPr>
        <w:spacing w:before="280" w:after="120"/>
        <w:pBdr>
          <w:bottom w:val="single" w:sz="6" w:space="1" w:color="5B21B6"/>
        </w:pBdr>
      </w:pPr>
      <w:r>
        <w:rPr>
          <w:rFonts w:ascii="Calibri" w:hAnsi="Calibri"/>
          <w:b/>
          <w:color w:val="5B21B6"/>
          <w:sz w:val="26"/>
        </w:rPr>
        <w:t>9. GCA — On-Hold, Order Release &amp; Consent Management</w:t>
      </w:r>
    </w:p>
    <w:tbl>
      <w:tblPr>
        <w:tblW w:type="auto" w:w="0"/>
        <w:tblLook w:firstColumn="1" w:firstRow="1" w:lastColumn="0" w:lastRow="0" w:noHBand="0" w:noVBand="1" w:val="04A0"/>
        <w:tblW w:type="dxa" w:w="8640"/>
        <w:tblBorders>
          <w:top w:val="single" w:sz="6" w:space="0" w:color="5B21B6"/>
          <w:left w:val="single" w:sz="6" w:space="0" w:color="5B21B6"/>
          <w:bottom w:val="single" w:sz="6" w:space="0" w:color="5B21B6"/>
          <w:right w:val="single" w:sz="6" w:space="0" w:color="5B21B6"/>
          <w:insideH w:val="single" w:sz="6" w:space="0" w:color="5B21B6"/>
          <w:insideV w:val="single" w:sz="6" w:space="0" w:color="5B21B6"/>
        </w:tblBorders>
      </w:tblPr>
      <w:tblGrid>
        <w:gridCol w:w="4680"/>
        <w:gridCol w:w="4680"/>
      </w:tblGrid>
      <w:tr>
        <w:tc>
          <w:tcPr>
            <w:tcW w:type="dxa" w:w="9360"/>
            <w:gridSpan w:val="2"/>
            <w:shd w:val="clear" w:color="auto" w:fill="5B21B6"/>
          </w:tcPr>
          <w:p>
            <w:pPr>
              <w:spacing w:before="80" w:after="80"/>
            </w:pPr>
            <w:r>
              <w:rPr>
                <w:rFonts w:ascii="Calibri" w:hAnsi="Calibri"/>
                <w:b/>
                <w:color w:val="FFFFFF"/>
                <w:sz w:val="17"/>
              </w:rPr>
              <w:t xml:space="preserve">CT-GAP-29  </w:t>
            </w:r>
            <w:r>
              <w:rPr>
                <w:rFonts w:ascii="Calibri" w:hAnsi="Calibri"/>
                <w:b/>
                <w:color w:val="FFFFFF"/>
                <w:sz w:val="21"/>
              </w:rPr>
              <w:t>GCA On-Hold Bucket — Per-Client Release Protocol Configuration</w:t>
            </w:r>
            <w:r>
              <w:rPr>
                <w:rFonts w:ascii="Calibri" w:hAnsi="Calibri"/>
                <w:b w:val="0"/>
                <w:color w:val="D1FAE5"/>
                <w:sz w:val="17"/>
              </w:rPr>
              <w:t xml:space="preserve">    [M04]  |  Admin Portal  |  v1.0</w:t>
            </w:r>
          </w:p>
        </w:tc>
      </w:tr>
      <w:tr>
        <w:tc>
          <w:tcPr>
            <w:tcW w:type="dxa" w:w="4680"/>
            <w:shd w:val="clear" w:color="auto" w:fill="F1F5F9"/>
            <w:tcW w:type="dxa" w:w="4320"/>
          </w:tcPr>
          <w:p>
            <w:pPr>
              <w:spacing w:before="60" w:after="60"/>
            </w:pPr>
            <w:r>
              <w:rPr>
                <w:rFonts w:ascii="Calibri" w:hAnsi="Calibri"/>
                <w:b/>
                <w:color w:val="374151"/>
                <w:sz w:val="18"/>
              </w:rPr>
              <w:t>What Is the Gap (Current State)</w:t>
            </w:r>
          </w:p>
        </w:tc>
        <w:tc>
          <w:tcPr>
            <w:tcW w:type="dxa" w:w="4680"/>
            <w:shd w:val="clear" w:color="auto" w:fill="F1F5F9"/>
            <w:tcW w:type="dxa" w:w="4320"/>
          </w:tcPr>
          <w:p>
            <w:pPr>
              <w:spacing w:before="60" w:after="60"/>
            </w:pPr>
            <w:r>
              <w:rPr>
                <w:rFonts w:ascii="Calibri" w:hAnsi="Calibri"/>
                <w:b/>
                <w:color w:val="374151"/>
                <w:sz w:val="18"/>
              </w:rPr>
              <w:t>How Phoenix Fixes It</w:t>
            </w:r>
          </w:p>
        </w:tc>
      </w:tr>
      <w:tr>
        <w:tc>
          <w:tcPr>
            <w:tcW w:type="dxa" w:w="4680"/>
            <w:shd w:val="clear" w:color="auto" w:fill="FFFFFF"/>
            <w:tcW w:type="dxa" w:w="4320"/>
            <w:tcMar>
              <w:top w:w="80" w:type="dxa"/>
              <w:bottom w:w="80" w:type="dxa"/>
              <w:left w:w="120" w:type="dxa"/>
              <w:right w:w="120" w:type="dxa"/>
            </w:tcMar>
          </w:tcPr>
          <w:p>
            <w:pPr>
              <w:spacing w:before="40" w:after="40"/>
            </w:pPr>
            <w:r>
              <w:rPr>
                <w:rFonts w:ascii="Calibri" w:hAnsi="Calibri"/>
                <w:b w:val="0"/>
                <w:color w:val="374151"/>
                <w:sz w:val="19"/>
              </w:rPr>
              <w:t>M04-RHR-001 defines on-hold release at a high level but not per-client, per-test-type release timing rules. Different clients have distinct protocols: Immediate release (Invitae, Color, Fulgent non-Newborn), Day 14 (Gravity, MyHeritage, Quest), positive-only hold until GC consult (Galleri, Viome), manual GCA review before release (Fulgent Newborn). These configurations are not definable in Admin Portal.</w:t>
            </w:r>
          </w:p>
        </w:tc>
        <w:tc>
          <w:tcPr>
            <w:tcW w:type="dxa" w:w="4680"/>
            <w:shd w:val="clear" w:color="auto" w:fill="FFFFFF"/>
            <w:tcW w:type="dxa" w:w="4320"/>
            <w:tcMar>
              <w:top w:w="80" w:type="dxa"/>
              <w:bottom w:w="80" w:type="dxa"/>
              <w:left w:w="120" w:type="dxa"/>
              <w:right w:w="120" w:type="dxa"/>
            </w:tcMar>
          </w:tcPr>
          <w:p>
            <w:pPr>
              <w:spacing w:before="40" w:after="40"/>
            </w:pPr>
            <w:r>
              <w:rPr>
                <w:rFonts w:ascii="Calibri" w:hAnsi="Calibri"/>
                <w:b w:val="0"/>
                <w:color w:val="374151"/>
                <w:sz w:val="19"/>
              </w:rPr>
              <w:t>In Admin Portal, add a 'Result Release Protocol' config section per genetics client. Options: Immediate, Day 14, Positive Hold Until Consult, Manual GCA Review. For 'Positive Hold': platform identifies positive results and holds release until GC consult is scheduled and completed. For 'Manual GCA Review': GCA receives a release approval task in their queue before results are accessible to patient. Configuration changes are audit-logged.</w:t>
            </w:r>
          </w:p>
        </w:tc>
      </w:tr>
      <w:tr>
        <w:tc>
          <w:tcPr>
            <w:tcW w:type="dxa" w:w="9360"/>
            <w:gridSpan w:val="2"/>
            <w:shd w:val="clear" w:color="auto" w:fill="F8FAFC"/>
          </w:tcPr>
          <w:p>
            <w:pPr>
              <w:spacing w:before="60" w:after="60"/>
            </w:pPr>
            <w:r>
              <w:rPr>
                <w:rFonts w:ascii="Calibri" w:hAnsi="Calibri"/>
                <w:b/>
                <w:color w:val="5B21B6"/>
                <w:sz w:val="18"/>
              </w:rPr>
              <w:t xml:space="preserve">Queue / Routing:  </w:t>
            </w:r>
            <w:r>
              <w:rPr>
                <w:rFonts w:ascii="Calibri" w:hAnsi="Calibri"/>
                <w:b w:val="0"/>
                <w:color w:val="374151"/>
                <w:sz w:val="18"/>
              </w:rPr>
              <w:t>Admin Portal config → drives GCA on-hold queue behavior. 'Manual GCA Review' → GCA approval task queue. 'Positive Hold' → hold until consult completion verified.</w:t>
            </w:r>
          </w:p>
        </w:tc>
      </w:tr>
    </w:tbl>
    <w:p>
      <w:pPr>
        <w:spacing w:after="80"/>
      </w:pPr>
    </w:p>
    <w:tbl>
      <w:tblPr>
        <w:tblW w:type="auto" w:w="0"/>
        <w:tblLook w:firstColumn="1" w:firstRow="1" w:lastColumn="0" w:lastRow="0" w:noHBand="0" w:noVBand="1" w:val="04A0"/>
        <w:tblW w:type="dxa" w:w="8640"/>
        <w:tblBorders>
          <w:top w:val="single" w:sz="6" w:space="0" w:color="5B21B6"/>
          <w:left w:val="single" w:sz="6" w:space="0" w:color="5B21B6"/>
          <w:bottom w:val="single" w:sz="6" w:space="0" w:color="5B21B6"/>
          <w:right w:val="single" w:sz="6" w:space="0" w:color="5B21B6"/>
          <w:insideH w:val="single" w:sz="6" w:space="0" w:color="5B21B6"/>
          <w:insideV w:val="single" w:sz="6" w:space="0" w:color="5B21B6"/>
        </w:tblBorders>
      </w:tblPr>
      <w:tblGrid>
        <w:gridCol w:w="4680"/>
        <w:gridCol w:w="4680"/>
      </w:tblGrid>
      <w:tr>
        <w:tc>
          <w:tcPr>
            <w:tcW w:type="dxa" w:w="9360"/>
            <w:gridSpan w:val="2"/>
            <w:shd w:val="clear" w:color="auto" w:fill="5B21B6"/>
          </w:tcPr>
          <w:p>
            <w:pPr>
              <w:spacing w:before="80" w:after="80"/>
            </w:pPr>
            <w:r>
              <w:rPr>
                <w:rFonts w:ascii="Calibri" w:hAnsi="Calibri"/>
                <w:b/>
                <w:color w:val="FFFFFF"/>
                <w:sz w:val="17"/>
              </w:rPr>
              <w:t xml:space="preserve">CT-GAP-30  </w:t>
            </w:r>
            <w:r>
              <w:rPr>
                <w:rFonts w:ascii="Calibri" w:hAnsi="Calibri"/>
                <w:b/>
                <w:color w:val="FFFFFF"/>
                <w:sz w:val="21"/>
              </w:rPr>
              <w:t>GCA CIT Order Review — Deferral Classification (Clinical vs. Non-Clinical Routing)</w:t>
            </w:r>
            <w:r>
              <w:rPr>
                <w:rFonts w:ascii="Calibri" w:hAnsi="Calibri"/>
                <w:b w:val="0"/>
                <w:color w:val="D1FAE5"/>
                <w:sz w:val="17"/>
              </w:rPr>
              <w:t xml:space="preserve">    [M15]  |  Care Team Portal (GCA)  |  v1.0</w:t>
            </w:r>
          </w:p>
        </w:tc>
      </w:tr>
      <w:tr>
        <w:tc>
          <w:tcPr>
            <w:tcW w:type="dxa" w:w="4680"/>
            <w:shd w:val="clear" w:color="auto" w:fill="F1F5F9"/>
            <w:tcW w:type="dxa" w:w="4320"/>
          </w:tcPr>
          <w:p>
            <w:pPr>
              <w:spacing w:before="60" w:after="60"/>
            </w:pPr>
            <w:r>
              <w:rPr>
                <w:rFonts w:ascii="Calibri" w:hAnsi="Calibri"/>
                <w:b/>
                <w:color w:val="374151"/>
                <w:sz w:val="18"/>
              </w:rPr>
              <w:t>What Is the Gap (Current State)</w:t>
            </w:r>
          </w:p>
        </w:tc>
        <w:tc>
          <w:tcPr>
            <w:tcW w:type="dxa" w:w="4680"/>
            <w:shd w:val="clear" w:color="auto" w:fill="F1F5F9"/>
            <w:tcW w:type="dxa" w:w="4320"/>
          </w:tcPr>
          <w:p>
            <w:pPr>
              <w:spacing w:before="60" w:after="60"/>
            </w:pPr>
            <w:r>
              <w:rPr>
                <w:rFonts w:ascii="Calibri" w:hAnsi="Calibri"/>
                <w:b/>
                <w:color w:val="374151"/>
                <w:sz w:val="18"/>
              </w:rPr>
              <w:t>How Phoenix Fixes It</w:t>
            </w:r>
          </w:p>
        </w:tc>
      </w:tr>
      <w:tr>
        <w:tc>
          <w:tcPr>
            <w:tcW w:type="dxa" w:w="4680"/>
            <w:shd w:val="clear" w:color="auto" w:fill="FFFFFF"/>
            <w:tcW w:type="dxa" w:w="4320"/>
            <w:tcMar>
              <w:top w:w="80" w:type="dxa"/>
              <w:bottom w:w="80" w:type="dxa"/>
              <w:left w:w="120" w:type="dxa"/>
              <w:right w:w="120" w:type="dxa"/>
            </w:tcMar>
          </w:tcPr>
          <w:p>
            <w:pPr>
              <w:spacing w:before="40" w:after="40"/>
            </w:pPr>
            <w:r>
              <w:rPr>
                <w:rFonts w:ascii="Calibri" w:hAnsi="Calibri"/>
                <w:b w:val="0"/>
                <w:color w:val="374151"/>
                <w:sz w:val="19"/>
              </w:rPr>
              <w:t>M15-CRR-005 defines DEFERRED status but the GCA-performed classification with distinct clinical vs. non-clinical routing paths is not captured. When an order enters the CIT reviews queue, GCA must classify: (1) clinical outreach needed (GC assigned, reason summary added); (2) non-clinical outreach needed (PCD routes, reason summary added).</w:t>
            </w:r>
          </w:p>
        </w:tc>
        <w:tc>
          <w:tcPr>
            <w:tcW w:type="dxa" w:w="4680"/>
            <w:shd w:val="clear" w:color="auto" w:fill="FFFFFF"/>
            <w:tcW w:type="dxa" w:w="4320"/>
            <w:tcMar>
              <w:top w:w="80" w:type="dxa"/>
              <w:bottom w:w="80" w:type="dxa"/>
              <w:left w:w="120" w:type="dxa"/>
              <w:right w:w="120" w:type="dxa"/>
            </w:tcMar>
          </w:tcPr>
          <w:p>
            <w:pPr>
              <w:spacing w:before="40" w:after="40"/>
            </w:pPr>
            <w:r>
              <w:rPr>
                <w:rFonts w:ascii="Calibri" w:hAnsi="Calibri"/>
                <w:b w:val="0"/>
                <w:color w:val="374151"/>
                <w:sz w:val="19"/>
              </w:rPr>
              <w:t>In the CIT review queue, add a classification step when GCA defers an order: Classification dropdown (Clinical / Non-Clinical) + required reason summary text field. On submit: Clinical → assigned to GC queue with reason visible; Non-Clinical → routed to PCD (Patient Care Coordinator/Director) queue with reason. Both paths update order status to DEFERRED with classification label visible on the order record.</w:t>
            </w:r>
          </w:p>
        </w:tc>
      </w:tr>
      <w:tr>
        <w:tc>
          <w:tcPr>
            <w:tcW w:type="dxa" w:w="9360"/>
            <w:gridSpan w:val="2"/>
            <w:shd w:val="clear" w:color="auto" w:fill="F8FAFC"/>
          </w:tcPr>
          <w:p>
            <w:pPr>
              <w:spacing w:before="60" w:after="60"/>
            </w:pPr>
            <w:r>
              <w:rPr>
                <w:rFonts w:ascii="Calibri" w:hAnsi="Calibri"/>
                <w:b/>
                <w:color w:val="5B21B6"/>
                <w:sz w:val="18"/>
              </w:rPr>
              <w:t xml:space="preserve">Queue / Routing:  </w:t>
            </w:r>
            <w:r>
              <w:rPr>
                <w:rFonts w:ascii="Calibri" w:hAnsi="Calibri"/>
                <w:b w:val="0"/>
                <w:color w:val="374151"/>
                <w:sz w:val="18"/>
              </w:rPr>
              <w:t>CIT Review queue → GCA classifies. Clinical → GC queue. Non-Clinical → PCD queue. Classification logged to order record.</w:t>
            </w:r>
          </w:p>
        </w:tc>
      </w:tr>
    </w:tbl>
    <w:p>
      <w:pPr>
        <w:spacing w:after="80"/>
      </w:pPr>
    </w:p>
    <w:tbl>
      <w:tblPr>
        <w:tblW w:type="auto" w:w="0"/>
        <w:tblLook w:firstColumn="1" w:firstRow="1" w:lastColumn="0" w:lastRow="0" w:noHBand="0" w:noVBand="1" w:val="04A0"/>
        <w:tblW w:type="dxa" w:w="8640"/>
        <w:tblBorders>
          <w:top w:val="single" w:sz="6" w:space="0" w:color="5B21B6"/>
          <w:left w:val="single" w:sz="6" w:space="0" w:color="5B21B6"/>
          <w:bottom w:val="single" w:sz="6" w:space="0" w:color="5B21B6"/>
          <w:right w:val="single" w:sz="6" w:space="0" w:color="5B21B6"/>
          <w:insideH w:val="single" w:sz="6" w:space="0" w:color="5B21B6"/>
          <w:insideV w:val="single" w:sz="6" w:space="0" w:color="5B21B6"/>
        </w:tblBorders>
      </w:tblPr>
      <w:tblGrid>
        <w:gridCol w:w="4680"/>
        <w:gridCol w:w="4680"/>
      </w:tblGrid>
      <w:tr>
        <w:tc>
          <w:tcPr>
            <w:tcW w:type="dxa" w:w="9360"/>
            <w:gridSpan w:val="2"/>
            <w:shd w:val="clear" w:color="auto" w:fill="5B21B6"/>
          </w:tcPr>
          <w:p>
            <w:pPr>
              <w:spacing w:before="80" w:after="80"/>
            </w:pPr>
            <w:r>
              <w:rPr>
                <w:rFonts w:ascii="Calibri" w:hAnsi="Calibri"/>
                <w:b/>
                <w:color w:val="FFFFFF"/>
                <w:sz w:val="17"/>
              </w:rPr>
              <w:t xml:space="preserve">CT-GAP-31  </w:t>
            </w:r>
            <w:r>
              <w:rPr>
                <w:rFonts w:ascii="Calibri" w:hAnsi="Calibri"/>
                <w:b/>
                <w:color w:val="FFFFFF"/>
                <w:sz w:val="21"/>
              </w:rPr>
              <w:t>Consent to Decline GC — Form Validation Gate Before Result Release</w:t>
            </w:r>
            <w:r>
              <w:rPr>
                <w:rFonts w:ascii="Calibri" w:hAnsi="Calibri"/>
                <w:b w:val="0"/>
                <w:color w:val="D1FAE5"/>
                <w:sz w:val="17"/>
              </w:rPr>
              <w:t xml:space="preserve">    [M05]  |  Care Team Portal (GCA)  |  v1.0</w:t>
            </w:r>
          </w:p>
        </w:tc>
      </w:tr>
      <w:tr>
        <w:tc>
          <w:tcPr>
            <w:tcW w:type="dxa" w:w="4680"/>
            <w:shd w:val="clear" w:color="auto" w:fill="F1F5F9"/>
            <w:tcW w:type="dxa" w:w="4320"/>
          </w:tcPr>
          <w:p>
            <w:pPr>
              <w:spacing w:before="60" w:after="60"/>
            </w:pPr>
            <w:r>
              <w:rPr>
                <w:rFonts w:ascii="Calibri" w:hAnsi="Calibri"/>
                <w:b/>
                <w:color w:val="374151"/>
                <w:sz w:val="18"/>
              </w:rPr>
              <w:t>What Is the Gap (Current State)</w:t>
            </w:r>
          </w:p>
        </w:tc>
        <w:tc>
          <w:tcPr>
            <w:tcW w:type="dxa" w:w="4680"/>
            <w:shd w:val="clear" w:color="auto" w:fill="F1F5F9"/>
            <w:tcW w:type="dxa" w:w="4320"/>
          </w:tcPr>
          <w:p>
            <w:pPr>
              <w:spacing w:before="60" w:after="60"/>
            </w:pPr>
            <w:r>
              <w:rPr>
                <w:rFonts w:ascii="Calibri" w:hAnsi="Calibri"/>
                <w:b/>
                <w:color w:val="374151"/>
                <w:sz w:val="18"/>
              </w:rPr>
              <w:t>How Phoenix Fixes It</w:t>
            </w:r>
          </w:p>
        </w:tc>
      </w:tr>
      <w:tr>
        <w:tc>
          <w:tcPr>
            <w:tcW w:type="dxa" w:w="4680"/>
            <w:shd w:val="clear" w:color="auto" w:fill="FFFFFF"/>
            <w:tcW w:type="dxa" w:w="4320"/>
            <w:tcMar>
              <w:top w:w="80" w:type="dxa"/>
              <w:bottom w:w="80" w:type="dxa"/>
              <w:left w:w="120" w:type="dxa"/>
              <w:right w:w="120" w:type="dxa"/>
            </w:tcMar>
          </w:tcPr>
          <w:p>
            <w:pPr>
              <w:spacing w:before="40" w:after="40"/>
            </w:pPr>
            <w:r>
              <w:rPr>
                <w:rFonts w:ascii="Calibri" w:hAnsi="Calibri"/>
                <w:b w:val="0"/>
                <w:color w:val="374151"/>
                <w:sz w:val="19"/>
              </w:rPr>
              <w:t>When a patient with high-risk positive genetics results declines genetic counseling, the platform must: send a consent form to the patient, validate form completeness (initials in correct places, signature present), route a task to GCA for review, and only release results after GCA approves the form. No requirement captures this consent-to-decline workflow with form validation and release gate.</w:t>
            </w:r>
          </w:p>
        </w:tc>
        <w:tc>
          <w:tcPr>
            <w:tcW w:type="dxa" w:w="4680"/>
            <w:shd w:val="clear" w:color="auto" w:fill="FFFFFF"/>
            <w:tcW w:type="dxa" w:w="4320"/>
            <w:tcMar>
              <w:top w:w="80" w:type="dxa"/>
              <w:bottom w:w="80" w:type="dxa"/>
              <w:left w:w="120" w:type="dxa"/>
              <w:right w:w="120" w:type="dxa"/>
            </w:tcMar>
          </w:tcPr>
          <w:p>
            <w:pPr>
              <w:spacing w:before="40" w:after="40"/>
            </w:pPr>
            <w:r>
              <w:rPr>
                <w:rFonts w:ascii="Calibri" w:hAnsi="Calibri"/>
                <w:b w:val="0"/>
                <w:color w:val="374151"/>
                <w:sz w:val="19"/>
              </w:rPr>
              <w:t>Add a 'Consent to Decline GC' workflow in the GCA portal. Trigger: patient declines GC consult on high-risk positive result. Steps: (1) platform sends consent form to patient (native form or JotForm integration); (2) on form submission, GCA receives a review task with the completed form; (3) GCA validates: initials present, signature present; (4) GCA approves → platform releases results in Labs Module and sends patient a 'declined GC' confirmation email. Rejection → patient re-notified to complete the form correctly.</w:t>
            </w:r>
          </w:p>
        </w:tc>
      </w:tr>
      <w:tr>
        <w:tc>
          <w:tcPr>
            <w:tcW w:type="dxa" w:w="9360"/>
            <w:gridSpan w:val="2"/>
            <w:shd w:val="clear" w:color="auto" w:fill="F8FAFC"/>
          </w:tcPr>
          <w:p>
            <w:pPr>
              <w:spacing w:before="60" w:after="60"/>
            </w:pPr>
            <w:r>
              <w:rPr>
                <w:rFonts w:ascii="Calibri" w:hAnsi="Calibri"/>
                <w:b/>
                <w:color w:val="5B21B6"/>
                <w:sz w:val="18"/>
              </w:rPr>
              <w:t xml:space="preserve">Queue / Routing:  </w:t>
            </w:r>
            <w:r>
              <w:rPr>
                <w:rFonts w:ascii="Calibri" w:hAnsi="Calibri"/>
                <w:b w:val="0"/>
                <w:color w:val="374151"/>
                <w:sz w:val="18"/>
              </w:rPr>
              <w:t>GCA consent review task queue. Form validation required before approval. Approval → automated result release + patient email. Rejection → patient re-notified.</w:t>
            </w:r>
          </w:p>
        </w:tc>
      </w:tr>
    </w:tbl>
    <w:p>
      <w:pPr>
        <w:spacing w:after="80"/>
      </w:pPr>
    </w:p>
    <w:p>
      <w:pPr>
        <w:spacing w:before="280" w:after="120"/>
        <w:pBdr>
          <w:bottom w:val="single" w:sz="6" w:space="1" w:color="047857"/>
        </w:pBdr>
      </w:pPr>
      <w:r>
        <w:rPr>
          <w:rFonts w:ascii="Calibri" w:hAnsi="Calibri"/>
          <w:b/>
          <w:color w:val="047857"/>
          <w:sz w:val="26"/>
        </w:rPr>
        <w:t>10. GCA — Order Management &amp; Vendor Coordination</w:t>
      </w:r>
    </w:p>
    <w:tbl>
      <w:tblPr>
        <w:tblW w:type="auto" w:w="0"/>
        <w:tblLook w:firstColumn="1" w:firstRow="1" w:lastColumn="0" w:lastRow="0" w:noHBand="0" w:noVBand="1" w:val="04A0"/>
        <w:tblW w:type="dxa" w:w="8640"/>
        <w:tblBorders>
          <w:top w:val="single" w:sz="6" w:space="0" w:color="047857"/>
          <w:left w:val="single" w:sz="6" w:space="0" w:color="047857"/>
          <w:bottom w:val="single" w:sz="6" w:space="0" w:color="047857"/>
          <w:right w:val="single" w:sz="6" w:space="0" w:color="047857"/>
          <w:insideH w:val="single" w:sz="6" w:space="0" w:color="047857"/>
          <w:insideV w:val="single" w:sz="6" w:space="0" w:color="047857"/>
        </w:tblBorders>
      </w:tblPr>
      <w:tblGrid>
        <w:gridCol w:w="4680"/>
        <w:gridCol w:w="4680"/>
      </w:tblGrid>
      <w:tr>
        <w:tc>
          <w:tcPr>
            <w:tcW w:type="dxa" w:w="9360"/>
            <w:gridSpan w:val="2"/>
            <w:shd w:val="clear" w:color="auto" w:fill="047857"/>
          </w:tcPr>
          <w:p>
            <w:pPr>
              <w:spacing w:before="80" w:after="80"/>
            </w:pPr>
            <w:r>
              <w:rPr>
                <w:rFonts w:ascii="Calibri" w:hAnsi="Calibri"/>
                <w:b/>
                <w:color w:val="FFFFFF"/>
                <w:sz w:val="17"/>
              </w:rPr>
              <w:t xml:space="preserve">CT-GAP-32  </w:t>
            </w:r>
            <w:r>
              <w:rPr>
                <w:rFonts w:ascii="Calibri" w:hAnsi="Calibri"/>
                <w:b/>
                <w:color w:val="FFFFFF"/>
                <w:sz w:val="21"/>
              </w:rPr>
              <w:t>Invitae Order Cancellation — Secure Notification + Day-28 Hold-Until-Confirm Flag</w:t>
            </w:r>
            <w:r>
              <w:rPr>
                <w:rFonts w:ascii="Calibri" w:hAnsi="Calibri"/>
                <w:b w:val="0"/>
                <w:color w:val="D1FAE5"/>
                <w:sz w:val="17"/>
              </w:rPr>
              <w:t xml:space="preserve">    [M10]  |  Care Team Portal (GCA)  |  v1.0</w:t>
            </w:r>
          </w:p>
        </w:tc>
      </w:tr>
      <w:tr>
        <w:tc>
          <w:tcPr>
            <w:tcW w:type="dxa" w:w="4680"/>
            <w:shd w:val="clear" w:color="auto" w:fill="F1F5F9"/>
            <w:tcW w:type="dxa" w:w="4320"/>
          </w:tcPr>
          <w:p>
            <w:pPr>
              <w:spacing w:before="60" w:after="60"/>
            </w:pPr>
            <w:r>
              <w:rPr>
                <w:rFonts w:ascii="Calibri" w:hAnsi="Calibri"/>
                <w:b/>
                <w:color w:val="374151"/>
                <w:sz w:val="18"/>
              </w:rPr>
              <w:t>What Is the Gap (Current State)</w:t>
            </w:r>
          </w:p>
        </w:tc>
        <w:tc>
          <w:tcPr>
            <w:tcW w:type="dxa" w:w="4680"/>
            <w:shd w:val="clear" w:color="auto" w:fill="F1F5F9"/>
            <w:tcW w:type="dxa" w:w="4320"/>
          </w:tcPr>
          <w:p>
            <w:pPr>
              <w:spacing w:before="60" w:after="60"/>
            </w:pPr>
            <w:r>
              <w:rPr>
                <w:rFonts w:ascii="Calibri" w:hAnsi="Calibri"/>
                <w:b/>
                <w:color w:val="374151"/>
                <w:sz w:val="18"/>
              </w:rPr>
              <w:t>How Phoenix Fixes It</w:t>
            </w:r>
          </w:p>
        </w:tc>
      </w:tr>
      <w:tr>
        <w:tc>
          <w:tcPr>
            <w:tcW w:type="dxa" w:w="4680"/>
            <w:shd w:val="clear" w:color="auto" w:fill="FFFFFF"/>
            <w:tcW w:type="dxa" w:w="4320"/>
            <w:tcMar>
              <w:top w:w="80" w:type="dxa"/>
              <w:bottom w:w="80" w:type="dxa"/>
              <w:left w:w="120" w:type="dxa"/>
              <w:right w:w="120" w:type="dxa"/>
            </w:tcMar>
          </w:tcPr>
          <w:p>
            <w:pPr>
              <w:spacing w:before="40" w:after="40"/>
            </w:pPr>
            <w:r>
              <w:rPr>
                <w:rFonts w:ascii="Calibri" w:hAnsi="Calibri"/>
                <w:b w:val="0"/>
                <w:color w:val="374151"/>
                <w:sz w:val="19"/>
              </w:rPr>
              <w:t>When an Invitae order is canceled, GCA must send a secure external notification to Invitae with: RQ number, patient info, and cancellation reason. For day-28 cancellations (unreachable patient), a secondary contact must be included and the order held in Labs until Invitae confirms no patient contact. No requirement captures this Invitae-specific cancellation notification with hold-until-confirmation logic.</w:t>
            </w:r>
          </w:p>
        </w:tc>
        <w:tc>
          <w:tcPr>
            <w:tcW w:type="dxa" w:w="4680"/>
            <w:shd w:val="clear" w:color="auto" w:fill="FFFFFF"/>
            <w:tcW w:type="dxa" w:w="4320"/>
            <w:tcMar>
              <w:top w:w="80" w:type="dxa"/>
              <w:bottom w:w="80" w:type="dxa"/>
              <w:left w:w="120" w:type="dxa"/>
              <w:right w:w="120" w:type="dxa"/>
            </w:tcMar>
          </w:tcPr>
          <w:p>
            <w:pPr>
              <w:spacing w:before="40" w:after="40"/>
            </w:pPr>
            <w:r>
              <w:rPr>
                <w:rFonts w:ascii="Calibri" w:hAnsi="Calibri"/>
                <w:b w:val="0"/>
                <w:color w:val="374151"/>
                <w:sz w:val="19"/>
              </w:rPr>
              <w:t>Add an Invitae cancellation workflow to the GCA order cancellation path. On cancel: (1) platform generates a secure notification template pre-filled with RQ, patient details, cancellation reason; (2) for day-28 cancellations: secondary contact auto-added, order flagged as 'Hold — Awaiting Invitae Confirmation'; (3) GCA sends the notification; (4) 7-day follow-up confirmation task created in GCA queue; (5) on Invitae confirmation: GCA marks confirmed, order proceeds to cancel. Contact emails configurable in Admin Portal.</w:t>
            </w:r>
          </w:p>
        </w:tc>
      </w:tr>
      <w:tr>
        <w:tc>
          <w:tcPr>
            <w:tcW w:type="dxa" w:w="9360"/>
            <w:gridSpan w:val="2"/>
            <w:shd w:val="clear" w:color="auto" w:fill="F8FAFC"/>
          </w:tcPr>
          <w:p>
            <w:pPr>
              <w:spacing w:before="60" w:after="60"/>
            </w:pPr>
            <w:r>
              <w:rPr>
                <w:rFonts w:ascii="Calibri" w:hAnsi="Calibri"/>
                <w:b/>
                <w:color w:val="047857"/>
                <w:sz w:val="18"/>
              </w:rPr>
              <w:t xml:space="preserve">Queue / Routing:  </w:t>
            </w:r>
            <w:r>
              <w:rPr>
                <w:rFonts w:ascii="Calibri" w:hAnsi="Calibri"/>
                <w:b w:val="0"/>
                <w:color w:val="374151"/>
                <w:sz w:val="18"/>
              </w:rPr>
              <w:t>GCA order cancellation workflow → Invitae notification step. Day-28: hold flag + 7-day follow-up task in GCA queue. Confirmation received → GCA resolves task.</w:t>
            </w:r>
          </w:p>
        </w:tc>
      </w:tr>
    </w:tbl>
    <w:p>
      <w:pPr>
        <w:spacing w:after="80"/>
      </w:pPr>
    </w:p>
    <w:tbl>
      <w:tblPr>
        <w:tblW w:type="auto" w:w="0"/>
        <w:tblLook w:firstColumn="1" w:firstRow="1" w:lastColumn="0" w:lastRow="0" w:noHBand="0" w:noVBand="1" w:val="04A0"/>
        <w:tblW w:type="dxa" w:w="8640"/>
        <w:tblBorders>
          <w:top w:val="single" w:sz="6" w:space="0" w:color="047857"/>
          <w:left w:val="single" w:sz="6" w:space="0" w:color="047857"/>
          <w:bottom w:val="single" w:sz="6" w:space="0" w:color="047857"/>
          <w:right w:val="single" w:sz="6" w:space="0" w:color="047857"/>
          <w:insideH w:val="single" w:sz="6" w:space="0" w:color="047857"/>
          <w:insideV w:val="single" w:sz="6" w:space="0" w:color="047857"/>
        </w:tblBorders>
      </w:tblPr>
      <w:tblGrid>
        <w:gridCol w:w="4680"/>
        <w:gridCol w:w="4680"/>
      </w:tblGrid>
      <w:tr>
        <w:tc>
          <w:tcPr>
            <w:tcW w:type="dxa" w:w="9360"/>
            <w:gridSpan w:val="2"/>
            <w:shd w:val="clear" w:color="auto" w:fill="047857"/>
          </w:tcPr>
          <w:p>
            <w:pPr>
              <w:spacing w:before="80" w:after="80"/>
            </w:pPr>
            <w:r>
              <w:rPr>
                <w:rFonts w:ascii="Calibri" w:hAnsi="Calibri"/>
                <w:b/>
                <w:color w:val="FFFFFF"/>
                <w:sz w:val="17"/>
              </w:rPr>
              <w:t xml:space="preserve">CT-GAP-33  </w:t>
            </w:r>
            <w:r>
              <w:rPr>
                <w:rFonts w:ascii="Calibri" w:hAnsi="Calibri"/>
                <w:b/>
                <w:color w:val="FFFFFF"/>
                <w:sz w:val="21"/>
              </w:rPr>
              <w:t>GC Order Cancellation — Client-Specific Paths (Viome, ExomeDx, Galleri)</w:t>
            </w:r>
            <w:r>
              <w:rPr>
                <w:rFonts w:ascii="Calibri" w:hAnsi="Calibri"/>
                <w:b w:val="0"/>
                <w:color w:val="D1FAE5"/>
                <w:sz w:val="17"/>
              </w:rPr>
              <w:t xml:space="preserve">    [M05]  |  Care Team Portal (GCA)  |  v1.0</w:t>
            </w:r>
          </w:p>
        </w:tc>
      </w:tr>
      <w:tr>
        <w:tc>
          <w:tcPr>
            <w:tcW w:type="dxa" w:w="4680"/>
            <w:shd w:val="clear" w:color="auto" w:fill="F1F5F9"/>
            <w:tcW w:type="dxa" w:w="4320"/>
          </w:tcPr>
          <w:p>
            <w:pPr>
              <w:spacing w:before="60" w:after="60"/>
            </w:pPr>
            <w:r>
              <w:rPr>
                <w:rFonts w:ascii="Calibri" w:hAnsi="Calibri"/>
                <w:b/>
                <w:color w:val="374151"/>
                <w:sz w:val="18"/>
              </w:rPr>
              <w:t>What Is the Gap (Current State)</w:t>
            </w:r>
          </w:p>
        </w:tc>
        <w:tc>
          <w:tcPr>
            <w:tcW w:type="dxa" w:w="4680"/>
            <w:shd w:val="clear" w:color="auto" w:fill="F1F5F9"/>
            <w:tcW w:type="dxa" w:w="4320"/>
          </w:tcPr>
          <w:p>
            <w:pPr>
              <w:spacing w:before="60" w:after="60"/>
            </w:pPr>
            <w:r>
              <w:rPr>
                <w:rFonts w:ascii="Calibri" w:hAnsi="Calibri"/>
                <w:b/>
                <w:color w:val="374151"/>
                <w:sz w:val="18"/>
              </w:rPr>
              <w:t>How Phoenix Fixes It</w:t>
            </w:r>
          </w:p>
        </w:tc>
      </w:tr>
      <w:tr>
        <w:tc>
          <w:tcPr>
            <w:tcW w:type="dxa" w:w="4680"/>
            <w:shd w:val="clear" w:color="auto" w:fill="FFFFFF"/>
            <w:tcW w:type="dxa" w:w="4320"/>
            <w:tcMar>
              <w:top w:w="80" w:type="dxa"/>
              <w:bottom w:w="80" w:type="dxa"/>
              <w:left w:w="120" w:type="dxa"/>
              <w:right w:w="120" w:type="dxa"/>
            </w:tcMar>
          </w:tcPr>
          <w:p>
            <w:pPr>
              <w:spacing w:before="40" w:after="40"/>
            </w:pPr>
            <w:r>
              <w:rPr>
                <w:rFonts w:ascii="Calibri" w:hAnsi="Calibri"/>
                <w:b w:val="0"/>
                <w:color w:val="374151"/>
                <w:sz w:val="19"/>
              </w:rPr>
              <w:t>Order cancellation must support client-specific paths: Viome (patient directed to Viome directly; platform emails support@viome.com); ExomeDx pre-consult (cancel in LM + check for open TH referral) vs. post-consult (addendum required + patient informed + LM cancel); Galleri/Grail (flag to Genetics Lead before canceling). No requirement captures these client-differentiated cancellation protocols.</w:t>
            </w:r>
          </w:p>
        </w:tc>
        <w:tc>
          <w:tcPr>
            <w:tcW w:type="dxa" w:w="4680"/>
            <w:shd w:val="clear" w:color="auto" w:fill="FFFFFF"/>
            <w:tcW w:type="dxa" w:w="4320"/>
            <w:tcMar>
              <w:top w:w="80" w:type="dxa"/>
              <w:bottom w:w="80" w:type="dxa"/>
              <w:left w:w="120" w:type="dxa"/>
              <w:right w:w="120" w:type="dxa"/>
            </w:tcMar>
          </w:tcPr>
          <w:p>
            <w:pPr>
              <w:spacing w:before="40" w:after="40"/>
            </w:pPr>
            <w:r>
              <w:rPr>
                <w:rFonts w:ascii="Calibri" w:hAnsi="Calibri"/>
                <w:b w:val="0"/>
                <w:color w:val="374151"/>
                <w:sz w:val="19"/>
              </w:rPr>
              <w:t>GCA order cancellation workflow branches by client: Viome — platform auto-generates email to support@viome.com and surfaces patient redirect message; ExomeDx — system checks for open TH referral (flags if found), prompts addendum requirement if post-consult; Galleri/Grail — cancellation action is locked until Genetics Lead review task is completed. Client detection is automatic from order record. Branch logic configurable per client in Admin Portal.</w:t>
            </w:r>
          </w:p>
        </w:tc>
      </w:tr>
      <w:tr>
        <w:tc>
          <w:tcPr>
            <w:tcW w:type="dxa" w:w="9360"/>
            <w:gridSpan w:val="2"/>
            <w:shd w:val="clear" w:color="auto" w:fill="F8FAFC"/>
          </w:tcPr>
          <w:p>
            <w:pPr>
              <w:spacing w:before="60" w:after="60"/>
            </w:pPr>
            <w:r>
              <w:rPr>
                <w:rFonts w:ascii="Calibri" w:hAnsi="Calibri"/>
                <w:b/>
                <w:color w:val="047857"/>
                <w:sz w:val="18"/>
              </w:rPr>
              <w:t xml:space="preserve">Queue / Routing:  </w:t>
            </w:r>
            <w:r>
              <w:rPr>
                <w:rFonts w:ascii="Calibri" w:hAnsi="Calibri"/>
                <w:b w:val="0"/>
                <w:color w:val="374151"/>
                <w:sz w:val="18"/>
              </w:rPr>
              <w:t>GCA cancellation workflow → client-specific branch. Galleri/Grail → Genetics Lead approval queue before cancel permitted. Viome/ExomeDx → auto-actions.</w:t>
            </w:r>
          </w:p>
        </w:tc>
      </w:tr>
    </w:tbl>
    <w:p>
      <w:pPr>
        <w:spacing w:after="80"/>
      </w:pPr>
    </w:p>
    <w:tbl>
      <w:tblPr>
        <w:tblW w:type="auto" w:w="0"/>
        <w:tblLook w:firstColumn="1" w:firstRow="1" w:lastColumn="0" w:lastRow="0" w:noHBand="0" w:noVBand="1" w:val="04A0"/>
        <w:tblW w:type="dxa" w:w="8640"/>
        <w:tblBorders>
          <w:top w:val="single" w:sz="6" w:space="0" w:color="047857"/>
          <w:left w:val="single" w:sz="6" w:space="0" w:color="047857"/>
          <w:bottom w:val="single" w:sz="6" w:space="0" w:color="047857"/>
          <w:right w:val="single" w:sz="6" w:space="0" w:color="047857"/>
          <w:insideH w:val="single" w:sz="6" w:space="0" w:color="047857"/>
          <w:insideV w:val="single" w:sz="6" w:space="0" w:color="047857"/>
        </w:tblBorders>
      </w:tblPr>
      <w:tblGrid>
        <w:gridCol w:w="4680"/>
        <w:gridCol w:w="4680"/>
      </w:tblGrid>
      <w:tr>
        <w:tc>
          <w:tcPr>
            <w:tcW w:type="dxa" w:w="9360"/>
            <w:gridSpan w:val="2"/>
            <w:shd w:val="clear" w:color="auto" w:fill="047857"/>
          </w:tcPr>
          <w:p>
            <w:pPr>
              <w:spacing w:before="80" w:after="80"/>
            </w:pPr>
            <w:r>
              <w:rPr>
                <w:rFonts w:ascii="Calibri" w:hAnsi="Calibri"/>
                <w:b/>
                <w:color w:val="FFFFFF"/>
                <w:sz w:val="17"/>
              </w:rPr>
              <w:t xml:space="preserve">CT-GAP-34  </w:t>
            </w:r>
            <w:r>
              <w:rPr>
                <w:rFonts w:ascii="Calibri" w:hAnsi="Calibri"/>
                <w:b/>
                <w:color w:val="FFFFFF"/>
                <w:sz w:val="21"/>
              </w:rPr>
              <w:t>Viome Order Extension — Expiration Date Override (Viome-Only Exception)</w:t>
            </w:r>
            <w:r>
              <w:rPr>
                <w:rFonts w:ascii="Calibri" w:hAnsi="Calibri"/>
                <w:b w:val="0"/>
                <w:color w:val="FDE68A"/>
                <w:sz w:val="17"/>
              </w:rPr>
              <w:t xml:space="preserve">    [M10]  |  Care Team Portal (GCA)  |  v2.0</w:t>
            </w:r>
          </w:p>
        </w:tc>
      </w:tr>
      <w:tr>
        <w:tc>
          <w:tcPr>
            <w:tcW w:type="dxa" w:w="4680"/>
            <w:shd w:val="clear" w:color="auto" w:fill="F1F5F9"/>
            <w:tcW w:type="dxa" w:w="4320"/>
          </w:tcPr>
          <w:p>
            <w:pPr>
              <w:spacing w:before="60" w:after="60"/>
            </w:pPr>
            <w:r>
              <w:rPr>
                <w:rFonts w:ascii="Calibri" w:hAnsi="Calibri"/>
                <w:b/>
                <w:color w:val="374151"/>
                <w:sz w:val="18"/>
              </w:rPr>
              <w:t>What Is the Gap (Current State)</w:t>
            </w:r>
          </w:p>
        </w:tc>
        <w:tc>
          <w:tcPr>
            <w:tcW w:type="dxa" w:w="4680"/>
            <w:shd w:val="clear" w:color="auto" w:fill="F1F5F9"/>
            <w:tcW w:type="dxa" w:w="4320"/>
          </w:tcPr>
          <w:p>
            <w:pPr>
              <w:spacing w:before="60" w:after="60"/>
            </w:pPr>
            <w:r>
              <w:rPr>
                <w:rFonts w:ascii="Calibri" w:hAnsi="Calibri"/>
                <w:b/>
                <w:color w:val="374151"/>
                <w:sz w:val="18"/>
              </w:rPr>
              <w:t>How Phoenix Fixes It</w:t>
            </w:r>
          </w:p>
        </w:tc>
      </w:tr>
      <w:tr>
        <w:tc>
          <w:tcPr>
            <w:tcW w:type="dxa" w:w="4680"/>
            <w:shd w:val="clear" w:color="auto" w:fill="FFFFFF"/>
            <w:tcW w:type="dxa" w:w="4320"/>
            <w:tcMar>
              <w:top w:w="80" w:type="dxa"/>
              <w:bottom w:w="80" w:type="dxa"/>
              <w:left w:w="120" w:type="dxa"/>
              <w:right w:w="120" w:type="dxa"/>
            </w:tcMar>
          </w:tcPr>
          <w:p>
            <w:pPr>
              <w:spacing w:before="40" w:after="40"/>
            </w:pPr>
            <w:r>
              <w:rPr>
                <w:rFonts w:ascii="Calibri" w:hAnsi="Calibri"/>
                <w:b w:val="0"/>
                <w:color w:val="374151"/>
                <w:sz w:val="19"/>
              </w:rPr>
              <w:t>Viome is the only client for which order expiration date extensions are granted. When GCA receives a Viome extension request, they must: look up the expired order, submit an IT support ticket with new expiration date (Genetics Lead approval required), notify Viome, and pend the case for 7-day follow-up. No requirement captures this workflow or the Viome-only exception rule.</w:t>
            </w:r>
          </w:p>
        </w:tc>
        <w:tc>
          <w:tcPr>
            <w:tcW w:type="dxa" w:w="4680"/>
            <w:shd w:val="clear" w:color="auto" w:fill="FFFFFF"/>
            <w:tcW w:type="dxa" w:w="4320"/>
            <w:tcMar>
              <w:top w:w="80" w:type="dxa"/>
              <w:bottom w:w="80" w:type="dxa"/>
              <w:left w:w="120" w:type="dxa"/>
              <w:right w:w="120" w:type="dxa"/>
            </w:tcMar>
          </w:tcPr>
          <w:p>
            <w:pPr>
              <w:spacing w:before="40" w:after="40"/>
            </w:pPr>
            <w:r>
              <w:rPr>
                <w:rFonts w:ascii="Calibri" w:hAnsi="Calibri"/>
                <w:b w:val="0"/>
                <w:color w:val="374151"/>
                <w:sz w:val="19"/>
              </w:rPr>
              <w:t>In GCA order management, add an 'Extend Expiration' action visible only for Viome orders (blocked for all other clients). Workflow: GCA enters new expiration date + Genetics Lead approval; on approval, platform generates an IT extension ticket; GCA notifies Viome; 7-day follow-up task auto-created in GCA queue. Extension logged to order audit trail. Viome-only exception rule enforced by care product client config in Admin Portal.</w:t>
            </w:r>
          </w:p>
        </w:tc>
      </w:tr>
      <w:tr>
        <w:tc>
          <w:tcPr>
            <w:tcW w:type="dxa" w:w="9360"/>
            <w:gridSpan w:val="2"/>
            <w:shd w:val="clear" w:color="auto" w:fill="F8FAFC"/>
          </w:tcPr>
          <w:p>
            <w:pPr>
              <w:spacing w:before="60" w:after="60"/>
            </w:pPr>
            <w:r>
              <w:rPr>
                <w:rFonts w:ascii="Calibri" w:hAnsi="Calibri"/>
                <w:b/>
                <w:color w:val="047857"/>
                <w:sz w:val="18"/>
              </w:rPr>
              <w:t xml:space="preserve">Queue / Routing:  </w:t>
            </w:r>
            <w:r>
              <w:rPr>
                <w:rFonts w:ascii="Calibri" w:hAnsi="Calibri"/>
                <w:b w:val="0"/>
                <w:color w:val="374151"/>
                <w:sz w:val="18"/>
              </w:rPr>
              <w:t>GCA order management → Viome-only 'Extend Expiration' action. Genetics Lead approval task. IT ticket generation. 7-day follow-up task in GCA queue.</w:t>
            </w:r>
          </w:p>
        </w:tc>
      </w:tr>
    </w:tbl>
    <w:p>
      <w:pPr>
        <w:spacing w:after="80"/>
      </w:pPr>
    </w:p>
    <w:tbl>
      <w:tblPr>
        <w:tblW w:type="auto" w:w="0"/>
        <w:tblLook w:firstColumn="1" w:firstRow="1" w:lastColumn="0" w:lastRow="0" w:noHBand="0" w:noVBand="1" w:val="04A0"/>
        <w:tblW w:type="dxa" w:w="8640"/>
        <w:tblBorders>
          <w:top w:val="single" w:sz="6" w:space="0" w:color="047857"/>
          <w:left w:val="single" w:sz="6" w:space="0" w:color="047857"/>
          <w:bottom w:val="single" w:sz="6" w:space="0" w:color="047857"/>
          <w:right w:val="single" w:sz="6" w:space="0" w:color="047857"/>
          <w:insideH w:val="single" w:sz="6" w:space="0" w:color="047857"/>
          <w:insideV w:val="single" w:sz="6" w:space="0" w:color="047857"/>
        </w:tblBorders>
      </w:tblPr>
      <w:tblGrid>
        <w:gridCol w:w="4680"/>
        <w:gridCol w:w="4680"/>
      </w:tblGrid>
      <w:tr>
        <w:tc>
          <w:tcPr>
            <w:tcW w:type="dxa" w:w="9360"/>
            <w:gridSpan w:val="2"/>
            <w:shd w:val="clear" w:color="auto" w:fill="047857"/>
          </w:tcPr>
          <w:p>
            <w:pPr>
              <w:spacing w:before="80" w:after="80"/>
            </w:pPr>
            <w:r>
              <w:rPr>
                <w:rFonts w:ascii="Calibri" w:hAnsi="Calibri"/>
                <w:b/>
                <w:color w:val="FFFFFF"/>
                <w:sz w:val="17"/>
              </w:rPr>
              <w:t xml:space="preserve">CT-GAP-35  </w:t>
            </w:r>
            <w:r>
              <w:rPr>
                <w:rFonts w:ascii="Calibri" w:hAnsi="Calibri"/>
                <w:b/>
                <w:color w:val="FFFFFF"/>
                <w:sz w:val="21"/>
              </w:rPr>
              <w:t>Probably Genetic ExomeDx — Pre-Test Consult Pending Queue (Day 5 / Day 14)</w:t>
            </w:r>
            <w:r>
              <w:rPr>
                <w:rFonts w:ascii="Calibri" w:hAnsi="Calibri"/>
                <w:b w:val="0"/>
                <w:color w:val="D1FAE5"/>
                <w:sz w:val="17"/>
              </w:rPr>
              <w:t xml:space="preserve">    [M05]  |  Care Team Portal (GCA)  |  v1.0</w:t>
            </w:r>
          </w:p>
        </w:tc>
      </w:tr>
      <w:tr>
        <w:tc>
          <w:tcPr>
            <w:tcW w:type="dxa" w:w="4680"/>
            <w:shd w:val="clear" w:color="auto" w:fill="F1F5F9"/>
            <w:tcW w:type="dxa" w:w="4320"/>
          </w:tcPr>
          <w:p>
            <w:pPr>
              <w:spacing w:before="60" w:after="60"/>
            </w:pPr>
            <w:r>
              <w:rPr>
                <w:rFonts w:ascii="Calibri" w:hAnsi="Calibri"/>
                <w:b/>
                <w:color w:val="374151"/>
                <w:sz w:val="18"/>
              </w:rPr>
              <w:t>What Is the Gap (Current State)</w:t>
            </w:r>
          </w:p>
        </w:tc>
        <w:tc>
          <w:tcPr>
            <w:tcW w:type="dxa" w:w="4680"/>
            <w:shd w:val="clear" w:color="auto" w:fill="F1F5F9"/>
            <w:tcW w:type="dxa" w:w="4320"/>
          </w:tcPr>
          <w:p>
            <w:pPr>
              <w:spacing w:before="60" w:after="60"/>
            </w:pPr>
            <w:r>
              <w:rPr>
                <w:rFonts w:ascii="Calibri" w:hAnsi="Calibri"/>
                <w:b/>
                <w:color w:val="374151"/>
                <w:sz w:val="18"/>
              </w:rPr>
              <w:t>How Phoenix Fixes It</w:t>
            </w:r>
          </w:p>
        </w:tc>
      </w:tr>
      <w:tr>
        <w:tc>
          <w:tcPr>
            <w:tcW w:type="dxa" w:w="4680"/>
            <w:shd w:val="clear" w:color="auto" w:fill="FFFFFF"/>
            <w:tcW w:type="dxa" w:w="4320"/>
            <w:tcMar>
              <w:top w:w="80" w:type="dxa"/>
              <w:bottom w:w="80" w:type="dxa"/>
              <w:left w:w="120" w:type="dxa"/>
              <w:right w:w="120" w:type="dxa"/>
            </w:tcMar>
          </w:tcPr>
          <w:p>
            <w:pPr>
              <w:spacing w:before="40" w:after="40"/>
            </w:pPr>
            <w:r>
              <w:rPr>
                <w:rFonts w:ascii="Calibri" w:hAnsi="Calibri"/>
                <w:b w:val="0"/>
                <w:color w:val="374151"/>
                <w:sz w:val="19"/>
              </w:rPr>
              <w:t>For Probably Genetic ExomeDx orders with required pre-test consults not yet scheduled: if no consult scheduled by day 5, PCD calls patient with scheduling link; on day 14, GCA notifies Probably Genetic and closes the case. No requirement captures this two-step (day 5 / day 14) pending pre-test monitoring protocol.</w:t>
            </w:r>
          </w:p>
        </w:tc>
        <w:tc>
          <w:tcPr>
            <w:tcW w:type="dxa" w:w="4680"/>
            <w:shd w:val="clear" w:color="auto" w:fill="FFFFFF"/>
            <w:tcW w:type="dxa" w:w="4320"/>
            <w:tcMar>
              <w:top w:w="80" w:type="dxa"/>
              <w:bottom w:w="80" w:type="dxa"/>
              <w:left w:w="120" w:type="dxa"/>
              <w:right w:w="120" w:type="dxa"/>
            </w:tcMar>
          </w:tcPr>
          <w:p>
            <w:pPr>
              <w:spacing w:before="40" w:after="40"/>
            </w:pPr>
            <w:r>
              <w:rPr>
                <w:rFonts w:ascii="Calibri" w:hAnsi="Calibri"/>
                <w:b w:val="0"/>
                <w:color w:val="374151"/>
                <w:sz w:val="19"/>
              </w:rPr>
              <w:t>In the GCA portal, add a 'Pre-Test Consult Pending' queue for ExomeDx orders. SLA Engine monitors days since order creation. Day 5: PCD call task auto-created with patient scheduling link pre-generated; routed to PCD queue. Day 14: GCA receives a 'Notify Probably Genetic' task with pre-filled email template; GCA completes notification and closes the case. Order remains active. Both day-thresholds configurable in Admin Portal per client.</w:t>
            </w:r>
          </w:p>
        </w:tc>
      </w:tr>
      <w:tr>
        <w:tc>
          <w:tcPr>
            <w:tcW w:type="dxa" w:w="9360"/>
            <w:gridSpan w:val="2"/>
            <w:shd w:val="clear" w:color="auto" w:fill="F8FAFC"/>
          </w:tcPr>
          <w:p>
            <w:pPr>
              <w:spacing w:before="60" w:after="60"/>
            </w:pPr>
            <w:r>
              <w:rPr>
                <w:rFonts w:ascii="Calibri" w:hAnsi="Calibri"/>
                <w:b/>
                <w:color w:val="047857"/>
                <w:sz w:val="18"/>
              </w:rPr>
              <w:t xml:space="preserve">Queue / Routing:  </w:t>
            </w:r>
            <w:r>
              <w:rPr>
                <w:rFonts w:ascii="Calibri" w:hAnsi="Calibri"/>
                <w:b w:val="0"/>
                <w:color w:val="374151"/>
                <w:sz w:val="18"/>
              </w:rPr>
              <w:t>Pre-Test Consult Pending queue (GCA). Day 5 → PCD call task with scheduling link. Day 14 → GCA notification task + case closure. Order remains active.</w:t>
            </w:r>
          </w:p>
        </w:tc>
      </w:tr>
    </w:tbl>
    <w:p>
      <w:pPr>
        <w:spacing w:after="80"/>
      </w:pPr>
    </w:p>
    <w:p>
      <w:pPr>
        <w:spacing w:before="280" w:after="120"/>
        <w:pBdr>
          <w:bottom w:val="single" w:sz="6" w:space="1" w:color="B45309"/>
        </w:pBdr>
      </w:pPr>
      <w:r>
        <w:rPr>
          <w:rFonts w:ascii="Calibri" w:hAnsi="Calibri"/>
          <w:b/>
          <w:color w:val="B45309"/>
          <w:sz w:val="26"/>
        </w:rPr>
        <w:t>11. GCA — Patient Communications &amp; Results Delivery</w:t>
      </w:r>
    </w:p>
    <w:tbl>
      <w:tblPr>
        <w:tblW w:type="auto" w:w="0"/>
        <w:tblLook w:firstColumn="1" w:firstRow="1" w:lastColumn="0" w:lastRow="0" w:noHBand="0" w:noVBand="1" w:val="04A0"/>
        <w:tblW w:type="dxa" w:w="8640"/>
        <w:tblBorders>
          <w:top w:val="single" w:sz="6" w:space="0" w:color="B45309"/>
          <w:left w:val="single" w:sz="6" w:space="0" w:color="B45309"/>
          <w:bottom w:val="single" w:sz="6" w:space="0" w:color="B45309"/>
          <w:right w:val="single" w:sz="6" w:space="0" w:color="B45309"/>
          <w:insideH w:val="single" w:sz="6" w:space="0" w:color="B45309"/>
          <w:insideV w:val="single" w:sz="6" w:space="0" w:color="B45309"/>
        </w:tblBorders>
      </w:tblPr>
      <w:tblGrid>
        <w:gridCol w:w="4680"/>
        <w:gridCol w:w="4680"/>
      </w:tblGrid>
      <w:tr>
        <w:tc>
          <w:tcPr>
            <w:tcW w:type="dxa" w:w="9360"/>
            <w:gridSpan w:val="2"/>
            <w:shd w:val="clear" w:color="auto" w:fill="B45309"/>
          </w:tcPr>
          <w:p>
            <w:pPr>
              <w:spacing w:before="80" w:after="80"/>
            </w:pPr>
            <w:r>
              <w:rPr>
                <w:rFonts w:ascii="Calibri" w:hAnsi="Calibri"/>
                <w:b/>
                <w:color w:val="FFFFFF"/>
                <w:sz w:val="17"/>
              </w:rPr>
              <w:t xml:space="preserve">CT-GAP-36  </w:t>
            </w:r>
            <w:r>
              <w:rPr>
                <w:rFonts w:ascii="Calibri" w:hAnsi="Calibri"/>
                <w:b/>
                <w:color w:val="FFFFFF"/>
                <w:sz w:val="21"/>
              </w:rPr>
              <w:t>Email Results to Patient — Download/Verify/Send/Delete/Log Protocol</w:t>
            </w:r>
            <w:r>
              <w:rPr>
                <w:rFonts w:ascii="Calibri" w:hAnsi="Calibri"/>
                <w:b w:val="0"/>
                <w:color w:val="D1FAE5"/>
                <w:sz w:val="17"/>
              </w:rPr>
              <w:t xml:space="preserve">    [M10]  |  Care Team Portal (GCA)  |  v1.0</w:t>
            </w:r>
          </w:p>
        </w:tc>
      </w:tr>
      <w:tr>
        <w:tc>
          <w:tcPr>
            <w:tcW w:type="dxa" w:w="4680"/>
            <w:shd w:val="clear" w:color="auto" w:fill="F1F5F9"/>
            <w:tcW w:type="dxa" w:w="4320"/>
          </w:tcPr>
          <w:p>
            <w:pPr>
              <w:spacing w:before="60" w:after="60"/>
            </w:pPr>
            <w:r>
              <w:rPr>
                <w:rFonts w:ascii="Calibri" w:hAnsi="Calibri"/>
                <w:b/>
                <w:color w:val="374151"/>
                <w:sz w:val="18"/>
              </w:rPr>
              <w:t>What Is the Gap (Current State)</w:t>
            </w:r>
          </w:p>
        </w:tc>
        <w:tc>
          <w:tcPr>
            <w:tcW w:type="dxa" w:w="4680"/>
            <w:shd w:val="clear" w:color="auto" w:fill="F1F5F9"/>
            <w:tcW w:type="dxa" w:w="4320"/>
          </w:tcPr>
          <w:p>
            <w:pPr>
              <w:spacing w:before="60" w:after="60"/>
            </w:pPr>
            <w:r>
              <w:rPr>
                <w:rFonts w:ascii="Calibri" w:hAnsi="Calibri"/>
                <w:b/>
                <w:color w:val="374151"/>
                <w:sz w:val="18"/>
              </w:rPr>
              <w:t>How Phoenix Fixes It</w:t>
            </w:r>
          </w:p>
        </w:tc>
      </w:tr>
      <w:tr>
        <w:tc>
          <w:tcPr>
            <w:tcW w:type="dxa" w:w="4680"/>
            <w:shd w:val="clear" w:color="auto" w:fill="FFFFFF"/>
            <w:tcW w:type="dxa" w:w="4320"/>
            <w:tcMar>
              <w:top w:w="80" w:type="dxa"/>
              <w:bottom w:w="80" w:type="dxa"/>
              <w:left w:w="120" w:type="dxa"/>
              <w:right w:w="120" w:type="dxa"/>
            </w:tcMar>
          </w:tcPr>
          <w:p>
            <w:pPr>
              <w:spacing w:before="40" w:after="40"/>
            </w:pPr>
            <w:r>
              <w:rPr>
                <w:rFonts w:ascii="Calibri" w:hAnsi="Calibri"/>
                <w:b w:val="0"/>
                <w:color w:val="374151"/>
                <w:sz w:val="19"/>
              </w:rPr>
              <w:t>When a patient requires direct results delivery by email, GCA must: download results named LAST NAME + LAB Results, verify patient identity, send via secure encrypted email (Virtru equivalent), delete the downloaded file, empty trash, and log the send event. No requirement captures this enforcement chain with the delete-and-confirm step.</w:t>
            </w:r>
          </w:p>
        </w:tc>
        <w:tc>
          <w:tcPr>
            <w:tcW w:type="dxa" w:w="4680"/>
            <w:shd w:val="clear" w:color="auto" w:fill="FFFFFF"/>
            <w:tcW w:type="dxa" w:w="4320"/>
            <w:tcMar>
              <w:top w:w="80" w:type="dxa"/>
              <w:bottom w:w="80" w:type="dxa"/>
              <w:left w:w="120" w:type="dxa"/>
              <w:right w:w="120" w:type="dxa"/>
            </w:tcMar>
          </w:tcPr>
          <w:p>
            <w:pPr>
              <w:spacing w:before="40" w:after="40"/>
            </w:pPr>
            <w:r>
              <w:rPr>
                <w:rFonts w:ascii="Calibri" w:hAnsi="Calibri"/>
                <w:b w:val="0"/>
                <w:color w:val="374151"/>
                <w:sz w:val="19"/>
              </w:rPr>
              <w:t>In the GCA patient record view, add an 'Email Results' action. Workflow: (1) GCA selects result(s) to send; (2) platform generates a pre-named download (LAST NAME + LAB Results format); (3) identity verification confirmation required (checkbox); (4) platform initiates secure send via Virtru or equivalent integration; (5) GCA confirms file deleted (required checkbox before action closes); (6) send event logged to contact log with timestamp and recipient. Secure email provider configurable in Admin Portal.</w:t>
            </w:r>
          </w:p>
        </w:tc>
      </w:tr>
      <w:tr>
        <w:tc>
          <w:tcPr>
            <w:tcW w:type="dxa" w:w="9360"/>
            <w:gridSpan w:val="2"/>
            <w:shd w:val="clear" w:color="auto" w:fill="F8FAFC"/>
          </w:tcPr>
          <w:p>
            <w:pPr>
              <w:spacing w:before="60" w:after="60"/>
            </w:pPr>
            <w:r>
              <w:rPr>
                <w:rFonts w:ascii="Calibri" w:hAnsi="Calibri"/>
                <w:b/>
                <w:color w:val="B45309"/>
                <w:sz w:val="18"/>
              </w:rPr>
              <w:t xml:space="preserve">Queue / Routing:  </w:t>
            </w:r>
            <w:r>
              <w:rPr>
                <w:rFonts w:ascii="Calibri" w:hAnsi="Calibri"/>
                <w:b w:val="0"/>
                <w:color w:val="374151"/>
                <w:sz w:val="18"/>
              </w:rPr>
              <w:t>GCA patient record — Email Results action. Identity verification required. Secure send via Virtru integration. Delete confirmation required. Logged to contact log.</w:t>
            </w:r>
          </w:p>
        </w:tc>
      </w:tr>
    </w:tbl>
    <w:p>
      <w:pPr>
        <w:spacing w:after="80"/>
      </w:pPr>
    </w:p>
    <w:tbl>
      <w:tblPr>
        <w:tblW w:type="auto" w:w="0"/>
        <w:tblLook w:firstColumn="1" w:firstRow="1" w:lastColumn="0" w:lastRow="0" w:noHBand="0" w:noVBand="1" w:val="04A0"/>
        <w:tblW w:type="dxa" w:w="8640"/>
        <w:tblBorders>
          <w:top w:val="single" w:sz="6" w:space="0" w:color="B45309"/>
          <w:left w:val="single" w:sz="6" w:space="0" w:color="B45309"/>
          <w:bottom w:val="single" w:sz="6" w:space="0" w:color="B45309"/>
          <w:right w:val="single" w:sz="6" w:space="0" w:color="B45309"/>
          <w:insideH w:val="single" w:sz="6" w:space="0" w:color="B45309"/>
          <w:insideV w:val="single" w:sz="6" w:space="0" w:color="B45309"/>
        </w:tblBorders>
      </w:tblPr>
      <w:tblGrid>
        <w:gridCol w:w="4680"/>
        <w:gridCol w:w="4680"/>
      </w:tblGrid>
      <w:tr>
        <w:tc>
          <w:tcPr>
            <w:tcW w:type="dxa" w:w="9360"/>
            <w:gridSpan w:val="2"/>
            <w:shd w:val="clear" w:color="auto" w:fill="B45309"/>
          </w:tcPr>
          <w:p>
            <w:pPr>
              <w:spacing w:before="80" w:after="80"/>
            </w:pPr>
            <w:r>
              <w:rPr>
                <w:rFonts w:ascii="Calibri" w:hAnsi="Calibri"/>
                <w:b/>
                <w:color w:val="FFFFFF"/>
                <w:sz w:val="17"/>
              </w:rPr>
              <w:t xml:space="preserve">CT-GAP-37  </w:t>
            </w:r>
            <w:r>
              <w:rPr>
                <w:rFonts w:ascii="Calibri" w:hAnsi="Calibri"/>
                <w:b/>
                <w:color w:val="FFFFFF"/>
                <w:sz w:val="21"/>
              </w:rPr>
              <w:t>Spanish Translation Workflow + Per-Consult Compensation Tracking</w:t>
            </w:r>
            <w:r>
              <w:rPr>
                <w:rFonts w:ascii="Calibri" w:hAnsi="Calibri"/>
                <w:b w:val="0"/>
                <w:color w:val="FDE68A"/>
                <w:sz w:val="17"/>
              </w:rPr>
              <w:t xml:space="preserve">    [M05]  |  Care Team Portal (GCA)  |  v2.0</w:t>
            </w:r>
          </w:p>
        </w:tc>
      </w:tr>
      <w:tr>
        <w:tc>
          <w:tcPr>
            <w:tcW w:type="dxa" w:w="4680"/>
            <w:shd w:val="clear" w:color="auto" w:fill="F1F5F9"/>
            <w:tcW w:type="dxa" w:w="4320"/>
          </w:tcPr>
          <w:p>
            <w:pPr>
              <w:spacing w:before="60" w:after="60"/>
            </w:pPr>
            <w:r>
              <w:rPr>
                <w:rFonts w:ascii="Calibri" w:hAnsi="Calibri"/>
                <w:b/>
                <w:color w:val="374151"/>
                <w:sz w:val="18"/>
              </w:rPr>
              <w:t>What Is the Gap (Current State)</w:t>
            </w:r>
          </w:p>
        </w:tc>
        <w:tc>
          <w:tcPr>
            <w:tcW w:type="dxa" w:w="4680"/>
            <w:shd w:val="clear" w:color="auto" w:fill="F1F5F9"/>
            <w:tcW w:type="dxa" w:w="4320"/>
          </w:tcPr>
          <w:p>
            <w:pPr>
              <w:spacing w:before="60" w:after="60"/>
            </w:pPr>
            <w:r>
              <w:rPr>
                <w:rFonts w:ascii="Calibri" w:hAnsi="Calibri"/>
                <w:b/>
                <w:color w:val="374151"/>
                <w:sz w:val="18"/>
              </w:rPr>
              <w:t>How Phoenix Fixes It</w:t>
            </w:r>
          </w:p>
        </w:tc>
      </w:tr>
      <w:tr>
        <w:tc>
          <w:tcPr>
            <w:tcW w:type="dxa" w:w="4680"/>
            <w:shd w:val="clear" w:color="auto" w:fill="FFFFFF"/>
            <w:tcW w:type="dxa" w:w="4320"/>
            <w:tcMar>
              <w:top w:w="80" w:type="dxa"/>
              <w:bottom w:w="80" w:type="dxa"/>
              <w:left w:w="120" w:type="dxa"/>
              <w:right w:w="120" w:type="dxa"/>
            </w:tcMar>
          </w:tcPr>
          <w:p>
            <w:pPr>
              <w:spacing w:before="40" w:after="40"/>
            </w:pPr>
            <w:r>
              <w:rPr>
                <w:rFonts w:ascii="Calibri" w:hAnsi="Calibri"/>
                <w:b w:val="0"/>
                <w:color w:val="374151"/>
                <w:sz w:val="19"/>
              </w:rPr>
              <w:t>When a GC consult note requires Spanish translation: GCA downloads draft, sends to translator with patient gender, receives back (~3 business days), inserts Spanish version before English with page break formatting, saves/sends report. Compensation tracked per consult ID by time bracket (0–15 min = $15; 16–30 = $30; 31–45 = $45; 46–60 = $60). No requirement captures this workflow.</w:t>
            </w:r>
          </w:p>
        </w:tc>
        <w:tc>
          <w:tcPr>
            <w:tcW w:type="dxa" w:w="4680"/>
            <w:shd w:val="clear" w:color="auto" w:fill="FFFFFF"/>
            <w:tcW w:type="dxa" w:w="4320"/>
            <w:tcMar>
              <w:top w:w="80" w:type="dxa"/>
              <w:bottom w:w="80" w:type="dxa"/>
              <w:left w:w="120" w:type="dxa"/>
              <w:right w:w="120" w:type="dxa"/>
            </w:tcMar>
          </w:tcPr>
          <w:p>
            <w:pPr>
              <w:spacing w:before="40" w:after="40"/>
            </w:pPr>
            <w:r>
              <w:rPr>
                <w:rFonts w:ascii="Calibri" w:hAnsi="Calibri"/>
                <w:b w:val="0"/>
                <w:color w:val="374151"/>
                <w:sz w:val="19"/>
              </w:rPr>
              <w:t>In the GCA consult note review workflow, add a 'Request Spanish Translation' flag. On flag: GCA downloads draft, sends to translator (external step). On return: GCA uploads Spanish version; platform inserts before English with configurable page break formatting. For compensation: GCA logs time spent (0–60 min input); platform calculates tier; logs to M13 GC Billing Dashboard. Translation request and completion tracked per consult ID.</w:t>
            </w:r>
          </w:p>
        </w:tc>
      </w:tr>
      <w:tr>
        <w:tc>
          <w:tcPr>
            <w:tcW w:type="dxa" w:w="9360"/>
            <w:gridSpan w:val="2"/>
            <w:shd w:val="clear" w:color="auto" w:fill="F8FAFC"/>
          </w:tcPr>
          <w:p>
            <w:pPr>
              <w:spacing w:before="60" w:after="60"/>
            </w:pPr>
            <w:r>
              <w:rPr>
                <w:rFonts w:ascii="Calibri" w:hAnsi="Calibri"/>
                <w:b/>
                <w:color w:val="B45309"/>
                <w:sz w:val="18"/>
              </w:rPr>
              <w:t xml:space="preserve">Queue / Routing:  </w:t>
            </w:r>
            <w:r>
              <w:rPr>
                <w:rFonts w:ascii="Calibri" w:hAnsi="Calibri"/>
                <w:b w:val="0"/>
                <w:color w:val="374151"/>
                <w:sz w:val="18"/>
              </w:rPr>
              <w:t>GCA consult note review queue — Spanish translation flag. Translation completion → GCA notification to finalize. Compensation logged to M13 GC Billing Dashboard.</w:t>
            </w:r>
          </w:p>
        </w:tc>
      </w:tr>
    </w:tbl>
    <w:p>
      <w:pPr>
        <w:spacing w:after="80"/>
      </w:pPr>
    </w:p>
    <w:tbl>
      <w:tblPr>
        <w:tblW w:type="auto" w:w="0"/>
        <w:tblLook w:firstColumn="1" w:firstRow="1" w:lastColumn="0" w:lastRow="0" w:noHBand="0" w:noVBand="1" w:val="04A0"/>
        <w:tblW w:type="dxa" w:w="8640"/>
        <w:tblBorders>
          <w:top w:val="single" w:sz="6" w:space="0" w:color="B45309"/>
          <w:left w:val="single" w:sz="6" w:space="0" w:color="B45309"/>
          <w:bottom w:val="single" w:sz="6" w:space="0" w:color="B45309"/>
          <w:right w:val="single" w:sz="6" w:space="0" w:color="B45309"/>
          <w:insideH w:val="single" w:sz="6" w:space="0" w:color="B45309"/>
          <w:insideV w:val="single" w:sz="6" w:space="0" w:color="B45309"/>
        </w:tblBorders>
      </w:tblPr>
      <w:tblGrid>
        <w:gridCol w:w="4680"/>
        <w:gridCol w:w="4680"/>
      </w:tblGrid>
      <w:tr>
        <w:tc>
          <w:tcPr>
            <w:tcW w:type="dxa" w:w="9360"/>
            <w:gridSpan w:val="2"/>
            <w:shd w:val="clear" w:color="auto" w:fill="B45309"/>
          </w:tcPr>
          <w:p>
            <w:pPr>
              <w:spacing w:before="80" w:after="80"/>
            </w:pPr>
            <w:r>
              <w:rPr>
                <w:rFonts w:ascii="Calibri" w:hAnsi="Calibri"/>
                <w:b/>
                <w:color w:val="FFFFFF"/>
                <w:sz w:val="17"/>
              </w:rPr>
              <w:t xml:space="preserve">CT-GAP-38  </w:t>
            </w:r>
            <w:r>
              <w:rPr>
                <w:rFonts w:ascii="Calibri" w:hAnsi="Calibri"/>
                <w:b/>
                <w:color w:val="FFFFFF"/>
                <w:sz w:val="21"/>
              </w:rPr>
              <w:t>PGx Drug Interaction Outreach — Client-Specific Routing</w:t>
            </w:r>
            <w:r>
              <w:rPr>
                <w:rFonts w:ascii="Calibri" w:hAnsi="Calibri"/>
                <w:b w:val="0"/>
                <w:color w:val="D1FAE5"/>
                <w:sz w:val="17"/>
              </w:rPr>
              <w:t xml:space="preserve">    [M08]  |  Care Team Portal (GCA)  |  v1.0</w:t>
            </w:r>
          </w:p>
        </w:tc>
      </w:tr>
      <w:tr>
        <w:tc>
          <w:tcPr>
            <w:tcW w:type="dxa" w:w="4680"/>
            <w:shd w:val="clear" w:color="auto" w:fill="F1F5F9"/>
            <w:tcW w:type="dxa" w:w="4320"/>
          </w:tcPr>
          <w:p>
            <w:pPr>
              <w:spacing w:before="60" w:after="60"/>
            </w:pPr>
            <w:r>
              <w:rPr>
                <w:rFonts w:ascii="Calibri" w:hAnsi="Calibri"/>
                <w:b/>
                <w:color w:val="374151"/>
                <w:sz w:val="18"/>
              </w:rPr>
              <w:t>What Is the Gap (Current State)</w:t>
            </w:r>
          </w:p>
        </w:tc>
        <w:tc>
          <w:tcPr>
            <w:tcW w:type="dxa" w:w="4680"/>
            <w:shd w:val="clear" w:color="auto" w:fill="F1F5F9"/>
            <w:tcW w:type="dxa" w:w="4320"/>
          </w:tcPr>
          <w:p>
            <w:pPr>
              <w:spacing w:before="60" w:after="60"/>
            </w:pPr>
            <w:r>
              <w:rPr>
                <w:rFonts w:ascii="Calibri" w:hAnsi="Calibri"/>
                <w:b/>
                <w:color w:val="374151"/>
                <w:sz w:val="18"/>
              </w:rPr>
              <w:t>How Phoenix Fixes It</w:t>
            </w:r>
          </w:p>
        </w:tc>
      </w:tr>
      <w:tr>
        <w:tc>
          <w:tcPr>
            <w:tcW w:type="dxa" w:w="4680"/>
            <w:shd w:val="clear" w:color="auto" w:fill="FFFFFF"/>
            <w:tcW w:type="dxa" w:w="4320"/>
            <w:tcMar>
              <w:top w:w="80" w:type="dxa"/>
              <w:bottom w:w="80" w:type="dxa"/>
              <w:left w:w="120" w:type="dxa"/>
              <w:right w:w="120" w:type="dxa"/>
            </w:tcMar>
          </w:tcPr>
          <w:p>
            <w:pPr>
              <w:spacing w:before="40" w:after="40"/>
            </w:pPr>
            <w:r>
              <w:rPr>
                <w:rFonts w:ascii="Calibri" w:hAnsi="Calibri"/>
                <w:b w:val="0"/>
                <w:color w:val="374151"/>
                <w:sz w:val="19"/>
              </w:rPr>
              <w:t>When a pharmacist identifies a severe drug interaction from a patient's PGx medication list, the platform must route an outreach task to GCA with client-specific actions: Color Genomics — secure email to geneticcounselors@color.com with req number; Fulgent PGx severe interactions — phone call task ~2 days after test approval; other clients — apply client-specific protocol. No requirement captures this pharmacist-initiated PGx outreach task.</w:t>
            </w:r>
          </w:p>
        </w:tc>
        <w:tc>
          <w:tcPr>
            <w:tcW w:type="dxa" w:w="4680"/>
            <w:shd w:val="clear" w:color="auto" w:fill="FFFFFF"/>
            <w:tcW w:type="dxa" w:w="4320"/>
            <w:tcMar>
              <w:top w:w="80" w:type="dxa"/>
              <w:bottom w:w="80" w:type="dxa"/>
              <w:left w:w="120" w:type="dxa"/>
              <w:right w:w="120" w:type="dxa"/>
            </w:tcMar>
          </w:tcPr>
          <w:p>
            <w:pPr>
              <w:spacing w:before="40" w:after="40"/>
            </w:pPr>
            <w:r>
              <w:rPr>
                <w:rFonts w:ascii="Calibri" w:hAnsi="Calibri"/>
                <w:b w:val="0"/>
                <w:color w:val="374151"/>
                <w:sz w:val="19"/>
              </w:rPr>
              <w:t>Add a 'PGx Interaction Alert' task type in the notification engine. When a pharmacist flags a severe interaction: platform routes a task to GCA with client-specific action pre-populated (Color: pre-filled secure email template; Fulgent: phone call task scheduled 2 days from approval; others: configurable). GCA executes action, logs outcome to contact log, marks task complete. Client-specific routing rules configurable per genetics client in Admin Portal.</w:t>
            </w:r>
          </w:p>
        </w:tc>
      </w:tr>
      <w:tr>
        <w:tc>
          <w:tcPr>
            <w:tcW w:type="dxa" w:w="9360"/>
            <w:gridSpan w:val="2"/>
            <w:shd w:val="clear" w:color="auto" w:fill="F8FAFC"/>
          </w:tcPr>
          <w:p>
            <w:pPr>
              <w:spacing w:before="60" w:after="60"/>
            </w:pPr>
            <w:r>
              <w:rPr>
                <w:rFonts w:ascii="Calibri" w:hAnsi="Calibri"/>
                <w:b/>
                <w:color w:val="B45309"/>
                <w:sz w:val="18"/>
              </w:rPr>
              <w:t xml:space="preserve">Queue / Routing:  </w:t>
            </w:r>
            <w:r>
              <w:rPr>
                <w:rFonts w:ascii="Calibri" w:hAnsi="Calibri"/>
                <w:b w:val="0"/>
                <w:color w:val="374151"/>
                <w:sz w:val="18"/>
              </w:rPr>
              <w:t>Pharmacist flags severe interaction → GCA task queue. Color → secure email template. Fulgent → phone task scheduled. Others → client-configured action. All logged.</w:t>
            </w:r>
          </w:p>
        </w:tc>
      </w:tr>
    </w:tbl>
    <w:p>
      <w:pPr>
        <w:spacing w:after="80"/>
      </w:pPr>
    </w:p>
    <w:p>
      <w:pPr>
        <w:spacing w:before="280" w:after="120"/>
        <w:pBdr>
          <w:bottom w:val="single" w:sz="6" w:space="1" w:color="1D4ED8"/>
        </w:pBdr>
      </w:pPr>
      <w:r>
        <w:rPr>
          <w:rFonts w:ascii="Calibri" w:hAnsi="Calibri"/>
          <w:b/>
          <w:color w:val="1D4ED8"/>
          <w:sz w:val="26"/>
        </w:rPr>
        <w:t>12. GCA — Consult Management &amp; Scheduling</w:t>
      </w:r>
    </w:p>
    <w:tbl>
      <w:tblPr>
        <w:tblW w:type="auto" w:w="0"/>
        <w:tblLook w:firstColumn="1" w:firstRow="1" w:lastColumn="0" w:lastRow="0" w:noHBand="0" w:noVBand="1" w:val="04A0"/>
        <w:tblW w:type="dxa" w:w="8640"/>
        <w:tblBorders>
          <w:top w:val="single" w:sz="6" w:space="0" w:color="1D4ED8"/>
          <w:left w:val="single" w:sz="6" w:space="0" w:color="1D4ED8"/>
          <w:bottom w:val="single" w:sz="6" w:space="0" w:color="1D4ED8"/>
          <w:right w:val="single" w:sz="6" w:space="0" w:color="1D4ED8"/>
          <w:insideH w:val="single" w:sz="6" w:space="0" w:color="1D4ED8"/>
          <w:insideV w:val="single" w:sz="6" w:space="0" w:color="1D4ED8"/>
        </w:tblBorders>
      </w:tblPr>
      <w:tblGrid>
        <w:gridCol w:w="4680"/>
        <w:gridCol w:w="4680"/>
      </w:tblGrid>
      <w:tr>
        <w:tc>
          <w:tcPr>
            <w:tcW w:type="dxa" w:w="9360"/>
            <w:gridSpan w:val="2"/>
            <w:shd w:val="clear" w:color="auto" w:fill="1D4ED8"/>
          </w:tcPr>
          <w:p>
            <w:pPr>
              <w:spacing w:before="80" w:after="80"/>
            </w:pPr>
            <w:r>
              <w:rPr>
                <w:rFonts w:ascii="Calibri" w:hAnsi="Calibri"/>
                <w:b/>
                <w:color w:val="FFFFFF"/>
                <w:sz w:val="17"/>
              </w:rPr>
              <w:t xml:space="preserve">CT-GAP-39  </w:t>
            </w:r>
            <w:r>
              <w:rPr>
                <w:rFonts w:ascii="Calibri" w:hAnsi="Calibri"/>
                <w:b/>
                <w:color w:val="FFFFFF"/>
                <w:sz w:val="21"/>
              </w:rPr>
              <w:t>GC Consult Note — Pre-Submission Checklist with Branching Demographic Update</w:t>
            </w:r>
            <w:r>
              <w:rPr>
                <w:rFonts w:ascii="Calibri" w:hAnsi="Calibri"/>
                <w:b w:val="0"/>
                <w:color w:val="D1FAE5"/>
                <w:sz w:val="17"/>
              </w:rPr>
              <w:t xml:space="preserve">    [M05]  |  Care Team Portal (GCA)  |  v1.0</w:t>
            </w:r>
          </w:p>
        </w:tc>
      </w:tr>
      <w:tr>
        <w:tc>
          <w:tcPr>
            <w:tcW w:type="dxa" w:w="4680"/>
            <w:shd w:val="clear" w:color="auto" w:fill="F1F5F9"/>
            <w:tcW w:type="dxa" w:w="4320"/>
          </w:tcPr>
          <w:p>
            <w:pPr>
              <w:spacing w:before="60" w:after="60"/>
            </w:pPr>
            <w:r>
              <w:rPr>
                <w:rFonts w:ascii="Calibri" w:hAnsi="Calibri"/>
                <w:b/>
                <w:color w:val="374151"/>
                <w:sz w:val="18"/>
              </w:rPr>
              <w:t>What Is the Gap (Current State)</w:t>
            </w:r>
          </w:p>
        </w:tc>
        <w:tc>
          <w:tcPr>
            <w:tcW w:type="dxa" w:w="4680"/>
            <w:shd w:val="clear" w:color="auto" w:fill="F1F5F9"/>
            <w:tcW w:type="dxa" w:w="4320"/>
          </w:tcPr>
          <w:p>
            <w:pPr>
              <w:spacing w:before="60" w:after="60"/>
            </w:pPr>
            <w:r>
              <w:rPr>
                <w:rFonts w:ascii="Calibri" w:hAnsi="Calibri"/>
                <w:b/>
                <w:color w:val="374151"/>
                <w:sz w:val="18"/>
              </w:rPr>
              <w:t>How Phoenix Fixes It</w:t>
            </w:r>
          </w:p>
        </w:tc>
      </w:tr>
      <w:tr>
        <w:tc>
          <w:tcPr>
            <w:tcW w:type="dxa" w:w="4680"/>
            <w:shd w:val="clear" w:color="auto" w:fill="FFFFFF"/>
            <w:tcW w:type="dxa" w:w="4320"/>
            <w:tcMar>
              <w:top w:w="80" w:type="dxa"/>
              <w:bottom w:w="80" w:type="dxa"/>
              <w:left w:w="120" w:type="dxa"/>
              <w:right w:w="120" w:type="dxa"/>
            </w:tcMar>
          </w:tcPr>
          <w:p>
            <w:pPr>
              <w:spacing w:before="40" w:after="40"/>
            </w:pPr>
            <w:r>
              <w:rPr>
                <w:rFonts w:ascii="Calibri" w:hAnsi="Calibri"/>
                <w:b w:val="0"/>
                <w:color w:val="374151"/>
                <w:sz w:val="19"/>
              </w:rPr>
              <w:t>Before submitting a GC consult note (twice daily), GCA must complete a structured pre-submission checklist: (1) GC signature present (if missing, notify GC before submitting); (2) demographic update needed (Eli Lilly: GC platform only; all others: GC platform AND Labs Module); (3) patient requested mailed copy; (4) Spanish translation needed; (5) copy additional clinical info to LM contact log. M05-GCW-001 covers Care Team Note Review stage but not this structured gate.</w:t>
            </w:r>
          </w:p>
        </w:tc>
        <w:tc>
          <w:tcPr>
            <w:tcW w:type="dxa" w:w="4680"/>
            <w:shd w:val="clear" w:color="auto" w:fill="FFFFFF"/>
            <w:tcW w:type="dxa" w:w="4320"/>
            <w:tcMar>
              <w:top w:w="80" w:type="dxa"/>
              <w:bottom w:w="80" w:type="dxa"/>
              <w:left w:w="120" w:type="dxa"/>
              <w:right w:w="120" w:type="dxa"/>
            </w:tcMar>
          </w:tcPr>
          <w:p>
            <w:pPr>
              <w:spacing w:before="40" w:after="40"/>
            </w:pPr>
            <w:r>
              <w:rPr>
                <w:rFonts w:ascii="Calibri" w:hAnsi="Calibri"/>
                <w:b w:val="0"/>
                <w:color w:val="374151"/>
                <w:sz w:val="19"/>
              </w:rPr>
              <w:t>In the GCA consult note review screen, add a 'Pre-Submission Checklist' before the 'Save and Send Report' action is available. Each checklist item must be checked off: (1) GC signature present / Notified GC (if missing); (2) Demographics updated (branch: Eli Lilly — GC platform only; all others — GC platform + Labs Module); (3) Mailed copy requested (yes/no); (4) Spanish translation needed (yes → triggers CT-GAP-37); (5) LM contact log updated. 'Save and Send' enabled only when all items are checked.</w:t>
            </w:r>
          </w:p>
        </w:tc>
      </w:tr>
      <w:tr>
        <w:tc>
          <w:tcPr>
            <w:tcW w:type="dxa" w:w="9360"/>
            <w:gridSpan w:val="2"/>
            <w:shd w:val="clear" w:color="auto" w:fill="F8FAFC"/>
          </w:tcPr>
          <w:p>
            <w:pPr>
              <w:spacing w:before="60" w:after="60"/>
            </w:pPr>
            <w:r>
              <w:rPr>
                <w:rFonts w:ascii="Calibri" w:hAnsi="Calibri"/>
                <w:b/>
                <w:color w:val="1D4ED8"/>
                <w:sz w:val="18"/>
              </w:rPr>
              <w:t xml:space="preserve">Queue / Routing:  </w:t>
            </w:r>
            <w:r>
              <w:rPr>
                <w:rFonts w:ascii="Calibri" w:hAnsi="Calibri"/>
                <w:b w:val="0"/>
                <w:color w:val="374151"/>
                <w:sz w:val="18"/>
              </w:rPr>
              <w:t>GCA consult note review queue. Checklist gates 'Save and Send Report' action. Signature missing → GC notification task. Spanish flag → translation workflow. All checklist completions logged.</w:t>
            </w:r>
          </w:p>
        </w:tc>
      </w:tr>
    </w:tbl>
    <w:p>
      <w:pPr>
        <w:spacing w:after="80"/>
      </w:pPr>
    </w:p>
    <w:tbl>
      <w:tblPr>
        <w:tblW w:type="auto" w:w="0"/>
        <w:tblLook w:firstColumn="1" w:firstRow="1" w:lastColumn="0" w:lastRow="0" w:noHBand="0" w:noVBand="1" w:val="04A0"/>
        <w:tblW w:type="dxa" w:w="8640"/>
        <w:tblBorders>
          <w:top w:val="single" w:sz="6" w:space="0" w:color="1D4ED8"/>
          <w:left w:val="single" w:sz="6" w:space="0" w:color="1D4ED8"/>
          <w:bottom w:val="single" w:sz="6" w:space="0" w:color="1D4ED8"/>
          <w:right w:val="single" w:sz="6" w:space="0" w:color="1D4ED8"/>
          <w:insideH w:val="single" w:sz="6" w:space="0" w:color="1D4ED8"/>
          <w:insideV w:val="single" w:sz="6" w:space="0" w:color="1D4ED8"/>
        </w:tblBorders>
      </w:tblPr>
      <w:tblGrid>
        <w:gridCol w:w="4680"/>
        <w:gridCol w:w="4680"/>
      </w:tblGrid>
      <w:tr>
        <w:tc>
          <w:tcPr>
            <w:tcW w:type="dxa" w:w="9360"/>
            <w:gridSpan w:val="2"/>
            <w:shd w:val="clear" w:color="auto" w:fill="1D4ED8"/>
          </w:tcPr>
          <w:p>
            <w:pPr>
              <w:spacing w:before="80" w:after="80"/>
            </w:pPr>
            <w:r>
              <w:rPr>
                <w:rFonts w:ascii="Calibri" w:hAnsi="Calibri"/>
                <w:b/>
                <w:color w:val="FFFFFF"/>
                <w:sz w:val="17"/>
              </w:rPr>
              <w:t xml:space="preserve">CT-GAP-40  </w:t>
            </w:r>
            <w:r>
              <w:rPr>
                <w:rFonts w:ascii="Calibri" w:hAnsi="Calibri"/>
                <w:b/>
                <w:color w:val="FFFFFF"/>
                <w:sz w:val="21"/>
              </w:rPr>
              <w:t>GCA-Initiated Consult Scheduling — Multi-Path (Link, Referral, ASAP) with DOB Gate</w:t>
            </w:r>
            <w:r>
              <w:rPr>
                <w:rFonts w:ascii="Calibri" w:hAnsi="Calibri"/>
                <w:b w:val="0"/>
                <w:color w:val="D1FAE5"/>
                <w:sz w:val="17"/>
              </w:rPr>
              <w:t xml:space="preserve">    [M09]  |  Care Team Portal (GCA)  |  v1.0</w:t>
            </w:r>
          </w:p>
        </w:tc>
      </w:tr>
      <w:tr>
        <w:tc>
          <w:tcPr>
            <w:tcW w:type="dxa" w:w="4680"/>
            <w:shd w:val="clear" w:color="auto" w:fill="F1F5F9"/>
            <w:tcW w:type="dxa" w:w="4320"/>
          </w:tcPr>
          <w:p>
            <w:pPr>
              <w:spacing w:before="60" w:after="60"/>
            </w:pPr>
            <w:r>
              <w:rPr>
                <w:rFonts w:ascii="Calibri" w:hAnsi="Calibri"/>
                <w:b/>
                <w:color w:val="374151"/>
                <w:sz w:val="18"/>
              </w:rPr>
              <w:t>What Is the Gap (Current State)</w:t>
            </w:r>
          </w:p>
        </w:tc>
        <w:tc>
          <w:tcPr>
            <w:tcW w:type="dxa" w:w="4680"/>
            <w:shd w:val="clear" w:color="auto" w:fill="F1F5F9"/>
            <w:tcW w:type="dxa" w:w="4320"/>
          </w:tcPr>
          <w:p>
            <w:pPr>
              <w:spacing w:before="60" w:after="60"/>
            </w:pPr>
            <w:r>
              <w:rPr>
                <w:rFonts w:ascii="Calibri" w:hAnsi="Calibri"/>
                <w:b/>
                <w:color w:val="374151"/>
                <w:sz w:val="18"/>
              </w:rPr>
              <w:t>How Phoenix Fixes It</w:t>
            </w:r>
          </w:p>
        </w:tc>
      </w:tr>
      <w:tr>
        <w:tc>
          <w:tcPr>
            <w:tcW w:type="dxa" w:w="4680"/>
            <w:shd w:val="clear" w:color="auto" w:fill="FFFFFF"/>
            <w:tcW w:type="dxa" w:w="4320"/>
            <w:tcMar>
              <w:top w:w="80" w:type="dxa"/>
              <w:bottom w:w="80" w:type="dxa"/>
              <w:left w:w="120" w:type="dxa"/>
              <w:right w:w="120" w:type="dxa"/>
            </w:tcMar>
          </w:tcPr>
          <w:p>
            <w:pPr>
              <w:spacing w:before="40" w:after="40"/>
            </w:pPr>
            <w:r>
              <w:rPr>
                <w:rFonts w:ascii="Calibri" w:hAnsi="Calibri"/>
                <w:b w:val="0"/>
                <w:color w:val="374151"/>
                <w:sz w:val="19"/>
              </w:rPr>
              <w:t>GCA must schedule GC consults from three entry points: (1) patient's scheduling link in Labs Module (demographics pre-populated); (2) directly from patient's referral (schedule with any GC in state OR a specific GC); (3) ASAP override (add consult to existing referral, select GC, set phone medium). All three paths require DOB verification. M09-GCW-003 and M09-GCW-004 cover some GC scheduling parity but the GCA-initiated multi-path is not fully defined.</w:t>
            </w:r>
          </w:p>
        </w:tc>
        <w:tc>
          <w:tcPr>
            <w:tcW w:type="dxa" w:w="4680"/>
            <w:shd w:val="clear" w:color="auto" w:fill="FFFFFF"/>
            <w:tcW w:type="dxa" w:w="4320"/>
            <w:tcMar>
              <w:top w:w="80" w:type="dxa"/>
              <w:bottom w:w="80" w:type="dxa"/>
              <w:left w:w="120" w:type="dxa"/>
              <w:right w:w="120" w:type="dxa"/>
            </w:tcMar>
          </w:tcPr>
          <w:p>
            <w:pPr>
              <w:spacing w:before="40" w:after="40"/>
            </w:pPr>
            <w:r>
              <w:rPr>
                <w:rFonts w:ascii="Calibri" w:hAnsi="Calibri"/>
                <w:b w:val="0"/>
                <w:color w:val="374151"/>
                <w:sz w:val="19"/>
              </w:rPr>
              <w:t>In the GCA portal, add a scheduling entry point available from: (1) patient scheduling link view (demographics pre-populated); (2) referral detail page (schedule button with GC selector); (3) ASAP consult path within an existing referral. All three paths include a DOB verification gate before scheduling completes. GC selector shows only GCs licensed in the patient's state unless 'Specific GC' chosen (Genetics Lead approval required). ASAP creates a consult directly within the referral without a new scheduling link.</w:t>
            </w:r>
          </w:p>
        </w:tc>
      </w:tr>
      <w:tr>
        <w:tc>
          <w:tcPr>
            <w:tcW w:type="dxa" w:w="9360"/>
            <w:gridSpan w:val="2"/>
            <w:shd w:val="clear" w:color="auto" w:fill="F8FAFC"/>
          </w:tcPr>
          <w:p>
            <w:pPr>
              <w:spacing w:before="60" w:after="60"/>
            </w:pPr>
            <w:r>
              <w:rPr>
                <w:rFonts w:ascii="Calibri" w:hAnsi="Calibri"/>
                <w:b/>
                <w:color w:val="1D4ED8"/>
                <w:sz w:val="18"/>
              </w:rPr>
              <w:t xml:space="preserve">Queue / Routing:  </w:t>
            </w:r>
            <w:r>
              <w:rPr>
                <w:rFonts w:ascii="Calibri" w:hAnsi="Calibri"/>
                <w:b w:val="0"/>
                <w:color w:val="374151"/>
                <w:sz w:val="18"/>
              </w:rPr>
              <w:t>GCA scheduling → three entry points. DOB gate required at all paths. GC assignment → filtered by state licensure. ASAP → referral-level consult creation. Genetics Lead approval required for out-of-state GC assignment.</w:t>
            </w:r>
          </w:p>
        </w:tc>
      </w:tr>
    </w:tbl>
    <w:p>
      <w:pPr>
        <w:spacing w:after="80"/>
      </w:pPr>
    </w:p>
    <w:tbl>
      <w:tblPr>
        <w:tblW w:type="auto" w:w="0"/>
        <w:tblLook w:firstColumn="1" w:firstRow="1" w:lastColumn="0" w:lastRow="0" w:noHBand="0" w:noVBand="1" w:val="04A0"/>
        <w:tblW w:type="dxa" w:w="8640"/>
        <w:tblBorders>
          <w:top w:val="single" w:sz="6" w:space="0" w:color="1D4ED8"/>
          <w:left w:val="single" w:sz="6" w:space="0" w:color="1D4ED8"/>
          <w:bottom w:val="single" w:sz="6" w:space="0" w:color="1D4ED8"/>
          <w:right w:val="single" w:sz="6" w:space="0" w:color="1D4ED8"/>
          <w:insideH w:val="single" w:sz="6" w:space="0" w:color="1D4ED8"/>
          <w:insideV w:val="single" w:sz="6" w:space="0" w:color="1D4ED8"/>
        </w:tblBorders>
      </w:tblPr>
      <w:tblGrid>
        <w:gridCol w:w="4680"/>
        <w:gridCol w:w="4680"/>
      </w:tblGrid>
      <w:tr>
        <w:tc>
          <w:tcPr>
            <w:tcW w:type="dxa" w:w="9360"/>
            <w:gridSpan w:val="2"/>
            <w:shd w:val="clear" w:color="auto" w:fill="1D4ED8"/>
          </w:tcPr>
          <w:p>
            <w:pPr>
              <w:spacing w:before="80" w:after="80"/>
            </w:pPr>
            <w:r>
              <w:rPr>
                <w:rFonts w:ascii="Calibri" w:hAnsi="Calibri"/>
                <w:b/>
                <w:color w:val="FFFFFF"/>
                <w:sz w:val="17"/>
              </w:rPr>
              <w:t xml:space="preserve">CT-GAP-41  </w:t>
            </w:r>
            <w:r>
              <w:rPr>
                <w:rFonts w:ascii="Calibri" w:hAnsi="Calibri"/>
                <w:b/>
                <w:color w:val="FFFFFF"/>
                <w:sz w:val="21"/>
              </w:rPr>
              <w:t>POA Compliance Review — Submission Tracking + Undefer Trigger on Approval</w:t>
            </w:r>
            <w:r>
              <w:rPr>
                <w:rFonts w:ascii="Calibri" w:hAnsi="Calibri"/>
                <w:b w:val="0"/>
                <w:color w:val="D1FAE5"/>
                <w:sz w:val="17"/>
              </w:rPr>
              <w:t xml:space="preserve">    [M01]  |  Care Team Portal (GCA)  |  v1.0</w:t>
            </w:r>
          </w:p>
        </w:tc>
      </w:tr>
      <w:tr>
        <w:tc>
          <w:tcPr>
            <w:tcW w:type="dxa" w:w="4680"/>
            <w:shd w:val="clear" w:color="auto" w:fill="F1F5F9"/>
            <w:tcW w:type="dxa" w:w="4320"/>
          </w:tcPr>
          <w:p>
            <w:pPr>
              <w:spacing w:before="60" w:after="60"/>
            </w:pPr>
            <w:r>
              <w:rPr>
                <w:rFonts w:ascii="Calibri" w:hAnsi="Calibri"/>
                <w:b/>
                <w:color w:val="374151"/>
                <w:sz w:val="18"/>
              </w:rPr>
              <w:t>What Is the Gap (Current State)</w:t>
            </w:r>
          </w:p>
        </w:tc>
        <w:tc>
          <w:tcPr>
            <w:tcW w:type="dxa" w:w="4680"/>
            <w:shd w:val="clear" w:color="auto" w:fill="F1F5F9"/>
            <w:tcW w:type="dxa" w:w="4320"/>
          </w:tcPr>
          <w:p>
            <w:pPr>
              <w:spacing w:before="60" w:after="60"/>
            </w:pPr>
            <w:r>
              <w:rPr>
                <w:rFonts w:ascii="Calibri" w:hAnsi="Calibri"/>
                <w:b/>
                <w:color w:val="374151"/>
                <w:sz w:val="18"/>
              </w:rPr>
              <w:t>How Phoenix Fixes It</w:t>
            </w:r>
          </w:p>
        </w:tc>
      </w:tr>
      <w:tr>
        <w:tc>
          <w:tcPr>
            <w:tcW w:type="dxa" w:w="4680"/>
            <w:shd w:val="clear" w:color="auto" w:fill="FFFFFF"/>
            <w:tcW w:type="dxa" w:w="4320"/>
            <w:tcMar>
              <w:top w:w="80" w:type="dxa"/>
              <w:bottom w:w="80" w:type="dxa"/>
              <w:left w:w="120" w:type="dxa"/>
              <w:right w:w="120" w:type="dxa"/>
            </w:tcMar>
          </w:tcPr>
          <w:p>
            <w:pPr>
              <w:spacing w:before="40" w:after="40"/>
            </w:pPr>
            <w:r>
              <w:rPr>
                <w:rFonts w:ascii="Calibri" w:hAnsi="Calibri"/>
                <w:b w:val="0"/>
                <w:color w:val="374151"/>
                <w:sz w:val="19"/>
              </w:rPr>
              <w:t>When POA/guardianship documentation is obtained, GCA must send it securely to compliance@everlyhealth.com, await Privacy Program/Legal approval, then on approval: add compliance confirmation note to LM contact log, un-defer the order, upload the POA document to the referral with expiration date, and notify the representative that scheduling can proceed. M01-REP-001 covers POA documentation requirement but the platform-mediated compliance approval tracking step with undefer trigger is not captured.</w:t>
            </w:r>
          </w:p>
        </w:tc>
        <w:tc>
          <w:tcPr>
            <w:tcW w:type="dxa" w:w="4680"/>
            <w:shd w:val="clear" w:color="auto" w:fill="FFFFFF"/>
            <w:tcW w:type="dxa" w:w="4320"/>
            <w:tcMar>
              <w:top w:w="80" w:type="dxa"/>
              <w:bottom w:w="80" w:type="dxa"/>
              <w:left w:w="120" w:type="dxa"/>
              <w:right w:w="120" w:type="dxa"/>
            </w:tcMar>
          </w:tcPr>
          <w:p>
            <w:pPr>
              <w:spacing w:before="40" w:after="40"/>
            </w:pPr>
            <w:r>
              <w:rPr>
                <w:rFonts w:ascii="Calibri" w:hAnsi="Calibri"/>
                <w:b w:val="0"/>
                <w:color w:val="374151"/>
                <w:sz w:val="19"/>
              </w:rPr>
              <w:t>In the GCA POA review workflow, add a 'Submit to Compliance' step: (1) GCA sends POA document via secure send; (2) platform creates a 'Pending Compliance Approval' task in GCA queue with status visible on the order; (3) on approval confirmation: GCA marks approved in platform, which auto-undefs the order, uploads POA document (with expiration date field), logs compliance note, and sends representative notification. Order status flow: DEFERRED → PENDING COMPLIANCE → ACTIVE.</w:t>
            </w:r>
          </w:p>
        </w:tc>
      </w:tr>
      <w:tr>
        <w:tc>
          <w:tcPr>
            <w:tcW w:type="dxa" w:w="9360"/>
            <w:gridSpan w:val="2"/>
            <w:shd w:val="clear" w:color="auto" w:fill="F8FAFC"/>
          </w:tcPr>
          <w:p>
            <w:pPr>
              <w:spacing w:before="60" w:after="60"/>
            </w:pPr>
            <w:r>
              <w:rPr>
                <w:rFonts w:ascii="Calibri" w:hAnsi="Calibri"/>
                <w:b/>
                <w:color w:val="1D4ED8"/>
                <w:sz w:val="18"/>
              </w:rPr>
              <w:t xml:space="preserve">Queue / Routing:  </w:t>
            </w:r>
            <w:r>
              <w:rPr>
                <w:rFonts w:ascii="Calibri" w:hAnsi="Calibri"/>
                <w:b w:val="0"/>
                <w:color w:val="374151"/>
                <w:sz w:val="18"/>
              </w:rPr>
              <w:t>GCA POA compliance task queue. Secure document send → 'Pending Compliance Approval' status on order. On approval: auto-undefer + representative notification. All status transitions logged.</w:t>
            </w:r>
          </w:p>
        </w:tc>
      </w:tr>
    </w:tbl>
    <w:p>
      <w:pPr>
        <w:spacing w:after="80"/>
      </w:pPr>
    </w:p>
    <w:p>
      <w:pPr>
        <w:spacing w:before="280" w:after="120"/>
        <w:pBdr>
          <w:bottom w:val="single" w:sz="6" w:space="1" w:color="9D174D"/>
        </w:pBdr>
      </w:pPr>
      <w:r>
        <w:rPr>
          <w:rFonts w:ascii="Calibri" w:hAnsi="Calibri"/>
          <w:b/>
          <w:color w:val="9D174D"/>
          <w:sz w:val="26"/>
        </w:rPr>
        <w:t>13. GCA — QA, Billing &amp; Performance Monitoring</w:t>
      </w:r>
    </w:p>
    <w:tbl>
      <w:tblPr>
        <w:tblW w:type="auto" w:w="0"/>
        <w:tblLook w:firstColumn="1" w:firstRow="1" w:lastColumn="0" w:lastRow="0" w:noHBand="0" w:noVBand="1" w:val="04A0"/>
        <w:tblW w:type="dxa" w:w="8640"/>
        <w:tblBorders>
          <w:top w:val="single" w:sz="6" w:space="0" w:color="9D174D"/>
          <w:left w:val="single" w:sz="6" w:space="0" w:color="9D174D"/>
          <w:bottom w:val="single" w:sz="6" w:space="0" w:color="9D174D"/>
          <w:right w:val="single" w:sz="6" w:space="0" w:color="9D174D"/>
          <w:insideH w:val="single" w:sz="6" w:space="0" w:color="9D174D"/>
          <w:insideV w:val="single" w:sz="6" w:space="0" w:color="9D174D"/>
        </w:tblBorders>
      </w:tblPr>
      <w:tblGrid>
        <w:gridCol w:w="4680"/>
        <w:gridCol w:w="4680"/>
      </w:tblGrid>
      <w:tr>
        <w:tc>
          <w:tcPr>
            <w:tcW w:type="dxa" w:w="9360"/>
            <w:gridSpan w:val="2"/>
            <w:shd w:val="clear" w:color="auto" w:fill="9D174D"/>
          </w:tcPr>
          <w:p>
            <w:pPr>
              <w:spacing w:before="80" w:after="80"/>
            </w:pPr>
            <w:r>
              <w:rPr>
                <w:rFonts w:ascii="Calibri" w:hAnsi="Calibri"/>
                <w:b/>
                <w:color w:val="FFFFFF"/>
                <w:sz w:val="17"/>
              </w:rPr>
              <w:t xml:space="preserve">CT-GAP-42  </w:t>
            </w:r>
            <w:r>
              <w:rPr>
                <w:rFonts w:ascii="Calibri" w:hAnsi="Calibri"/>
                <w:b/>
                <w:color w:val="FFFFFF"/>
                <w:sz w:val="21"/>
              </w:rPr>
              <w:t>GC Billing Dashboard — Monthly Consult Tier Counting by Client</w:t>
            </w:r>
            <w:r>
              <w:rPr>
                <w:rFonts w:ascii="Calibri" w:hAnsi="Calibri"/>
                <w:b w:val="0"/>
                <w:color w:val="D1FAE5"/>
                <w:sz w:val="17"/>
              </w:rPr>
              <w:t xml:space="preserve">    [M13]  |  Admin Portal  |  v1.0</w:t>
            </w:r>
          </w:p>
        </w:tc>
      </w:tr>
      <w:tr>
        <w:tc>
          <w:tcPr>
            <w:tcW w:type="dxa" w:w="4680"/>
            <w:shd w:val="clear" w:color="auto" w:fill="F1F5F9"/>
            <w:tcW w:type="dxa" w:w="4320"/>
          </w:tcPr>
          <w:p>
            <w:pPr>
              <w:spacing w:before="60" w:after="60"/>
            </w:pPr>
            <w:r>
              <w:rPr>
                <w:rFonts w:ascii="Calibri" w:hAnsi="Calibri"/>
                <w:b/>
                <w:color w:val="374151"/>
                <w:sz w:val="18"/>
              </w:rPr>
              <w:t>What Is the Gap (Current State)</w:t>
            </w:r>
          </w:p>
        </w:tc>
        <w:tc>
          <w:tcPr>
            <w:tcW w:type="dxa" w:w="4680"/>
            <w:shd w:val="clear" w:color="auto" w:fill="F1F5F9"/>
            <w:tcW w:type="dxa" w:w="4320"/>
          </w:tcPr>
          <w:p>
            <w:pPr>
              <w:spacing w:before="60" w:after="60"/>
            </w:pPr>
            <w:r>
              <w:rPr>
                <w:rFonts w:ascii="Calibri" w:hAnsi="Calibri"/>
                <w:b/>
                <w:color w:val="374151"/>
                <w:sz w:val="18"/>
              </w:rPr>
              <w:t>How Phoenix Fixes It</w:t>
            </w:r>
          </w:p>
        </w:tc>
      </w:tr>
      <w:tr>
        <w:tc>
          <w:tcPr>
            <w:tcW w:type="dxa" w:w="4680"/>
            <w:shd w:val="clear" w:color="auto" w:fill="FFFFFF"/>
            <w:tcW w:type="dxa" w:w="4320"/>
            <w:tcMar>
              <w:top w:w="80" w:type="dxa"/>
              <w:bottom w:w="80" w:type="dxa"/>
              <w:left w:w="120" w:type="dxa"/>
              <w:right w:w="120" w:type="dxa"/>
            </w:tcMar>
          </w:tcPr>
          <w:p>
            <w:pPr>
              <w:spacing w:before="40" w:after="40"/>
            </w:pPr>
            <w:r>
              <w:rPr>
                <w:rFonts w:ascii="Calibri" w:hAnsi="Calibri"/>
                <w:b w:val="0"/>
                <w:color w:val="374151"/>
                <w:sz w:val="19"/>
              </w:rPr>
              <w:t>M13-GCB-001 defines the GC billing report structure but not client-to-tier mapping rules or monthly tier-count entry workflow. Tier classification: Fulgent = Simple (Picture Parenting/Newborn) or Moderate (PGx/Wellness/Parkinson's); Eli Lilly = Moderate; Viome/Grail/Geneticure = Simple; Probably Genetic = Complex. No requirement captures the manual tier-count entry for compensation calculation.</w:t>
            </w:r>
          </w:p>
        </w:tc>
        <w:tc>
          <w:tcPr>
            <w:tcW w:type="dxa" w:w="4680"/>
            <w:shd w:val="clear" w:color="auto" w:fill="FFFFFF"/>
            <w:tcW w:type="dxa" w:w="4320"/>
            <w:tcMar>
              <w:top w:w="80" w:type="dxa"/>
              <w:bottom w:w="80" w:type="dxa"/>
              <w:left w:w="120" w:type="dxa"/>
              <w:right w:w="120" w:type="dxa"/>
            </w:tcMar>
          </w:tcPr>
          <w:p>
            <w:pPr>
              <w:spacing w:before="40" w:after="40"/>
            </w:pPr>
            <w:r>
              <w:rPr>
                <w:rFonts w:ascii="Calibri" w:hAnsi="Calibri"/>
                <w:b w:val="0"/>
                <w:color w:val="374151"/>
                <w:sz w:val="19"/>
              </w:rPr>
              <w:t>Extend M13-GCB-001 with a tier-mapping configuration in Admin Portal: each genetics client maps to a billing tier (Simple, Moderate, Complex) per care product type. Billing dashboard auto-classifies completed consults by client + care product and displays monthly count per GC per tier. Billing admin reviews and can manually adjust counts before finalizing. Final counts drive compensation calculations. Tier mapping table editable by Admin-role users only.</w:t>
            </w:r>
          </w:p>
        </w:tc>
      </w:tr>
      <w:tr>
        <w:tc>
          <w:tcPr>
            <w:tcW w:type="dxa" w:w="9360"/>
            <w:gridSpan w:val="2"/>
            <w:shd w:val="clear" w:color="auto" w:fill="F8FAFC"/>
          </w:tcPr>
          <w:p>
            <w:pPr>
              <w:spacing w:before="60" w:after="60"/>
            </w:pPr>
            <w:r>
              <w:rPr>
                <w:rFonts w:ascii="Calibri" w:hAnsi="Calibri"/>
                <w:b/>
                <w:color w:val="9D174D"/>
                <w:sz w:val="18"/>
              </w:rPr>
              <w:t xml:space="preserve">Queue / Routing:  </w:t>
            </w:r>
            <w:r>
              <w:rPr>
                <w:rFonts w:ascii="Calibri" w:hAnsi="Calibri"/>
                <w:b w:val="0"/>
                <w:color w:val="374151"/>
                <w:sz w:val="18"/>
              </w:rPr>
              <w:t>GC Billing Dashboard (Admin Portal). Tier classification automatic from consult records. Billing admin reviews and finalizes monthly. Adjustments are audit-logged.</w:t>
            </w:r>
          </w:p>
        </w:tc>
      </w:tr>
    </w:tbl>
    <w:p>
      <w:pPr>
        <w:spacing w:after="80"/>
      </w:pPr>
    </w:p>
    <w:tbl>
      <w:tblPr>
        <w:tblW w:type="auto" w:w="0"/>
        <w:tblLook w:firstColumn="1" w:firstRow="1" w:lastColumn="0" w:lastRow="0" w:noHBand="0" w:noVBand="1" w:val="04A0"/>
        <w:tblW w:type="dxa" w:w="8640"/>
        <w:tblBorders>
          <w:top w:val="single" w:sz="6" w:space="0" w:color="9D174D"/>
          <w:left w:val="single" w:sz="6" w:space="0" w:color="9D174D"/>
          <w:bottom w:val="single" w:sz="6" w:space="0" w:color="9D174D"/>
          <w:right w:val="single" w:sz="6" w:space="0" w:color="9D174D"/>
          <w:insideH w:val="single" w:sz="6" w:space="0" w:color="9D174D"/>
          <w:insideV w:val="single" w:sz="6" w:space="0" w:color="9D174D"/>
        </w:tblBorders>
      </w:tblPr>
      <w:tblGrid>
        <w:gridCol w:w="4680"/>
        <w:gridCol w:w="4680"/>
      </w:tblGrid>
      <w:tr>
        <w:tc>
          <w:tcPr>
            <w:tcW w:type="dxa" w:w="9360"/>
            <w:gridSpan w:val="2"/>
            <w:shd w:val="clear" w:color="auto" w:fill="9D174D"/>
          </w:tcPr>
          <w:p>
            <w:pPr>
              <w:spacing w:before="80" w:after="80"/>
            </w:pPr>
            <w:r>
              <w:rPr>
                <w:rFonts w:ascii="Calibri" w:hAnsi="Calibri"/>
                <w:b/>
                <w:color w:val="FFFFFF"/>
                <w:sz w:val="17"/>
              </w:rPr>
              <w:t xml:space="preserve">CT-GAP-43  </w:t>
            </w:r>
            <w:r>
              <w:rPr>
                <w:rFonts w:ascii="Calibri" w:hAnsi="Calibri"/>
                <w:b/>
                <w:color w:val="FFFFFF"/>
                <w:sz w:val="21"/>
              </w:rPr>
              <w:t>GC Billing — 24-Hour Late-Cancel Rule vs. No-Show Distinction</w:t>
            </w:r>
            <w:r>
              <w:rPr>
                <w:rFonts w:ascii="Calibri" w:hAnsi="Calibri"/>
                <w:b w:val="0"/>
                <w:color w:val="D1FAE5"/>
                <w:sz w:val="17"/>
              </w:rPr>
              <w:t xml:space="preserve">    [M13]  |  Admin Portal  |  v1.0</w:t>
            </w:r>
          </w:p>
        </w:tc>
      </w:tr>
      <w:tr>
        <w:tc>
          <w:tcPr>
            <w:tcW w:type="dxa" w:w="4680"/>
            <w:shd w:val="clear" w:color="auto" w:fill="F1F5F9"/>
            <w:tcW w:type="dxa" w:w="4320"/>
          </w:tcPr>
          <w:p>
            <w:pPr>
              <w:spacing w:before="60" w:after="60"/>
            </w:pPr>
            <w:r>
              <w:rPr>
                <w:rFonts w:ascii="Calibri" w:hAnsi="Calibri"/>
                <w:b/>
                <w:color w:val="374151"/>
                <w:sz w:val="18"/>
              </w:rPr>
              <w:t>What Is the Gap (Current State)</w:t>
            </w:r>
          </w:p>
        </w:tc>
        <w:tc>
          <w:tcPr>
            <w:tcW w:type="dxa" w:w="4680"/>
            <w:shd w:val="clear" w:color="auto" w:fill="F1F5F9"/>
            <w:tcW w:type="dxa" w:w="4320"/>
          </w:tcPr>
          <w:p>
            <w:pPr>
              <w:spacing w:before="60" w:after="60"/>
            </w:pPr>
            <w:r>
              <w:rPr>
                <w:rFonts w:ascii="Calibri" w:hAnsi="Calibri"/>
                <w:b/>
                <w:color w:val="374151"/>
                <w:sz w:val="18"/>
              </w:rPr>
              <w:t>How Phoenix Fixes It</w:t>
            </w:r>
          </w:p>
        </w:tc>
      </w:tr>
      <w:tr>
        <w:tc>
          <w:tcPr>
            <w:tcW w:type="dxa" w:w="4680"/>
            <w:shd w:val="clear" w:color="auto" w:fill="FFFFFF"/>
            <w:tcW w:type="dxa" w:w="4320"/>
            <w:tcMar>
              <w:top w:w="80" w:type="dxa"/>
              <w:bottom w:w="80" w:type="dxa"/>
              <w:left w:w="120" w:type="dxa"/>
              <w:right w:w="120" w:type="dxa"/>
            </w:tcMar>
          </w:tcPr>
          <w:p>
            <w:pPr>
              <w:spacing w:before="40" w:after="40"/>
            </w:pPr>
            <w:r>
              <w:rPr>
                <w:rFonts w:ascii="Calibri" w:hAnsi="Calibri"/>
                <w:b w:val="0"/>
                <w:color w:val="374151"/>
                <w:sz w:val="19"/>
              </w:rPr>
              <w:t>M13-GCB-001 does not distinguish between no-shows and late cancellations for billing purposes. Consults canceled within 24 hours of scheduled start count as compensable late-cancels (GC is paid); true no-shows are tracked separately; standard cancellations (&gt;24 hours ahead) are not compensable. This distinction is not captured.</w:t>
            </w:r>
          </w:p>
        </w:tc>
        <w:tc>
          <w:tcPr>
            <w:tcW w:type="dxa" w:w="4680"/>
            <w:shd w:val="clear" w:color="auto" w:fill="FFFFFF"/>
            <w:tcW w:type="dxa" w:w="4320"/>
            <w:tcMar>
              <w:top w:w="80" w:type="dxa"/>
              <w:bottom w:w="80" w:type="dxa"/>
              <w:left w:w="120" w:type="dxa"/>
              <w:right w:w="120" w:type="dxa"/>
            </w:tcMar>
          </w:tcPr>
          <w:p>
            <w:pPr>
              <w:spacing w:before="40" w:after="40"/>
            </w:pPr>
            <w:r>
              <w:rPr>
                <w:rFonts w:ascii="Calibri" w:hAnsi="Calibri"/>
                <w:b w:val="0"/>
                <w:color w:val="374151"/>
                <w:sz w:val="19"/>
              </w:rPr>
              <w:t>When a consult is canceled, record the cancellation timestamp relative to the scheduled start. Billing dashboard auto-classifies: &gt;24 hours before start = Standard Cancel (not compensable); &lt;24 hours before start = Late Cancel (compensable, GC paid); patient no-contact on day of consult = No-Show (tracked separately). Billing dashboard shows monthly counts for each category per GC. Thresholds configurable in Admin Portal.</w:t>
            </w:r>
          </w:p>
        </w:tc>
      </w:tr>
      <w:tr>
        <w:tc>
          <w:tcPr>
            <w:tcW w:type="dxa" w:w="9360"/>
            <w:gridSpan w:val="2"/>
            <w:shd w:val="clear" w:color="auto" w:fill="F8FAFC"/>
          </w:tcPr>
          <w:p>
            <w:pPr>
              <w:spacing w:before="60" w:after="60"/>
            </w:pPr>
            <w:r>
              <w:rPr>
                <w:rFonts w:ascii="Calibri" w:hAnsi="Calibri"/>
                <w:b/>
                <w:color w:val="9D174D"/>
                <w:sz w:val="18"/>
              </w:rPr>
              <w:t xml:space="preserve">Queue / Routing:  </w:t>
            </w:r>
            <w:r>
              <w:rPr>
                <w:rFonts w:ascii="Calibri" w:hAnsi="Calibri"/>
                <w:b w:val="0"/>
                <w:color w:val="374151"/>
                <w:sz w:val="18"/>
              </w:rPr>
              <w:t>Cancellation event → auto-classification by time delta. GC Billing Dashboard: separate columns for Late Cancel, No-Show, Standard Cancel. Admin reviews monthly.</w:t>
            </w:r>
          </w:p>
        </w:tc>
      </w:tr>
    </w:tbl>
    <w:p>
      <w:pPr>
        <w:spacing w:after="80"/>
      </w:pPr>
    </w:p>
    <w:tbl>
      <w:tblPr>
        <w:tblW w:type="auto" w:w="0"/>
        <w:tblLook w:firstColumn="1" w:firstRow="1" w:lastColumn="0" w:lastRow="0" w:noHBand="0" w:noVBand="1" w:val="04A0"/>
        <w:tblW w:type="dxa" w:w="8640"/>
        <w:tblBorders>
          <w:top w:val="single" w:sz="6" w:space="0" w:color="9D174D"/>
          <w:left w:val="single" w:sz="6" w:space="0" w:color="9D174D"/>
          <w:bottom w:val="single" w:sz="6" w:space="0" w:color="9D174D"/>
          <w:right w:val="single" w:sz="6" w:space="0" w:color="9D174D"/>
          <w:insideH w:val="single" w:sz="6" w:space="0" w:color="9D174D"/>
          <w:insideV w:val="single" w:sz="6" w:space="0" w:color="9D174D"/>
        </w:tblBorders>
      </w:tblPr>
      <w:tblGrid>
        <w:gridCol w:w="4680"/>
        <w:gridCol w:w="4680"/>
      </w:tblGrid>
      <w:tr>
        <w:tc>
          <w:tcPr>
            <w:tcW w:type="dxa" w:w="9360"/>
            <w:gridSpan w:val="2"/>
            <w:shd w:val="clear" w:color="auto" w:fill="9D174D"/>
          </w:tcPr>
          <w:p>
            <w:pPr>
              <w:spacing w:before="80" w:after="80"/>
            </w:pPr>
            <w:r>
              <w:rPr>
                <w:rFonts w:ascii="Calibri" w:hAnsi="Calibri"/>
                <w:b/>
                <w:color w:val="FFFFFF"/>
                <w:sz w:val="17"/>
              </w:rPr>
              <w:t xml:space="preserve">CT-GAP-44  </w:t>
            </w:r>
            <w:r>
              <w:rPr>
                <w:rFonts w:ascii="Calibri" w:hAnsi="Calibri"/>
                <w:b/>
                <w:color w:val="FFFFFF"/>
                <w:sz w:val="21"/>
              </w:rPr>
              <w:t>GC NPS Feedback Monitoring — Weekly Score Review and Escalation</w:t>
            </w:r>
            <w:r>
              <w:rPr>
                <w:rFonts w:ascii="Calibri" w:hAnsi="Calibri"/>
                <w:b w:val="0"/>
                <w:color w:val="FDE68A"/>
                <w:sz w:val="17"/>
              </w:rPr>
              <w:t xml:space="preserve">    [M13]  |  Admin Portal (GCA/Ops)  |  v2.0</w:t>
            </w:r>
          </w:p>
        </w:tc>
      </w:tr>
      <w:tr>
        <w:tc>
          <w:tcPr>
            <w:tcW w:type="dxa" w:w="4680"/>
            <w:shd w:val="clear" w:color="auto" w:fill="F1F5F9"/>
            <w:tcW w:type="dxa" w:w="4320"/>
          </w:tcPr>
          <w:p>
            <w:pPr>
              <w:spacing w:before="60" w:after="60"/>
            </w:pPr>
            <w:r>
              <w:rPr>
                <w:rFonts w:ascii="Calibri" w:hAnsi="Calibri"/>
                <w:b/>
                <w:color w:val="374151"/>
                <w:sz w:val="18"/>
              </w:rPr>
              <w:t>What Is the Gap (Current State)</w:t>
            </w:r>
          </w:p>
        </w:tc>
        <w:tc>
          <w:tcPr>
            <w:tcW w:type="dxa" w:w="4680"/>
            <w:shd w:val="clear" w:color="auto" w:fill="F1F5F9"/>
            <w:tcW w:type="dxa" w:w="4320"/>
          </w:tcPr>
          <w:p>
            <w:pPr>
              <w:spacing w:before="60" w:after="60"/>
            </w:pPr>
            <w:r>
              <w:rPr>
                <w:rFonts w:ascii="Calibri" w:hAnsi="Calibri"/>
                <w:b/>
                <w:color w:val="374151"/>
                <w:sz w:val="18"/>
              </w:rPr>
              <w:t>How Phoenix Fixes It</w:t>
            </w:r>
          </w:p>
        </w:tc>
      </w:tr>
      <w:tr>
        <w:tc>
          <w:tcPr>
            <w:tcW w:type="dxa" w:w="4680"/>
            <w:shd w:val="clear" w:color="auto" w:fill="FFFFFF"/>
            <w:tcW w:type="dxa" w:w="4320"/>
            <w:tcMar>
              <w:top w:w="80" w:type="dxa"/>
              <w:bottom w:w="80" w:type="dxa"/>
              <w:left w:w="120" w:type="dxa"/>
              <w:right w:w="120" w:type="dxa"/>
            </w:tcMar>
          </w:tcPr>
          <w:p>
            <w:pPr>
              <w:spacing w:before="40" w:after="40"/>
            </w:pPr>
            <w:r>
              <w:rPr>
                <w:rFonts w:ascii="Calibri" w:hAnsi="Calibri"/>
                <w:b w:val="0"/>
                <w:color w:val="374151"/>
                <w:sz w:val="19"/>
              </w:rPr>
              <w:t>No requirement captures a GC-specific NPS monitoring queue or feedback-driven escalation workflow. The process: weekly review of scores below 7, classification as GC-related vs. test-related, escalation to Genetics Lead if GC-related below 7, follow-up consult if question-related, and monthly positive feedback email digest to each GC.</w:t>
            </w:r>
          </w:p>
        </w:tc>
        <w:tc>
          <w:tcPr>
            <w:tcW w:type="dxa" w:w="4680"/>
            <w:shd w:val="clear" w:color="auto" w:fill="FFFFFF"/>
            <w:tcW w:type="dxa" w:w="4320"/>
            <w:tcMar>
              <w:top w:w="80" w:type="dxa"/>
              <w:bottom w:w="80" w:type="dxa"/>
              <w:left w:w="120" w:type="dxa"/>
              <w:right w:w="120" w:type="dxa"/>
            </w:tcMar>
          </w:tcPr>
          <w:p>
            <w:pPr>
              <w:spacing w:before="40" w:after="40"/>
            </w:pPr>
            <w:r>
              <w:rPr>
                <w:rFonts w:ascii="Calibri" w:hAnsi="Calibri"/>
                <w:b w:val="0"/>
                <w:color w:val="374151"/>
                <w:sz w:val="19"/>
              </w:rPr>
              <w:t>Add a GC NPS Review view in the Admin/Ops portal. Weekly: all scores below 7 surfaced with feedback text. GCA/Ops classifies as GC-related or test-related. GC-related below 7: auto-routes to Genetics Lead queue for review. Question-related: follow-up consult task created. Monthly: platform compiles positive feedback (scores 9–10) per GC and generates a digest email to each GC with Genetics Lead cc'd. NPS data source configurable (native survey or external integration).</w:t>
            </w:r>
          </w:p>
        </w:tc>
      </w:tr>
      <w:tr>
        <w:tc>
          <w:tcPr>
            <w:tcW w:type="dxa" w:w="9360"/>
            <w:gridSpan w:val="2"/>
            <w:shd w:val="clear" w:color="auto" w:fill="F8FAFC"/>
          </w:tcPr>
          <w:p>
            <w:pPr>
              <w:spacing w:before="60" w:after="60"/>
            </w:pPr>
            <w:r>
              <w:rPr>
                <w:rFonts w:ascii="Calibri" w:hAnsi="Calibri"/>
                <w:b/>
                <w:color w:val="9D174D"/>
                <w:sz w:val="18"/>
              </w:rPr>
              <w:t xml:space="preserve">Queue / Routing:  </w:t>
            </w:r>
            <w:r>
              <w:rPr>
                <w:rFonts w:ascii="Calibri" w:hAnsi="Calibri"/>
                <w:b w:val="0"/>
                <w:color w:val="374151"/>
                <w:sz w:val="18"/>
              </w:rPr>
              <w:t>NPS Review queue (GCA/Ops). Score &lt;7 GC-related → Genetics Lead review queue. Question-related → follow-up consult task. Monthly positive digest → auto-email to GCs.</w:t>
            </w:r>
          </w:p>
        </w:tc>
      </w:tr>
    </w:tbl>
    <w:p>
      <w:pPr>
        <w:spacing w:after="80"/>
      </w:pPr>
    </w:p>
    <w:tbl>
      <w:tblPr>
        <w:tblW w:type="auto" w:w="0"/>
        <w:tblLook w:firstColumn="1" w:firstRow="1" w:lastColumn="0" w:lastRow="0" w:noHBand="0" w:noVBand="1" w:val="04A0"/>
        <w:tblW w:type="dxa" w:w="8640"/>
        <w:tblBorders>
          <w:top w:val="single" w:sz="6" w:space="0" w:color="9D174D"/>
          <w:left w:val="single" w:sz="6" w:space="0" w:color="9D174D"/>
          <w:bottom w:val="single" w:sz="6" w:space="0" w:color="9D174D"/>
          <w:right w:val="single" w:sz="6" w:space="0" w:color="9D174D"/>
          <w:insideH w:val="single" w:sz="6" w:space="0" w:color="9D174D"/>
          <w:insideV w:val="single" w:sz="6" w:space="0" w:color="9D174D"/>
        </w:tblBorders>
      </w:tblPr>
      <w:tblGrid>
        <w:gridCol w:w="4680"/>
        <w:gridCol w:w="4680"/>
      </w:tblGrid>
      <w:tr>
        <w:tc>
          <w:tcPr>
            <w:tcW w:type="dxa" w:w="9360"/>
            <w:gridSpan w:val="2"/>
            <w:shd w:val="clear" w:color="auto" w:fill="9D174D"/>
          </w:tcPr>
          <w:p>
            <w:pPr>
              <w:spacing w:before="80" w:after="80"/>
            </w:pPr>
            <w:r>
              <w:rPr>
                <w:rFonts w:ascii="Calibri" w:hAnsi="Calibri"/>
                <w:b/>
                <w:color w:val="FFFFFF"/>
                <w:sz w:val="17"/>
              </w:rPr>
              <w:t xml:space="preserve">CT-GAP-45  </w:t>
            </w:r>
            <w:r>
              <w:rPr>
                <w:rFonts w:ascii="Calibri" w:hAnsi="Calibri"/>
                <w:b/>
                <w:color w:val="FFFFFF"/>
                <w:sz w:val="21"/>
              </w:rPr>
              <w:t>GCA Weekly Availability Monitoring — &lt;5-Hour Threshold Alert + 4-Day Escalation</w:t>
            </w:r>
            <w:r>
              <w:rPr>
                <w:rFonts w:ascii="Calibri" w:hAnsi="Calibri"/>
                <w:b w:val="0"/>
                <w:color w:val="D1FAE5"/>
                <w:sz w:val="17"/>
              </w:rPr>
              <w:t xml:space="preserve">    [M09]  |  Care Team Portal (GCA)  |  v1.0</w:t>
            </w:r>
          </w:p>
        </w:tc>
      </w:tr>
      <w:tr>
        <w:tc>
          <w:tcPr>
            <w:tcW w:type="dxa" w:w="4680"/>
            <w:shd w:val="clear" w:color="auto" w:fill="F1F5F9"/>
            <w:tcW w:type="dxa" w:w="4320"/>
          </w:tcPr>
          <w:p>
            <w:pPr>
              <w:spacing w:before="60" w:after="60"/>
            </w:pPr>
            <w:r>
              <w:rPr>
                <w:rFonts w:ascii="Calibri" w:hAnsi="Calibri"/>
                <w:b/>
                <w:color w:val="374151"/>
                <w:sz w:val="18"/>
              </w:rPr>
              <w:t>What Is the Gap (Current State)</w:t>
            </w:r>
          </w:p>
        </w:tc>
        <w:tc>
          <w:tcPr>
            <w:tcW w:type="dxa" w:w="4680"/>
            <w:shd w:val="clear" w:color="auto" w:fill="F1F5F9"/>
            <w:tcW w:type="dxa" w:w="4320"/>
          </w:tcPr>
          <w:p>
            <w:pPr>
              <w:spacing w:before="60" w:after="60"/>
            </w:pPr>
            <w:r>
              <w:rPr>
                <w:rFonts w:ascii="Calibri" w:hAnsi="Calibri"/>
                <w:b/>
                <w:color w:val="374151"/>
                <w:sz w:val="18"/>
              </w:rPr>
              <w:t>How Phoenix Fixes It</w:t>
            </w:r>
          </w:p>
        </w:tc>
      </w:tr>
      <w:tr>
        <w:tc>
          <w:tcPr>
            <w:tcW w:type="dxa" w:w="4680"/>
            <w:shd w:val="clear" w:color="auto" w:fill="FFFFFF"/>
            <w:tcW w:type="dxa" w:w="4320"/>
            <w:tcMar>
              <w:top w:w="80" w:type="dxa"/>
              <w:bottom w:w="80" w:type="dxa"/>
              <w:left w:w="120" w:type="dxa"/>
              <w:right w:w="120" w:type="dxa"/>
            </w:tcMar>
          </w:tcPr>
          <w:p>
            <w:pPr>
              <w:spacing w:before="40" w:after="40"/>
            </w:pPr>
            <w:r>
              <w:rPr>
                <w:rFonts w:ascii="Calibri" w:hAnsi="Calibri"/>
                <w:b w:val="0"/>
                <w:color w:val="374151"/>
                <w:sz w:val="19"/>
              </w:rPr>
              <w:t>The platform must monitor GC weekly availability for the following week and alert when any GC has fewer than 5 logged hours (excluding approved PTO). Alert must: auto-send reminder email to GC if deficiency is unexcused, log the incident in the GC QA dashboard as 'Did Not Update Availability,' and escalate to Genetics Lead if not resolved within 4 days.</w:t>
            </w:r>
          </w:p>
        </w:tc>
        <w:tc>
          <w:tcPr>
            <w:tcW w:type="dxa" w:w="4680"/>
            <w:shd w:val="clear" w:color="auto" w:fill="FFFFFF"/>
            <w:tcW w:type="dxa" w:w="4320"/>
            <w:tcMar>
              <w:top w:w="80" w:type="dxa"/>
              <w:bottom w:w="80" w:type="dxa"/>
              <w:left w:w="120" w:type="dxa"/>
              <w:right w:w="120" w:type="dxa"/>
            </w:tcMar>
          </w:tcPr>
          <w:p>
            <w:pPr>
              <w:spacing w:before="40" w:after="40"/>
            </w:pPr>
            <w:r>
              <w:rPr>
                <w:rFonts w:ascii="Calibri" w:hAnsi="Calibri"/>
                <w:b w:val="0"/>
                <w:color w:val="374151"/>
                <w:sz w:val="19"/>
              </w:rPr>
              <w:t>In the GC scheduling module, add weekly availability monitoring: each week the platform tallies next week's GC availability. If any GC has &lt;5 hours (excluding approved PTO): (1) automated reminder email sent to GC; (2) 'Did Not Update Availability' entry auto-created in GC QA dashboard; (3) GCA receives visibility task. If GC does not update within 4 days: escalation notification sent to Genetics Lead. Minimum hours threshold and PTO exclusion logic configurable in Admin Portal.</w:t>
            </w:r>
          </w:p>
        </w:tc>
      </w:tr>
      <w:tr>
        <w:tc>
          <w:tcPr>
            <w:tcW w:type="dxa" w:w="9360"/>
            <w:gridSpan w:val="2"/>
            <w:shd w:val="clear" w:color="auto" w:fill="F8FAFC"/>
          </w:tcPr>
          <w:p>
            <w:pPr>
              <w:spacing w:before="60" w:after="60"/>
            </w:pPr>
            <w:r>
              <w:rPr>
                <w:rFonts w:ascii="Calibri" w:hAnsi="Calibri"/>
                <w:b/>
                <w:color w:val="9D174D"/>
                <w:sz w:val="18"/>
              </w:rPr>
              <w:t xml:space="preserve">Queue / Routing:  </w:t>
            </w:r>
            <w:r>
              <w:rPr>
                <w:rFonts w:ascii="Calibri" w:hAnsi="Calibri"/>
                <w:b w:val="0"/>
                <w:color w:val="374151"/>
                <w:sz w:val="18"/>
              </w:rPr>
              <w:t>GC availability monitoring → weekly scan. &lt;5 hours → GC reminder email + GC QA log entry + GCA visibility task. Not resolved in 4 days → Genetics Lead escalation.</w:t>
            </w:r>
          </w:p>
        </w:tc>
      </w:tr>
    </w:tbl>
    <w:p>
      <w:pPr>
        <w:spacing w:after="80"/>
      </w:pPr>
    </w:p>
    <w:tbl>
      <w:tblPr>
        <w:tblW w:type="auto" w:w="0"/>
        <w:tblLook w:firstColumn="1" w:firstRow="1" w:lastColumn="0" w:lastRow="0" w:noHBand="0" w:noVBand="1" w:val="04A0"/>
        <w:tblW w:type="dxa" w:w="8640"/>
        <w:tblBorders>
          <w:top w:val="single" w:sz="6" w:space="0" w:color="9D174D"/>
          <w:left w:val="single" w:sz="6" w:space="0" w:color="9D174D"/>
          <w:bottom w:val="single" w:sz="6" w:space="0" w:color="9D174D"/>
          <w:right w:val="single" w:sz="6" w:space="0" w:color="9D174D"/>
          <w:insideH w:val="single" w:sz="6" w:space="0" w:color="9D174D"/>
          <w:insideV w:val="single" w:sz="6" w:space="0" w:color="9D174D"/>
        </w:tblBorders>
      </w:tblPr>
      <w:tblGrid>
        <w:gridCol w:w="4680"/>
        <w:gridCol w:w="4680"/>
      </w:tblGrid>
      <w:tr>
        <w:tc>
          <w:tcPr>
            <w:tcW w:type="dxa" w:w="9360"/>
            <w:gridSpan w:val="2"/>
            <w:shd w:val="clear" w:color="auto" w:fill="9D174D"/>
          </w:tcPr>
          <w:p>
            <w:pPr>
              <w:spacing w:before="80" w:after="80"/>
            </w:pPr>
            <w:r>
              <w:rPr>
                <w:rFonts w:ascii="Calibri" w:hAnsi="Calibri"/>
                <w:b/>
                <w:color w:val="FFFFFF"/>
                <w:sz w:val="17"/>
              </w:rPr>
              <w:t xml:space="preserve">CT-GAP-46  </w:t>
            </w:r>
            <w:r>
              <w:rPr>
                <w:rFonts w:ascii="Calibri" w:hAnsi="Calibri"/>
                <w:b/>
                <w:color w:val="FFFFFF"/>
                <w:sz w:val="21"/>
              </w:rPr>
              <w:t>GC QA Monitoring Dashboard — Call Punctuality + 48-Hour Documentation Lateness</w:t>
            </w:r>
            <w:r>
              <w:rPr>
                <w:rFonts w:ascii="Calibri" w:hAnsi="Calibri"/>
                <w:b w:val="0"/>
                <w:color w:val="D1FAE5"/>
                <w:sz w:val="17"/>
              </w:rPr>
              <w:t xml:space="preserve">    [M13]  |  Care Team Portal (GCA)  |  v1.0</w:t>
            </w:r>
          </w:p>
        </w:tc>
      </w:tr>
      <w:tr>
        <w:tc>
          <w:tcPr>
            <w:tcW w:type="dxa" w:w="4680"/>
            <w:shd w:val="clear" w:color="auto" w:fill="F1F5F9"/>
            <w:tcW w:type="dxa" w:w="4320"/>
          </w:tcPr>
          <w:p>
            <w:pPr>
              <w:spacing w:before="60" w:after="60"/>
            </w:pPr>
            <w:r>
              <w:rPr>
                <w:rFonts w:ascii="Calibri" w:hAnsi="Calibri"/>
                <w:b/>
                <w:color w:val="374151"/>
                <w:sz w:val="18"/>
              </w:rPr>
              <w:t>What Is the Gap (Current State)</w:t>
            </w:r>
          </w:p>
        </w:tc>
        <w:tc>
          <w:tcPr>
            <w:tcW w:type="dxa" w:w="4680"/>
            <w:shd w:val="clear" w:color="auto" w:fill="F1F5F9"/>
            <w:tcW w:type="dxa" w:w="4320"/>
          </w:tcPr>
          <w:p>
            <w:pPr>
              <w:spacing w:before="60" w:after="60"/>
            </w:pPr>
            <w:r>
              <w:rPr>
                <w:rFonts w:ascii="Calibri" w:hAnsi="Calibri"/>
                <w:b/>
                <w:color w:val="374151"/>
                <w:sz w:val="18"/>
              </w:rPr>
              <w:t>How Phoenix Fixes It</w:t>
            </w:r>
          </w:p>
        </w:tc>
      </w:tr>
      <w:tr>
        <w:tc>
          <w:tcPr>
            <w:tcW w:type="dxa" w:w="4680"/>
            <w:shd w:val="clear" w:color="auto" w:fill="FFFFFF"/>
            <w:tcW w:type="dxa" w:w="4320"/>
            <w:tcMar>
              <w:top w:w="80" w:type="dxa"/>
              <w:bottom w:w="80" w:type="dxa"/>
              <w:left w:w="120" w:type="dxa"/>
              <w:right w:w="120" w:type="dxa"/>
            </w:tcMar>
          </w:tcPr>
          <w:p>
            <w:pPr>
              <w:spacing w:before="40" w:after="40"/>
            </w:pPr>
            <w:r>
              <w:rPr>
                <w:rFonts w:ascii="Calibri" w:hAnsi="Calibri"/>
                <w:b w:val="0"/>
                <w:color w:val="374151"/>
                <w:sz w:val="19"/>
              </w:rPr>
              <w:t>The platform needs a GC QA monitoring dashboard where GCA can log: late call starts (&gt;1 minute past scheduled, excluding valid exceptions like back-to-back consults or interpreter setup) and missing/late session reports (GCs must submit within 48 calendar hours; 3rd calendar day = late). Dashboard must auto-populate from consult monitoring alerts. M13-GCB-001 covers billing but the QA performance dashboard is not captured.</w:t>
            </w:r>
          </w:p>
        </w:tc>
        <w:tc>
          <w:tcPr>
            <w:tcW w:type="dxa" w:w="4680"/>
            <w:shd w:val="clear" w:color="auto" w:fill="FFFFFF"/>
            <w:tcW w:type="dxa" w:w="4320"/>
            <w:tcMar>
              <w:top w:w="80" w:type="dxa"/>
              <w:bottom w:w="80" w:type="dxa"/>
              <w:left w:w="120" w:type="dxa"/>
              <w:right w:w="120" w:type="dxa"/>
            </w:tcMar>
          </w:tcPr>
          <w:p>
            <w:pPr>
              <w:spacing w:before="40" w:after="40"/>
            </w:pPr>
            <w:r>
              <w:rPr>
                <w:rFonts w:ascii="Calibri" w:hAnsi="Calibri"/>
                <w:b w:val="0"/>
                <w:color w:val="374151"/>
                <w:sz w:val="19"/>
              </w:rPr>
              <w:t>Add a GC QA Dashboard in the GCA portal. Auto-populated entries from: (1) late call start detection (consult start time vs. scheduled start, &gt;1 min = late, excluding approved exception types); (2) session report lateness (report submitted timestamp vs. consult end timestamp, &gt;48 hours = late). GCA can add notes and mark exceptions. Dashboard filterable by GC, date range, and issue type. Monthly QA summary exportable for Genetics Lead review.</w:t>
            </w:r>
          </w:p>
        </w:tc>
      </w:tr>
      <w:tr>
        <w:tc>
          <w:tcPr>
            <w:tcW w:type="dxa" w:w="9360"/>
            <w:gridSpan w:val="2"/>
            <w:shd w:val="clear" w:color="auto" w:fill="F8FAFC"/>
          </w:tcPr>
          <w:p>
            <w:pPr>
              <w:spacing w:before="60" w:after="60"/>
            </w:pPr>
            <w:r>
              <w:rPr>
                <w:rFonts w:ascii="Calibri" w:hAnsi="Calibri"/>
                <w:b/>
                <w:color w:val="9D174D"/>
                <w:sz w:val="18"/>
              </w:rPr>
              <w:t xml:space="preserve">Queue / Routing:  </w:t>
            </w:r>
            <w:r>
              <w:rPr>
                <w:rFonts w:ascii="Calibri" w:hAnsi="Calibri"/>
                <w:b w:val="0"/>
                <w:color w:val="374151"/>
                <w:sz w:val="18"/>
              </w:rPr>
              <w:t>GC QA Dashboard (GCA view). Auto-populated from consult monitoring and report submission timestamps. GCA reviews and adds exceptions. Genetics Lead views monthly export.</w:t>
            </w:r>
          </w:p>
        </w:tc>
      </w:tr>
    </w:tbl>
    <w:p>
      <w:pPr>
        <w:spacing w:after="80"/>
      </w:pPr>
    </w:p>
    <w:p>
      <w:pPr>
        <w:spacing w:before="280" w:after="120"/>
        <w:pBdr>
          <w:bottom w:val="single" w:sz="6" w:space="1" w:color="1F2937"/>
        </w:pBdr>
      </w:pPr>
      <w:r>
        <w:rPr>
          <w:rFonts w:ascii="Calibri" w:hAnsi="Calibri"/>
          <w:b/>
          <w:color w:val="1F2937"/>
          <w:sz w:val="26"/>
        </w:rPr>
        <w:t>14. Platform Administration — GC, Auth &amp; Call-In Rx</w:t>
      </w:r>
    </w:p>
    <w:tbl>
      <w:tblPr>
        <w:tblW w:type="auto" w:w="0"/>
        <w:tblLook w:firstColumn="1" w:firstRow="1" w:lastColumn="0" w:lastRow="0" w:noHBand="0" w:noVBand="1" w:val="04A0"/>
        <w:tblW w:type="dxa" w:w="8640"/>
        <w:tblBorders>
          <w:top w:val="single" w:sz="6" w:space="0" w:color="1F2937"/>
          <w:left w:val="single" w:sz="6" w:space="0" w:color="1F2937"/>
          <w:bottom w:val="single" w:sz="6" w:space="0" w:color="1F2937"/>
          <w:right w:val="single" w:sz="6" w:space="0" w:color="1F2937"/>
          <w:insideH w:val="single" w:sz="6" w:space="0" w:color="1F2937"/>
          <w:insideV w:val="single" w:sz="6" w:space="0" w:color="1F2937"/>
        </w:tblBorders>
      </w:tblPr>
      <w:tblGrid>
        <w:gridCol w:w="4680"/>
        <w:gridCol w:w="4680"/>
      </w:tblGrid>
      <w:tr>
        <w:tc>
          <w:tcPr>
            <w:tcW w:type="dxa" w:w="9360"/>
            <w:gridSpan w:val="2"/>
            <w:shd w:val="clear" w:color="auto" w:fill="1F2937"/>
          </w:tcPr>
          <w:p>
            <w:pPr>
              <w:spacing w:before="80" w:after="80"/>
            </w:pPr>
            <w:r>
              <w:rPr>
                <w:rFonts w:ascii="Calibri" w:hAnsi="Calibri"/>
                <w:b/>
                <w:color w:val="FFFFFF"/>
                <w:sz w:val="17"/>
              </w:rPr>
              <w:t xml:space="preserve">CT-GAP-47  </w:t>
            </w:r>
            <w:r>
              <w:rPr>
                <w:rFonts w:ascii="Calibri" w:hAnsi="Calibri"/>
                <w:b/>
                <w:color w:val="FFFFFF"/>
                <w:sz w:val="21"/>
              </w:rPr>
              <w:t>GC Platform User Admin — Licensure Self-Update by GCA + IT Network Matrix Ticket</w:t>
            </w:r>
            <w:r>
              <w:rPr>
                <w:rFonts w:ascii="Calibri" w:hAnsi="Calibri"/>
                <w:b w:val="0"/>
                <w:color w:val="D1FAE5"/>
                <w:sz w:val="17"/>
              </w:rPr>
              <w:t xml:space="preserve">    [M04]  |  Admin Portal  |  v1.0</w:t>
            </w:r>
          </w:p>
        </w:tc>
      </w:tr>
      <w:tr>
        <w:tc>
          <w:tcPr>
            <w:tcW w:type="dxa" w:w="4680"/>
            <w:shd w:val="clear" w:color="auto" w:fill="F1F5F9"/>
            <w:tcW w:type="dxa" w:w="4320"/>
          </w:tcPr>
          <w:p>
            <w:pPr>
              <w:spacing w:before="60" w:after="60"/>
            </w:pPr>
            <w:r>
              <w:rPr>
                <w:rFonts w:ascii="Calibri" w:hAnsi="Calibri"/>
                <w:b/>
                <w:color w:val="374151"/>
                <w:sz w:val="18"/>
              </w:rPr>
              <w:t>What Is the Gap (Current State)</w:t>
            </w:r>
          </w:p>
        </w:tc>
        <w:tc>
          <w:tcPr>
            <w:tcW w:type="dxa" w:w="4680"/>
            <w:shd w:val="clear" w:color="auto" w:fill="F1F5F9"/>
            <w:tcW w:type="dxa" w:w="4320"/>
          </w:tcPr>
          <w:p>
            <w:pPr>
              <w:spacing w:before="60" w:after="60"/>
            </w:pPr>
            <w:r>
              <w:rPr>
                <w:rFonts w:ascii="Calibri" w:hAnsi="Calibri"/>
                <w:b/>
                <w:color w:val="374151"/>
                <w:sz w:val="18"/>
              </w:rPr>
              <w:t>How Phoenix Fixes It</w:t>
            </w:r>
          </w:p>
        </w:tc>
      </w:tr>
      <w:tr>
        <w:tc>
          <w:tcPr>
            <w:tcW w:type="dxa" w:w="4680"/>
            <w:shd w:val="clear" w:color="auto" w:fill="FFFFFF"/>
            <w:tcW w:type="dxa" w:w="4320"/>
            <w:tcMar>
              <w:top w:w="80" w:type="dxa"/>
              <w:bottom w:w="80" w:type="dxa"/>
              <w:left w:w="120" w:type="dxa"/>
              <w:right w:w="120" w:type="dxa"/>
            </w:tcMar>
          </w:tcPr>
          <w:p>
            <w:pPr>
              <w:spacing w:before="40" w:after="40"/>
            </w:pPr>
            <w:r>
              <w:rPr>
                <w:rFonts w:ascii="Calibri" w:hAnsi="Calibri"/>
                <w:b w:val="0"/>
                <w:color w:val="374151"/>
                <w:sz w:val="19"/>
              </w:rPr>
              <w:t>When a new GC is added or an existing GC obtains a new state license, GCA must be able to update the GC's state licensure (cert number, issue date, expiration date) in the GC platform settings. A new GC addition also requires an IT ticket to update the provider network matrix. M04-USR-001 through M04-USR-009 cover general user management but GC-specific licensure self-update by GCA and IT ticket escalation for network matrix are not captured.</w:t>
            </w:r>
          </w:p>
        </w:tc>
        <w:tc>
          <w:tcPr>
            <w:tcW w:type="dxa" w:w="4680"/>
            <w:shd w:val="clear" w:color="auto" w:fill="FFFFFF"/>
            <w:tcW w:type="dxa" w:w="4320"/>
            <w:tcMar>
              <w:top w:w="80" w:type="dxa"/>
              <w:bottom w:w="80" w:type="dxa"/>
              <w:left w:w="120" w:type="dxa"/>
              <w:right w:w="120" w:type="dxa"/>
            </w:tcMar>
          </w:tcPr>
          <w:p>
            <w:pPr>
              <w:spacing w:before="40" w:after="40"/>
            </w:pPr>
            <w:r>
              <w:rPr>
                <w:rFonts w:ascii="Calibri" w:hAnsi="Calibri"/>
                <w:b w:val="0"/>
                <w:color w:val="374151"/>
                <w:sz w:val="19"/>
              </w:rPr>
              <w:t>In Admin Portal GC profile management, allow GCA role to update state licensure fields per GC: add state, cert number, issue date, expiration date. Licensure changes are audit-logged with editor identity. For new GC onboarding: on GC profile creation, platform auto-generates an IT ticket template capturing GC name, states, and network matrix update requirement. IT ticket submitted to configured IT intake endpoint or copied for manual submission. Network matrix update confirmation tracked in the onboarding checklist.</w:t>
            </w:r>
          </w:p>
        </w:tc>
      </w:tr>
      <w:tr>
        <w:tc>
          <w:tcPr>
            <w:tcW w:type="dxa" w:w="9360"/>
            <w:gridSpan w:val="2"/>
            <w:shd w:val="clear" w:color="auto" w:fill="F8FAFC"/>
          </w:tcPr>
          <w:p>
            <w:pPr>
              <w:spacing w:before="60" w:after="60"/>
            </w:pPr>
            <w:r>
              <w:rPr>
                <w:rFonts w:ascii="Calibri" w:hAnsi="Calibri"/>
                <w:b/>
                <w:color w:val="1F2937"/>
                <w:sz w:val="18"/>
              </w:rPr>
              <w:t xml:space="preserve">Queue / Routing:  </w:t>
            </w:r>
            <w:r>
              <w:rPr>
                <w:rFonts w:ascii="Calibri" w:hAnsi="Calibri"/>
                <w:b w:val="0"/>
                <w:color w:val="374151"/>
                <w:sz w:val="18"/>
              </w:rPr>
              <w:t>Admin Portal GC profile → GCA can update licensure. New GC creation → auto-generates IT ticket template. IT confirmation → logged to onboarding checklist.</w:t>
            </w:r>
          </w:p>
        </w:tc>
      </w:tr>
    </w:tbl>
    <w:p>
      <w:pPr>
        <w:spacing w:after="80"/>
      </w:pPr>
    </w:p>
    <w:tbl>
      <w:tblPr>
        <w:tblW w:type="auto" w:w="0"/>
        <w:tblLook w:firstColumn="1" w:firstRow="1" w:lastColumn="0" w:lastRow="0" w:noHBand="0" w:noVBand="1" w:val="04A0"/>
        <w:tblW w:type="dxa" w:w="8640"/>
        <w:tblBorders>
          <w:top w:val="single" w:sz="6" w:space="0" w:color="1F2937"/>
          <w:left w:val="single" w:sz="6" w:space="0" w:color="1F2937"/>
          <w:bottom w:val="single" w:sz="6" w:space="0" w:color="1F2937"/>
          <w:right w:val="single" w:sz="6" w:space="0" w:color="1F2937"/>
          <w:insideH w:val="single" w:sz="6" w:space="0" w:color="1F2937"/>
          <w:insideV w:val="single" w:sz="6" w:space="0" w:color="1F2937"/>
        </w:tblBorders>
      </w:tblPr>
      <w:tblGrid>
        <w:gridCol w:w="4680"/>
        <w:gridCol w:w="4680"/>
      </w:tblGrid>
      <w:tr>
        <w:tc>
          <w:tcPr>
            <w:tcW w:type="dxa" w:w="9360"/>
            <w:gridSpan w:val="2"/>
            <w:shd w:val="clear" w:color="auto" w:fill="1F2937"/>
          </w:tcPr>
          <w:p>
            <w:pPr>
              <w:spacing w:before="80" w:after="80"/>
            </w:pPr>
            <w:r>
              <w:rPr>
                <w:rFonts w:ascii="Calibri" w:hAnsi="Calibri"/>
                <w:b/>
                <w:color w:val="FFFFFF"/>
                <w:sz w:val="17"/>
              </w:rPr>
              <w:t xml:space="preserve">CT-GAP-48  </w:t>
            </w:r>
            <w:r>
              <w:rPr>
                <w:rFonts w:ascii="Calibri" w:hAnsi="Calibri"/>
                <w:b/>
                <w:color w:val="FFFFFF"/>
                <w:sz w:val="21"/>
              </w:rPr>
              <w:t>Call-In Prescription — PCC-Initiated Manual Phone Rx Workflow</w:t>
            </w:r>
            <w:r>
              <w:rPr>
                <w:rFonts w:ascii="Calibri" w:hAnsi="Calibri"/>
                <w:b w:val="0"/>
                <w:color w:val="D1FAE5"/>
                <w:sz w:val="17"/>
              </w:rPr>
              <w:t xml:space="preserve">    [M10]  |  Care Team Portal  |  v1.0</w:t>
            </w:r>
          </w:p>
        </w:tc>
      </w:tr>
      <w:tr>
        <w:tc>
          <w:tcPr>
            <w:tcW w:type="dxa" w:w="4680"/>
            <w:shd w:val="clear" w:color="auto" w:fill="F1F5F9"/>
            <w:tcW w:type="dxa" w:w="4320"/>
          </w:tcPr>
          <w:p>
            <w:pPr>
              <w:spacing w:before="60" w:after="60"/>
            </w:pPr>
            <w:r>
              <w:rPr>
                <w:rFonts w:ascii="Calibri" w:hAnsi="Calibri"/>
                <w:b/>
                <w:color w:val="374151"/>
                <w:sz w:val="18"/>
              </w:rPr>
              <w:t>What Is the Gap (Current State)</w:t>
            </w:r>
          </w:p>
        </w:tc>
        <w:tc>
          <w:tcPr>
            <w:tcW w:type="dxa" w:w="4680"/>
            <w:shd w:val="clear" w:color="auto" w:fill="F1F5F9"/>
            <w:tcW w:type="dxa" w:w="4320"/>
          </w:tcPr>
          <w:p>
            <w:pPr>
              <w:spacing w:before="60" w:after="60"/>
            </w:pPr>
            <w:r>
              <w:rPr>
                <w:rFonts w:ascii="Calibri" w:hAnsi="Calibri"/>
                <w:b/>
                <w:color w:val="374151"/>
                <w:sz w:val="18"/>
              </w:rPr>
              <w:t>How Phoenix Fixes It</w:t>
            </w:r>
          </w:p>
        </w:tc>
      </w:tr>
      <w:tr>
        <w:tc>
          <w:tcPr>
            <w:tcW w:type="dxa" w:w="4680"/>
            <w:shd w:val="clear" w:color="auto" w:fill="FFFFFF"/>
            <w:tcW w:type="dxa" w:w="4320"/>
            <w:tcMar>
              <w:top w:w="80" w:type="dxa"/>
              <w:bottom w:w="80" w:type="dxa"/>
              <w:left w:w="120" w:type="dxa"/>
              <w:right w:w="120" w:type="dxa"/>
            </w:tcMar>
          </w:tcPr>
          <w:p>
            <w:pPr>
              <w:spacing w:before="40" w:after="40"/>
            </w:pPr>
            <w:r>
              <w:rPr>
                <w:rFonts w:ascii="Calibri" w:hAnsi="Calibri"/>
                <w:b w:val="0"/>
                <w:color w:val="374151"/>
                <w:sz w:val="19"/>
              </w:rPr>
              <w:t>When a physician prescribes verbally or when electronic routing fails, PCC must place a manual call-in to the pharmacy. The platform must surface: doctor's NPI, name, office phone, and practice address; guide PCC through required pharmacy fields (patient name, DOB, phone, Rx with dosage/no refills, doctor NPI); and log the call-in event to the referral. No requirement covers this manual call-in workflow distinct from DoseSpot e-prescribing.</w:t>
            </w:r>
          </w:p>
        </w:tc>
        <w:tc>
          <w:tcPr>
            <w:tcW w:type="dxa" w:w="4680"/>
            <w:shd w:val="clear" w:color="auto" w:fill="FFFFFF"/>
            <w:tcW w:type="dxa" w:w="4320"/>
            <w:tcMar>
              <w:top w:w="80" w:type="dxa"/>
              <w:bottom w:w="80" w:type="dxa"/>
              <w:left w:w="120" w:type="dxa"/>
              <w:right w:w="120" w:type="dxa"/>
            </w:tcMar>
          </w:tcPr>
          <w:p>
            <w:pPr>
              <w:spacing w:before="40" w:after="40"/>
            </w:pPr>
            <w:r>
              <w:rPr>
                <w:rFonts w:ascii="Calibri" w:hAnsi="Calibri"/>
                <w:b w:val="0"/>
                <w:color w:val="374151"/>
                <w:sz w:val="19"/>
              </w:rPr>
              <w:t>Add a 'Call-In Prescription' action in the PCC referral view (available when physician note exists with Rx details but no e-prescribing record). Workflow: (1) platform surfaces physician details (NPI, name, office phone, practice address) pre-populated from physician record; (2) PCC completes pharmacy call-in form with patient details and Rx fields; (3) PCC records call-in confirmation (pharmacy agent name, confirmation number); (4) call-in event logged to referral contact timeline. Physician practice details maintained in provider profile.</w:t>
            </w:r>
          </w:p>
        </w:tc>
      </w:tr>
      <w:tr>
        <w:tc>
          <w:tcPr>
            <w:tcW w:type="dxa" w:w="9360"/>
            <w:gridSpan w:val="2"/>
            <w:shd w:val="clear" w:color="auto" w:fill="F8FAFC"/>
          </w:tcPr>
          <w:p>
            <w:pPr>
              <w:spacing w:before="60" w:after="60"/>
            </w:pPr>
            <w:r>
              <w:rPr>
                <w:rFonts w:ascii="Calibri" w:hAnsi="Calibri"/>
                <w:b/>
                <w:color w:val="1F2937"/>
                <w:sz w:val="18"/>
              </w:rPr>
              <w:t xml:space="preserve">Queue / Routing:  </w:t>
            </w:r>
            <w:r>
              <w:rPr>
                <w:rFonts w:ascii="Calibri" w:hAnsi="Calibri"/>
                <w:b w:val="0"/>
                <w:color w:val="374151"/>
                <w:sz w:val="18"/>
              </w:rPr>
              <w:t>PCC referral view — 'Call-In Rx' action. Physician details pre-populated. Call-in form required before close. Confirmation logged to contact timeline.</w:t>
            </w:r>
          </w:p>
        </w:tc>
      </w:tr>
    </w:tbl>
    <w:p>
      <w:pPr>
        <w:spacing w:after="80"/>
      </w:pPr>
    </w:p>
    <w:tbl>
      <w:tblPr>
        <w:tblW w:type="auto" w:w="0"/>
        <w:tblLook w:firstColumn="1" w:firstRow="1" w:lastColumn="0" w:lastRow="0" w:noHBand="0" w:noVBand="1" w:val="04A0"/>
        <w:tblW w:type="dxa" w:w="8640"/>
        <w:tblBorders>
          <w:top w:val="single" w:sz="6" w:space="0" w:color="1F2937"/>
          <w:left w:val="single" w:sz="6" w:space="0" w:color="1F2937"/>
          <w:bottom w:val="single" w:sz="6" w:space="0" w:color="1F2937"/>
          <w:right w:val="single" w:sz="6" w:space="0" w:color="1F2937"/>
          <w:insideH w:val="single" w:sz="6" w:space="0" w:color="1F2937"/>
          <w:insideV w:val="single" w:sz="6" w:space="0" w:color="1F2937"/>
        </w:tblBorders>
      </w:tblPr>
      <w:tblGrid>
        <w:gridCol w:w="4680"/>
        <w:gridCol w:w="4680"/>
      </w:tblGrid>
      <w:tr>
        <w:tc>
          <w:tcPr>
            <w:tcW w:type="dxa" w:w="9360"/>
            <w:gridSpan w:val="2"/>
            <w:shd w:val="clear" w:color="auto" w:fill="1F2937"/>
          </w:tcPr>
          <w:p>
            <w:pPr>
              <w:spacing w:before="80" w:after="80"/>
            </w:pPr>
            <w:r>
              <w:rPr>
                <w:rFonts w:ascii="Calibri" w:hAnsi="Calibri"/>
                <w:b/>
                <w:color w:val="FFFFFF"/>
                <w:sz w:val="17"/>
              </w:rPr>
              <w:t xml:space="preserve">CT-GAP-49  </w:t>
            </w:r>
            <w:r>
              <w:rPr>
                <w:rFonts w:ascii="Calibri" w:hAnsi="Calibri"/>
                <w:b/>
                <w:color w:val="FFFFFF"/>
                <w:sz w:val="21"/>
              </w:rPr>
              <w:t>UTR Certified Letter Trigger — Auto-Queue Check vs. Manual Request + Tracking Number Log</w:t>
            </w:r>
            <w:r>
              <w:rPr>
                <w:rFonts w:ascii="Calibri" w:hAnsi="Calibri"/>
                <w:b w:val="0"/>
                <w:color w:val="D1FAE5"/>
                <w:sz w:val="17"/>
              </w:rPr>
              <w:t xml:space="preserve">    [M08]  |  Care Team Portal (GCA)  |  v1.0</w:t>
            </w:r>
          </w:p>
        </w:tc>
      </w:tr>
      <w:tr>
        <w:tc>
          <w:tcPr>
            <w:tcW w:type="dxa" w:w="4680"/>
            <w:shd w:val="clear" w:color="auto" w:fill="F1F5F9"/>
            <w:tcW w:type="dxa" w:w="4320"/>
          </w:tcPr>
          <w:p>
            <w:pPr>
              <w:spacing w:before="60" w:after="60"/>
            </w:pPr>
            <w:r>
              <w:rPr>
                <w:rFonts w:ascii="Calibri" w:hAnsi="Calibri"/>
                <w:b/>
                <w:color w:val="374151"/>
                <w:sz w:val="18"/>
              </w:rPr>
              <w:t>What Is the Gap (Current State)</w:t>
            </w:r>
          </w:p>
        </w:tc>
        <w:tc>
          <w:tcPr>
            <w:tcW w:type="dxa" w:w="4680"/>
            <w:shd w:val="clear" w:color="auto" w:fill="F1F5F9"/>
            <w:tcW w:type="dxa" w:w="4320"/>
          </w:tcPr>
          <w:p>
            <w:pPr>
              <w:spacing w:before="60" w:after="60"/>
            </w:pPr>
            <w:r>
              <w:rPr>
                <w:rFonts w:ascii="Calibri" w:hAnsi="Calibri"/>
                <w:b/>
                <w:color w:val="374151"/>
                <w:sz w:val="18"/>
              </w:rPr>
              <w:t>How Phoenix Fixes It</w:t>
            </w:r>
          </w:p>
        </w:tc>
      </w:tr>
      <w:tr>
        <w:tc>
          <w:tcPr>
            <w:tcW w:type="dxa" w:w="4680"/>
            <w:shd w:val="clear" w:color="auto" w:fill="FFFFFF"/>
            <w:tcW w:type="dxa" w:w="4320"/>
            <w:tcMar>
              <w:top w:w="80" w:type="dxa"/>
              <w:bottom w:w="80" w:type="dxa"/>
              <w:left w:w="120" w:type="dxa"/>
              <w:right w:w="120" w:type="dxa"/>
            </w:tcMar>
          </w:tcPr>
          <w:p>
            <w:pPr>
              <w:spacing w:before="40" w:after="40"/>
            </w:pPr>
            <w:r>
              <w:rPr>
                <w:rFonts w:ascii="Calibri" w:hAnsi="Calibri"/>
                <w:b w:val="0"/>
                <w:color w:val="374151"/>
                <w:sz w:val="19"/>
              </w:rPr>
              <w:t>When a genetics patient has been unreachable through the 28-day outreach protocol, the platform must either auto-queue a certified UTR letter (if CFU is configured) or route a task to GCA to manually request certified letter generation. The letter request must be logged with a tracking number in the patient's contact log. ADNA and non-ADNA letter types (certified vs. non-certified) must be distinguished. No requirement captures this UTR letter workflow.</w:t>
            </w:r>
          </w:p>
        </w:tc>
        <w:tc>
          <w:tcPr>
            <w:tcW w:type="dxa" w:w="4680"/>
            <w:shd w:val="clear" w:color="auto" w:fill="FFFFFF"/>
            <w:tcW w:type="dxa" w:w="4320"/>
            <w:tcMar>
              <w:top w:w="80" w:type="dxa"/>
              <w:bottom w:w="80" w:type="dxa"/>
              <w:left w:w="120" w:type="dxa"/>
              <w:right w:w="120" w:type="dxa"/>
            </w:tcMar>
          </w:tcPr>
          <w:p>
            <w:pPr>
              <w:spacing w:before="40" w:after="40"/>
            </w:pPr>
            <w:r>
              <w:rPr>
                <w:rFonts w:ascii="Calibri" w:hAnsi="Calibri"/>
                <w:b w:val="0"/>
                <w:color w:val="374151"/>
                <w:sz w:val="19"/>
              </w:rPr>
              <w:t>In the 28-day outreach protocol (M07-ORP-001), add a Day-28 trigger: if CFU is configured for the client, auto-queue certified letter via Labs Module CFU; if not, route a 'Request UTR Letter' task to GCA queue. GCA selects letter type (ADNA — certified; non-ADNA — standard) and submits. On letter generation: tracking number field is required; entered tracking number is logged to the patient's contact log. Letter send event recorded in the 28-day outreach timeline.</w:t>
            </w:r>
          </w:p>
        </w:tc>
      </w:tr>
      <w:tr>
        <w:tc>
          <w:tcPr>
            <w:tcW w:type="dxa" w:w="9360"/>
            <w:gridSpan w:val="2"/>
            <w:shd w:val="clear" w:color="auto" w:fill="F8FAFC"/>
          </w:tcPr>
          <w:p>
            <w:pPr>
              <w:spacing w:before="60" w:after="60"/>
            </w:pPr>
            <w:r>
              <w:rPr>
                <w:rFonts w:ascii="Calibri" w:hAnsi="Calibri"/>
                <w:b/>
                <w:color w:val="1F2937"/>
                <w:sz w:val="18"/>
              </w:rPr>
              <w:t xml:space="preserve">Queue / Routing:  </w:t>
            </w:r>
            <w:r>
              <w:rPr>
                <w:rFonts w:ascii="Calibri" w:hAnsi="Calibri"/>
                <w:b w:val="0"/>
                <w:color w:val="374151"/>
                <w:sz w:val="18"/>
              </w:rPr>
              <w:t>28-day outreach Day-28 trigger → auto-CFU or GCA letter request task. GCA selects letter type. Tracking number required → logged to contact log.</w:t>
            </w:r>
          </w:p>
        </w:tc>
      </w:tr>
    </w:tbl>
    <w:p>
      <w:pPr>
        <w:spacing w:after="80"/>
      </w:pPr>
    </w:p>
    <w:p/>
    <w:p>
      <w:r>
        <w:rPr>
          <w:rFonts w:ascii="Calibri" w:hAnsi="Calibri"/>
          <w:b/>
          <w:color w:val="111827"/>
          <w:sz w:val="24"/>
        </w:rPr>
        <w:t>Next Steps</w:t>
      </w:r>
    </w:p>
    <w:p>
      <w:pPr>
        <w:spacing w:after="80"/>
        <w:ind w:left="360"/>
      </w:pPr>
      <w:r>
        <w:rPr>
          <w:rFonts w:ascii="Calibri" w:hAnsi="Calibri"/>
          <w:b w:val="0"/>
          <w:color w:val="374151"/>
          <w:sz w:val="20"/>
        </w:rPr>
        <w:t>1.  Justin reviews this document and marks any items as v2.0 or deprioritized before DB write.</w:t>
      </w:r>
    </w:p>
    <w:p>
      <w:pPr>
        <w:spacing w:after="80"/>
        <w:ind w:left="360"/>
      </w:pPr>
      <w:r>
        <w:rPr>
          <w:rFonts w:ascii="Calibri" w:hAnsi="Calibri"/>
          <w:b w:val="0"/>
          <w:color w:val="374151"/>
          <w:sz w:val="20"/>
        </w:rPr>
        <w:t>2.  Claude writes all approved gaps as Active requirements to project_phoenix.db with new req_ids.</w:t>
      </w:r>
    </w:p>
    <w:p>
      <w:pPr>
        <w:spacing w:after="80"/>
        <w:ind w:left="360"/>
      </w:pPr>
      <w:r>
        <w:rPr>
          <w:rFonts w:ascii="Calibri" w:hAnsi="Calibri"/>
          <w:b w:val="0"/>
          <w:color w:val="374151"/>
          <w:sz w:val="20"/>
        </w:rPr>
        <w:t>3.  Priority build items (new queues, SLA rules, new portal views) are added to the demo roadmap.</w:t>
      </w:r>
    </w:p>
    <w:p>
      <w:pPr>
        <w:spacing w:after="80"/>
        <w:ind w:left="360"/>
      </w:pPr>
      <w:r>
        <w:rPr>
          <w:rFonts w:ascii="Calibri" w:hAnsi="Calibri"/>
          <w:b w:val="0"/>
          <w:color w:val="374151"/>
          <w:sz w:val="20"/>
        </w:rPr>
        <w:t>4.  Items dependent on Admin Portal configuration (CT-GAP-06, 07, 09, 10, 29) will leverage the existing Care Product Setup Wizard — wizard steps will be extended rather than rebuilt.</w:t>
      </w:r>
    </w:p>
    <w:p>
      <w:pPr>
        <w:spacing w:after="80"/>
        <w:ind w:left="360"/>
      </w:pPr>
      <w:r>
        <w:rPr>
          <w:rFonts w:ascii="Calibri" w:hAnsi="Calibri"/>
          <w:b w:val="0"/>
          <w:color w:val="374151"/>
          <w:sz w:val="20"/>
        </w:rPr>
        <w:t>5.  GCA QA dashboard items (CT-GAP-44, 45, 46) can be addressed after GC chart build is complete (Tasks #72–74).</w:t>
      </w:r>
    </w:p>
    <w:p>
      <w:pPr>
        <w:spacing w:after="80"/>
        <w:ind w:left="360"/>
      </w:pPr>
      <w:r>
        <w:rPr>
          <w:rFonts w:ascii="Calibri" w:hAnsi="Calibri"/>
          <w:b w:val="0"/>
          <w:color w:val="374151"/>
          <w:sz w:val="20"/>
        </w:rPr>
        <w:t>6.  v2.0 items (CT-GAP-34 Viome extension, CT-GAP-37 Spanish translation, CT-GAP-44 NPS monitoring) are logged for Phase 2 roadmap planning but not written to Active status until scheduled.</w:t>
      </w:r>
    </w:p>
    <w:sectPr w:rsidR="00FC693F" w:rsidRPr="0006063C" w:rsidSect="00034616">
      <w:pgSz w:w="12240" w:h="15840"/>
      <w:pgMar w:top="144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