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22"/>
          <w:szCs w:val="22"/>
        </w:rPr>
        <w:t xml:space="preserve">PROJECT PHOENIX</w:t>
      </w:r>
    </w:p>
    <w:p>
      <w:pPr>
        <w:spacing w:after="80" w:before="0"/>
      </w:pPr>
      <w:r>
        <w:rPr>
          <w:rFonts w:ascii="Arial" w:cs="Arial" w:eastAsia="Arial" w:hAnsi="Arial"/>
          <w:color w:val="595959"/>
          <w:sz w:val="20"/>
          <w:szCs w:val="20"/>
        </w:rPr>
        <w:t xml:space="preserve">Telehealth Platform Rebuild</w:t>
      </w:r>
    </w:p>
    <w:p>
      <w:pPr>
        <w:pBdr>
          <w:bottom w:val="single" w:color="2E74B5" w:sz="6" w:space="1"/>
        </w:pBdr>
        <w:spacing w:after="160" w:before="160"/>
      </w:pPr>
    </w:p>
    <w:p>
      <w:pPr>
        <w:spacing w:after="200" w:before="80"/>
      </w:pPr>
      <w:r>
        <w:rPr>
          <w:rFonts w:ascii="Arial" w:cs="Arial" w:eastAsia="Arial" w:hAnsi="Arial"/>
          <w:b/>
          <w:bCs/>
          <w:color w:val="1F4E79"/>
          <w:sz w:val="36"/>
          <w:szCs w:val="36"/>
        </w:rPr>
        <w:t xml:space="preserve">Kyro Gap Analysis — Response &amp; Pending Decisions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To:</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Kyro Beshay, Product</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From:</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Justin Woller, Director of Telehealth Operations</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Date:</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June 16, 2026</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Re:</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Response to Telehealth Build: Capability-Block Plan</w:t>
            </w:r>
          </w:p>
        </w:tc>
      </w:tr>
    </w:tbl>
    <w:p>
      <w:pPr>
        <w:pBdr>
          <w:bottom w:val="single" w:color="2E74B5" w:sz="6" w:space="1"/>
        </w:pBdr>
        <w:spacing w:after="160" w:before="160"/>
      </w:pPr>
    </w:p>
    <w:p>
      <w:pPr>
        <w:spacing w:after="200" w:before="160"/>
      </w:pPr>
      <w:r>
        <w:rPr>
          <w:rFonts w:ascii="Arial" w:cs="Arial" w:eastAsia="Arial" w:hAnsi="Arial"/>
          <w:b w:val="false"/>
          <w:bCs w:val="false"/>
          <w:color w:val="000000"/>
          <w:sz w:val="20"/>
          <w:szCs w:val="20"/>
        </w:rPr>
        <w:t xml:space="preserve">Kyro, thank you for sharing the Capability-Block Plan. We have reviewed it against the Project Phoenix requirements database and completed the following actions. Below is a summary of what was added, what was already covered in the current build, and the 11 open decisions that need to be resolved before dependent workstreams can proceed.</w:t>
      </w:r>
    </w:p>
    <w:p>
      <w:pPr>
        <w:spacing w:after="120" w:before="320"/>
      </w:pPr>
      <w:r>
        <w:rPr>
          <w:rFonts w:ascii="Arial" w:cs="Arial" w:eastAsia="Arial" w:hAnsi="Arial"/>
          <w:b/>
          <w:bCs/>
          <w:color w:val="1F4E79"/>
          <w:sz w:val="28"/>
          <w:szCs w:val="28"/>
        </w:rPr>
        <w:t xml:space="preserve">Section 1: Requirements Update</w:t>
      </w:r>
    </w:p>
    <w:p>
      <w:pPr>
        <w:spacing w:after="160" w:before="80"/>
      </w:pPr>
      <w:r>
        <w:rPr>
          <w:rFonts w:ascii="Arial" w:cs="Arial" w:eastAsia="Arial" w:hAnsi="Arial"/>
          <w:b w:val="false"/>
          <w:bCs w:val="false"/>
          <w:color w:val="000000"/>
          <w:sz w:val="20"/>
          <w:szCs w:val="20"/>
        </w:rPr>
        <w:t xml:space="preserve">The following capability gaps identified in your document have been added to the Project Phoenix requirements database (project_phoenix.db). All IDs are now mapped to the platform module structure and are available for sprint planning.</w:t>
      </w:r>
    </w:p>
    <w:p>
      <w:pPr>
        <w:spacing w:after="80" w:before="240"/>
      </w:pPr>
      <w:r>
        <w:rPr>
          <w:rFonts w:ascii="Arial" w:cs="Arial" w:eastAsia="Arial" w:hAnsi="Arial"/>
          <w:b/>
          <w:bCs/>
          <w:color w:val="2E74B5"/>
          <w:sz w:val="22"/>
          <w:szCs w:val="22"/>
        </w:rPr>
        <w:t xml:space="preserve">1A — Requirements Added (31 new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800"/>
        <w:gridCol w:w="32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Capability Group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 IDs</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Count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Video Visit (EC-05, EC-10, EC-11, EC-23)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M02-VID-001 through 007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Join window, end states, no-show workflow, tech check, SMS re-send, audio fallback, provider readiness alert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Care Team Workflow (EC-15, EC-10, EC-12)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M02-COLLAB-010 through 012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 intake queue routing, care team readiness signals, internal care team messaging thread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In-Visit Notepad (EC-22)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M02-NOTE-001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Provider scratchpad during visits — feeds AI scribe 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Live Translation (EC-21)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M02-TRANS-001 through 002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In-visit language support placeholder + BAA/retention policy requirement (vendor decision pending)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Coordinator Dashboard (EC-04)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M04-COORD-001 through 003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Today view, escalation/SLA monitor, read-only schedule 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GC Scheduling + GeneDx + Calendar (DEC-018, ISSUE-038, ISSUE-031, ISSUE-029)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M09-GCW-003/004, M10-GCW-004, M09-CAL-005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Pre-test consult scheduling, EC parity, GeneDx assisted ordering, calendar backend abstraction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AI Scribe (EC-30, EC-31, EC-32, EC-24)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M02-AI-008 through 011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Note draft generation, Athena 5-section output, edit/sign state tracking, ambient transcript capture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Identity Verification — Vouched IAL2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M07-IDV-001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IAL2 patient identity verification before prescribing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Pharmacy Fulfillment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M10-PHARM-001 through 003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GoGoMeds mail integration, DoseSpot local pickup, fulfillment cron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Billing &amp; Compensation (EC-35)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M11-COMP-001 through 003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Platform billing records, provider compensation split, Athena one-shot push on consult closure</w:t>
            </w:r>
          </w:p>
        </w:tc>
      </w:tr>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000000"/>
                <w:sz w:val="18"/>
                <w:szCs w:val="18"/>
              </w:rPr>
              <w:t xml:space="preserve">TOTAL</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000000"/>
                <w:sz w:val="18"/>
                <w:szCs w:val="18"/>
              </w:rPr>
              <w:t xml:space="preserve">31</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inserted to project_phoenix.db — DB now at 1,078 requirements</w:t>
            </w:r>
          </w:p>
        </w:tc>
      </w:tr>
    </w:tbl>
    <w:p>
      <w:pPr>
        <w:spacing w:after="80" w:before="200"/>
      </w:pPr>
    </w:p>
    <w:p>
      <w:pPr>
        <w:spacing w:after="80" w:before="240"/>
      </w:pPr>
      <w:r>
        <w:rPr>
          <w:rFonts w:ascii="Arial" w:cs="Arial" w:eastAsia="Arial" w:hAnsi="Arial"/>
          <w:b/>
          <w:bCs/>
          <w:color w:val="2E74B5"/>
          <w:sz w:val="22"/>
          <w:szCs w:val="22"/>
        </w:rPr>
        <w:t xml:space="preserve">1B — Items Already in the Current Build (not re-added)</w:t>
      </w:r>
    </w:p>
    <w:p>
      <w:pPr>
        <w:spacing w:after="160" w:before="80"/>
      </w:pPr>
      <w:r>
        <w:rPr>
          <w:rFonts w:ascii="Arial" w:cs="Arial" w:eastAsia="Arial" w:hAnsi="Arial"/>
          <w:b w:val="false"/>
          <w:bCs w:val="false"/>
          <w:color w:val="000000"/>
          <w:sz w:val="20"/>
          <w:szCs w:val="20"/>
        </w:rPr>
        <w:t xml:space="preserve">The following items from your document were reviewed and found to be already built or architecturally addressed in the current platform. They were not added as new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 / Reason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Reference Pane (EC-14)</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Already built — reference pane exists on the left side of the provider chart trifold.</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Activity Feed (EC-13)</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Already built — patient activity feed exists in the current demo.</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Role Queue Views — MA, RN, Provider (CT2-001 through 007)</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Already designed and built — MA Queue, RN Queue, and Provider Queue views are in the current demo.</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Athena Deep-Link from Provider Chart (EC-33)</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Architecture correction — the platform communicates through the middle layer, not via a direct browser deep-link from the Provider Portal. This will be addressed as a middle-layer integration requirement in M10.</w:t>
            </w:r>
          </w:p>
        </w:tc>
      </w:tr>
    </w:tbl>
    <w:p>
      <w:pPr>
        <w:spacing w:after="80" w:before="240"/>
      </w:pPr>
    </w:p>
    <w:p>
      <w:pPr>
        <w:pBdr>
          <w:bottom w:val="single" w:color="2E74B5" w:sz="6" w:space="1"/>
        </w:pBdr>
        <w:spacing w:after="160" w:before="160"/>
      </w:pPr>
    </w:p>
    <w:p>
      <w:pPr>
        <w:spacing w:after="120" w:before="320"/>
      </w:pPr>
      <w:r>
        <w:rPr>
          <w:rFonts w:ascii="Arial" w:cs="Arial" w:eastAsia="Arial" w:hAnsi="Arial"/>
          <w:b/>
          <w:bCs/>
          <w:color w:val="1F4E79"/>
          <w:sz w:val="28"/>
          <w:szCs w:val="28"/>
        </w:rPr>
        <w:t xml:space="preserve">Section 2: Open Decisions — Action Required</w:t>
      </w:r>
    </w:p>
    <w:p>
      <w:pPr>
        <w:spacing w:after="80" w:before="80"/>
      </w:pPr>
      <w:r>
        <w:rPr>
          <w:rFonts w:ascii="Arial" w:cs="Arial" w:eastAsia="Arial" w:hAnsi="Arial"/>
          <w:b w:val="false"/>
          <w:bCs w:val="false"/>
          <w:color w:val="000000"/>
          <w:sz w:val="20"/>
          <w:szCs w:val="20"/>
        </w:rPr>
        <w:t xml:space="preserve">The following 11 decisions must be resolved before the dependent workstreams can move to design and build. Each item has a named owner and identifies the capability block it gates. Please review and flag any items you can resolve on your end before our next sync.</w:t>
      </w:r>
    </w:p>
    <w:p>
      <w:pPr>
        <w:spacing w:after="160" w:before="80"/>
      </w:pPr>
      <w:r>
        <w:rPr>
          <w:rFonts w:ascii="Arial" w:cs="Arial" w:eastAsia="Arial" w:hAnsi="Arial"/>
          <w:b w:val="false"/>
          <w:bCs w:val="false"/>
          <w:color w:val="C00000"/>
          <w:sz w:val="20"/>
          <w:szCs w:val="20"/>
        </w:rPr>
        <w:t xml:space="preserve">NOTE: Decision #8 (Athena API architecture) and Decision #3 (Daily.co BAA) have the longest external lead times. Athena API pre-registration takes 6-8 weeks — this should begin immediately regardless of the final sync architecture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2200"/>
        <w:gridCol w:w="1800"/>
        <w:gridCol w:w="260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Decision Required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Owner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Blocks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Confirm the capability-block plan and what ships first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Draft block plan shared by Kyro; not yet agreed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Group (Justin, Kyro, Blake)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workstreams — gates Sprint 1 planning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Schedule read mechanism — Healthie API vs. sync into platform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Open; Healthie API has latency concerns; sync requires ETL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Engineering (Blake)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Schedule View block — providers cannot retire Healthie login until resolved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Daily.co BAA and recording/transcript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Daily.co selected; BAA not yet signed; transcript retention scope undefined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Legal (Jessica Wheeler), Engineering</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Video Visits block — no real patient visits until BAA is in place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Account provisioning mechanism + session timeout (15 vs. 60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Two options identified; InfoSec preference is 15-min timeout; ClinOps prefers 60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Engineering, ClinOps (Justin)</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Foundation block — must be resolved before provider onboarding begins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Async-permitted state list for Visby and HRT programs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Known sync-required states (e.g., NY); full list not confirmed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Clinical, Legal (Jessica Wheeler)</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Async Consults block — state routing cannot be configured until list is locked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eRx vendor — DoseSpot vs. Photon Health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Both vendors evaluated; no decision made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Engineering (Blake)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Prescribing &amp; Fulfillment block — vendor determines M02-RX implementation path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Drug-drug interaction / allergy check source — FDB vs. included license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FDB is best-in-class but carries per-check cost; license option 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Engineering, Clinical</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Prescribing &amp; Fulfillment block — required for safety gates before any eRx goes live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Athena integration architecture — one-shot push vs. real-time bidirectional sync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One-shot push proposed; bidirectional would require Athena API pre-registration (6-8 wk lead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Engineering (Blake), Executive (Gabe Gaviola)</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Documentation Bridge and Billing blocks — Athena API pre-registration should begin immediately regardless of final decision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IVR / outbound-call vendor for async-to-sync escalation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vendor selected; Twilio and Bandwidth are candidates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Engineering, Telehealth Ops (Justin)</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Async-to-Sync Escalation block — partner programs in sync-mandate states are gated on this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"Gene" (existing Rails app) as build foundation — confirm architectural alignment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Kyro references Gene as the foundation; not confirmed with Engineering leadership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Engineering (Blake), Executive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Foundation block — platform architecture decision; affects all other blocks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EC-prefix ID disposition — retire and map to DB IDs, or import as new requirements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 EC-prefix IDs in Kyro's doc originated from legacy Episodic Care Excel tracker; now mapped to project_phoenix.db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Justin Woller, Kyro Beshay</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DB alignment and sprint planning — DB is now the single source of truth for all EC capability scope</w:t>
            </w:r>
          </w:p>
        </w:tc>
      </w:tr>
    </w:tbl>
    <w:p>
      <w:pPr>
        <w:spacing w:after="80" w:before="240"/>
      </w:pPr>
    </w:p>
    <w:p>
      <w:pPr>
        <w:pBdr>
          <w:bottom w:val="single" w:color="2E74B5" w:sz="6" w:space="1"/>
        </w:pBdr>
        <w:spacing w:after="160" w:before="160"/>
      </w:pPr>
    </w:p>
    <w:p>
      <w:pPr>
        <w:spacing w:after="80" w:before="160"/>
      </w:pPr>
      <w:r>
        <w:rPr>
          <w:rFonts w:ascii="Arial" w:cs="Arial" w:eastAsia="Arial" w:hAnsi="Arial"/>
          <w:b w:val="false"/>
          <w:bCs w:val="false"/>
          <w:color w:val="000000"/>
          <w:sz w:val="20"/>
          <w:szCs w:val="20"/>
        </w:rPr>
        <w:t xml:space="preserve">Next step: Please review the open decisions above and confirm which items you can close on your end. For decisions requiring group alignment (especially #1, #8, #10), we should schedule a working session with Blake before end of week.</w:t>
      </w:r>
    </w:p>
    <w:p>
      <w:pPr>
        <w:spacing w:after="80" w:before="80"/>
      </w:pPr>
      <w:r>
        <w:rPr>
          <w:rFonts w:ascii="Arial" w:cs="Arial" w:eastAsia="Arial" w:hAnsi="Arial"/>
          <w:b w:val="false"/>
          <w:bCs w:val="false"/>
          <w:color w:val="000000"/>
          <w:sz w:val="20"/>
          <w:szCs w:val="20"/>
        </w:rPr>
        <w:t xml:space="preserve">The Project Phoenix requirements database is the single source of truth for all platform requirements going forward. All capability gaps from your block plan are now tracked in the DB under their respective module IDs.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2026-06-16T14:11:19.612Z</dcterms:created>
  <dcterms:modified xsi:type="dcterms:W3CDTF">2026-06-16T14:11:19.612Z</dcterms:modified>
</cp:coreProperties>
</file>

<file path=docProps/custom.xml><?xml version="1.0" encoding="utf-8"?>
<Properties xmlns="http://schemas.openxmlformats.org/officeDocument/2006/custom-properties" xmlns:vt="http://schemas.openxmlformats.org/officeDocument/2006/docPropsVTypes"/>
</file>