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widowControl w:val="0"/>
        <w:spacing w:line="276" w:lineRule="auto"/>
        <w:rPr/>
      </w:pPr>
      <w:bookmarkStart w:colFirst="0" w:colLast="0" w:name="_z1hmr6s8s5f6" w:id="0"/>
      <w:bookmarkEnd w:id="0"/>
      <w:r w:rsidDel="00000000" w:rsidR="00000000" w:rsidRPr="00000000">
        <w:rPr>
          <w:rtl w:val="0"/>
        </w:rPr>
        <w:t xml:space="preserve">Version définitive des rubriques des métadonnées remplies de EA02</w:t>
      </w:r>
    </w:p>
    <w:p w:rsidR="00000000" w:rsidDel="00000000" w:rsidP="00000000" w:rsidRDefault="00000000" w:rsidRPr="00000000" w14:paraId="00000002">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03">
      <w:pPr>
        <w:pageBreakBefore w:val="0"/>
        <w:widowControl w:val="0"/>
        <w:spacing w:line="276" w:lineRule="auto"/>
        <w:rPr/>
      </w:pPr>
      <w:r w:rsidDel="00000000" w:rsidR="00000000" w:rsidRPr="00000000">
        <w:rPr>
          <w:rtl w:val="0"/>
        </w:rPr>
      </w:r>
    </w:p>
    <w:p w:rsidR="00000000" w:rsidDel="00000000" w:rsidP="00000000" w:rsidRDefault="00000000" w:rsidRPr="00000000" w14:paraId="00000004">
      <w:pPr>
        <w:pageBreakBefore w:val="0"/>
        <w:widowControl w:val="0"/>
        <w:spacing w:line="276" w:lineRule="auto"/>
        <w:jc w:val="both"/>
        <w:rPr>
          <w:u w:val="single"/>
        </w:rPr>
      </w:pPr>
      <w:r w:rsidDel="00000000" w:rsidR="00000000" w:rsidRPr="00000000">
        <w:rPr>
          <w:u w:val="single"/>
          <w:rtl w:val="0"/>
        </w:rPr>
        <w:t xml:space="preserve">Sur les fichiers eux-mêmes (fichier audio fusionné .mp3 et le fichier .cha qui contient la transcription alignée avec l’audio)</w:t>
      </w:r>
    </w:p>
    <w:p w:rsidR="00000000" w:rsidDel="00000000" w:rsidP="00000000" w:rsidRDefault="00000000" w:rsidRPr="00000000" w14:paraId="00000005">
      <w:pPr>
        <w:pageBreakBefore w:val="0"/>
        <w:widowControl w:val="0"/>
        <w:spacing w:line="276" w:lineRule="auto"/>
        <w:rPr/>
      </w:pPr>
      <w:r w:rsidDel="00000000" w:rsidR="00000000" w:rsidRPr="00000000">
        <w:rPr>
          <w:rtl w:val="0"/>
        </w:rPr>
        <w:t xml:space="preserve">L’alignement entre les fichiers texte et audio a été effectué avec un séquençage de 20 secondes environ.</w:t>
      </w:r>
    </w:p>
    <w:p w:rsidR="00000000" w:rsidDel="00000000" w:rsidP="00000000" w:rsidRDefault="00000000" w:rsidRPr="00000000" w14:paraId="00000006">
      <w:pPr>
        <w:pageBreakBefore w:val="0"/>
        <w:widowControl w:val="0"/>
        <w:spacing w:line="276" w:lineRule="auto"/>
        <w:rPr/>
      </w:pPr>
      <w:r w:rsidDel="00000000" w:rsidR="00000000" w:rsidRPr="00000000">
        <w:rPr>
          <w:rtl w:val="0"/>
        </w:rPr>
      </w:r>
    </w:p>
    <w:p w:rsidR="00000000" w:rsidDel="00000000" w:rsidP="00000000" w:rsidRDefault="00000000" w:rsidRPr="00000000" w14:paraId="00000007">
      <w:pPr>
        <w:pageBreakBefore w:val="0"/>
        <w:widowControl w:val="0"/>
        <w:spacing w:line="276" w:lineRule="auto"/>
        <w:rPr/>
      </w:pPr>
      <w:r w:rsidDel="00000000" w:rsidR="00000000" w:rsidRPr="00000000">
        <w:rPr>
          <w:rtl w:val="0"/>
        </w:rPr>
      </w:r>
    </w:p>
    <w:p w:rsidR="00000000" w:rsidDel="00000000" w:rsidP="00000000" w:rsidRDefault="00000000" w:rsidRPr="00000000" w14:paraId="00000008">
      <w:pPr>
        <w:pageBreakBefore w:val="0"/>
        <w:widowControl w:val="0"/>
        <w:spacing w:line="276" w:lineRule="auto"/>
        <w:jc w:val="both"/>
        <w:rPr>
          <w:u w:val="single"/>
        </w:rPr>
      </w:pPr>
      <w:r w:rsidDel="00000000" w:rsidR="00000000" w:rsidRPr="00000000">
        <w:rPr>
          <w:u w:val="single"/>
          <w:rtl w:val="0"/>
        </w:rPr>
        <w:t xml:space="preserve">Informations générales sur le mode de transcription</w:t>
      </w:r>
    </w:p>
    <w:p w:rsidR="00000000" w:rsidDel="00000000" w:rsidP="00000000" w:rsidRDefault="00000000" w:rsidRPr="00000000" w14:paraId="00000009">
      <w:pPr>
        <w:pageBreakBefore w:val="0"/>
        <w:widowControl w:val="0"/>
        <w:spacing w:line="276" w:lineRule="auto"/>
        <w:rPr/>
      </w:pPr>
      <w:r w:rsidDel="00000000" w:rsidR="00000000" w:rsidRPr="00000000">
        <w:rPr>
          <w:rtl w:val="0"/>
        </w:rPr>
      </w:r>
    </w:p>
    <w:p w:rsidR="00000000" w:rsidDel="00000000" w:rsidP="00000000" w:rsidRDefault="00000000" w:rsidRPr="00000000" w14:paraId="0000000A">
      <w:pPr>
        <w:pageBreakBefore w:val="0"/>
        <w:widowControl w:val="0"/>
        <w:spacing w:line="276" w:lineRule="auto"/>
        <w:rPr/>
      </w:pPr>
      <w:r w:rsidDel="00000000" w:rsidR="00000000" w:rsidRPr="00000000">
        <w:rPr>
          <w:rtl w:val="0"/>
        </w:rPr>
      </w:r>
    </w:p>
    <w:p w:rsidR="00000000" w:rsidDel="00000000" w:rsidP="00000000" w:rsidRDefault="00000000" w:rsidRPr="00000000" w14:paraId="0000000B">
      <w:pPr>
        <w:pageBreakBefore w:val="0"/>
        <w:widowControl w:val="0"/>
        <w:spacing w:line="276" w:lineRule="auto"/>
        <w:rPr>
          <w:u w:val="single"/>
        </w:rPr>
      </w:pPr>
      <w:r w:rsidDel="00000000" w:rsidR="00000000" w:rsidRPr="00000000">
        <w:rPr>
          <w:u w:val="single"/>
          <w:rtl w:val="0"/>
        </w:rPr>
        <w:t xml:space="preserve">Contexte de l’enregistrement</w:t>
      </w:r>
    </w:p>
    <w:p w:rsidR="00000000" w:rsidDel="00000000" w:rsidP="00000000" w:rsidRDefault="00000000" w:rsidRPr="00000000" w14:paraId="0000000C">
      <w:pPr>
        <w:pageBreakBefore w:val="0"/>
        <w:widowControl w:val="0"/>
        <w:spacing w:line="276" w:lineRule="auto"/>
        <w:rPr/>
      </w:pPr>
      <w:r w:rsidDel="00000000" w:rsidR="00000000" w:rsidRPr="00000000">
        <w:rPr>
          <w:rtl w:val="0"/>
        </w:rPr>
      </w:r>
    </w:p>
    <w:p w:rsidR="00000000" w:rsidDel="00000000" w:rsidP="00000000" w:rsidRDefault="00000000" w:rsidRPr="00000000" w14:paraId="0000000D">
      <w:pPr>
        <w:pageBreakBefore w:val="0"/>
        <w:widowControl w:val="0"/>
        <w:spacing w:line="276" w:lineRule="auto"/>
        <w:rPr/>
      </w:pPr>
      <w:r w:rsidDel="00000000" w:rsidR="00000000" w:rsidRPr="00000000">
        <w:rPr>
          <w:rtl w:val="0"/>
        </w:rPr>
      </w:r>
    </w:p>
    <w:p w:rsidR="00000000" w:rsidDel="00000000" w:rsidP="00000000" w:rsidRDefault="00000000" w:rsidRPr="00000000" w14:paraId="0000000E">
      <w:pPr>
        <w:pageBreakBefore w:val="0"/>
        <w:widowControl w:val="0"/>
        <w:spacing w:line="276" w:lineRule="auto"/>
        <w:rPr>
          <w:u w:val="single"/>
        </w:rPr>
      </w:pPr>
      <w:r w:rsidDel="00000000" w:rsidR="00000000" w:rsidRPr="00000000">
        <w:rPr>
          <w:u w:val="single"/>
          <w:rtl w:val="0"/>
        </w:rPr>
        <w:t xml:space="preserve">Remarques sur l’oral (en relation avec le guide de transcription)</w:t>
      </w:r>
    </w:p>
    <w:p w:rsidR="00000000" w:rsidDel="00000000" w:rsidP="00000000" w:rsidRDefault="00000000" w:rsidRPr="00000000" w14:paraId="0000000F">
      <w:pPr>
        <w:pageBreakBefore w:val="0"/>
        <w:widowControl w:val="0"/>
        <w:spacing w:line="276" w:lineRule="auto"/>
        <w:rPr>
          <w:color w:val="ff0000"/>
        </w:rPr>
      </w:pPr>
      <w:r w:rsidDel="00000000" w:rsidR="00000000" w:rsidRPr="00000000">
        <w:rPr>
          <w:color w:val="ff0000"/>
          <w:rtl w:val="0"/>
        </w:rPr>
        <w:t xml:space="preserve">AJOUTER REMARQUES CARMEN</w:t>
      </w:r>
    </w:p>
    <w:p w:rsidR="00000000" w:rsidDel="00000000" w:rsidP="00000000" w:rsidRDefault="00000000" w:rsidRPr="00000000" w14:paraId="00000010">
      <w:pPr>
        <w:pageBreakBefore w:val="0"/>
        <w:widowControl w:val="0"/>
        <w:spacing w:line="276" w:lineRule="auto"/>
        <w:rPr/>
      </w:pPr>
      <w:r w:rsidDel="00000000" w:rsidR="00000000" w:rsidRPr="00000000">
        <w:rPr>
          <w:rtl w:val="0"/>
        </w:rPr>
      </w:r>
    </w:p>
    <w:p w:rsidR="00000000" w:rsidDel="00000000" w:rsidP="00000000" w:rsidRDefault="00000000" w:rsidRPr="00000000" w14:paraId="00000011">
      <w:pPr>
        <w:pageBreakBefore w:val="0"/>
        <w:widowControl w:val="0"/>
        <w:spacing w:line="276" w:lineRule="auto"/>
        <w:rPr/>
      </w:pPr>
      <w:r w:rsidDel="00000000" w:rsidR="00000000" w:rsidRPr="00000000">
        <w:rPr>
          <w:rtl w:val="0"/>
        </w:rPr>
      </w:r>
    </w:p>
    <w:p w:rsidR="00000000" w:rsidDel="00000000" w:rsidP="00000000" w:rsidRDefault="00000000" w:rsidRPr="00000000" w14:paraId="00000012">
      <w:pPr>
        <w:pageBreakBefore w:val="0"/>
        <w:widowControl w:val="0"/>
        <w:spacing w:line="276" w:lineRule="auto"/>
        <w:rPr>
          <w:u w:val="single"/>
        </w:rPr>
      </w:pPr>
      <w:r w:rsidDel="00000000" w:rsidR="00000000" w:rsidRPr="00000000">
        <w:rPr>
          <w:u w:val="single"/>
          <w:rtl w:val="0"/>
        </w:rPr>
        <w:t xml:space="preserve">Incertitudes dans la transcription mais une interprétation est choisie</w:t>
      </w:r>
    </w:p>
    <w:p w:rsidR="00000000" w:rsidDel="00000000" w:rsidP="00000000" w:rsidRDefault="00000000" w:rsidRPr="00000000" w14:paraId="00000013">
      <w:pPr>
        <w:pageBreakBefore w:val="0"/>
        <w:widowControl w:val="0"/>
        <w:spacing w:line="276" w:lineRule="auto"/>
        <w:rPr/>
      </w:pPr>
      <w:r w:rsidDel="00000000" w:rsidR="00000000" w:rsidRPr="00000000">
        <w:rPr>
          <w:rtl w:val="0"/>
        </w:rPr>
        <w:t xml:space="preserve">Choix de transcription </w:t>
      </w:r>
      <w:r w:rsidDel="00000000" w:rsidR="00000000" w:rsidRPr="00000000">
        <w:rPr>
          <w:i w:val="1"/>
          <w:rtl w:val="0"/>
        </w:rPr>
        <w:t xml:space="preserve">habitait aussi rue Constantin</w:t>
      </w:r>
      <w:r w:rsidDel="00000000" w:rsidR="00000000" w:rsidRPr="00000000">
        <w:rPr>
          <w:rtl w:val="0"/>
        </w:rPr>
        <w:t xml:space="preserve">, alors que dans les premières versions : “habitait au six rue Constantin”.</w:t>
      </w:r>
    </w:p>
    <w:p w:rsidR="00000000" w:rsidDel="00000000" w:rsidP="00000000" w:rsidRDefault="00000000" w:rsidRPr="00000000" w14:paraId="00000014">
      <w:pPr>
        <w:pageBreakBefore w:val="0"/>
        <w:widowControl w:val="0"/>
        <w:spacing w:line="276" w:lineRule="auto"/>
        <w:rPr/>
      </w:pPr>
      <w:r w:rsidDel="00000000" w:rsidR="00000000" w:rsidRPr="00000000">
        <w:rPr>
          <w:rtl w:val="0"/>
        </w:rPr>
      </w:r>
    </w:p>
    <w:p w:rsidR="00000000" w:rsidDel="00000000" w:rsidP="00000000" w:rsidRDefault="00000000" w:rsidRPr="00000000" w14:paraId="00000015">
      <w:pPr>
        <w:pageBreakBefore w:val="0"/>
        <w:widowControl w:val="0"/>
        <w:spacing w:line="276" w:lineRule="auto"/>
        <w:rPr/>
      </w:pPr>
      <w:r w:rsidDel="00000000" w:rsidR="00000000" w:rsidRPr="00000000">
        <w:rPr>
          <w:rtl w:val="0"/>
        </w:rPr>
      </w:r>
    </w:p>
    <w:p w:rsidR="00000000" w:rsidDel="00000000" w:rsidP="00000000" w:rsidRDefault="00000000" w:rsidRPr="00000000" w14:paraId="00000016">
      <w:pPr>
        <w:pageBreakBefore w:val="0"/>
        <w:widowControl w:val="0"/>
        <w:spacing w:line="276" w:lineRule="auto"/>
        <w:rPr>
          <w:u w:val="single"/>
        </w:rPr>
      </w:pPr>
      <w:r w:rsidDel="00000000" w:rsidR="00000000" w:rsidRPr="00000000">
        <w:rPr>
          <w:u w:val="single"/>
          <w:rtl w:val="0"/>
        </w:rPr>
        <w:t xml:space="preserve">Interprétation des Npr de lieux et de personnes</w:t>
      </w:r>
    </w:p>
    <w:p w:rsidR="00000000" w:rsidDel="00000000" w:rsidP="00000000" w:rsidRDefault="00000000" w:rsidRPr="00000000" w14:paraId="00000017">
      <w:pPr>
        <w:pageBreakBefore w:val="0"/>
        <w:widowControl w:val="0"/>
        <w:spacing w:line="276" w:lineRule="auto"/>
        <w:rPr/>
      </w:pPr>
      <w:r w:rsidDel="00000000" w:rsidR="00000000" w:rsidRPr="00000000">
        <w:rPr>
          <w:rtl w:val="0"/>
        </w:rPr>
        <w:t xml:space="preserve">Pour les noms de lieux :</w:t>
      </w:r>
    </w:p>
    <w:p w:rsidR="00000000" w:rsidDel="00000000" w:rsidP="00000000" w:rsidRDefault="00000000" w:rsidRPr="00000000" w14:paraId="00000018">
      <w:pPr>
        <w:pageBreakBefore w:val="0"/>
        <w:widowControl w:val="0"/>
        <w:spacing w:line="276" w:lineRule="auto"/>
        <w:rPr/>
      </w:pPr>
      <w:r w:rsidDel="00000000" w:rsidR="00000000" w:rsidRPr="00000000">
        <w:rPr>
          <w:rtl w:val="0"/>
        </w:rPr>
      </w:r>
    </w:p>
    <w:p w:rsidR="00000000" w:rsidDel="00000000" w:rsidP="00000000" w:rsidRDefault="00000000" w:rsidRPr="00000000" w14:paraId="00000019">
      <w:pPr>
        <w:pageBreakBefore w:val="0"/>
        <w:widowControl w:val="0"/>
        <w:spacing w:line="276" w:lineRule="auto"/>
        <w:rPr/>
      </w:pPr>
      <w:r w:rsidDel="00000000" w:rsidR="00000000" w:rsidRPr="00000000">
        <w:rPr>
          <w:rtl w:val="0"/>
        </w:rPr>
        <w:t xml:space="preserve">Pour les noms de personnes :</w:t>
      </w:r>
    </w:p>
    <w:p w:rsidR="00000000" w:rsidDel="00000000" w:rsidP="00000000" w:rsidRDefault="00000000" w:rsidRPr="00000000" w14:paraId="0000001A">
      <w:pPr>
        <w:pageBreakBefore w:val="0"/>
        <w:widowControl w:val="0"/>
        <w:rPr/>
      </w:pPr>
      <w:r w:rsidDel="00000000" w:rsidR="00000000" w:rsidRPr="00000000">
        <w:rPr>
          <w:rFonts w:ascii="Arial Unicode MS" w:cs="Arial Unicode MS" w:eastAsia="Arial Unicode MS" w:hAnsi="Arial Unicode MS"/>
          <w:rtl w:val="0"/>
        </w:rPr>
        <w:t xml:space="preserve">Plusieurs codes Npr ont été rectifiés ou créés par rapport au premières versions suite à une confusion entre les filles et les soeurs de EB06 et donc un décalage d’une génération (la belle-mère devenant la grand-mère). Ces codes (1ère version → version déposée avec prénom associé) :</w:t>
      </w:r>
    </w:p>
    <w:p w:rsidR="00000000" w:rsidDel="00000000" w:rsidP="00000000" w:rsidRDefault="00000000" w:rsidRPr="00000000" w14:paraId="0000001B">
      <w:pPr>
        <w:pageBreakBefore w:val="0"/>
        <w:widowControl w:val="0"/>
        <w:numPr>
          <w:ilvl w:val="0"/>
          <w:numId w:val="2"/>
        </w:numPr>
        <w:ind w:left="720" w:hanging="360"/>
      </w:pPr>
      <w:r w:rsidDel="00000000" w:rsidR="00000000" w:rsidRPr="00000000">
        <w:rPr>
          <w:rFonts w:ascii="Arial Unicode MS" w:cs="Arial Unicode MS" w:eastAsia="Arial Unicode MS" w:hAnsi="Arial Unicode MS"/>
          <w:rtl w:val="0"/>
        </w:rPr>
        <w:t xml:space="preserve">ma tante EA02FIE4 → EA02SOE2 (Carmen)</w:t>
      </w:r>
    </w:p>
    <w:p w:rsidR="00000000" w:rsidDel="00000000" w:rsidP="00000000" w:rsidRDefault="00000000" w:rsidRPr="00000000" w14:paraId="0000001C">
      <w:pPr>
        <w:pageBreakBefore w:val="0"/>
        <w:widowControl w:val="0"/>
        <w:numPr>
          <w:ilvl w:val="0"/>
          <w:numId w:val="2"/>
        </w:numPr>
        <w:ind w:left="720" w:hanging="360"/>
      </w:pPr>
      <w:r w:rsidDel="00000000" w:rsidR="00000000" w:rsidRPr="00000000">
        <w:rPr>
          <w:rFonts w:ascii="Arial Unicode MS" w:cs="Arial Unicode MS" w:eastAsia="Arial Unicode MS" w:hAnsi="Arial Unicode MS"/>
          <w:rtl w:val="0"/>
        </w:rPr>
        <w:t xml:space="preserve">il s'est remarié avec une dame EA02GRM → EA02MER2 (Pilar)</w:t>
      </w:r>
    </w:p>
    <w:p w:rsidR="00000000" w:rsidDel="00000000" w:rsidP="00000000" w:rsidRDefault="00000000" w:rsidRPr="00000000" w14:paraId="0000001D">
      <w:pPr>
        <w:pageBreakBefore w:val="0"/>
        <w:widowControl w:val="0"/>
        <w:numPr>
          <w:ilvl w:val="0"/>
          <w:numId w:val="2"/>
        </w:numPr>
        <w:ind w:left="720" w:hanging="360"/>
      </w:pPr>
      <w:r w:rsidDel="00000000" w:rsidR="00000000" w:rsidRPr="00000000">
        <w:rPr>
          <w:rFonts w:ascii="Arial Unicode MS" w:cs="Arial Unicode MS" w:eastAsia="Arial Unicode MS" w:hAnsi="Arial Unicode MS"/>
          <w:rtl w:val="0"/>
        </w:rPr>
        <w:t xml:space="preserve">qui avait déjà une fille EA02FIE7 → EA02DSOE (Angelines)</w:t>
      </w:r>
    </w:p>
    <w:p w:rsidR="00000000" w:rsidDel="00000000" w:rsidP="00000000" w:rsidRDefault="00000000" w:rsidRPr="00000000" w14:paraId="0000001E">
      <w:pPr>
        <w:pageBreakBefore w:val="0"/>
        <w:widowControl w:val="0"/>
        <w:numPr>
          <w:ilvl w:val="0"/>
          <w:numId w:val="2"/>
        </w:numPr>
        <w:ind w:left="720" w:hanging="360"/>
      </w:pPr>
      <w:r w:rsidDel="00000000" w:rsidR="00000000" w:rsidRPr="00000000">
        <w:rPr>
          <w:rFonts w:ascii="Arial Unicode MS" w:cs="Arial Unicode MS" w:eastAsia="Arial Unicode MS" w:hAnsi="Arial Unicode MS"/>
          <w:rtl w:val="0"/>
        </w:rPr>
        <w:t xml:space="preserve">sa mère EA02GRM → EA02MER2 (Pilar)</w:t>
      </w:r>
    </w:p>
    <w:p w:rsidR="00000000" w:rsidDel="00000000" w:rsidP="00000000" w:rsidRDefault="00000000" w:rsidRPr="00000000" w14:paraId="0000001F">
      <w:pPr>
        <w:pageBreakBefore w:val="0"/>
        <w:widowControl w:val="0"/>
        <w:numPr>
          <w:ilvl w:val="0"/>
          <w:numId w:val="2"/>
        </w:numPr>
        <w:ind w:left="720" w:hanging="360"/>
      </w:pPr>
      <w:r w:rsidDel="00000000" w:rsidR="00000000" w:rsidRPr="00000000">
        <w:rPr>
          <w:rFonts w:ascii="Arial Unicode MS" w:cs="Arial Unicode MS" w:eastAsia="Arial Unicode MS" w:hAnsi="Arial Unicode MS"/>
          <w:rtl w:val="0"/>
        </w:rPr>
        <w:t xml:space="preserve">ma tante EA02FIE2 → EA02SOE3 (Esmeralda)</w:t>
      </w:r>
    </w:p>
    <w:p w:rsidR="00000000" w:rsidDel="00000000" w:rsidP="00000000" w:rsidRDefault="00000000" w:rsidRPr="00000000" w14:paraId="00000020">
      <w:pPr>
        <w:pageBreakBefore w:val="0"/>
        <w:widowControl w:val="0"/>
        <w:numPr>
          <w:ilvl w:val="0"/>
          <w:numId w:val="2"/>
        </w:numPr>
        <w:ind w:left="720" w:hanging="360"/>
      </w:pPr>
      <w:r w:rsidDel="00000000" w:rsidR="00000000" w:rsidRPr="00000000">
        <w:rPr>
          <w:rFonts w:ascii="Arial Unicode MS" w:cs="Arial Unicode MS" w:eastAsia="Arial Unicode MS" w:hAnsi="Arial Unicode MS"/>
          <w:rtl w:val="0"/>
        </w:rPr>
        <w:t xml:space="preserve">EA02SOE → renommé en EA02SOE1 (Asuncion)</w:t>
      </w:r>
    </w:p>
    <w:p w:rsidR="00000000" w:rsidDel="00000000" w:rsidP="00000000" w:rsidRDefault="00000000" w:rsidRPr="00000000" w14:paraId="00000021">
      <w:pPr>
        <w:pageBreakBefore w:val="0"/>
        <w:widowControl w:val="0"/>
        <w:spacing w:line="276" w:lineRule="auto"/>
        <w:rPr/>
      </w:pPr>
      <w:r w:rsidDel="00000000" w:rsidR="00000000" w:rsidRPr="00000000">
        <w:rPr>
          <w:rtl w:val="0"/>
        </w:rPr>
      </w:r>
    </w:p>
    <w:p w:rsidR="00000000" w:rsidDel="00000000" w:rsidP="00000000" w:rsidRDefault="00000000" w:rsidRPr="00000000" w14:paraId="00000022">
      <w:pPr>
        <w:pageBreakBefore w:val="0"/>
        <w:widowControl w:val="0"/>
        <w:rPr>
          <w:color w:val="ff0000"/>
        </w:rPr>
      </w:pPr>
      <w:r w:rsidDel="00000000" w:rsidR="00000000" w:rsidRPr="00000000">
        <w:rPr>
          <w:color w:val="ff0000"/>
          <w:rtl w:val="0"/>
        </w:rPr>
        <w:t xml:space="preserve">A VOIR : </w:t>
      </w:r>
    </w:p>
    <w:p w:rsidR="00000000" w:rsidDel="00000000" w:rsidP="00000000" w:rsidRDefault="00000000" w:rsidRPr="00000000" w14:paraId="00000023">
      <w:pPr>
        <w:pageBreakBefore w:val="0"/>
        <w:widowControl w:val="0"/>
        <w:numPr>
          <w:ilvl w:val="0"/>
          <w:numId w:val="1"/>
        </w:numPr>
        <w:ind w:left="720" w:hanging="360"/>
        <w:rPr>
          <w:color w:val="ff0000"/>
        </w:rPr>
      </w:pPr>
      <w:r w:rsidDel="00000000" w:rsidR="00000000" w:rsidRPr="00000000">
        <w:rPr>
          <w:color w:val="ff0000"/>
          <w:rtl w:val="0"/>
        </w:rPr>
        <w:t xml:space="preserve">442-443, 523 : 02INC1, 02INC2, 02INC3</w:t>
      </w:r>
    </w:p>
    <w:p w:rsidR="00000000" w:rsidDel="00000000" w:rsidP="00000000" w:rsidRDefault="00000000" w:rsidRPr="00000000" w14:paraId="00000024">
      <w:pPr>
        <w:pageBreakBefore w:val="0"/>
        <w:widowControl w:val="0"/>
        <w:rPr>
          <w:color w:val="ff0000"/>
        </w:rPr>
      </w:pPr>
      <w:r w:rsidDel="00000000" w:rsidR="00000000" w:rsidRPr="00000000">
        <w:rPr>
          <w:color w:val="ff0000"/>
          <w:rtl w:val="0"/>
        </w:rPr>
        <w:t xml:space="preserve">&lt;DL&gt; Codes NPrPersonne qui n'apparaissent pas dans le fichier "LexiqueNprPersonnesTousEntretiens".</w:t>
      </w:r>
    </w:p>
    <w:p w:rsidR="00000000" w:rsidDel="00000000" w:rsidP="00000000" w:rsidRDefault="00000000" w:rsidRPr="00000000" w14:paraId="00000025">
      <w:pPr>
        <w:pageBreakBefore w:val="0"/>
        <w:widowControl w:val="0"/>
        <w:rPr>
          <w:color w:val="ff0000"/>
        </w:rPr>
      </w:pPr>
      <w:r w:rsidDel="00000000" w:rsidR="00000000" w:rsidRPr="00000000">
        <w:rPr>
          <w:color w:val="ff0000"/>
          <w:rtl w:val="0"/>
        </w:rPr>
        <w:t xml:space="preserve">&lt;DL&gt; A ce propos, les personnes dont le code est composé à partir du code du Républicain dont il s'agit (par exemple EA02 : EA02PER, EA02MER, EA02FIE2, EA02FIL1... MA01 : MA01PER, MA01MER...), sont-ils listés quelque part ? </w:t>
      </w:r>
    </w:p>
    <w:p w:rsidR="00000000" w:rsidDel="00000000" w:rsidP="00000000" w:rsidRDefault="00000000" w:rsidRPr="00000000" w14:paraId="00000026">
      <w:pPr>
        <w:pageBreakBefore w:val="0"/>
        <w:widowControl w:val="0"/>
        <w:rPr>
          <w:color w:val="ff0000"/>
        </w:rPr>
      </w:pPr>
      <w:r w:rsidDel="00000000" w:rsidR="00000000" w:rsidRPr="00000000">
        <w:rPr>
          <w:color w:val="ff0000"/>
          <w:rtl w:val="0"/>
        </w:rPr>
        <w:t xml:space="preserve">Ils n'apparaissent ni dans "LexiqueNprPersonnesTousEntretiens", ni dans "descriptionEtIdentifiantsCorpusDesEspagnols". </w:t>
      </w:r>
    </w:p>
    <w:p w:rsidR="00000000" w:rsidDel="00000000" w:rsidP="00000000" w:rsidRDefault="00000000" w:rsidRPr="00000000" w14:paraId="00000027">
      <w:pPr>
        <w:pageBreakBefore w:val="0"/>
        <w:widowControl w:val="0"/>
        <w:rPr>
          <w:color w:val="ff0000"/>
        </w:rPr>
      </w:pPr>
      <w:r w:rsidDel="00000000" w:rsidR="00000000" w:rsidRPr="00000000">
        <w:rPr>
          <w:color w:val="ff0000"/>
          <w:rtl w:val="0"/>
        </w:rPr>
        <w:t xml:space="preserve">Je ne demande pas ça pour moi, parce que le contexte me suffit pour vérifier que ce sont les bons codes. Mais c'est une liste que, je suppose, vous voudriez fournir avec le corpus.</w:t>
      </w:r>
    </w:p>
    <w:p w:rsidR="00000000" w:rsidDel="00000000" w:rsidP="00000000" w:rsidRDefault="00000000" w:rsidRPr="00000000" w14:paraId="00000028">
      <w:pPr>
        <w:pageBreakBefore w:val="0"/>
        <w:widowControl w:val="0"/>
        <w:rPr>
          <w:color w:val="ff0000"/>
        </w:rPr>
      </w:pPr>
      <w:r w:rsidDel="00000000" w:rsidR="00000000" w:rsidRPr="00000000">
        <w:rPr>
          <w:color w:val="ff0000"/>
          <w:rtl w:val="0"/>
        </w:rPr>
        <w:t xml:space="preserve">&lt;DL&gt; Rectification : je viens de relire le guide de transcription, et vous y décrivez déjà la formation des codes NPr, donc la liste est effectivement optionnelle.</w:t>
      </w:r>
    </w:p>
    <w:p w:rsidR="00000000" w:rsidDel="00000000" w:rsidP="00000000" w:rsidRDefault="00000000" w:rsidRPr="00000000" w14:paraId="00000029">
      <w:pPr>
        <w:pageBreakBefore w:val="0"/>
        <w:widowControl w:val="0"/>
        <w:spacing w:line="276" w:lineRule="auto"/>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pStyle w:val="Heading3"/>
        <w:keepNext w:val="0"/>
        <w:keepLines w:val="0"/>
        <w:pageBreakBefore w:val="0"/>
        <w:widowControl w:val="0"/>
        <w:spacing w:line="276" w:lineRule="auto"/>
        <w:rPr/>
      </w:pPr>
      <w:bookmarkStart w:colFirst="0" w:colLast="0" w:name="_1ijzvetqumzm" w:id="1"/>
      <w:bookmarkEnd w:id="1"/>
      <w:r w:rsidDel="00000000" w:rsidR="00000000" w:rsidRPr="00000000">
        <w:rPr>
          <w:rtl w:val="0"/>
        </w:rPr>
        <w:t xml:space="preserve">Commentaires Déborah puis Carmen, Catherine, Laurence</w:t>
      </w:r>
    </w:p>
    <w:p w:rsidR="00000000" w:rsidDel="00000000" w:rsidP="00000000" w:rsidRDefault="00000000" w:rsidRPr="00000000" w14:paraId="00000031">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32">
      <w:pPr>
        <w:pageBreakBefore w:val="0"/>
        <w:widowControl w:val="0"/>
        <w:spacing w:line="276" w:lineRule="auto"/>
        <w:rPr>
          <w:color w:val="3c78d8"/>
        </w:rPr>
      </w:pPr>
      <w:r w:rsidDel="00000000" w:rsidR="00000000" w:rsidRPr="00000000">
        <w:rPr>
          <w:rtl w:val="0"/>
        </w:rPr>
        <w:t xml:space="preserve">Commentaires Déborah</w:t>
      </w:r>
      <w:r w:rsidDel="00000000" w:rsidR="00000000" w:rsidRPr="00000000">
        <w:rPr>
          <w:color w:val="741b47"/>
          <w:rtl w:val="0"/>
        </w:rPr>
        <w:t xml:space="preserve">/réponses</w:t>
      </w:r>
      <w:r w:rsidDel="00000000" w:rsidR="00000000" w:rsidRPr="00000000">
        <w:rPr>
          <w:rtl w:val="0"/>
        </w:rPr>
        <w:t xml:space="preserve">, et </w:t>
      </w:r>
      <w:r w:rsidDel="00000000" w:rsidR="00000000" w:rsidRPr="00000000">
        <w:rPr>
          <w:color w:val="674ea7"/>
          <w:rtl w:val="0"/>
        </w:rPr>
        <w:t xml:space="preserve">Carmen</w:t>
      </w:r>
      <w:r w:rsidDel="00000000" w:rsidR="00000000" w:rsidRPr="00000000">
        <w:rPr>
          <w:rtl w:val="0"/>
        </w:rPr>
        <w:t xml:space="preserve">, </w:t>
      </w:r>
      <w:r w:rsidDel="00000000" w:rsidR="00000000" w:rsidRPr="00000000">
        <w:rPr>
          <w:color w:val="6aa84f"/>
          <w:rtl w:val="0"/>
        </w:rPr>
        <w:t xml:space="preserve">Catherine</w:t>
      </w:r>
      <w:r w:rsidDel="00000000" w:rsidR="00000000" w:rsidRPr="00000000">
        <w:rPr>
          <w:rtl w:val="0"/>
        </w:rPr>
        <w:t xml:space="preserve">, </w:t>
      </w:r>
      <w:r w:rsidDel="00000000" w:rsidR="00000000" w:rsidRPr="00000000">
        <w:rPr>
          <w:color w:val="3c78d8"/>
          <w:rtl w:val="0"/>
        </w:rPr>
        <w:t xml:space="preserve">Laurence</w:t>
      </w:r>
    </w:p>
    <w:p w:rsidR="00000000" w:rsidDel="00000000" w:rsidP="00000000" w:rsidRDefault="00000000" w:rsidRPr="00000000" w14:paraId="00000033">
      <w:pPr>
        <w:pageBreakBefore w:val="0"/>
        <w:widowControl w:val="0"/>
        <w:spacing w:line="276" w:lineRule="auto"/>
        <w:rPr/>
      </w:pPr>
      <w:r w:rsidDel="00000000" w:rsidR="00000000" w:rsidRPr="00000000">
        <w:rPr>
          <w:rtl w:val="0"/>
        </w:rPr>
      </w:r>
    </w:p>
    <w:p w:rsidR="00000000" w:rsidDel="00000000" w:rsidP="00000000" w:rsidRDefault="00000000" w:rsidRPr="00000000" w14:paraId="00000034">
      <w:pPr>
        <w:pageBreakBefore w:val="0"/>
        <w:widowControl w:val="0"/>
        <w:spacing w:line="276" w:lineRule="auto"/>
        <w:rPr/>
      </w:pPr>
      <w:r w:rsidDel="00000000" w:rsidR="00000000" w:rsidRPr="00000000">
        <w:rPr>
          <w:rtl w:val="0"/>
        </w:rPr>
        <w:t xml:space="preserve">Notes Déborah</w:t>
      </w:r>
    </w:p>
    <w:p w:rsidR="00000000" w:rsidDel="00000000" w:rsidP="00000000" w:rsidRDefault="00000000" w:rsidRPr="00000000" w14:paraId="00000035">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36">
      <w:pPr>
        <w:pageBreakBefore w:val="0"/>
        <w:widowControl w:val="0"/>
        <w:spacing w:line="276" w:lineRule="auto"/>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EA02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 header (@Begin ... @End)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d'une * à chaque tier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Alignement avec séquençage de 20 secondes environ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Balisage des NprLieu avec les identifiants de gazetier : ok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Vérification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 codes de noms propres de personnes : ok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systématiques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 remplacés par des &lt;&gt; (&lt;euh&gt;, &lt;silence&gt;, &lt;pause&gt;, &lt;pron=nonstd&gt;, &lt;pron=pi&gt;...)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euh/hein &lt;/mdd&gt; --- &lt;euh/hein&gt;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et bien &lt;/mdd&gt; --- &lt;mdd&gt; eh bien &lt;/mdd&gt;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mais/oui &lt;/mdd&gt; ? &gt;&gt; corriger si nécessaire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ah/eh/hé/oh/bah &lt;/mdd&gt; --- &lt;ah/eh/hé/oh/bah&gt;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&lt;rire/silence/pleur&gt; --- &lt;rireentendu/silenceentendu/pleurentendu&gt;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&lt;revis&gt; &lt;/revis&gt; --- &lt;revision&gt; &lt;/revision&gt;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&lt;espagnol&gt;&lt;/espagnol&gt; --- &lt;lg=espagnol&gt;&lt;/lg=espagnol&gt;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là --- XXX-là</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&lt;audiomanquantsep/fus&gt; --- effacés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majuscules, par exemple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républicains --- les Républicains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espagnols --- les Espagnols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notables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 de retranscription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537-539 *CH_OD1 : &lt;pron=pi&gt; l'enfance de son papa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*EA02FIE : c’est c'est c'est intéressant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*CH_MB1 : oui &lt;mdd&gt; oui oui &lt;/mdd&gt;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Questions/Réponses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 habitait au six rue Constantin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Je me demande si elle ne dit pas plutôt "habitait aussi rue Constantin".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&lt;LJ&gt; J’ai l’impression que c’est plutôt “aussi” vu son intonation.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442-443, 523 : 02INC1, 02INC2, 02INC3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Codes NPrPersonne qui n'apparaissent pas dans le fichier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"LexiqueNprPersonnesTousEntretiens".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&lt;DL&gt; A ce propos, les personnes dont le code est composé à partir du code du Républicain dont il s'agit (par exemple EA02 : EA02PER, EA02MER, EA02FIE2, EA02FIL1... MA01 : MA01PER, MA01MER...), sont-ils listés quelque part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Ils n'apparaissent ni dans "LexiqueNprPersonnesTousEntretiens", ni dans "descriptionEtIdentifiantsCorpusDesEspagnols".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Je ne demande pas ça pour moi, parce que le contexte me suffit pour vérifier que ce sont les bons codes.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Mais c'est une liste que, je suppose, vous voudriez fournir avec le corpus.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&lt;DL&gt; Rectification : je viens de relire le guide de transcription, et vous y décrivez déjà la formation des codes NPr, donc la liste est effectivement optionnelle.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554-563 &lt;DL&gt; Plusieurs codes Npr rectifiés/créés : si je ne me trompe pas, il y a confusion entre les filles et les soeurs de EB06, et un décalage d</w:t>
      </w:r>
      <w:r w:rsidDel="00000000" w:rsidR="00000000" w:rsidRPr="00000000">
        <w:rPr>
          <w:rtl w:val="0"/>
        </w:rPr>
        <w:t xml:space="preserve">’une génération (la belle-mère devient la grand-mère)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tante EA02FIE4 ---&gt; EA02SOE2 (Carmen)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s'est remarié avec une dame EA02GRM ---&gt; EA02MER2 (Pilar)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avait déjà une fille EA02FIE7 ---&gt; EA02DSOE (Angelines)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mère EA02GRM ---&gt; EA02MER2 (Pilar)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tante EA02FIE2 ---&gt; EA02SOE3 (Esmeralda)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283, 285 : J'ai donc renommé EA02SOE ---&gt; EA02SOE1 (Asuncion)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